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50800</wp:posOffset>
            </wp:positionV>
            <wp:extent cx="1420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88265</wp:posOffset>
            </wp:positionV>
            <wp:extent cx="1420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pacing w:after="0" w:line="177" w:lineRule="exact"/>
        <w:rPr>
          <w:sz w:val="24"/>
          <w:szCs w:val="24"/>
          <w:color w:val="auto"/>
        </w:rPr>
      </w:pPr>
    </w:p>
    <w:p>
      <w:pPr>
        <w:ind w:left="380" w:hanging="375"/>
        <w:spacing w:after="0"/>
        <w:tabs>
          <w:tab w:leader="none" w:pos="380" w:val="left"/>
        </w:tabs>
        <w:numPr>
          <w:ilvl w:val="0"/>
          <w:numId w:val="1"/>
        </w:numPr>
        <w:rPr>
          <w:rFonts w:ascii="MS PGothic" w:cs="MS PGothic" w:eastAsia="MS PGothic" w:hAnsi="MS PGothic"/>
          <w:sz w:val="17"/>
          <w:szCs w:val="17"/>
          <w:color w:val="auto"/>
        </w:rPr>
      </w:pPr>
      <w:r>
        <w:rPr>
          <w:rFonts w:ascii="Arial" w:cs="Arial" w:eastAsia="Arial" w:hAnsi="Arial"/>
          <w:sz w:val="16"/>
          <w:szCs w:val="16"/>
          <w:b w:val="1"/>
          <w:bCs w:val="1"/>
          <w:color w:val="auto"/>
        </w:rPr>
        <w:t>ANNUAL REPORT PURSUANT TO SECTION 13 OR 15(d) OF THE SECURITIES EXCHANGE ACT OF 1934</w:t>
      </w:r>
    </w:p>
    <w:p>
      <w:pPr>
        <w:spacing w:after="0" w:line="73" w:lineRule="exact"/>
        <w:rPr>
          <w:rFonts w:ascii="MS PGothic" w:cs="MS PGothic" w:eastAsia="MS PGothic" w:hAnsi="MS PGothic"/>
          <w:sz w:val="17"/>
          <w:szCs w:val="17"/>
          <w:color w:val="auto"/>
        </w:rPr>
      </w:pPr>
    </w:p>
    <w:p>
      <w:pPr>
        <w:ind w:left="378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For the fiscal year ended December 31, 2020</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58" w:lineRule="exact"/>
        <w:rPr>
          <w:sz w:val="24"/>
          <w:szCs w:val="24"/>
          <w:color w:val="auto"/>
        </w:rPr>
      </w:pPr>
    </w:p>
    <w:p>
      <w:pPr>
        <w:ind w:left="380" w:hanging="375"/>
        <w:spacing w:after="0"/>
        <w:tabs>
          <w:tab w:leader="none" w:pos="380" w:val="left"/>
        </w:tabs>
        <w:numPr>
          <w:ilvl w:val="0"/>
          <w:numId w:val="2"/>
        </w:numPr>
        <w:rPr>
          <w:rFonts w:ascii="MS PGothic" w:cs="MS PGothic" w:eastAsia="MS PGothic" w:hAnsi="MS PGothic"/>
          <w:sz w:val="16"/>
          <w:szCs w:val="16"/>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240"/>
          </w:cols>
          <w:pgMar w:left="320" w:top="231" w:right="339" w:bottom="1440" w:gutter="0" w:footer="0" w:header="0"/>
        </w:sectPr>
      </w:pPr>
    </w:p>
    <w:p>
      <w:pPr>
        <w:spacing w:after="0" w:line="85" w:lineRule="exact"/>
        <w:rPr>
          <w:sz w:val="24"/>
          <w:szCs w:val="24"/>
          <w:color w:val="auto"/>
        </w:rPr>
      </w:pPr>
    </w:p>
    <w:p>
      <w:pPr>
        <w:ind w:left="384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64" w:lineRule="exact"/>
        <w:rPr>
          <w:sz w:val="24"/>
          <w:szCs w:val="24"/>
          <w:color w:val="auto"/>
        </w:rPr>
      </w:pPr>
    </w:p>
    <w:p>
      <w:pPr>
        <w:sectPr>
          <w:pgSz w:w="11900" w:h="16838" w:orient="portrait"/>
          <w:cols w:equalWidth="0" w:num="2">
            <w:col w:w="6280" w:space="680"/>
            <w:col w:w="4280"/>
          </w:cols>
          <w:pgMar w:left="320" w:top="231" w:right="3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Commission File Number: 001-39315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66040</wp:posOffset>
            </wp:positionV>
            <wp:extent cx="1420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p>
      <w:pPr>
        <w:spacing w:after="0" w:line="120" w:lineRule="exact"/>
        <w:rPr>
          <w:sz w:val="24"/>
          <w:szCs w:val="24"/>
          <w:color w:val="auto"/>
        </w:rPr>
      </w:pPr>
    </w:p>
    <w:tbl>
      <w:tblPr>
        <w:tblLayout w:type="fixed"/>
        <w:tblInd w:w="920" w:type="dxa"/>
        <w:tblCellMar>
          <w:top w:w="0" w:type="dxa"/>
          <w:left w:w="0" w:type="dxa"/>
          <w:bottom w:w="0" w:type="dxa"/>
          <w:right w:w="0" w:type="dxa"/>
        </w:tblCellMar>
      </w:tblPr>
      <w:tr>
        <w:trPr>
          <w:trHeight w:val="442"/>
        </w:trPr>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40" w:type="dxa"/>
            <w:vAlign w:val="bottom"/>
            <w:gridSpan w:val="2"/>
          </w:tcPr>
          <w:p>
            <w:pPr>
              <w:jc w:val="center"/>
              <w:ind w:right="3330"/>
              <w:spacing w:after="0"/>
              <w:rPr>
                <w:sz w:val="20"/>
                <w:szCs w:val="20"/>
                <w:color w:val="auto"/>
              </w:rPr>
            </w:pPr>
            <w:r>
              <w:rPr>
                <w:rFonts w:ascii="Arial" w:cs="Arial" w:eastAsia="Arial" w:hAnsi="Arial"/>
                <w:sz w:val="35"/>
                <w:szCs w:val="35"/>
                <w:b w:val="1"/>
                <w:bCs w:val="1"/>
                <w:color w:val="auto"/>
                <w:w w:val="99"/>
              </w:rPr>
              <w:t>VROOM, INC.</w:t>
            </w:r>
          </w:p>
        </w:tc>
      </w:tr>
      <w:tr>
        <w:trPr>
          <w:trHeight w:val="196"/>
        </w:trPr>
        <w:tc>
          <w:tcPr>
            <w:tcW w:w="2480" w:type="dxa"/>
            <w:vAlign w:val="bottom"/>
          </w:tcPr>
          <w:p>
            <w:pPr>
              <w:spacing w:after="0"/>
              <w:rPr>
                <w:sz w:val="17"/>
                <w:szCs w:val="17"/>
                <w:color w:val="auto"/>
              </w:rPr>
            </w:pPr>
          </w:p>
        </w:tc>
        <w:tc>
          <w:tcPr>
            <w:tcW w:w="6740" w:type="dxa"/>
            <w:vAlign w:val="bottom"/>
            <w:gridSpan w:val="3"/>
          </w:tcPr>
          <w:p>
            <w:pPr>
              <w:jc w:val="center"/>
              <w:ind w:right="2230"/>
              <w:spacing w:after="0"/>
              <w:rPr>
                <w:sz w:val="20"/>
                <w:szCs w:val="20"/>
                <w:color w:val="auto"/>
              </w:rPr>
            </w:pPr>
            <w:r>
              <w:rPr>
                <w:rFonts w:ascii="Arial" w:cs="Arial" w:eastAsia="Arial" w:hAnsi="Arial"/>
                <w:sz w:val="14"/>
                <w:szCs w:val="14"/>
                <w:b w:val="1"/>
                <w:bCs w:val="1"/>
                <w:color w:val="auto"/>
                <w:w w:val="99"/>
              </w:rPr>
              <w:t>(Exact name of registrant as specified in its charter)</w:t>
            </w:r>
          </w:p>
        </w:tc>
      </w:tr>
      <w:tr>
        <w:trPr>
          <w:trHeight w:val="53"/>
        </w:trPr>
        <w:tc>
          <w:tcPr>
            <w:tcW w:w="2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3400" w:type="dxa"/>
            <w:vAlign w:val="bottom"/>
          </w:tcPr>
          <w:p>
            <w:pPr>
              <w:spacing w:after="0"/>
              <w:rPr>
                <w:sz w:val="4"/>
                <w:szCs w:val="4"/>
                <w:color w:val="auto"/>
              </w:rPr>
            </w:pPr>
          </w:p>
        </w:tc>
      </w:tr>
      <w:tr>
        <w:trPr>
          <w:trHeight w:val="241"/>
        </w:trPr>
        <w:tc>
          <w:tcPr>
            <w:tcW w:w="2480" w:type="dxa"/>
            <w:vAlign w:val="bottom"/>
          </w:tcPr>
          <w:p>
            <w:pPr>
              <w:jc w:val="center"/>
              <w:ind w:right="410"/>
              <w:spacing w:after="0"/>
              <w:rPr>
                <w:sz w:val="20"/>
                <w:szCs w:val="20"/>
                <w:color w:val="auto"/>
              </w:rPr>
            </w:pPr>
            <w:r>
              <w:rPr>
                <w:rFonts w:ascii="Arial" w:cs="Arial" w:eastAsia="Arial" w:hAnsi="Arial"/>
                <w:sz w:val="14"/>
                <w:szCs w:val="14"/>
                <w:b w:val="1"/>
                <w:bCs w:val="1"/>
                <w:color w:val="auto"/>
                <w:w w:val="97"/>
              </w:rPr>
              <w:t>Delaware</w:t>
            </w:r>
          </w:p>
        </w:tc>
        <w:tc>
          <w:tcPr>
            <w:tcW w:w="6740" w:type="dxa"/>
            <w:vAlign w:val="bottom"/>
            <w:gridSpan w:val="3"/>
          </w:tcPr>
          <w:p>
            <w:pPr>
              <w:jc w:val="center"/>
              <w:ind w:left="5190"/>
              <w:spacing w:after="0"/>
              <w:rPr>
                <w:sz w:val="20"/>
                <w:szCs w:val="20"/>
                <w:color w:val="auto"/>
              </w:rPr>
            </w:pPr>
            <w:r>
              <w:rPr>
                <w:rFonts w:ascii="Arial" w:cs="Arial" w:eastAsia="Arial" w:hAnsi="Arial"/>
                <w:sz w:val="14"/>
                <w:szCs w:val="14"/>
                <w:b w:val="1"/>
                <w:bCs w:val="1"/>
                <w:color w:val="auto"/>
                <w:w w:val="96"/>
              </w:rPr>
              <w:t>901112566</w:t>
            </w:r>
          </w:p>
        </w:tc>
      </w:tr>
      <w:tr>
        <w:trPr>
          <w:trHeight w:val="157"/>
        </w:trPr>
        <w:tc>
          <w:tcPr>
            <w:tcW w:w="2480" w:type="dxa"/>
            <w:vAlign w:val="bottom"/>
          </w:tcPr>
          <w:p>
            <w:pPr>
              <w:jc w:val="center"/>
              <w:ind w:right="410"/>
              <w:spacing w:after="0" w:line="157" w:lineRule="exact"/>
              <w:rPr>
                <w:sz w:val="20"/>
                <w:szCs w:val="20"/>
                <w:color w:val="auto"/>
              </w:rPr>
            </w:pPr>
            <w:r>
              <w:rPr>
                <w:rFonts w:ascii="Arial" w:cs="Arial" w:eastAsia="Arial" w:hAnsi="Arial"/>
                <w:sz w:val="14"/>
                <w:szCs w:val="14"/>
                <w:b w:val="1"/>
                <w:bCs w:val="1"/>
                <w:color w:val="auto"/>
                <w:w w:val="99"/>
              </w:rPr>
              <w:t>(State or other jurisdiction of</w:t>
            </w:r>
          </w:p>
        </w:tc>
        <w:tc>
          <w:tcPr>
            <w:tcW w:w="11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400" w:type="dxa"/>
            <w:vAlign w:val="bottom"/>
          </w:tcPr>
          <w:p>
            <w:pPr>
              <w:jc w:val="center"/>
              <w:ind w:left="1830"/>
              <w:spacing w:after="0" w:line="157" w:lineRule="exact"/>
              <w:rPr>
                <w:sz w:val="20"/>
                <w:szCs w:val="20"/>
                <w:color w:val="auto"/>
              </w:rPr>
            </w:pPr>
            <w:r>
              <w:rPr>
                <w:rFonts w:ascii="Arial" w:cs="Arial" w:eastAsia="Arial" w:hAnsi="Arial"/>
                <w:sz w:val="14"/>
                <w:szCs w:val="14"/>
                <w:b w:val="1"/>
                <w:bCs w:val="1"/>
                <w:color w:val="auto"/>
                <w:w w:val="98"/>
              </w:rPr>
              <w:t>(I.R.S. Employer</w:t>
            </w:r>
          </w:p>
        </w:tc>
      </w:tr>
      <w:tr>
        <w:trPr>
          <w:trHeight w:val="196"/>
        </w:trPr>
        <w:tc>
          <w:tcPr>
            <w:tcW w:w="2480" w:type="dxa"/>
            <w:vAlign w:val="bottom"/>
          </w:tcPr>
          <w:p>
            <w:pPr>
              <w:jc w:val="center"/>
              <w:ind w:right="410"/>
              <w:spacing w:after="0"/>
              <w:rPr>
                <w:sz w:val="20"/>
                <w:szCs w:val="20"/>
                <w:color w:val="auto"/>
              </w:rPr>
            </w:pPr>
            <w:r>
              <w:rPr>
                <w:rFonts w:ascii="Arial" w:cs="Arial" w:eastAsia="Arial" w:hAnsi="Arial"/>
                <w:sz w:val="14"/>
                <w:szCs w:val="14"/>
                <w:b w:val="1"/>
                <w:bCs w:val="1"/>
                <w:color w:val="auto"/>
              </w:rPr>
              <w:t>incorporation or organization)</w:t>
            </w:r>
          </w:p>
        </w:tc>
        <w:tc>
          <w:tcPr>
            <w:tcW w:w="1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400" w:type="dxa"/>
            <w:vAlign w:val="bottom"/>
          </w:tcPr>
          <w:p>
            <w:pPr>
              <w:jc w:val="center"/>
              <w:ind w:left="1850"/>
              <w:spacing w:after="0"/>
              <w:rPr>
                <w:sz w:val="20"/>
                <w:szCs w:val="20"/>
                <w:color w:val="auto"/>
              </w:rPr>
            </w:pPr>
            <w:r>
              <w:rPr>
                <w:rFonts w:ascii="Arial" w:cs="Arial" w:eastAsia="Arial" w:hAnsi="Arial"/>
                <w:sz w:val="14"/>
                <w:szCs w:val="14"/>
                <w:b w:val="1"/>
                <w:bCs w:val="1"/>
                <w:color w:val="auto"/>
                <w:w w:val="99"/>
              </w:rPr>
              <w:t>Identification Number)</w:t>
            </w:r>
          </w:p>
        </w:tc>
      </w:tr>
      <w:tr>
        <w:trPr>
          <w:trHeight w:val="170"/>
        </w:trPr>
        <w:tc>
          <w:tcPr>
            <w:tcW w:w="2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40" w:type="dxa"/>
            <w:vAlign w:val="bottom"/>
            <w:gridSpan w:val="2"/>
          </w:tcPr>
          <w:p>
            <w:pPr>
              <w:jc w:val="center"/>
              <w:ind w:right="3310"/>
              <w:spacing w:after="0"/>
              <w:rPr>
                <w:sz w:val="20"/>
                <w:szCs w:val="20"/>
                <w:color w:val="auto"/>
              </w:rPr>
            </w:pPr>
            <w:r>
              <w:rPr>
                <w:rFonts w:ascii="Arial" w:cs="Arial" w:eastAsia="Arial" w:hAnsi="Arial"/>
                <w:sz w:val="14"/>
                <w:szCs w:val="14"/>
                <w:b w:val="1"/>
                <w:bCs w:val="1"/>
                <w:color w:val="auto"/>
                <w:w w:val="98"/>
              </w:rPr>
              <w:t>1375 Broadway, Floor 11</w:t>
            </w:r>
          </w:p>
        </w:tc>
      </w:tr>
      <w:tr>
        <w:trPr>
          <w:trHeight w:val="157"/>
        </w:trPr>
        <w:tc>
          <w:tcPr>
            <w:tcW w:w="2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40" w:type="dxa"/>
            <w:vAlign w:val="bottom"/>
            <w:gridSpan w:val="2"/>
          </w:tcPr>
          <w:p>
            <w:pPr>
              <w:jc w:val="center"/>
              <w:ind w:right="3330"/>
              <w:spacing w:after="0" w:line="157" w:lineRule="exact"/>
              <w:rPr>
                <w:sz w:val="20"/>
                <w:szCs w:val="20"/>
                <w:color w:val="auto"/>
              </w:rPr>
            </w:pPr>
            <w:r>
              <w:rPr>
                <w:rFonts w:ascii="Arial" w:cs="Arial" w:eastAsia="Arial" w:hAnsi="Arial"/>
                <w:sz w:val="14"/>
                <w:szCs w:val="14"/>
                <w:b w:val="1"/>
                <w:bCs w:val="1"/>
                <w:color w:val="auto"/>
                <w:w w:val="98"/>
              </w:rPr>
              <w:t>New York, New York 10018</w:t>
            </w:r>
          </w:p>
        </w:tc>
      </w:tr>
      <w:tr>
        <w:trPr>
          <w:trHeight w:val="196"/>
        </w:trPr>
        <w:tc>
          <w:tcPr>
            <w:tcW w:w="2480" w:type="dxa"/>
            <w:vAlign w:val="bottom"/>
          </w:tcPr>
          <w:p>
            <w:pPr>
              <w:spacing w:after="0"/>
              <w:rPr>
                <w:sz w:val="17"/>
                <w:szCs w:val="17"/>
                <w:color w:val="auto"/>
              </w:rPr>
            </w:pPr>
          </w:p>
        </w:tc>
        <w:tc>
          <w:tcPr>
            <w:tcW w:w="6740" w:type="dxa"/>
            <w:vAlign w:val="bottom"/>
            <w:gridSpan w:val="3"/>
          </w:tcPr>
          <w:p>
            <w:pPr>
              <w:jc w:val="center"/>
              <w:ind w:right="2210"/>
              <w:spacing w:after="0"/>
              <w:rPr>
                <w:sz w:val="20"/>
                <w:szCs w:val="20"/>
                <w:color w:val="auto"/>
              </w:rPr>
            </w:pPr>
            <w:r>
              <w:rPr>
                <w:rFonts w:ascii="Arial" w:cs="Arial" w:eastAsia="Arial" w:hAnsi="Arial"/>
                <w:sz w:val="14"/>
                <w:szCs w:val="14"/>
                <w:b w:val="1"/>
                <w:bCs w:val="1"/>
                <w:color w:val="auto"/>
                <w:w w:val="99"/>
              </w:rPr>
              <w:t>(Address of principal executive offices) (Zip code)</w:t>
            </w:r>
          </w:p>
        </w:tc>
      </w:tr>
      <w:tr>
        <w:trPr>
          <w:trHeight w:val="183"/>
        </w:trPr>
        <w:tc>
          <w:tcPr>
            <w:tcW w:w="2480" w:type="dxa"/>
            <w:vAlign w:val="bottom"/>
          </w:tcPr>
          <w:p>
            <w:pPr>
              <w:spacing w:after="0"/>
              <w:rPr>
                <w:sz w:val="15"/>
                <w:szCs w:val="15"/>
                <w:color w:val="auto"/>
              </w:rPr>
            </w:pPr>
          </w:p>
        </w:tc>
        <w:tc>
          <w:tcPr>
            <w:tcW w:w="3340" w:type="dxa"/>
            <w:vAlign w:val="bottom"/>
            <w:gridSpan w:val="2"/>
          </w:tcPr>
          <w:p>
            <w:pPr>
              <w:jc w:val="center"/>
              <w:ind w:left="1030"/>
              <w:spacing w:after="0"/>
              <w:rPr>
                <w:sz w:val="20"/>
                <w:szCs w:val="20"/>
                <w:color w:val="auto"/>
              </w:rPr>
            </w:pPr>
            <w:r>
              <w:rPr>
                <w:rFonts w:ascii="Arial" w:cs="Arial" w:eastAsia="Arial" w:hAnsi="Arial"/>
                <w:sz w:val="14"/>
                <w:szCs w:val="14"/>
                <w:b w:val="1"/>
                <w:bCs w:val="1"/>
                <w:color w:val="auto"/>
              </w:rPr>
              <w:t>(855) 524-1300</w:t>
            </w:r>
          </w:p>
        </w:tc>
        <w:tc>
          <w:tcPr>
            <w:tcW w:w="3400" w:type="dxa"/>
            <w:vAlign w:val="bottom"/>
          </w:tcPr>
          <w:p>
            <w:pPr>
              <w:spacing w:after="0"/>
              <w:rPr>
                <w:sz w:val="15"/>
                <w:szCs w:val="15"/>
                <w:color w:val="auto"/>
              </w:rPr>
            </w:pPr>
          </w:p>
        </w:tc>
      </w:tr>
      <w:tr>
        <w:trPr>
          <w:trHeight w:val="196"/>
        </w:trPr>
        <w:tc>
          <w:tcPr>
            <w:tcW w:w="2480" w:type="dxa"/>
            <w:vAlign w:val="bottom"/>
          </w:tcPr>
          <w:p>
            <w:pPr>
              <w:spacing w:after="0"/>
              <w:rPr>
                <w:sz w:val="17"/>
                <w:szCs w:val="17"/>
                <w:color w:val="auto"/>
              </w:rPr>
            </w:pPr>
          </w:p>
        </w:tc>
        <w:tc>
          <w:tcPr>
            <w:tcW w:w="6740" w:type="dxa"/>
            <w:vAlign w:val="bottom"/>
            <w:gridSpan w:val="3"/>
          </w:tcPr>
          <w:p>
            <w:pPr>
              <w:jc w:val="center"/>
              <w:ind w:right="2230"/>
              <w:spacing w:after="0"/>
              <w:rPr>
                <w:sz w:val="20"/>
                <w:szCs w:val="20"/>
                <w:color w:val="auto"/>
              </w:rPr>
            </w:pPr>
            <w:r>
              <w:rPr>
                <w:rFonts w:ascii="Arial" w:cs="Arial" w:eastAsia="Arial" w:hAnsi="Arial"/>
                <w:sz w:val="14"/>
                <w:szCs w:val="14"/>
                <w:b w:val="1"/>
                <w:bCs w:val="1"/>
                <w:color w:val="auto"/>
                <w:w w:val="99"/>
              </w:rPr>
              <w:t>(Registrant's telephone number, including area code)</w:t>
            </w:r>
          </w:p>
        </w:tc>
      </w:tr>
    </w:tbl>
    <w:p>
      <w:pPr>
        <w:spacing w:after="0" w:line="126"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-113030</wp:posOffset>
            </wp:positionV>
            <wp:extent cx="1420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9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9"/>
              </w:rPr>
              <w:t>Title of each class</w:t>
            </w:r>
          </w:p>
        </w:tc>
        <w:tc>
          <w:tcPr>
            <w:tcW w:w="22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9"/>
              </w:rPr>
              <w:t>Trading Symbol(s)</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9"/>
              </w:rPr>
              <w:t>Name of each exchange on which registered</w:t>
            </w:r>
          </w:p>
        </w:tc>
      </w:tr>
      <w:tr>
        <w:trPr>
          <w:trHeight w:val="205"/>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Common Stock, $0.001 par value</w:t>
            </w: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jc w:val="center"/>
              <w:ind w:right="606"/>
              <w:spacing w:after="0"/>
              <w:rPr>
                <w:sz w:val="20"/>
                <w:szCs w:val="20"/>
                <w:color w:val="auto"/>
              </w:rPr>
            </w:pPr>
            <w:r>
              <w:rPr>
                <w:rFonts w:ascii="Arial" w:cs="Arial" w:eastAsia="Arial" w:hAnsi="Arial"/>
                <w:sz w:val="16"/>
                <w:szCs w:val="16"/>
                <w:color w:val="auto"/>
                <w:w w:val="95"/>
              </w:rPr>
              <w:t>VRM</w:t>
            </w:r>
          </w:p>
        </w:tc>
        <w:tc>
          <w:tcPr>
            <w:tcW w:w="100" w:type="dxa"/>
            <w:vAlign w:val="bottom"/>
          </w:tcPr>
          <w:p>
            <w:pPr>
              <w:spacing w:after="0"/>
              <w:rPr>
                <w:sz w:val="17"/>
                <w:szCs w:val="17"/>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Nasdaq Global Select</w:t>
            </w:r>
          </w:p>
        </w:tc>
      </w:tr>
      <w:tr>
        <w:trPr>
          <w:trHeight w:val="230"/>
        </w:trPr>
        <w:tc>
          <w:tcPr>
            <w:tcW w:w="4940" w:type="dxa"/>
            <w:vAlign w:val="bottom"/>
            <w:gridSpan w:val="3"/>
          </w:tcPr>
          <w:p>
            <w:pPr>
              <w:ind w:left="380"/>
              <w:spacing w:after="0"/>
              <w:rPr>
                <w:sz w:val="20"/>
                <w:szCs w:val="20"/>
                <w:color w:val="auto"/>
              </w:rPr>
            </w:pPr>
            <w:r>
              <w:rPr>
                <w:rFonts w:ascii="Arial" w:cs="Arial" w:eastAsia="Arial" w:hAnsi="Arial"/>
                <w:sz w:val="16"/>
                <w:szCs w:val="16"/>
                <w:color w:val="auto"/>
              </w:rPr>
              <w:t>Securities registered pursuant to Section 12(g) of the Act: None.</w:t>
            </w: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00" w:type="dxa"/>
            <w:vAlign w:val="bottom"/>
          </w:tcPr>
          <w:p>
            <w:pPr>
              <w:spacing w:after="0"/>
              <w:rPr>
                <w:sz w:val="20"/>
                <w:szCs w:val="20"/>
                <w:color w:val="auto"/>
              </w:rPr>
            </w:pPr>
          </w:p>
        </w:tc>
      </w:tr>
    </w:tbl>
    <w:p>
      <w:pPr>
        <w:spacing w:after="0" w:line="17" w:lineRule="exact"/>
        <w:rPr>
          <w:sz w:val="24"/>
          <w:szCs w:val="24"/>
          <w:color w:val="auto"/>
        </w:rPr>
      </w:pPr>
    </w:p>
    <w:p>
      <w:pPr>
        <w:ind w:left="380" w:right="1540"/>
        <w:spacing w:after="0" w:line="25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7" w:lineRule="exact"/>
        <w:rPr>
          <w:sz w:val="24"/>
          <w:szCs w:val="24"/>
          <w:color w:val="auto"/>
        </w:rPr>
      </w:pPr>
    </w:p>
    <w:p>
      <w:pPr>
        <w:ind w:right="320" w:firstLine="374"/>
        <w:spacing w:after="0" w:line="19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7" w:lineRule="exact"/>
        <w:rPr>
          <w:sz w:val="24"/>
          <w:szCs w:val="24"/>
          <w:color w:val="auto"/>
        </w:rPr>
      </w:pPr>
    </w:p>
    <w:p>
      <w:pPr>
        <w:ind w:right="380" w:firstLine="374"/>
        <w:spacing w:after="0" w:line="198" w:lineRule="exact"/>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MS PGothic" w:cs="MS PGothic" w:eastAsia="MS PGothic" w:hAnsi="MS PGothic"/>
          <w:sz w:val="16"/>
          <w:szCs w:val="16"/>
          <w:color w:val="auto"/>
        </w:rPr>
        <w:t>☒</w:t>
      </w:r>
      <w:r>
        <w:rPr>
          <w:rFonts w:ascii="Arial" w:cs="Arial" w:eastAsia="Arial" w:hAnsi="Arial"/>
          <w:sz w:val="16"/>
          <w:szCs w:val="16"/>
          <w:color w:val="auto"/>
        </w:rPr>
        <w:t>NO</w:t>
      </w:r>
      <w:r>
        <w:rPr>
          <w:rFonts w:ascii="MS PGothic" w:cs="MS PGothic" w:eastAsia="MS PGothic" w:hAnsi="MS PGothic"/>
          <w:sz w:val="16"/>
          <w:szCs w:val="16"/>
          <w:color w:val="auto"/>
        </w:rPr>
        <w:t>☐</w:t>
      </w:r>
    </w:p>
    <w:p>
      <w:pPr>
        <w:spacing w:after="0" w:line="37" w:lineRule="exact"/>
        <w:rPr>
          <w:sz w:val="24"/>
          <w:szCs w:val="24"/>
          <w:color w:val="auto"/>
        </w:rPr>
      </w:pPr>
    </w:p>
    <w:p>
      <w:pPr>
        <w:jc w:val="both"/>
        <w:ind w:right="340" w:firstLine="374"/>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0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96"/>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6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0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6"/>
        </w:trPr>
        <w:tc>
          <w:tcPr>
            <w:tcW w:w="184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5260" w:type="dxa"/>
            <w:vAlign w:val="bottom"/>
          </w:tcPr>
          <w:p>
            <w:pPr>
              <w:ind w:left="3200"/>
              <w:spacing w:after="0"/>
              <w:rPr>
                <w:sz w:val="20"/>
                <w:szCs w:val="20"/>
                <w:color w:val="auto"/>
              </w:rPr>
            </w:pPr>
            <w:r>
              <w:rPr>
                <w:rFonts w:ascii="Arial" w:cs="Arial" w:eastAsia="Arial" w:hAnsi="Arial"/>
                <w:sz w:val="16"/>
                <w:szCs w:val="16"/>
                <w:color w:val="auto"/>
              </w:rPr>
              <w:t>Emerging growth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6" w:lineRule="exact"/>
        <w:rPr>
          <w:sz w:val="24"/>
          <w:szCs w:val="24"/>
          <w:color w:val="auto"/>
        </w:rPr>
      </w:pPr>
    </w:p>
    <w:p>
      <w:pPr>
        <w:ind w:right="100" w:firstLine="374"/>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7" w:lineRule="exact"/>
        <w:rPr>
          <w:sz w:val="24"/>
          <w:szCs w:val="24"/>
          <w:color w:val="auto"/>
        </w:rPr>
      </w:pPr>
    </w:p>
    <w:p>
      <w:pPr>
        <w:ind w:right="20" w:firstLine="374"/>
        <w:spacing w:after="0" w:line="198"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7" w:lineRule="exact"/>
        <w:rPr>
          <w:sz w:val="24"/>
          <w:szCs w:val="24"/>
          <w:color w:val="auto"/>
        </w:rPr>
      </w:pPr>
    </w:p>
    <w:p>
      <w:pPr>
        <w:ind w:left="38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ind w:right="200" w:firstLine="374"/>
        <w:spacing w:after="0" w:line="275" w:lineRule="auto"/>
        <w:rPr>
          <w:sz w:val="20"/>
          <w:szCs w:val="20"/>
          <w:color w:val="auto"/>
        </w:rPr>
      </w:pPr>
      <w:r>
        <w:rPr>
          <w:rFonts w:ascii="Arial" w:cs="Arial" w:eastAsia="Arial" w:hAnsi="Arial"/>
          <w:sz w:val="16"/>
          <w:szCs w:val="16"/>
          <w:color w:val="auto"/>
        </w:rPr>
        <w:t>As of June 30, 2020, the aggregate market value of the common stock of the registrant held by non-affiliates was $4.8 billion based on the closing price of the common stock on the Nasdaq Global Select Market of the Nasdaq Stock Market LLC on such date.</w:t>
      </w:r>
    </w:p>
    <w:p>
      <w:pPr>
        <w:spacing w:after="0" w:line="10" w:lineRule="exact"/>
        <w:rPr>
          <w:sz w:val="24"/>
          <w:szCs w:val="24"/>
          <w:color w:val="auto"/>
        </w:rPr>
      </w:pPr>
    </w:p>
    <w:p>
      <w:pPr>
        <w:ind w:left="380"/>
        <w:spacing w:after="0"/>
        <w:rPr>
          <w:sz w:val="20"/>
          <w:szCs w:val="20"/>
          <w:color w:val="auto"/>
        </w:rPr>
      </w:pPr>
      <w:r>
        <w:rPr>
          <w:rFonts w:ascii="Arial" w:cs="Arial" w:eastAsia="Arial" w:hAnsi="Arial"/>
          <w:sz w:val="16"/>
          <w:szCs w:val="16"/>
          <w:color w:val="auto"/>
        </w:rPr>
        <w:t>As of March 1, 2021, 135,599,684 shares of the registrants’ common stock were outstanding.</w:t>
      </w:r>
    </w:p>
    <w:p>
      <w:pPr>
        <w:spacing w:after="0" w:line="65"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DOCUMENTS INCORPORATED BY REFERENCE</w:t>
      </w:r>
    </w:p>
    <w:p>
      <w:pPr>
        <w:spacing w:after="0" w:line="65" w:lineRule="exact"/>
        <w:rPr>
          <w:sz w:val="24"/>
          <w:szCs w:val="24"/>
          <w:color w:val="auto"/>
        </w:rPr>
      </w:pPr>
    </w:p>
    <w:p>
      <w:pPr>
        <w:jc w:val="both"/>
        <w:ind w:right="120" w:firstLine="374"/>
        <w:spacing w:after="0" w:line="257" w:lineRule="auto"/>
        <w:rPr>
          <w:sz w:val="20"/>
          <w:szCs w:val="20"/>
          <w:color w:val="auto"/>
        </w:rPr>
      </w:pPr>
      <w:r>
        <w:rPr>
          <w:rFonts w:ascii="Arial" w:cs="Arial" w:eastAsia="Arial" w:hAnsi="Arial"/>
          <w:sz w:val="16"/>
          <w:szCs w:val="16"/>
          <w:color w:val="auto"/>
        </w:rPr>
        <w:t>The information required to be furnished pursuant to Part III of this Annual Report on Form 10-K will be set forth in, and incorporated by reference from, the registrant’s definitive proxy statement for the annual meeting of stockholders which will be filed with the Securities and Exchange Commission no later than 120 days after the end of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358775</wp:posOffset>
            </wp:positionV>
            <wp:extent cx="715327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8"/>
        </w:trPr>
        <w:tc>
          <w:tcPr>
            <w:tcW w:w="1280" w:type="dxa"/>
            <w:vAlign w:val="bottom"/>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9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70"/>
        </w:trPr>
        <w:tc>
          <w:tcPr>
            <w:tcW w:w="1280" w:type="dxa"/>
            <w:vAlign w:val="bottom"/>
          </w:tcPr>
          <w:p>
            <w:pPr>
              <w:spacing w:after="0"/>
              <w:rPr>
                <w:sz w:val="24"/>
                <w:szCs w:val="24"/>
                <w:color w:val="auto"/>
              </w:rPr>
            </w:pPr>
          </w:p>
        </w:tc>
        <w:tc>
          <w:tcPr>
            <w:tcW w:w="9180" w:type="dxa"/>
            <w:vAlign w:val="bottom"/>
          </w:tcPr>
          <w:p>
            <w:pPr>
              <w:ind w:left="3420"/>
              <w:spacing w:after="0"/>
              <w:rPr>
                <w:sz w:val="20"/>
                <w:szCs w:val="20"/>
                <w:color w:val="auto"/>
              </w:rPr>
            </w:pPr>
            <w:r>
              <w:rPr>
                <w:rFonts w:ascii="Arial" w:cs="Arial" w:eastAsia="Arial" w:hAnsi="Arial"/>
                <w:sz w:val="17"/>
                <w:szCs w:val="17"/>
                <w:b w:val="1"/>
                <w:bCs w:val="1"/>
                <w:color w:val="auto"/>
              </w:rPr>
              <w:t>TABLE OF CONTENTS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4"/>
        </w:trPr>
        <w:tc>
          <w:tcPr>
            <w:tcW w:w="128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Page</w:t>
            </w:r>
          </w:p>
        </w:tc>
        <w:tc>
          <w:tcPr>
            <w:tcW w:w="20" w:type="dxa"/>
            <w:vAlign w:val="bottom"/>
          </w:tcPr>
          <w:p>
            <w:pPr>
              <w:spacing w:after="0"/>
              <w:rPr>
                <w:sz w:val="24"/>
                <w:szCs w:val="24"/>
                <w:color w:val="auto"/>
              </w:rPr>
            </w:pPr>
          </w:p>
        </w:tc>
      </w:tr>
      <w:tr>
        <w:trPr>
          <w:trHeight w:val="376"/>
        </w:trPr>
        <w:tc>
          <w:tcPr>
            <w:tcW w:w="1280" w:type="dxa"/>
            <w:vAlign w:val="bottom"/>
          </w:tcPr>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Part I</w:t>
              </w:r>
            </w:hyperlink>
          </w:p>
        </w:tc>
        <w:tc>
          <w:tcPr>
            <w:tcW w:w="91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r>
      <w:tr>
        <w:trPr>
          <w:trHeight w:val="196"/>
        </w:trPr>
        <w:tc>
          <w:tcPr>
            <w:tcW w:w="1280" w:type="dxa"/>
            <w:vAlign w:val="bottom"/>
          </w:tcPr>
          <w:p>
            <w:pPr>
              <w:spacing w:after="0"/>
              <w:rPr>
                <w:sz w:val="20"/>
                <w:szCs w:val="20"/>
                <w:color w:val="auto"/>
              </w:rPr>
            </w:pPr>
            <w:r>
              <w:rPr>
                <w:rFonts w:ascii="Arial" w:cs="Arial" w:eastAsia="Arial" w:hAnsi="Arial"/>
                <w:sz w:val="17"/>
                <w:szCs w:val="17"/>
                <w:color w:val="auto"/>
              </w:rPr>
              <w:t>Item 1.</w:t>
            </w:r>
          </w:p>
        </w:tc>
        <w:tc>
          <w:tcPr>
            <w:tcW w:w="9180" w:type="dxa"/>
            <w:vAlign w:val="bottom"/>
          </w:tcPr>
          <w:p>
            <w:pPr>
              <w:ind w:left="200"/>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Business</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r>
      <w:tr>
        <w:trPr>
          <w:trHeight w:val="196"/>
        </w:trPr>
        <w:tc>
          <w:tcPr>
            <w:tcW w:w="1280" w:type="dxa"/>
            <w:vAlign w:val="bottom"/>
          </w:tcPr>
          <w:p>
            <w:pPr>
              <w:spacing w:after="0"/>
              <w:rPr>
                <w:sz w:val="20"/>
                <w:szCs w:val="20"/>
                <w:color w:val="auto"/>
              </w:rPr>
            </w:pPr>
            <w:r>
              <w:rPr>
                <w:rFonts w:ascii="Arial" w:cs="Arial" w:eastAsia="Arial" w:hAnsi="Arial"/>
                <w:sz w:val="17"/>
                <w:szCs w:val="17"/>
                <w:color w:val="auto"/>
              </w:rPr>
              <w:t>Item 1A.</w:t>
            </w:r>
          </w:p>
        </w:tc>
        <w:tc>
          <w:tcPr>
            <w:tcW w:w="9180" w:type="dxa"/>
            <w:vAlign w:val="bottom"/>
          </w:tcPr>
          <w:p>
            <w:pPr>
              <w:ind w:left="200"/>
              <w:spacing w:after="0"/>
              <w:rPr>
                <w:rFonts w:ascii="Arial" w:cs="Arial" w:eastAsia="Arial" w:hAnsi="Arial"/>
                <w:sz w:val="17"/>
                <w:szCs w:val="17"/>
                <w:u w:val="single" w:color="auto"/>
                <w:color w:val="0000EE"/>
              </w:rPr>
            </w:pPr>
            <w:hyperlink w:anchor="page20">
              <w:r>
                <w:rPr>
                  <w:rFonts w:ascii="Arial" w:cs="Arial" w:eastAsia="Arial" w:hAnsi="Arial"/>
                  <w:sz w:val="17"/>
                  <w:szCs w:val="17"/>
                  <w:u w:val="single" w:color="auto"/>
                  <w:color w:val="0000EE"/>
                </w:rPr>
                <w:t>Risk Factors</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r>
      <w:tr>
        <w:trPr>
          <w:trHeight w:val="196"/>
        </w:trPr>
        <w:tc>
          <w:tcPr>
            <w:tcW w:w="1280" w:type="dxa"/>
            <w:vAlign w:val="bottom"/>
          </w:tcPr>
          <w:p>
            <w:pPr>
              <w:spacing w:after="0"/>
              <w:rPr>
                <w:sz w:val="20"/>
                <w:szCs w:val="20"/>
                <w:color w:val="auto"/>
              </w:rPr>
            </w:pPr>
            <w:r>
              <w:rPr>
                <w:rFonts w:ascii="Arial" w:cs="Arial" w:eastAsia="Arial" w:hAnsi="Arial"/>
                <w:sz w:val="17"/>
                <w:szCs w:val="17"/>
                <w:color w:val="auto"/>
              </w:rPr>
              <w:t>Item 1B.</w:t>
            </w:r>
          </w:p>
        </w:tc>
        <w:tc>
          <w:tcPr>
            <w:tcW w:w="9180" w:type="dxa"/>
            <w:vAlign w:val="bottom"/>
          </w:tcPr>
          <w:p>
            <w:pPr>
              <w:ind w:left="200"/>
              <w:spacing w:after="0"/>
              <w:rPr>
                <w:rFonts w:ascii="Arial" w:cs="Arial" w:eastAsia="Arial" w:hAnsi="Arial"/>
                <w:sz w:val="17"/>
                <w:szCs w:val="17"/>
                <w:u w:val="single" w:color="auto"/>
                <w:color w:val="0000EE"/>
              </w:rPr>
            </w:pPr>
            <w:hyperlink w:anchor="page49">
              <w:r>
                <w:rPr>
                  <w:rFonts w:ascii="Arial" w:cs="Arial" w:eastAsia="Arial" w:hAnsi="Arial"/>
                  <w:sz w:val="17"/>
                  <w:szCs w:val="17"/>
                  <w:u w:val="single" w:color="auto"/>
                  <w:color w:val="0000EE"/>
                </w:rPr>
                <w:t>Unresolved Staff Comments</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49</w:t>
            </w:r>
          </w:p>
        </w:tc>
      </w:tr>
      <w:tr>
        <w:trPr>
          <w:trHeight w:val="196"/>
        </w:trPr>
        <w:tc>
          <w:tcPr>
            <w:tcW w:w="1280" w:type="dxa"/>
            <w:vAlign w:val="bottom"/>
          </w:tcPr>
          <w:p>
            <w:pPr>
              <w:spacing w:after="0"/>
              <w:rPr>
                <w:sz w:val="20"/>
                <w:szCs w:val="20"/>
                <w:color w:val="auto"/>
              </w:rPr>
            </w:pPr>
            <w:r>
              <w:rPr>
                <w:rFonts w:ascii="Arial" w:cs="Arial" w:eastAsia="Arial" w:hAnsi="Arial"/>
                <w:sz w:val="17"/>
                <w:szCs w:val="17"/>
                <w:color w:val="auto"/>
              </w:rPr>
              <w:t>Item 2.</w:t>
            </w:r>
          </w:p>
        </w:tc>
        <w:tc>
          <w:tcPr>
            <w:tcW w:w="9180" w:type="dxa"/>
            <w:vAlign w:val="bottom"/>
          </w:tcPr>
          <w:p>
            <w:pPr>
              <w:ind w:left="200"/>
              <w:spacing w:after="0"/>
              <w:rPr>
                <w:rFonts w:ascii="Arial" w:cs="Arial" w:eastAsia="Arial" w:hAnsi="Arial"/>
                <w:sz w:val="17"/>
                <w:szCs w:val="17"/>
                <w:u w:val="single" w:color="auto"/>
                <w:color w:val="0000EE"/>
              </w:rPr>
            </w:pPr>
            <w:hyperlink w:anchor="page49">
              <w:r>
                <w:rPr>
                  <w:rFonts w:ascii="Arial" w:cs="Arial" w:eastAsia="Arial" w:hAnsi="Arial"/>
                  <w:sz w:val="17"/>
                  <w:szCs w:val="17"/>
                  <w:u w:val="single" w:color="auto"/>
                  <w:color w:val="0000EE"/>
                </w:rPr>
                <w:t>Properties</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49</w:t>
            </w:r>
          </w:p>
        </w:tc>
      </w:tr>
      <w:tr>
        <w:trPr>
          <w:trHeight w:val="196"/>
        </w:trPr>
        <w:tc>
          <w:tcPr>
            <w:tcW w:w="1280" w:type="dxa"/>
            <w:vAlign w:val="bottom"/>
          </w:tcPr>
          <w:p>
            <w:pPr>
              <w:spacing w:after="0"/>
              <w:rPr>
                <w:sz w:val="20"/>
                <w:szCs w:val="20"/>
                <w:color w:val="auto"/>
              </w:rPr>
            </w:pPr>
            <w:r>
              <w:rPr>
                <w:rFonts w:ascii="Arial" w:cs="Arial" w:eastAsia="Arial" w:hAnsi="Arial"/>
                <w:sz w:val="17"/>
                <w:szCs w:val="17"/>
                <w:color w:val="auto"/>
              </w:rPr>
              <w:t>Item 3.</w:t>
            </w:r>
          </w:p>
        </w:tc>
        <w:tc>
          <w:tcPr>
            <w:tcW w:w="9180" w:type="dxa"/>
            <w:vAlign w:val="bottom"/>
          </w:tcPr>
          <w:p>
            <w:pPr>
              <w:ind w:left="200"/>
              <w:spacing w:after="0"/>
              <w:rPr>
                <w:rFonts w:ascii="Arial" w:cs="Arial" w:eastAsia="Arial" w:hAnsi="Arial"/>
                <w:sz w:val="17"/>
                <w:szCs w:val="17"/>
                <w:u w:val="single" w:color="auto"/>
                <w:color w:val="0000EE"/>
              </w:rPr>
            </w:pPr>
            <w:hyperlink w:anchor="page49">
              <w:r>
                <w:rPr>
                  <w:rFonts w:ascii="Arial" w:cs="Arial" w:eastAsia="Arial" w:hAnsi="Arial"/>
                  <w:sz w:val="17"/>
                  <w:szCs w:val="17"/>
                  <w:u w:val="single" w:color="auto"/>
                  <w:color w:val="0000EE"/>
                </w:rPr>
                <w:t>Legal Proceedings</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49</w:t>
            </w:r>
          </w:p>
        </w:tc>
      </w:tr>
      <w:tr>
        <w:trPr>
          <w:trHeight w:val="236"/>
        </w:trPr>
        <w:tc>
          <w:tcPr>
            <w:tcW w:w="1280" w:type="dxa"/>
            <w:vAlign w:val="bottom"/>
          </w:tcPr>
          <w:p>
            <w:pPr>
              <w:spacing w:after="0"/>
              <w:rPr>
                <w:sz w:val="20"/>
                <w:szCs w:val="20"/>
                <w:color w:val="auto"/>
              </w:rPr>
            </w:pPr>
            <w:r>
              <w:rPr>
                <w:rFonts w:ascii="Arial" w:cs="Arial" w:eastAsia="Arial" w:hAnsi="Arial"/>
                <w:sz w:val="17"/>
                <w:szCs w:val="17"/>
                <w:color w:val="auto"/>
              </w:rPr>
              <w:t>Item 4.</w:t>
            </w:r>
          </w:p>
        </w:tc>
        <w:tc>
          <w:tcPr>
            <w:tcW w:w="9180" w:type="dxa"/>
            <w:vAlign w:val="bottom"/>
          </w:tcPr>
          <w:p>
            <w:pPr>
              <w:ind w:left="200"/>
              <w:spacing w:after="0"/>
              <w:rPr>
                <w:rFonts w:ascii="Arial" w:cs="Arial" w:eastAsia="Arial" w:hAnsi="Arial"/>
                <w:sz w:val="17"/>
                <w:szCs w:val="17"/>
                <w:u w:val="single" w:color="auto"/>
                <w:color w:val="0000EE"/>
              </w:rPr>
            </w:pPr>
            <w:hyperlink w:anchor="page49">
              <w:r>
                <w:rPr>
                  <w:rFonts w:ascii="Arial" w:cs="Arial" w:eastAsia="Arial" w:hAnsi="Arial"/>
                  <w:sz w:val="17"/>
                  <w:szCs w:val="17"/>
                  <w:u w:val="single" w:color="auto"/>
                  <w:color w:val="0000EE"/>
                </w:rPr>
                <w:t>Mine Safety Disclosures</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49</w:t>
            </w:r>
          </w:p>
        </w:tc>
      </w:tr>
      <w:tr>
        <w:trPr>
          <w:trHeight w:val="366"/>
        </w:trPr>
        <w:tc>
          <w:tcPr>
            <w:tcW w:w="1280" w:type="dxa"/>
            <w:vAlign w:val="bottom"/>
          </w:tcPr>
          <w:p>
            <w:pPr>
              <w:spacing w:after="0"/>
              <w:rPr>
                <w:rFonts w:ascii="Arial" w:cs="Arial" w:eastAsia="Arial" w:hAnsi="Arial"/>
                <w:sz w:val="17"/>
                <w:szCs w:val="17"/>
                <w:u w:val="single" w:color="auto"/>
                <w:color w:val="0000EE"/>
              </w:rPr>
            </w:pPr>
            <w:hyperlink w:anchor="page53">
              <w:r>
                <w:rPr>
                  <w:rFonts w:ascii="Arial" w:cs="Arial" w:eastAsia="Arial" w:hAnsi="Arial"/>
                  <w:sz w:val="17"/>
                  <w:szCs w:val="17"/>
                  <w:u w:val="single" w:color="auto"/>
                  <w:color w:val="0000EE"/>
                </w:rPr>
                <w:t>Part II</w:t>
              </w:r>
            </w:hyperlink>
          </w:p>
        </w:tc>
        <w:tc>
          <w:tcPr>
            <w:tcW w:w="91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53</w:t>
            </w:r>
          </w:p>
        </w:tc>
      </w:tr>
      <w:tr>
        <w:trPr>
          <w:trHeight w:val="196"/>
        </w:trPr>
        <w:tc>
          <w:tcPr>
            <w:tcW w:w="1280" w:type="dxa"/>
            <w:vAlign w:val="bottom"/>
          </w:tcPr>
          <w:p>
            <w:pPr>
              <w:spacing w:after="0"/>
              <w:rPr>
                <w:sz w:val="20"/>
                <w:szCs w:val="20"/>
                <w:color w:val="auto"/>
              </w:rPr>
            </w:pPr>
            <w:r>
              <w:rPr>
                <w:rFonts w:ascii="Arial" w:cs="Arial" w:eastAsia="Arial" w:hAnsi="Arial"/>
                <w:sz w:val="17"/>
                <w:szCs w:val="17"/>
                <w:color w:val="auto"/>
              </w:rPr>
              <w:t>Item 5.</w:t>
            </w:r>
          </w:p>
        </w:tc>
        <w:tc>
          <w:tcPr>
            <w:tcW w:w="9180" w:type="dxa"/>
            <w:vAlign w:val="bottom"/>
          </w:tcPr>
          <w:p>
            <w:pPr>
              <w:ind w:left="200"/>
              <w:spacing w:after="0"/>
              <w:rPr>
                <w:rFonts w:ascii="Arial" w:cs="Arial" w:eastAsia="Arial" w:hAnsi="Arial"/>
                <w:sz w:val="17"/>
                <w:szCs w:val="17"/>
                <w:u w:val="single" w:color="auto"/>
                <w:color w:val="0000EE"/>
              </w:rPr>
            </w:pPr>
            <w:hyperlink w:anchor="page53">
              <w:r>
                <w:rPr>
                  <w:rFonts w:ascii="Arial" w:cs="Arial" w:eastAsia="Arial" w:hAnsi="Arial"/>
                  <w:sz w:val="17"/>
                  <w:szCs w:val="17"/>
                  <w:u w:val="single" w:color="auto"/>
                  <w:color w:val="0000EE"/>
                </w:rPr>
                <w:t>Market for Registrant’s Common Equity, Related Stockholder Matters, and Issuer Purchases of Equity Securities</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53</w:t>
            </w:r>
          </w:p>
        </w:tc>
      </w:tr>
      <w:tr>
        <w:trPr>
          <w:trHeight w:val="196"/>
        </w:trPr>
        <w:tc>
          <w:tcPr>
            <w:tcW w:w="1280" w:type="dxa"/>
            <w:vAlign w:val="bottom"/>
          </w:tcPr>
          <w:p>
            <w:pPr>
              <w:spacing w:after="0"/>
              <w:rPr>
                <w:sz w:val="20"/>
                <w:szCs w:val="20"/>
                <w:color w:val="auto"/>
              </w:rPr>
            </w:pPr>
            <w:r>
              <w:rPr>
                <w:rFonts w:ascii="Arial" w:cs="Arial" w:eastAsia="Arial" w:hAnsi="Arial"/>
                <w:sz w:val="17"/>
                <w:szCs w:val="17"/>
                <w:color w:val="auto"/>
              </w:rPr>
              <w:t>Item 6.</w:t>
            </w:r>
          </w:p>
        </w:tc>
        <w:tc>
          <w:tcPr>
            <w:tcW w:w="9180" w:type="dxa"/>
            <w:vAlign w:val="bottom"/>
          </w:tcPr>
          <w:p>
            <w:pPr>
              <w:ind w:left="200"/>
              <w:spacing w:after="0"/>
              <w:rPr>
                <w:rFonts w:ascii="Arial" w:cs="Arial" w:eastAsia="Arial" w:hAnsi="Arial"/>
                <w:sz w:val="17"/>
                <w:szCs w:val="17"/>
                <w:u w:val="single" w:color="auto"/>
                <w:color w:val="0000EE"/>
              </w:rPr>
            </w:pPr>
            <w:hyperlink w:anchor="page55">
              <w:r>
                <w:rPr>
                  <w:rFonts w:ascii="Arial" w:cs="Arial" w:eastAsia="Arial" w:hAnsi="Arial"/>
                  <w:sz w:val="17"/>
                  <w:szCs w:val="17"/>
                  <w:u w:val="single" w:color="auto"/>
                  <w:color w:val="0000EE"/>
                </w:rPr>
                <w:t>Selected Financial Data</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55</w:t>
            </w:r>
          </w:p>
        </w:tc>
      </w:tr>
      <w:tr>
        <w:trPr>
          <w:trHeight w:val="196"/>
        </w:trPr>
        <w:tc>
          <w:tcPr>
            <w:tcW w:w="1280" w:type="dxa"/>
            <w:vAlign w:val="bottom"/>
          </w:tcPr>
          <w:p>
            <w:pPr>
              <w:spacing w:after="0"/>
              <w:rPr>
                <w:sz w:val="20"/>
                <w:szCs w:val="20"/>
                <w:color w:val="auto"/>
              </w:rPr>
            </w:pPr>
            <w:r>
              <w:rPr>
                <w:rFonts w:ascii="Arial" w:cs="Arial" w:eastAsia="Arial" w:hAnsi="Arial"/>
                <w:sz w:val="17"/>
                <w:szCs w:val="17"/>
                <w:color w:val="auto"/>
              </w:rPr>
              <w:t>Item 7.</w:t>
            </w:r>
          </w:p>
        </w:tc>
        <w:tc>
          <w:tcPr>
            <w:tcW w:w="9180" w:type="dxa"/>
            <w:vAlign w:val="bottom"/>
          </w:tcPr>
          <w:p>
            <w:pPr>
              <w:ind w:left="200"/>
              <w:spacing w:after="0"/>
              <w:rPr>
                <w:rFonts w:ascii="Arial" w:cs="Arial" w:eastAsia="Arial" w:hAnsi="Arial"/>
                <w:sz w:val="17"/>
                <w:szCs w:val="17"/>
                <w:u w:val="single" w:color="auto"/>
                <w:color w:val="0000EE"/>
              </w:rPr>
            </w:pPr>
            <w:hyperlink w:anchor="page56">
              <w:r>
                <w:rPr>
                  <w:rFonts w:ascii="Arial" w:cs="Arial" w:eastAsia="Arial" w:hAnsi="Arial"/>
                  <w:sz w:val="17"/>
                  <w:szCs w:val="17"/>
                  <w:u w:val="single" w:color="auto"/>
                  <w:color w:val="0000EE"/>
                </w:rPr>
                <w:t>Management’s Discussion and Analysis of Financial Condition and Results of Operations</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56</w:t>
            </w:r>
          </w:p>
        </w:tc>
      </w:tr>
      <w:tr>
        <w:trPr>
          <w:trHeight w:val="196"/>
        </w:trPr>
        <w:tc>
          <w:tcPr>
            <w:tcW w:w="1280" w:type="dxa"/>
            <w:vAlign w:val="bottom"/>
          </w:tcPr>
          <w:p>
            <w:pPr>
              <w:spacing w:after="0"/>
              <w:rPr>
                <w:sz w:val="20"/>
                <w:szCs w:val="20"/>
                <w:color w:val="auto"/>
              </w:rPr>
            </w:pPr>
            <w:r>
              <w:rPr>
                <w:rFonts w:ascii="Arial" w:cs="Arial" w:eastAsia="Arial" w:hAnsi="Arial"/>
                <w:sz w:val="17"/>
                <w:szCs w:val="17"/>
                <w:color w:val="auto"/>
              </w:rPr>
              <w:t>Item 7A.</w:t>
            </w:r>
          </w:p>
        </w:tc>
        <w:tc>
          <w:tcPr>
            <w:tcW w:w="9180" w:type="dxa"/>
            <w:vAlign w:val="bottom"/>
          </w:tcPr>
          <w:p>
            <w:pPr>
              <w:ind w:left="200"/>
              <w:spacing w:after="0"/>
              <w:rPr>
                <w:rFonts w:ascii="Arial" w:cs="Arial" w:eastAsia="Arial" w:hAnsi="Arial"/>
                <w:sz w:val="17"/>
                <w:szCs w:val="17"/>
                <w:u w:val="single" w:color="auto"/>
                <w:color w:val="0000EE"/>
              </w:rPr>
            </w:pPr>
            <w:hyperlink w:anchor="page79">
              <w:r>
                <w:rPr>
                  <w:rFonts w:ascii="Arial" w:cs="Arial" w:eastAsia="Arial" w:hAnsi="Arial"/>
                  <w:sz w:val="17"/>
                  <w:szCs w:val="17"/>
                  <w:u w:val="single" w:color="auto"/>
                  <w:color w:val="0000EE"/>
                </w:rPr>
                <w:t>Quantitative and Qualitative Disclosure About Market Risk</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79</w:t>
            </w:r>
          </w:p>
        </w:tc>
      </w:tr>
      <w:tr>
        <w:trPr>
          <w:trHeight w:val="196"/>
        </w:trPr>
        <w:tc>
          <w:tcPr>
            <w:tcW w:w="1280" w:type="dxa"/>
            <w:vAlign w:val="bottom"/>
          </w:tcPr>
          <w:p>
            <w:pPr>
              <w:spacing w:after="0"/>
              <w:rPr>
                <w:sz w:val="20"/>
                <w:szCs w:val="20"/>
                <w:color w:val="auto"/>
              </w:rPr>
            </w:pPr>
            <w:r>
              <w:rPr>
                <w:rFonts w:ascii="Arial" w:cs="Arial" w:eastAsia="Arial" w:hAnsi="Arial"/>
                <w:sz w:val="17"/>
                <w:szCs w:val="17"/>
                <w:color w:val="auto"/>
              </w:rPr>
              <w:t>Item 8.</w:t>
            </w:r>
          </w:p>
        </w:tc>
        <w:tc>
          <w:tcPr>
            <w:tcW w:w="9180" w:type="dxa"/>
            <w:vAlign w:val="bottom"/>
          </w:tcPr>
          <w:p>
            <w:pPr>
              <w:ind w:left="200"/>
              <w:spacing w:after="0"/>
              <w:rPr>
                <w:rFonts w:ascii="Arial" w:cs="Arial" w:eastAsia="Arial" w:hAnsi="Arial"/>
                <w:sz w:val="17"/>
                <w:szCs w:val="17"/>
                <w:u w:val="single" w:color="auto"/>
                <w:color w:val="0000EE"/>
              </w:rPr>
            </w:pPr>
            <w:hyperlink w:anchor="page80">
              <w:r>
                <w:rPr>
                  <w:rFonts w:ascii="Arial" w:cs="Arial" w:eastAsia="Arial" w:hAnsi="Arial"/>
                  <w:sz w:val="17"/>
                  <w:szCs w:val="17"/>
                  <w:u w:val="single" w:color="auto"/>
                  <w:color w:val="0000EE"/>
                </w:rPr>
                <w:t>Financial Statements and Supplementary Data</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80</w:t>
            </w:r>
          </w:p>
        </w:tc>
      </w:tr>
      <w:tr>
        <w:trPr>
          <w:trHeight w:val="196"/>
        </w:trPr>
        <w:tc>
          <w:tcPr>
            <w:tcW w:w="1280" w:type="dxa"/>
            <w:vAlign w:val="bottom"/>
          </w:tcPr>
          <w:p>
            <w:pPr>
              <w:spacing w:after="0"/>
              <w:rPr>
                <w:sz w:val="20"/>
                <w:szCs w:val="20"/>
                <w:color w:val="auto"/>
              </w:rPr>
            </w:pPr>
            <w:r>
              <w:rPr>
                <w:rFonts w:ascii="Arial" w:cs="Arial" w:eastAsia="Arial" w:hAnsi="Arial"/>
                <w:sz w:val="17"/>
                <w:szCs w:val="17"/>
                <w:color w:val="auto"/>
              </w:rPr>
              <w:t>Item 9.</w:t>
            </w:r>
          </w:p>
        </w:tc>
        <w:tc>
          <w:tcPr>
            <w:tcW w:w="9180" w:type="dxa"/>
            <w:vAlign w:val="bottom"/>
          </w:tcPr>
          <w:p>
            <w:pPr>
              <w:ind w:left="200"/>
              <w:spacing w:after="0"/>
              <w:rPr>
                <w:rFonts w:ascii="Arial" w:cs="Arial" w:eastAsia="Arial" w:hAnsi="Arial"/>
                <w:sz w:val="17"/>
                <w:szCs w:val="17"/>
                <w:u w:val="single" w:color="auto"/>
                <w:color w:val="0000EE"/>
              </w:rPr>
            </w:pPr>
            <w:hyperlink w:anchor="page110">
              <w:r>
                <w:rPr>
                  <w:rFonts w:ascii="Arial" w:cs="Arial" w:eastAsia="Arial" w:hAnsi="Arial"/>
                  <w:sz w:val="17"/>
                  <w:szCs w:val="17"/>
                  <w:u w:val="single" w:color="auto"/>
                  <w:color w:val="0000EE"/>
                </w:rPr>
                <w:t>Changes in and Disagreements with Accountants on Accounting and Financial Disclosure</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110</w:t>
            </w:r>
          </w:p>
        </w:tc>
      </w:tr>
      <w:tr>
        <w:trPr>
          <w:trHeight w:val="196"/>
        </w:trPr>
        <w:tc>
          <w:tcPr>
            <w:tcW w:w="1280" w:type="dxa"/>
            <w:vAlign w:val="bottom"/>
          </w:tcPr>
          <w:p>
            <w:pPr>
              <w:spacing w:after="0"/>
              <w:rPr>
                <w:sz w:val="20"/>
                <w:szCs w:val="20"/>
                <w:color w:val="auto"/>
              </w:rPr>
            </w:pPr>
            <w:r>
              <w:rPr>
                <w:rFonts w:ascii="Arial" w:cs="Arial" w:eastAsia="Arial" w:hAnsi="Arial"/>
                <w:sz w:val="17"/>
                <w:szCs w:val="17"/>
                <w:color w:val="auto"/>
              </w:rPr>
              <w:t>Item 9A.</w:t>
            </w:r>
          </w:p>
        </w:tc>
        <w:tc>
          <w:tcPr>
            <w:tcW w:w="9180" w:type="dxa"/>
            <w:vAlign w:val="bottom"/>
          </w:tcPr>
          <w:p>
            <w:pPr>
              <w:ind w:left="200"/>
              <w:spacing w:after="0"/>
              <w:rPr>
                <w:rFonts w:ascii="Arial" w:cs="Arial" w:eastAsia="Arial" w:hAnsi="Arial"/>
                <w:sz w:val="17"/>
                <w:szCs w:val="17"/>
                <w:u w:val="single" w:color="auto"/>
                <w:color w:val="0000EE"/>
              </w:rPr>
            </w:pPr>
            <w:hyperlink w:anchor="page110">
              <w:r>
                <w:rPr>
                  <w:rFonts w:ascii="Arial" w:cs="Arial" w:eastAsia="Arial" w:hAnsi="Arial"/>
                  <w:sz w:val="17"/>
                  <w:szCs w:val="17"/>
                  <w:u w:val="single" w:color="auto"/>
                  <w:color w:val="0000EE"/>
                </w:rPr>
                <w:t>Controls and Procedures</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110</w:t>
            </w:r>
          </w:p>
        </w:tc>
      </w:tr>
      <w:tr>
        <w:trPr>
          <w:trHeight w:val="236"/>
        </w:trPr>
        <w:tc>
          <w:tcPr>
            <w:tcW w:w="1280" w:type="dxa"/>
            <w:vAlign w:val="bottom"/>
          </w:tcPr>
          <w:p>
            <w:pPr>
              <w:spacing w:after="0"/>
              <w:rPr>
                <w:sz w:val="20"/>
                <w:szCs w:val="20"/>
                <w:color w:val="auto"/>
              </w:rPr>
            </w:pPr>
            <w:r>
              <w:rPr>
                <w:rFonts w:ascii="Arial" w:cs="Arial" w:eastAsia="Arial" w:hAnsi="Arial"/>
                <w:sz w:val="17"/>
                <w:szCs w:val="17"/>
                <w:color w:val="auto"/>
              </w:rPr>
              <w:t>Item 9B.</w:t>
            </w:r>
          </w:p>
        </w:tc>
        <w:tc>
          <w:tcPr>
            <w:tcW w:w="9180" w:type="dxa"/>
            <w:vAlign w:val="bottom"/>
          </w:tcPr>
          <w:p>
            <w:pPr>
              <w:ind w:left="200"/>
              <w:spacing w:after="0"/>
              <w:rPr>
                <w:rFonts w:ascii="Arial" w:cs="Arial" w:eastAsia="Arial" w:hAnsi="Arial"/>
                <w:sz w:val="17"/>
                <w:szCs w:val="17"/>
                <w:u w:val="single" w:color="auto"/>
                <w:color w:val="0000EE"/>
              </w:rPr>
            </w:pPr>
            <w:hyperlink w:anchor="page111">
              <w:r>
                <w:rPr>
                  <w:rFonts w:ascii="Arial" w:cs="Arial" w:eastAsia="Arial" w:hAnsi="Arial"/>
                  <w:sz w:val="17"/>
                  <w:szCs w:val="17"/>
                  <w:u w:val="single" w:color="auto"/>
                  <w:color w:val="0000EE"/>
                </w:rPr>
                <w:t>Other Information</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111</w:t>
            </w:r>
          </w:p>
        </w:tc>
      </w:tr>
      <w:tr>
        <w:trPr>
          <w:trHeight w:val="366"/>
        </w:trPr>
        <w:tc>
          <w:tcPr>
            <w:tcW w:w="1280" w:type="dxa"/>
            <w:vAlign w:val="bottom"/>
          </w:tcPr>
          <w:p>
            <w:pPr>
              <w:spacing w:after="0"/>
              <w:rPr>
                <w:rFonts w:ascii="Arial" w:cs="Arial" w:eastAsia="Arial" w:hAnsi="Arial"/>
                <w:sz w:val="17"/>
                <w:szCs w:val="17"/>
                <w:u w:val="single" w:color="auto"/>
                <w:color w:val="0000EE"/>
              </w:rPr>
            </w:pPr>
            <w:hyperlink w:anchor="page112">
              <w:r>
                <w:rPr>
                  <w:rFonts w:ascii="Arial" w:cs="Arial" w:eastAsia="Arial" w:hAnsi="Arial"/>
                  <w:sz w:val="17"/>
                  <w:szCs w:val="17"/>
                  <w:u w:val="single" w:color="auto"/>
                  <w:color w:val="0000EE"/>
                </w:rPr>
                <w:t>Part III</w:t>
              </w:r>
            </w:hyperlink>
          </w:p>
        </w:tc>
        <w:tc>
          <w:tcPr>
            <w:tcW w:w="91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112</w:t>
            </w:r>
          </w:p>
        </w:tc>
      </w:tr>
      <w:tr>
        <w:trPr>
          <w:trHeight w:val="196"/>
        </w:trPr>
        <w:tc>
          <w:tcPr>
            <w:tcW w:w="1280" w:type="dxa"/>
            <w:vAlign w:val="bottom"/>
          </w:tcPr>
          <w:p>
            <w:pPr>
              <w:spacing w:after="0"/>
              <w:rPr>
                <w:sz w:val="20"/>
                <w:szCs w:val="20"/>
                <w:color w:val="auto"/>
              </w:rPr>
            </w:pPr>
            <w:r>
              <w:rPr>
                <w:rFonts w:ascii="Arial" w:cs="Arial" w:eastAsia="Arial" w:hAnsi="Arial"/>
                <w:sz w:val="17"/>
                <w:szCs w:val="17"/>
                <w:color w:val="auto"/>
              </w:rPr>
              <w:t>Item 10.</w:t>
            </w:r>
          </w:p>
        </w:tc>
        <w:tc>
          <w:tcPr>
            <w:tcW w:w="9180" w:type="dxa"/>
            <w:vAlign w:val="bottom"/>
          </w:tcPr>
          <w:p>
            <w:pPr>
              <w:ind w:left="200"/>
              <w:spacing w:after="0"/>
              <w:rPr>
                <w:rFonts w:ascii="Arial" w:cs="Arial" w:eastAsia="Arial" w:hAnsi="Arial"/>
                <w:sz w:val="17"/>
                <w:szCs w:val="17"/>
                <w:u w:val="single" w:color="auto"/>
                <w:color w:val="0000EE"/>
              </w:rPr>
            </w:pPr>
            <w:hyperlink w:anchor="page112">
              <w:r>
                <w:rPr>
                  <w:rFonts w:ascii="Arial" w:cs="Arial" w:eastAsia="Arial" w:hAnsi="Arial"/>
                  <w:sz w:val="17"/>
                  <w:szCs w:val="17"/>
                  <w:u w:val="single" w:color="auto"/>
                  <w:color w:val="0000EE"/>
                </w:rPr>
                <w:t>Directors, Executive Officers, and Corporate Governance</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112</w:t>
            </w:r>
          </w:p>
        </w:tc>
      </w:tr>
      <w:tr>
        <w:trPr>
          <w:trHeight w:val="196"/>
        </w:trPr>
        <w:tc>
          <w:tcPr>
            <w:tcW w:w="1280" w:type="dxa"/>
            <w:vAlign w:val="bottom"/>
          </w:tcPr>
          <w:p>
            <w:pPr>
              <w:spacing w:after="0"/>
              <w:rPr>
                <w:sz w:val="20"/>
                <w:szCs w:val="20"/>
                <w:color w:val="auto"/>
              </w:rPr>
            </w:pPr>
            <w:r>
              <w:rPr>
                <w:rFonts w:ascii="Arial" w:cs="Arial" w:eastAsia="Arial" w:hAnsi="Arial"/>
                <w:sz w:val="17"/>
                <w:szCs w:val="17"/>
                <w:color w:val="auto"/>
              </w:rPr>
              <w:t>Item 11.</w:t>
            </w:r>
          </w:p>
        </w:tc>
        <w:tc>
          <w:tcPr>
            <w:tcW w:w="9180" w:type="dxa"/>
            <w:vAlign w:val="bottom"/>
          </w:tcPr>
          <w:p>
            <w:pPr>
              <w:ind w:left="200"/>
              <w:spacing w:after="0"/>
              <w:rPr>
                <w:rFonts w:ascii="Arial" w:cs="Arial" w:eastAsia="Arial" w:hAnsi="Arial"/>
                <w:sz w:val="17"/>
                <w:szCs w:val="17"/>
                <w:u w:val="single" w:color="auto"/>
                <w:color w:val="0000EE"/>
              </w:rPr>
            </w:pPr>
            <w:hyperlink w:anchor="page112">
              <w:r>
                <w:rPr>
                  <w:rFonts w:ascii="Arial" w:cs="Arial" w:eastAsia="Arial" w:hAnsi="Arial"/>
                  <w:sz w:val="17"/>
                  <w:szCs w:val="17"/>
                  <w:u w:val="single" w:color="auto"/>
                  <w:color w:val="0000EE"/>
                </w:rPr>
                <w:t>Executive Compensation</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112</w:t>
            </w:r>
          </w:p>
        </w:tc>
      </w:tr>
      <w:tr>
        <w:trPr>
          <w:trHeight w:val="196"/>
        </w:trPr>
        <w:tc>
          <w:tcPr>
            <w:tcW w:w="1280" w:type="dxa"/>
            <w:vAlign w:val="bottom"/>
          </w:tcPr>
          <w:p>
            <w:pPr>
              <w:spacing w:after="0"/>
              <w:rPr>
                <w:sz w:val="20"/>
                <w:szCs w:val="20"/>
                <w:color w:val="auto"/>
              </w:rPr>
            </w:pPr>
            <w:r>
              <w:rPr>
                <w:rFonts w:ascii="Arial" w:cs="Arial" w:eastAsia="Arial" w:hAnsi="Arial"/>
                <w:sz w:val="17"/>
                <w:szCs w:val="17"/>
                <w:color w:val="auto"/>
              </w:rPr>
              <w:t>Item 12.</w:t>
            </w:r>
          </w:p>
        </w:tc>
        <w:tc>
          <w:tcPr>
            <w:tcW w:w="9180" w:type="dxa"/>
            <w:vAlign w:val="bottom"/>
          </w:tcPr>
          <w:p>
            <w:pPr>
              <w:ind w:left="200"/>
              <w:spacing w:after="0"/>
              <w:rPr>
                <w:rFonts w:ascii="Arial" w:cs="Arial" w:eastAsia="Arial" w:hAnsi="Arial"/>
                <w:sz w:val="17"/>
                <w:szCs w:val="17"/>
                <w:u w:val="single" w:color="auto"/>
                <w:color w:val="0000EE"/>
              </w:rPr>
            </w:pPr>
            <w:hyperlink w:anchor="page112">
              <w:r>
                <w:rPr>
                  <w:rFonts w:ascii="Arial" w:cs="Arial" w:eastAsia="Arial" w:hAnsi="Arial"/>
                  <w:sz w:val="17"/>
                  <w:szCs w:val="17"/>
                  <w:u w:val="single" w:color="auto"/>
                  <w:color w:val="0000EE"/>
                </w:rPr>
                <w:t>Security Ownership of Certain Beneficial Owners and Management and Related Stockholder Matters</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112</w:t>
            </w:r>
          </w:p>
        </w:tc>
      </w:tr>
      <w:tr>
        <w:trPr>
          <w:trHeight w:val="196"/>
        </w:trPr>
        <w:tc>
          <w:tcPr>
            <w:tcW w:w="1280" w:type="dxa"/>
            <w:vAlign w:val="bottom"/>
          </w:tcPr>
          <w:p>
            <w:pPr>
              <w:spacing w:after="0"/>
              <w:rPr>
                <w:sz w:val="20"/>
                <w:szCs w:val="20"/>
                <w:color w:val="auto"/>
              </w:rPr>
            </w:pPr>
            <w:r>
              <w:rPr>
                <w:rFonts w:ascii="Arial" w:cs="Arial" w:eastAsia="Arial" w:hAnsi="Arial"/>
                <w:sz w:val="17"/>
                <w:szCs w:val="17"/>
                <w:color w:val="auto"/>
              </w:rPr>
              <w:t>Item 13.</w:t>
            </w:r>
          </w:p>
        </w:tc>
        <w:tc>
          <w:tcPr>
            <w:tcW w:w="9180" w:type="dxa"/>
            <w:vAlign w:val="bottom"/>
          </w:tcPr>
          <w:p>
            <w:pPr>
              <w:ind w:left="200"/>
              <w:spacing w:after="0"/>
              <w:rPr>
                <w:rFonts w:ascii="Arial" w:cs="Arial" w:eastAsia="Arial" w:hAnsi="Arial"/>
                <w:sz w:val="17"/>
                <w:szCs w:val="17"/>
                <w:u w:val="single" w:color="auto"/>
                <w:color w:val="0000EE"/>
              </w:rPr>
            </w:pPr>
            <w:hyperlink w:anchor="page112">
              <w:r>
                <w:rPr>
                  <w:rFonts w:ascii="Arial" w:cs="Arial" w:eastAsia="Arial" w:hAnsi="Arial"/>
                  <w:sz w:val="17"/>
                  <w:szCs w:val="17"/>
                  <w:u w:val="single" w:color="auto"/>
                  <w:color w:val="0000EE"/>
                </w:rPr>
                <w:t>Certain Relationships and Related Transactions, and Director Independence</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112</w:t>
            </w:r>
          </w:p>
        </w:tc>
      </w:tr>
      <w:tr>
        <w:trPr>
          <w:trHeight w:val="236"/>
        </w:trPr>
        <w:tc>
          <w:tcPr>
            <w:tcW w:w="1280" w:type="dxa"/>
            <w:vAlign w:val="bottom"/>
          </w:tcPr>
          <w:p>
            <w:pPr>
              <w:spacing w:after="0"/>
              <w:rPr>
                <w:sz w:val="20"/>
                <w:szCs w:val="20"/>
                <w:color w:val="auto"/>
              </w:rPr>
            </w:pPr>
            <w:r>
              <w:rPr>
                <w:rFonts w:ascii="Arial" w:cs="Arial" w:eastAsia="Arial" w:hAnsi="Arial"/>
                <w:sz w:val="17"/>
                <w:szCs w:val="17"/>
                <w:color w:val="auto"/>
              </w:rPr>
              <w:t>Item 14.</w:t>
            </w:r>
          </w:p>
        </w:tc>
        <w:tc>
          <w:tcPr>
            <w:tcW w:w="9180" w:type="dxa"/>
            <w:vAlign w:val="bottom"/>
          </w:tcPr>
          <w:p>
            <w:pPr>
              <w:ind w:left="200"/>
              <w:spacing w:after="0"/>
              <w:rPr>
                <w:rFonts w:ascii="Arial" w:cs="Arial" w:eastAsia="Arial" w:hAnsi="Arial"/>
                <w:sz w:val="17"/>
                <w:szCs w:val="17"/>
                <w:u w:val="single" w:color="auto"/>
                <w:color w:val="0000EE"/>
              </w:rPr>
            </w:pPr>
            <w:hyperlink w:anchor="page112">
              <w:r>
                <w:rPr>
                  <w:rFonts w:ascii="Arial" w:cs="Arial" w:eastAsia="Arial" w:hAnsi="Arial"/>
                  <w:sz w:val="17"/>
                  <w:szCs w:val="17"/>
                  <w:u w:val="single" w:color="auto"/>
                  <w:color w:val="0000EE"/>
                </w:rPr>
                <w:t>Principal Accounting Fees and Services</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112</w:t>
            </w:r>
          </w:p>
        </w:tc>
      </w:tr>
      <w:tr>
        <w:trPr>
          <w:trHeight w:val="379"/>
        </w:trPr>
        <w:tc>
          <w:tcPr>
            <w:tcW w:w="1280" w:type="dxa"/>
            <w:vAlign w:val="bottom"/>
          </w:tcPr>
          <w:p>
            <w:pPr>
              <w:spacing w:after="0"/>
              <w:rPr>
                <w:rFonts w:ascii="Arial" w:cs="Arial" w:eastAsia="Arial" w:hAnsi="Arial"/>
                <w:sz w:val="17"/>
                <w:szCs w:val="17"/>
                <w:u w:val="single" w:color="auto"/>
                <w:color w:val="0000EE"/>
              </w:rPr>
            </w:pPr>
            <w:hyperlink w:anchor="page113">
              <w:r>
                <w:rPr>
                  <w:rFonts w:ascii="Arial" w:cs="Arial" w:eastAsia="Arial" w:hAnsi="Arial"/>
                  <w:sz w:val="17"/>
                  <w:szCs w:val="17"/>
                  <w:u w:val="single" w:color="auto"/>
                  <w:color w:val="0000EE"/>
                </w:rPr>
                <w:t>Part IV</w:t>
              </w:r>
            </w:hyperlink>
          </w:p>
        </w:tc>
        <w:tc>
          <w:tcPr>
            <w:tcW w:w="91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113</w:t>
            </w:r>
          </w:p>
        </w:tc>
      </w:tr>
      <w:tr>
        <w:trPr>
          <w:trHeight w:val="196"/>
        </w:trPr>
        <w:tc>
          <w:tcPr>
            <w:tcW w:w="1280" w:type="dxa"/>
            <w:vAlign w:val="bottom"/>
          </w:tcPr>
          <w:p>
            <w:pPr>
              <w:spacing w:after="0"/>
              <w:rPr>
                <w:sz w:val="20"/>
                <w:szCs w:val="20"/>
                <w:color w:val="auto"/>
              </w:rPr>
            </w:pPr>
            <w:r>
              <w:rPr>
                <w:rFonts w:ascii="Arial" w:cs="Arial" w:eastAsia="Arial" w:hAnsi="Arial"/>
                <w:sz w:val="17"/>
                <w:szCs w:val="17"/>
                <w:color w:val="auto"/>
              </w:rPr>
              <w:t>Item 15</w:t>
            </w:r>
          </w:p>
        </w:tc>
        <w:tc>
          <w:tcPr>
            <w:tcW w:w="9180" w:type="dxa"/>
            <w:vAlign w:val="bottom"/>
          </w:tcPr>
          <w:p>
            <w:pPr>
              <w:ind w:left="200"/>
              <w:spacing w:after="0"/>
              <w:rPr>
                <w:rFonts w:ascii="Arial" w:cs="Arial" w:eastAsia="Arial" w:hAnsi="Arial"/>
                <w:sz w:val="17"/>
                <w:szCs w:val="17"/>
                <w:u w:val="single" w:color="auto"/>
                <w:color w:val="0000EE"/>
              </w:rPr>
            </w:pPr>
            <w:hyperlink w:anchor="page113">
              <w:r>
                <w:rPr>
                  <w:rFonts w:ascii="Arial" w:cs="Arial" w:eastAsia="Arial" w:hAnsi="Arial"/>
                  <w:sz w:val="17"/>
                  <w:szCs w:val="17"/>
                  <w:u w:val="single" w:color="auto"/>
                  <w:color w:val="0000EE"/>
                </w:rPr>
                <w:t>Exhibits and Financial Statement Schedules</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113</w:t>
            </w:r>
          </w:p>
        </w:tc>
      </w:tr>
      <w:tr>
        <w:trPr>
          <w:trHeight w:val="209"/>
        </w:trPr>
        <w:tc>
          <w:tcPr>
            <w:tcW w:w="1280" w:type="dxa"/>
            <w:vAlign w:val="bottom"/>
          </w:tcPr>
          <w:p>
            <w:pPr>
              <w:spacing w:after="0"/>
              <w:rPr>
                <w:sz w:val="18"/>
                <w:szCs w:val="18"/>
                <w:color w:val="auto"/>
              </w:rPr>
            </w:pPr>
          </w:p>
        </w:tc>
        <w:tc>
          <w:tcPr>
            <w:tcW w:w="9180" w:type="dxa"/>
            <w:vAlign w:val="bottom"/>
          </w:tcPr>
          <w:p>
            <w:pPr>
              <w:ind w:left="200"/>
              <w:spacing w:after="0"/>
              <w:rPr>
                <w:rFonts w:ascii="Arial" w:cs="Arial" w:eastAsia="Arial" w:hAnsi="Arial"/>
                <w:sz w:val="17"/>
                <w:szCs w:val="17"/>
                <w:u w:val="single" w:color="auto"/>
                <w:color w:val="0000EE"/>
              </w:rPr>
            </w:pPr>
            <w:hyperlink w:anchor="page113">
              <w:r>
                <w:rPr>
                  <w:rFonts w:ascii="Arial" w:cs="Arial" w:eastAsia="Arial" w:hAnsi="Arial"/>
                  <w:sz w:val="17"/>
                  <w:szCs w:val="17"/>
                  <w:u w:val="single" w:color="auto"/>
                  <w:color w:val="0000EE"/>
                </w:rPr>
                <w:t>Exhibits</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113</w:t>
            </w:r>
          </w:p>
        </w:tc>
      </w:tr>
      <w:tr>
        <w:trPr>
          <w:trHeight w:val="196"/>
        </w:trPr>
        <w:tc>
          <w:tcPr>
            <w:tcW w:w="1280" w:type="dxa"/>
            <w:vAlign w:val="bottom"/>
          </w:tcPr>
          <w:p>
            <w:pPr>
              <w:spacing w:after="0"/>
              <w:rPr>
                <w:sz w:val="20"/>
                <w:szCs w:val="20"/>
                <w:color w:val="auto"/>
              </w:rPr>
            </w:pPr>
            <w:r>
              <w:rPr>
                <w:rFonts w:ascii="Arial" w:cs="Arial" w:eastAsia="Arial" w:hAnsi="Arial"/>
                <w:sz w:val="17"/>
                <w:szCs w:val="17"/>
                <w:color w:val="auto"/>
              </w:rPr>
              <w:t>Item 16.</w:t>
            </w:r>
          </w:p>
        </w:tc>
        <w:tc>
          <w:tcPr>
            <w:tcW w:w="9180" w:type="dxa"/>
            <w:vAlign w:val="bottom"/>
          </w:tcPr>
          <w:p>
            <w:pPr>
              <w:ind w:left="200"/>
              <w:spacing w:after="0"/>
              <w:rPr>
                <w:rFonts w:ascii="Arial" w:cs="Arial" w:eastAsia="Arial" w:hAnsi="Arial"/>
                <w:sz w:val="17"/>
                <w:szCs w:val="17"/>
                <w:u w:val="single" w:color="auto"/>
                <w:color w:val="0000EE"/>
              </w:rPr>
            </w:pPr>
            <w:hyperlink w:anchor="page116">
              <w:r>
                <w:rPr>
                  <w:rFonts w:ascii="Arial" w:cs="Arial" w:eastAsia="Arial" w:hAnsi="Arial"/>
                  <w:sz w:val="17"/>
                  <w:szCs w:val="17"/>
                  <w:u w:val="single" w:color="auto"/>
                  <w:color w:val="0000EE"/>
                </w:rPr>
                <w:t>Form 10-K Summary</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116</w:t>
            </w:r>
          </w:p>
        </w:tc>
      </w:tr>
      <w:tr>
        <w:trPr>
          <w:trHeight w:val="236"/>
        </w:trPr>
        <w:tc>
          <w:tcPr>
            <w:tcW w:w="1280" w:type="dxa"/>
            <w:vAlign w:val="bottom"/>
          </w:tcPr>
          <w:p>
            <w:pPr>
              <w:spacing w:after="0"/>
              <w:rPr>
                <w:sz w:val="20"/>
                <w:szCs w:val="20"/>
                <w:color w:val="auto"/>
              </w:rPr>
            </w:pPr>
          </w:p>
        </w:tc>
        <w:tc>
          <w:tcPr>
            <w:tcW w:w="9180" w:type="dxa"/>
            <w:vAlign w:val="bottom"/>
          </w:tcPr>
          <w:p>
            <w:pPr>
              <w:ind w:left="200"/>
              <w:spacing w:after="0"/>
              <w:rPr>
                <w:rFonts w:ascii="Arial" w:cs="Arial" w:eastAsia="Arial" w:hAnsi="Arial"/>
                <w:sz w:val="17"/>
                <w:szCs w:val="17"/>
                <w:u w:val="single" w:color="auto"/>
                <w:color w:val="0000EE"/>
              </w:rPr>
            </w:pPr>
            <w:hyperlink w:anchor="page117">
              <w:r>
                <w:rPr>
                  <w:rFonts w:ascii="Arial" w:cs="Arial" w:eastAsia="Arial" w:hAnsi="Arial"/>
                  <w:sz w:val="17"/>
                  <w:szCs w:val="17"/>
                  <w:u w:val="single" w:color="auto"/>
                  <w:color w:val="0000EE"/>
                </w:rPr>
                <w:t>Signatures</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117</w:t>
            </w:r>
          </w:p>
        </w:tc>
      </w:tr>
      <w:tr>
        <w:trPr>
          <w:trHeight w:val="654"/>
        </w:trPr>
        <w:tc>
          <w:tcPr>
            <w:tcW w:w="1280" w:type="dxa"/>
            <w:vAlign w:val="bottom"/>
          </w:tcPr>
          <w:p>
            <w:pPr>
              <w:spacing w:after="0"/>
              <w:rPr>
                <w:sz w:val="24"/>
                <w:szCs w:val="24"/>
                <w:color w:val="auto"/>
              </w:rPr>
            </w:pPr>
          </w:p>
        </w:tc>
        <w:tc>
          <w:tcPr>
            <w:tcW w:w="9180" w:type="dxa"/>
            <w:vAlign w:val="bottom"/>
          </w:tcPr>
          <w:p>
            <w:pPr>
              <w:ind w:left="4300"/>
              <w:spacing w:after="0"/>
              <w:rPr>
                <w:sz w:val="20"/>
                <w:szCs w:val="20"/>
                <w:color w:val="auto"/>
              </w:rPr>
            </w:pPr>
            <w:r>
              <w:rPr>
                <w:rFonts w:ascii="Arial" w:cs="Arial" w:eastAsia="Arial" w:hAnsi="Arial"/>
                <w:sz w:val="17"/>
                <w:szCs w:val="17"/>
                <w:color w:val="auto"/>
              </w:rPr>
              <w:t>2</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1280" w:type="dxa"/>
            <w:vAlign w:val="bottom"/>
            <w:tcBorders>
              <w:bottom w:val="single" w:sz="8" w:color="9A9A9A"/>
            </w:tcBorders>
          </w:tcPr>
          <w:p>
            <w:pPr>
              <w:spacing w:after="0"/>
              <w:rPr>
                <w:sz w:val="8"/>
                <w:szCs w:val="8"/>
                <w:color w:val="auto"/>
              </w:rPr>
            </w:pPr>
          </w:p>
        </w:tc>
        <w:tc>
          <w:tcPr>
            <w:tcW w:w="9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12" w:lineRule="exact"/>
        <w:rPr>
          <w:sz w:val="20"/>
          <w:szCs w:val="20"/>
          <w:color w:val="auto"/>
        </w:rPr>
      </w:pPr>
    </w:p>
    <w:p>
      <w:pPr>
        <w:ind w:right="20" w:firstLine="762"/>
        <w:spacing w:after="0" w:line="252"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Annual Report on Form 10-K,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“contemplate,” "continue," "could," "design," "estimate," "expect," "intend," "may," "plan," "potentially," "predict," "project," "should," “target,” "will," “would,” or the negative of these terms or other similar terms or expressions, although not all forward-looking statements contain these identifying words.</w:t>
      </w:r>
    </w:p>
    <w:p>
      <w:pPr>
        <w:spacing w:after="0" w:line="164" w:lineRule="exact"/>
        <w:rPr>
          <w:sz w:val="20"/>
          <w:szCs w:val="20"/>
          <w:color w:val="auto"/>
        </w:rPr>
      </w:pPr>
    </w:p>
    <w:p>
      <w:pPr>
        <w:ind w:right="40" w:firstLine="762"/>
        <w:spacing w:after="0" w:line="251" w:lineRule="auto"/>
        <w:rPr>
          <w:sz w:val="20"/>
          <w:szCs w:val="20"/>
          <w:color w:val="auto"/>
        </w:rPr>
      </w:pPr>
      <w:r>
        <w:rPr>
          <w:rFonts w:ascii="Arial" w:cs="Arial" w:eastAsia="Arial" w:hAnsi="Arial"/>
          <w:sz w:val="17"/>
          <w:szCs w:val="17"/>
          <w:color w:val="auto"/>
        </w:rPr>
        <w:t>The forward-looking statements in this Annual Report on Form 10-K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risks described in the sections titled "Risk Factors," “Summary Risk Factors” and elsewhere in this Annual Report on Form 10-K.</w:t>
      </w:r>
    </w:p>
    <w:p>
      <w:pPr>
        <w:spacing w:after="0" w:line="365" w:lineRule="exact"/>
        <w:rPr>
          <w:sz w:val="20"/>
          <w:szCs w:val="20"/>
          <w:color w:val="auto"/>
        </w:rPr>
      </w:pPr>
    </w:p>
    <w:p>
      <w:pPr>
        <w:ind w:right="160" w:firstLine="762"/>
        <w:spacing w:after="0" w:line="257" w:lineRule="auto"/>
        <w:rPr>
          <w:sz w:val="20"/>
          <w:szCs w:val="20"/>
          <w:color w:val="auto"/>
        </w:rPr>
      </w:pPr>
      <w:r>
        <w:rPr>
          <w:rFonts w:ascii="Arial" w:cs="Arial" w:eastAsia="Arial" w:hAnsi="Arial"/>
          <w:sz w:val="17"/>
          <w:szCs w:val="17"/>
          <w:color w:val="auto"/>
        </w:rPr>
        <w:t>Other sections of this Annual Report on Form 10-K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57" w:lineRule="exact"/>
        <w:rPr>
          <w:sz w:val="20"/>
          <w:szCs w:val="20"/>
          <w:color w:val="auto"/>
        </w:rPr>
      </w:pPr>
    </w:p>
    <w:p>
      <w:pPr>
        <w:ind w:firstLine="762"/>
        <w:spacing w:after="0" w:line="247" w:lineRule="auto"/>
        <w:rPr>
          <w:sz w:val="20"/>
          <w:szCs w:val="20"/>
          <w:color w:val="auto"/>
        </w:rPr>
      </w:pPr>
      <w:r>
        <w:rPr>
          <w:rFonts w:ascii="Arial" w:cs="Arial" w:eastAsia="Arial" w:hAnsi="Arial"/>
          <w:sz w:val="17"/>
          <w:szCs w:val="17"/>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Annual Report on Form 10-K. Except as required by law, we undertake no obligation to update publicly any forward-looking statements for any reason after the date of this report or to conform these statements to actual results or to changes in our expectations. You should read this Annual Report on Form 10-K and the documents that we reference or incorporate by reference in this Annual Report on Form 10-K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RISK FACTORS</w:t>
      </w:r>
    </w:p>
    <w:p>
      <w:pPr>
        <w:spacing w:after="0" w:line="212" w:lineRule="exact"/>
        <w:rPr>
          <w:sz w:val="20"/>
          <w:szCs w:val="20"/>
          <w:color w:val="auto"/>
        </w:rPr>
      </w:pPr>
    </w:p>
    <w:p>
      <w:pPr>
        <w:ind w:right="180" w:firstLine="762"/>
        <w:spacing w:after="0" w:line="265" w:lineRule="auto"/>
        <w:rPr>
          <w:sz w:val="20"/>
          <w:szCs w:val="20"/>
          <w:color w:val="auto"/>
        </w:rPr>
      </w:pPr>
      <w:r>
        <w:rPr>
          <w:rFonts w:ascii="Arial" w:cs="Arial" w:eastAsia="Arial" w:hAnsi="Arial"/>
          <w:sz w:val="17"/>
          <w:szCs w:val="17"/>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but are not limited to, the following:</w:t>
      </w:r>
    </w:p>
    <w:p>
      <w:pPr>
        <w:spacing w:after="0" w:line="151" w:lineRule="exact"/>
        <w:rPr>
          <w:sz w:val="20"/>
          <w:szCs w:val="20"/>
          <w:color w:val="auto"/>
        </w:rPr>
      </w:pPr>
    </w:p>
    <w:p>
      <w:pPr>
        <w:ind w:left="740" w:hanging="369"/>
        <w:spacing w:after="0"/>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the COVID-19 pandemic;</w:t>
      </w:r>
    </w:p>
    <w:p>
      <w:pPr>
        <w:spacing w:after="0" w:line="235" w:lineRule="exact"/>
        <w:rPr>
          <w:rFonts w:ascii="Times New Roman" w:cs="Times New Roman" w:eastAsia="Times New Roman" w:hAnsi="Times New Roman"/>
          <w:sz w:val="17"/>
          <w:szCs w:val="17"/>
          <w:color w:val="auto"/>
        </w:rPr>
      </w:pPr>
    </w:p>
    <w:p>
      <w:pPr>
        <w:ind w:left="740" w:hanging="369"/>
        <w:spacing w:after="0"/>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we have a history of losses and we may not achieve or maintain profitability in the future;</w:t>
      </w:r>
    </w:p>
    <w:p>
      <w:pPr>
        <w:spacing w:after="0" w:line="235" w:lineRule="exact"/>
        <w:rPr>
          <w:rFonts w:ascii="Times New Roman" w:cs="Times New Roman" w:eastAsia="Times New Roman" w:hAnsi="Times New Roman"/>
          <w:sz w:val="17"/>
          <w:szCs w:val="17"/>
          <w:color w:val="auto"/>
        </w:rPr>
      </w:pPr>
    </w:p>
    <w:p>
      <w:pPr>
        <w:ind w:left="740" w:hanging="369"/>
        <w:spacing w:after="0" w:line="289" w:lineRule="auto"/>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be able to generate sufficient revenue to generate positive cash flow on a sustained basis, and our revenue growth rate may decline;</w:t>
      </w:r>
    </w:p>
    <w:p>
      <w:pPr>
        <w:spacing w:after="0" w:line="130" w:lineRule="exact"/>
        <w:rPr>
          <w:rFonts w:ascii="Times New Roman" w:cs="Times New Roman" w:eastAsia="Times New Roman" w:hAnsi="Times New Roman"/>
          <w:sz w:val="17"/>
          <w:szCs w:val="17"/>
          <w:color w:val="auto"/>
        </w:rPr>
      </w:pPr>
    </w:p>
    <w:p>
      <w:pPr>
        <w:ind w:left="740" w:hanging="369"/>
        <w:spacing w:after="0"/>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we have a limited operating history and are still building out our foundational systems;</w:t>
      </w:r>
    </w:p>
    <w:p>
      <w:pPr>
        <w:spacing w:after="0" w:line="235" w:lineRule="exact"/>
        <w:rPr>
          <w:rFonts w:ascii="Times New Roman" w:cs="Times New Roman" w:eastAsia="Times New Roman" w:hAnsi="Times New Roman"/>
          <w:sz w:val="17"/>
          <w:szCs w:val="17"/>
          <w:color w:val="auto"/>
        </w:rPr>
      </w:pPr>
    </w:p>
    <w:p>
      <w:pPr>
        <w:ind w:left="740" w:hanging="369"/>
        <w:spacing w:after="0"/>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recent, rapid growth may not be indicative of our future growth;</w:t>
      </w:r>
    </w:p>
    <w:p>
      <w:pPr>
        <w:spacing w:after="0" w:line="235" w:lineRule="exact"/>
        <w:rPr>
          <w:rFonts w:ascii="Times New Roman" w:cs="Times New Roman" w:eastAsia="Times New Roman" w:hAnsi="Times New Roman"/>
          <w:sz w:val="17"/>
          <w:szCs w:val="17"/>
          <w:color w:val="auto"/>
        </w:rPr>
      </w:pPr>
    </w:p>
    <w:p>
      <w:pPr>
        <w:ind w:left="740" w:hanging="369"/>
        <w:spacing w:after="0"/>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if we continue to grow rapidly, we may not be able to manage our growth effectively;</w:t>
      </w:r>
    </w:p>
    <w:p>
      <w:pPr>
        <w:spacing w:after="0" w:line="235" w:lineRule="exact"/>
        <w:rPr>
          <w:rFonts w:ascii="Times New Roman" w:cs="Times New Roman" w:eastAsia="Times New Roman" w:hAnsi="Times New Roman"/>
          <w:sz w:val="17"/>
          <w:szCs w:val="17"/>
          <w:color w:val="auto"/>
        </w:rPr>
      </w:pPr>
    </w:p>
    <w:p>
      <w:pPr>
        <w:ind w:left="740" w:hanging="369"/>
        <w:spacing w:after="0"/>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business is subject to certain risks related to the operation of Texas Direct Auto;</w:t>
      </w:r>
    </w:p>
    <w:p>
      <w:pPr>
        <w:spacing w:after="0" w:line="235" w:lineRule="exact"/>
        <w:rPr>
          <w:rFonts w:ascii="Times New Roman" w:cs="Times New Roman" w:eastAsia="Times New Roman" w:hAnsi="Times New Roman"/>
          <w:sz w:val="17"/>
          <w:szCs w:val="17"/>
          <w:color w:val="auto"/>
        </w:rPr>
      </w:pPr>
    </w:p>
    <w:p>
      <w:pPr>
        <w:ind w:left="740" w:hanging="369"/>
        <w:spacing w:after="0"/>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we rely on third-party vendors for key components of our business, which exposes us to increased risks;</w:t>
      </w:r>
    </w:p>
    <w:p>
      <w:pPr>
        <w:spacing w:after="0" w:line="235" w:lineRule="exact"/>
        <w:rPr>
          <w:rFonts w:ascii="Times New Roman" w:cs="Times New Roman" w:eastAsia="Times New Roman" w:hAnsi="Times New Roman"/>
          <w:sz w:val="17"/>
          <w:szCs w:val="17"/>
          <w:color w:val="auto"/>
        </w:rPr>
      </w:pPr>
    </w:p>
    <w:p>
      <w:pPr>
        <w:ind w:left="740" w:right="780" w:hanging="369"/>
        <w:spacing w:after="0" w:line="289" w:lineRule="auto"/>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we have entered into outsourcing arrangements with third parties related to our customer experience team, and any difficulties experienced in these arrangements could result in an interruption of our ability to sell our vehicles and value-added products;</w:t>
      </w:r>
    </w:p>
    <w:p>
      <w:pPr>
        <w:spacing w:after="0" w:line="130" w:lineRule="exact"/>
        <w:rPr>
          <w:rFonts w:ascii="Times New Roman" w:cs="Times New Roman" w:eastAsia="Times New Roman" w:hAnsi="Times New Roman"/>
          <w:sz w:val="17"/>
          <w:szCs w:val="17"/>
          <w:color w:val="auto"/>
        </w:rPr>
      </w:pPr>
    </w:p>
    <w:p>
      <w:pPr>
        <w:ind w:left="740" w:right="620" w:hanging="369"/>
        <w:spacing w:after="0" w:line="289" w:lineRule="auto"/>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if the quality of our customer experience, our reputation or our brand were negatively affected, our business, sales and results of operations could be materially and adversely affected;</w:t>
      </w:r>
    </w:p>
    <w:p>
      <w:pPr>
        <w:spacing w:after="0" w:line="130" w:lineRule="exact"/>
        <w:rPr>
          <w:rFonts w:ascii="Times New Roman" w:cs="Times New Roman" w:eastAsia="Times New Roman" w:hAnsi="Times New Roman"/>
          <w:sz w:val="17"/>
          <w:szCs w:val="17"/>
          <w:color w:val="auto"/>
        </w:rPr>
      </w:pPr>
    </w:p>
    <w:p>
      <w:pPr>
        <w:ind w:left="740" w:right="100" w:hanging="369"/>
        <w:spacing w:after="0" w:line="289" w:lineRule="auto"/>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we face a variety of risks associated with the operation of our vehicle reconditioning centers by us and our third-party service providers, any of which could materially and adversely affect our business, financial condition and results of operations;</w:t>
      </w:r>
    </w:p>
    <w:p>
      <w:pPr>
        <w:spacing w:after="0" w:line="130" w:lineRule="exact"/>
        <w:rPr>
          <w:rFonts w:ascii="Times New Roman" w:cs="Times New Roman" w:eastAsia="Times New Roman" w:hAnsi="Times New Roman"/>
          <w:sz w:val="17"/>
          <w:szCs w:val="17"/>
          <w:color w:val="auto"/>
        </w:rPr>
      </w:pPr>
    </w:p>
    <w:p>
      <w:pPr>
        <w:ind w:left="740" w:right="60" w:hanging="369"/>
        <w:spacing w:after="0" w:line="289" w:lineRule="auto"/>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we rely primarily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130" w:lineRule="exact"/>
        <w:rPr>
          <w:rFonts w:ascii="Times New Roman" w:cs="Times New Roman" w:eastAsia="Times New Roman" w:hAnsi="Times New Roman"/>
          <w:sz w:val="17"/>
          <w:szCs w:val="17"/>
          <w:color w:val="auto"/>
        </w:rPr>
      </w:pPr>
    </w:p>
    <w:p>
      <w:pPr>
        <w:ind w:left="740" w:right="500" w:hanging="369"/>
        <w:spacing w:after="0" w:line="265" w:lineRule="auto"/>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we are expanding our proprietary logistics operations, including vehicle pick-ups and delivery from our last mile hubs and line haul transportation of vehicles between our last mile hubs, which will further expose us to increased risks related to ownership of infrastructure and the transportation of vehicles;</w:t>
      </w:r>
    </w:p>
    <w:p>
      <w:pPr>
        <w:spacing w:after="0" w:line="149" w:lineRule="exact"/>
        <w:rPr>
          <w:rFonts w:ascii="Times New Roman" w:cs="Times New Roman" w:eastAsia="Times New Roman" w:hAnsi="Times New Roman"/>
          <w:sz w:val="17"/>
          <w:szCs w:val="17"/>
          <w:color w:val="auto"/>
        </w:rPr>
      </w:pPr>
    </w:p>
    <w:p>
      <w:pPr>
        <w:ind w:left="740" w:right="320" w:hanging="369"/>
        <w:spacing w:after="0" w:line="265" w:lineRule="auto"/>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current geographic concentration where we provide reconditioning services and store inventory creates an exposure to local and regional downturns or severe weather or catastrophic occurrences that may materially and adversely affect our business, financial condition and results of operations;</w:t>
      </w:r>
    </w:p>
    <w:p>
      <w:pPr>
        <w:spacing w:after="0" w:line="149" w:lineRule="exact"/>
        <w:rPr>
          <w:rFonts w:ascii="Times New Roman" w:cs="Times New Roman" w:eastAsia="Times New Roman" w:hAnsi="Times New Roman"/>
          <w:sz w:val="17"/>
          <w:szCs w:val="17"/>
          <w:color w:val="auto"/>
        </w:rPr>
      </w:pPr>
    </w:p>
    <w:p>
      <w:pPr>
        <w:ind w:left="740" w:right="60" w:hanging="369"/>
        <w:spacing w:after="0" w:line="289" w:lineRule="auto"/>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if we sustain cyber-attacks or other privacy or data security incidents that result in security breaches, we could suffer a loss of sales and increased costs, exposure to significant liability, reputational harm and other negative consequences; and</w:t>
      </w:r>
    </w:p>
    <w:p>
      <w:pPr>
        <w:spacing w:after="0" w:line="130" w:lineRule="exact"/>
        <w:rPr>
          <w:rFonts w:ascii="Times New Roman" w:cs="Times New Roman" w:eastAsia="Times New Roman" w:hAnsi="Times New Roman"/>
          <w:sz w:val="17"/>
          <w:szCs w:val="17"/>
          <w:color w:val="auto"/>
        </w:rPr>
      </w:pPr>
    </w:p>
    <w:p>
      <w:pPr>
        <w:ind w:left="1060" w:hanging="681"/>
        <w:spacing w:after="0"/>
        <w:tabs>
          <w:tab w:leader="none" w:pos="106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actual operating results may differ significantly from our guidance.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Our Vision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Build the world’s premier platform to research, discover, buy and sell vehicles.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Our Company</w:t>
      </w:r>
    </w:p>
    <w:p>
      <w:pPr>
        <w:spacing w:after="0" w:line="212" w:lineRule="exact"/>
        <w:rPr>
          <w:sz w:val="20"/>
          <w:szCs w:val="20"/>
          <w:color w:val="auto"/>
        </w:rPr>
      </w:pPr>
    </w:p>
    <w:p>
      <w:pPr>
        <w:ind w:right="20" w:firstLine="637"/>
        <w:spacing w:after="0" w:line="290" w:lineRule="auto"/>
        <w:rPr>
          <w:sz w:val="20"/>
          <w:szCs w:val="20"/>
          <w:color w:val="auto"/>
        </w:rPr>
      </w:pPr>
      <w:r>
        <w:rPr>
          <w:rFonts w:ascii="Arial" w:cs="Arial" w:eastAsia="Arial" w:hAnsi="Arial"/>
          <w:sz w:val="17"/>
          <w:szCs w:val="17"/>
          <w:color w:val="auto"/>
        </w:rPr>
        <w:t>Vroom is an innovative, end-to-end ecommerce platform that is transforming the used vehicle industry by offering a better way to buy and a better way to sell used vehicles. We are deeply committed to creating an exceptional experience for our customers.</w:t>
      </w:r>
    </w:p>
    <w:p>
      <w:pPr>
        <w:spacing w:after="0" w:line="129" w:lineRule="exact"/>
        <w:rPr>
          <w:sz w:val="20"/>
          <w:szCs w:val="20"/>
          <w:color w:val="auto"/>
        </w:rPr>
      </w:pPr>
    </w:p>
    <w:p>
      <w:pPr>
        <w:ind w:right="860" w:firstLine="637"/>
        <w:spacing w:after="0" w:line="265" w:lineRule="auto"/>
        <w:rPr>
          <w:sz w:val="20"/>
          <w:szCs w:val="20"/>
          <w:color w:val="auto"/>
        </w:rPr>
      </w:pPr>
      <w:r>
        <w:rPr>
          <w:rFonts w:ascii="Arial" w:cs="Arial" w:eastAsia="Arial" w:hAnsi="Arial"/>
          <w:sz w:val="17"/>
          <w:szCs w:val="17"/>
          <w:color w:val="auto"/>
        </w:rPr>
        <w:t>We are driving enduring change in the industry on a national scale. We take a vertically integrated, asset-light approach that is reinventing all phases of the vehicle buying and selling process, from discovery to delivery and everything in between. Our platform encompasses:</w:t>
      </w:r>
    </w:p>
    <w:p>
      <w:pPr>
        <w:spacing w:after="0" w:line="44" w:lineRule="exact"/>
        <w:rPr>
          <w:sz w:val="20"/>
          <w:szCs w:val="20"/>
          <w:color w:val="auto"/>
        </w:rPr>
      </w:pPr>
    </w:p>
    <w:p>
      <w:pPr>
        <w:ind w:left="880" w:right="60" w:hanging="247"/>
        <w:spacing w:after="0" w:line="253" w:lineRule="auto"/>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Ecommerce: </w:t>
      </w:r>
      <w:r>
        <w:rPr>
          <w:rFonts w:ascii="Arial" w:cs="Arial" w:eastAsia="Arial" w:hAnsi="Arial"/>
          <w:sz w:val="17"/>
          <w:szCs w:val="17"/>
          <w:color w:val="auto"/>
        </w:rPr>
        <w:t>We offer an exceptional ecommerce experience for our customers. In contrast to legacy dealerships and the peer-to-peer market, we provide consumers with a personalized and intuitive ecommerce interface to research and select from thousands of fully reconditioned vehicles. Our platform is accessible at any time on any device and provides transparent pricing, real-time financing and nationwide contact-free delivery right to a buyer’s driveway. For consumers looking to sell or trade in their vehicles, we provide attractive market-based pricing, real-time price quotes and convenient, at-home vehicle pick-up.</w:t>
      </w:r>
    </w:p>
    <w:p>
      <w:pPr>
        <w:spacing w:after="0" w:line="55" w:lineRule="exact"/>
        <w:rPr>
          <w:rFonts w:ascii="Arial" w:cs="Arial" w:eastAsia="Arial" w:hAnsi="Arial"/>
          <w:sz w:val="17"/>
          <w:szCs w:val="17"/>
          <w:color w:val="auto"/>
        </w:rPr>
      </w:pPr>
    </w:p>
    <w:p>
      <w:pPr>
        <w:ind w:left="880" w:hanging="247"/>
        <w:spacing w:after="0" w:line="249" w:lineRule="auto"/>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Vehicle Operations: </w:t>
      </w:r>
      <w:r>
        <w:rPr>
          <w:rFonts w:ascii="Arial" w:cs="Arial" w:eastAsia="Arial" w:hAnsi="Arial"/>
          <w:sz w:val="17"/>
          <w:szCs w:val="17"/>
          <w:color w:val="auto"/>
        </w:rPr>
        <w:t>Our scalable and vertically integrated operations underpin our business model. We strategically source</w:t>
      </w:r>
      <w:r>
        <w:rPr>
          <w:rFonts w:ascii="Arial" w:cs="Arial" w:eastAsia="Arial" w:hAnsi="Arial"/>
          <w:sz w:val="17"/>
          <w:szCs w:val="17"/>
          <w:b w:val="1"/>
          <w:bCs w:val="1"/>
          <w:color w:val="auto"/>
        </w:rPr>
        <w:t xml:space="preserve"> </w:t>
      </w:r>
      <w:r>
        <w:rPr>
          <w:rFonts w:ascii="Arial" w:cs="Arial" w:eastAsia="Arial" w:hAnsi="Arial"/>
          <w:sz w:val="17"/>
          <w:szCs w:val="17"/>
          <w:color w:val="auto"/>
        </w:rPr>
        <w:t>inventory from auctions, consumers, rental car companies, original equipment manufacturers (“OEMs”) and dealers. We improve our ability to acquire high-demand vehicles through enhanced supply science across all our sourcing channels and we have expanded our national marketing efforts to drive consumer sourcing. In our reconditioning and logistics operations, we deploy an asset-light strategy that optimizes a combination of ownership and operation of assets by us with strategic third-party partnerships. This hybrid approach provides flexibility, agility and speed without taking on unnecessary risk and capital investment, and drives improved unit economics and operating leverage.</w:t>
      </w:r>
    </w:p>
    <w:p>
      <w:pPr>
        <w:spacing w:after="0" w:line="58" w:lineRule="exact"/>
        <w:rPr>
          <w:rFonts w:ascii="Arial" w:cs="Arial" w:eastAsia="Arial" w:hAnsi="Arial"/>
          <w:sz w:val="17"/>
          <w:szCs w:val="17"/>
          <w:color w:val="auto"/>
        </w:rPr>
      </w:pPr>
    </w:p>
    <w:p>
      <w:pPr>
        <w:ind w:left="880" w:right="40" w:hanging="247"/>
        <w:spacing w:after="0" w:line="251" w:lineRule="auto"/>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Data Science and Experimentation: </w:t>
      </w:r>
      <w:r>
        <w:rPr>
          <w:rFonts w:ascii="Arial" w:cs="Arial" w:eastAsia="Arial" w:hAnsi="Arial"/>
          <w:sz w:val="17"/>
          <w:szCs w:val="17"/>
          <w:color w:val="auto"/>
        </w:rPr>
        <w:t>Data science and experimentation are at the core of everything we do. We rely on data</w:t>
      </w:r>
      <w:r>
        <w:rPr>
          <w:rFonts w:ascii="Arial" w:cs="Arial" w:eastAsia="Arial" w:hAnsi="Arial"/>
          <w:sz w:val="17"/>
          <w:szCs w:val="17"/>
          <w:b w:val="1"/>
          <w:bCs w:val="1"/>
          <w:color w:val="auto"/>
        </w:rPr>
        <w:t xml:space="preserve"> </w:t>
      </w:r>
      <w:r>
        <w:rPr>
          <w:rFonts w:ascii="Arial" w:cs="Arial" w:eastAsia="Arial" w:hAnsi="Arial"/>
          <w:sz w:val="17"/>
          <w:szCs w:val="17"/>
          <w:color w:val="auto"/>
        </w:rPr>
        <w:t>science, machine learning and A/B and multivariate testing to continually drive optimization and operating leverage across our ecommerce and vehicle operations. We leverage data to increase the effectiveness of our national brand and performance marketing, enhance the customer experience, analyze market dynamics at scale, calibrate our vehicle pricing and optimize our overall inventory sales velocity. On the operations side, data science and experimentation enable us to fine tune our supply, sourcing and logistics models and to streamline our reconditioning processes.</w:t>
      </w:r>
    </w:p>
    <w:p>
      <w:pPr>
        <w:spacing w:after="0" w:line="162" w:lineRule="exact"/>
        <w:rPr>
          <w:sz w:val="20"/>
          <w:szCs w:val="20"/>
          <w:color w:val="auto"/>
        </w:rPr>
      </w:pPr>
    </w:p>
    <w:p>
      <w:pPr>
        <w:ind w:right="200" w:firstLine="637"/>
        <w:spacing w:after="0" w:line="253" w:lineRule="auto"/>
        <w:rPr>
          <w:sz w:val="20"/>
          <w:szCs w:val="20"/>
          <w:color w:val="auto"/>
        </w:rPr>
      </w:pPr>
      <w:r>
        <w:rPr>
          <w:rFonts w:ascii="Arial" w:cs="Arial" w:eastAsia="Arial" w:hAnsi="Arial"/>
          <w:sz w:val="17"/>
          <w:szCs w:val="17"/>
          <w:color w:val="auto"/>
        </w:rPr>
        <w:t>The U.S. used automotive market is the largest consumer product category and is highly fragmented with over 42,000 dealers and millions of peer-to-peer transactions. It also is ripe for disruption as an industry that is notorious for consumer dissatisfaction and has one of the lowest levels of ecommerce penetration. Our platform, coupled with our national presence and brand, provides a significant competitive advantage versus local dealerships and regional players that lack nationwide reach and scalable technology, operations and logistics. The traditional auto dealers and peer-to-peer market do not and cannot offer consumers what we offer.</w:t>
      </w:r>
    </w:p>
    <w:p>
      <w:pPr>
        <w:spacing w:after="0" w:line="186" w:lineRule="exact"/>
        <w:rPr>
          <w:sz w:val="20"/>
          <w:szCs w:val="20"/>
          <w:color w:val="auto"/>
        </w:rPr>
      </w:pPr>
    </w:p>
    <w:p>
      <w:pPr>
        <w:ind w:right="40" w:firstLine="637"/>
        <w:spacing w:after="0" w:line="257" w:lineRule="auto"/>
        <w:rPr>
          <w:sz w:val="20"/>
          <w:szCs w:val="20"/>
          <w:color w:val="auto"/>
        </w:rPr>
      </w:pPr>
      <w:r>
        <w:rPr>
          <w:rFonts w:ascii="Arial" w:cs="Arial" w:eastAsia="Arial" w:hAnsi="Arial"/>
          <w:sz w:val="17"/>
          <w:szCs w:val="17"/>
          <w:color w:val="auto"/>
        </w:rPr>
        <w:t>In December 2015, we acquired Houston-based Texas Direct Auto</w:t>
      </w:r>
      <w:r>
        <w:rPr>
          <w:rFonts w:ascii="Arial" w:cs="Arial" w:eastAsia="Arial" w:hAnsi="Arial"/>
          <w:sz w:val="14"/>
          <w:szCs w:val="14"/>
          <w:color w:val="auto"/>
        </w:rPr>
        <w:t>®</w:t>
      </w:r>
      <w:r>
        <w:rPr>
          <w:rFonts w:ascii="Arial" w:cs="Arial" w:eastAsia="Arial" w:hAnsi="Arial"/>
          <w:sz w:val="17"/>
          <w:szCs w:val="17"/>
          <w:color w:val="auto"/>
        </w:rPr>
        <w:t xml:space="preserve"> (“TDA”), which included our proprietary vehicle reconditioning center (“Vroom VRC”), the TDA dealership and our Sell Us Your Car</w:t>
      </w:r>
      <w:r>
        <w:rPr>
          <w:rFonts w:ascii="Arial" w:cs="Arial" w:eastAsia="Arial" w:hAnsi="Arial"/>
          <w:sz w:val="14"/>
          <w:szCs w:val="14"/>
          <w:color w:val="auto"/>
        </w:rPr>
        <w:t>®</w:t>
      </w:r>
      <w:r>
        <w:rPr>
          <w:rFonts w:ascii="Arial" w:cs="Arial" w:eastAsia="Arial" w:hAnsi="Arial"/>
          <w:sz w:val="17"/>
          <w:szCs w:val="17"/>
          <w:color w:val="auto"/>
        </w:rPr>
        <w:t xml:space="preserve"> centers. From the launch of our combined operations in January 2016, our business has grown significantly as we have scaled our operations, developed our ecommerce platform and leveraged the network effects inherent in our model. We intend to continue to invest in growth to scale our company responsibly and drive towards profitability.</w:t>
      </w:r>
    </w:p>
    <w:p>
      <w:pPr>
        <w:spacing w:after="0" w:line="183" w:lineRule="exact"/>
        <w:rPr>
          <w:sz w:val="20"/>
          <w:szCs w:val="20"/>
          <w:color w:val="auto"/>
        </w:rPr>
      </w:pPr>
    </w:p>
    <w:p>
      <w:pPr>
        <w:ind w:firstLine="750"/>
        <w:spacing w:after="0" w:line="257" w:lineRule="auto"/>
        <w:rPr>
          <w:sz w:val="20"/>
          <w:szCs w:val="20"/>
          <w:color w:val="auto"/>
        </w:rPr>
      </w:pPr>
      <w:r>
        <w:rPr>
          <w:rFonts w:ascii="Arial" w:cs="Arial" w:eastAsia="Arial" w:hAnsi="Arial"/>
          <w:sz w:val="17"/>
          <w:szCs w:val="17"/>
          <w:color w:val="auto"/>
        </w:rPr>
        <w:t>On June 11, 2020, we completed our initial public offering (the “IPO”), in which we sold 24,437,500 shares of common stock, which included 3,187,500 shares sold pursuant to the exercise by the underwriters of an option to purchase additional shares, at a public offering price of $22.00 per share. We received proceeds of approximately $504.0 million, net of underwriting discounts and before deducting offering expenses of $7.5 million, from sales of our shares in the IPO.</w:t>
      </w:r>
    </w:p>
    <w:p>
      <w:pPr>
        <w:spacing w:after="0" w:line="196" w:lineRule="exact"/>
        <w:rPr>
          <w:sz w:val="20"/>
          <w:szCs w:val="20"/>
          <w:color w:val="auto"/>
        </w:rPr>
      </w:pPr>
    </w:p>
    <w:p>
      <w:pPr>
        <w:ind w:right="100" w:firstLine="750"/>
        <w:spacing w:after="0" w:line="265" w:lineRule="auto"/>
        <w:rPr>
          <w:sz w:val="20"/>
          <w:szCs w:val="20"/>
          <w:color w:val="auto"/>
        </w:rPr>
      </w:pPr>
      <w:r>
        <w:rPr>
          <w:rFonts w:ascii="Arial" w:cs="Arial" w:eastAsia="Arial" w:hAnsi="Arial"/>
          <w:sz w:val="17"/>
          <w:szCs w:val="17"/>
          <w:color w:val="auto"/>
        </w:rPr>
        <w:t>On January 7, 2021, we completed the acquisition of the CarStory business, a leader in AI-powered analytics and digital services for automotive retail, through the acquisition of 100% of Vast Holdings, Inc. Leveraging its machine learning, informed by more than 7 million listings per day and more than 18 million consumer sessions per month, CarStory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7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brings the industry’s most complete and accurate view of predictive market data to our national ecommerce and vehicle operations platform. As part of Vroom, we expect CarStory to continue to drive automotive retail innovation by aggregating, optimizing, and distributing current market data from thousands of automotive sources and offering its digital retailing services to dealers, top automotive financial services companies and household names in automotive industry research and retailing. Pursuant to the acquisition agreement, the aggregate purchase price was approximately $120.0 million, comprised of cash and shares of our common stock. The purchase price is subject to adjustment for certain working capital adjustments and post-closing indemnities.</w:t>
      </w:r>
    </w:p>
    <w:p>
      <w:pPr>
        <w:spacing w:after="0" w:line="294"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Our Industry and Market Opportunity</w:t>
      </w:r>
    </w:p>
    <w:p>
      <w:pPr>
        <w:spacing w:after="0" w:line="212" w:lineRule="exact"/>
        <w:rPr>
          <w:sz w:val="20"/>
          <w:szCs w:val="20"/>
          <w:color w:val="auto"/>
        </w:rPr>
      </w:pPr>
    </w:p>
    <w:p>
      <w:pPr>
        <w:ind w:right="720" w:firstLine="637"/>
        <w:spacing w:after="0" w:line="290" w:lineRule="auto"/>
        <w:rPr>
          <w:sz w:val="20"/>
          <w:szCs w:val="20"/>
          <w:color w:val="auto"/>
        </w:rPr>
      </w:pPr>
      <w:r>
        <w:rPr>
          <w:rFonts w:ascii="Arial" w:cs="Arial" w:eastAsia="Arial" w:hAnsi="Arial"/>
          <w:sz w:val="17"/>
          <w:szCs w:val="17"/>
          <w:color w:val="auto"/>
        </w:rPr>
        <w:t>The U.S. used automotive industry is a massive market that is ripe for disruption due to its fragmentation, high level of consumer dissatisfaction, changing consumer buying patterns and lack of ecommerce and technology penetration.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U.S. Used Automotive Market is Massive and Highly Fragmented</w:t>
      </w:r>
    </w:p>
    <w:p>
      <w:pPr>
        <w:spacing w:after="0" w:line="103" w:lineRule="exact"/>
        <w:rPr>
          <w:sz w:val="20"/>
          <w:szCs w:val="20"/>
          <w:color w:val="auto"/>
        </w:rPr>
      </w:pPr>
    </w:p>
    <w:p>
      <w:pPr>
        <w:ind w:right="120" w:firstLine="637"/>
        <w:spacing w:after="0" w:line="254" w:lineRule="auto"/>
        <w:rPr>
          <w:sz w:val="20"/>
          <w:szCs w:val="20"/>
          <w:color w:val="auto"/>
        </w:rPr>
      </w:pPr>
      <w:r>
        <w:rPr>
          <w:rFonts w:ascii="Arial" w:cs="Arial" w:eastAsia="Arial" w:hAnsi="Arial"/>
          <w:sz w:val="17"/>
          <w:szCs w:val="17"/>
          <w:color w:val="auto"/>
        </w:rPr>
        <w:t>In 2019, the U.S. used automotive market was the largest consumer product category, generating approximately $ 841 billion from sales. Based on data from Cox Automotive, there were an estimated 37.2 million used vehicle transactions in 2020, compared to approximately</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40 million transactions in 2019. The U.S. used automotive market is also highly fragmented with approximately 42,000 automotive dealers and millions of peer-to-peer transactions across the country. Across all used vehicle sales in 2018, the largest U.S. used vehicle dealer had a market-share of only 1.9%, with the top 100 used vehicle dealers collectively representing only 9.3%.</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Competitors Rely on an Outdated Business Model</w:t>
      </w:r>
    </w:p>
    <w:p>
      <w:pPr>
        <w:spacing w:after="0" w:line="103" w:lineRule="exact"/>
        <w:rPr>
          <w:sz w:val="20"/>
          <w:szCs w:val="20"/>
          <w:color w:val="auto"/>
        </w:rPr>
      </w:pPr>
    </w:p>
    <w:p>
      <w:pPr>
        <w:ind w:right="200" w:firstLine="637"/>
        <w:spacing w:after="0" w:line="250" w:lineRule="auto"/>
        <w:rPr>
          <w:sz w:val="20"/>
          <w:szCs w:val="20"/>
          <w:color w:val="auto"/>
        </w:rPr>
      </w:pPr>
      <w:r>
        <w:rPr>
          <w:rFonts w:ascii="Arial" w:cs="Arial" w:eastAsia="Arial" w:hAnsi="Arial"/>
          <w:sz w:val="17"/>
          <w:szCs w:val="17"/>
          <w:color w:val="auto"/>
        </w:rPr>
        <w:t>The traditional dealership model involves limited selection, lack of transparency, high pressure sales tactics and inconvenient hours. These shortcomings have caused many consumers to transact on their own, creating a large peer-to-peer market for used vehicles with its own set of challenges for both buyers and sellers, which can entail home visits by strangers, lack of secure payment methods or identity checks, difficulty researching available vehicles and lack of verified vehicle condition. Presented with these alternatives, the overwhelming majority of consumers are dissatisfied with the current automotive buying and selling experience. According to a Dealersocket Independent Dealership Action Report, 81% of respondents reported dissatisfaction in the car buying process.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Consumer Buying Patterns are Changing</w:t>
      </w:r>
    </w:p>
    <w:p>
      <w:pPr>
        <w:spacing w:after="0" w:line="103" w:lineRule="exact"/>
        <w:rPr>
          <w:sz w:val="20"/>
          <w:szCs w:val="20"/>
          <w:color w:val="auto"/>
        </w:rPr>
      </w:pPr>
    </w:p>
    <w:p>
      <w:pPr>
        <w:ind w:right="180" w:firstLine="637"/>
        <w:spacing w:after="0" w:line="253" w:lineRule="auto"/>
        <w:rPr>
          <w:sz w:val="20"/>
          <w:szCs w:val="20"/>
          <w:color w:val="auto"/>
        </w:rPr>
      </w:pPr>
      <w:r>
        <w:rPr>
          <w:rFonts w:ascii="Arial" w:cs="Arial" w:eastAsia="Arial" w:hAnsi="Arial"/>
          <w:sz w:val="17"/>
          <w:szCs w:val="17"/>
          <w:color w:val="auto"/>
        </w:rPr>
        <w:t>The U.S. retail used automotive market is experiencing shifting consumer buying patterns from in-store towards online purchases. In particular, mobile commerce is poised for even faster growth than broader ecommerce. Consumers are increasingly focused on customized products and personalized services, while also expecting delivery of those products and services on-demand. Our model enables consumers to select not only the make and model of a vehicle, but also the model year, color, trim and options in many combinations, offering a customized shopping experience that is not possible at a traditional dealership or in the peer-to-peer market.</w:t>
      </w:r>
    </w:p>
    <w:p>
      <w:pPr>
        <w:spacing w:after="0" w:line="160" w:lineRule="exact"/>
        <w:rPr>
          <w:sz w:val="20"/>
          <w:szCs w:val="20"/>
          <w:color w:val="auto"/>
        </w:rPr>
      </w:pPr>
    </w:p>
    <w:p>
      <w:pPr>
        <w:ind w:right="100" w:firstLine="637"/>
        <w:spacing w:after="0" w:line="253" w:lineRule="auto"/>
        <w:rPr>
          <w:sz w:val="20"/>
          <w:szCs w:val="20"/>
          <w:color w:val="auto"/>
        </w:rPr>
      </w:pPr>
      <w:r>
        <w:rPr>
          <w:rFonts w:ascii="Arial" w:cs="Arial" w:eastAsia="Arial" w:hAnsi="Arial"/>
          <w:sz w:val="17"/>
          <w:szCs w:val="17"/>
          <w:color w:val="auto"/>
        </w:rPr>
        <w:t>In addition, used is the new “New” as consumers have become increasingly willing to buy used goods. In 2019, 64% of vehicle shoppers considered buying a used vehicle before making a purchase decision, up from 61% in 2018. At the same time, the average price differential between new and three-year-old used vehicles has grown in recent years and as a result, owning or leasing a new vehicle has become increasingly unaffordable. The purchase of a used vehicle enables a consumer to obtain a fully reconditioned vehicle at a higher standard of luxury or with highly sought-after features for the same dollar amount as a new, lesser-model vehicle.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U.S. Used Automotive Market is Growing and Resilient and Ecommerce Penetration is Just Beginning</w:t>
      </w:r>
    </w:p>
    <w:p>
      <w:pPr>
        <w:spacing w:after="0" w:line="103" w:lineRule="exact"/>
        <w:rPr>
          <w:sz w:val="20"/>
          <w:szCs w:val="20"/>
          <w:color w:val="auto"/>
        </w:rPr>
      </w:pPr>
    </w:p>
    <w:p>
      <w:pPr>
        <w:jc w:val="both"/>
        <w:ind w:right="140" w:firstLine="637"/>
        <w:spacing w:after="0" w:line="265" w:lineRule="auto"/>
        <w:rPr>
          <w:sz w:val="20"/>
          <w:szCs w:val="20"/>
          <w:color w:val="auto"/>
        </w:rPr>
      </w:pPr>
      <w:r>
        <w:rPr>
          <w:rFonts w:ascii="Arial" w:cs="Arial" w:eastAsia="Arial" w:hAnsi="Arial"/>
          <w:sz w:val="17"/>
          <w:szCs w:val="17"/>
          <w:color w:val="auto"/>
        </w:rPr>
        <w:t>American consumers continue to exhibit entrenched vehicle ownership trends with approximately 284 million registered vehicles on the road in 2019, as compared to 279 million in 2018. Further, approximately 91.5% of families in the United States had at least one vehicle in 2018. Additionally, the retail used vehicle market generally has shown resilience through recessionary markets and other challenging economic cycles.</w:t>
      </w:r>
    </w:p>
    <w:p>
      <w:pPr>
        <w:spacing w:after="0" w:line="151" w:lineRule="exact"/>
        <w:rPr>
          <w:sz w:val="20"/>
          <w:szCs w:val="20"/>
          <w:color w:val="auto"/>
        </w:rPr>
      </w:pPr>
    </w:p>
    <w:p>
      <w:pPr>
        <w:ind w:right="40" w:firstLine="637"/>
        <w:spacing w:after="0" w:line="253" w:lineRule="auto"/>
        <w:rPr>
          <w:sz w:val="20"/>
          <w:szCs w:val="20"/>
          <w:color w:val="auto"/>
        </w:rPr>
      </w:pPr>
      <w:r>
        <w:rPr>
          <w:rFonts w:ascii="Arial" w:cs="Arial" w:eastAsia="Arial" w:hAnsi="Arial"/>
          <w:sz w:val="17"/>
          <w:szCs w:val="17"/>
          <w:color w:val="auto"/>
        </w:rPr>
        <w:t>At the same time, the used automotive market has one of the lowest ecommerce penetration levels among consumer product categories. Industry reports estimate that ecommerce penetration will grow to as much as half of all used vehicle sales by 2030. In a 2019 Cox Automotive Data survey, 49% of consumers reported that they are willing to make a vehicle purchase online. Furthermore, while it is too soon to measure the long-term impact of the COVID-19 pandemic on consumer behavior, recent surveys indicate a growing willingness to buy a vehicle online and reduced use of</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public transportation and ride-sharing services, with respondents attributing recent vehicle purchases to the COVID-19 pandemic.</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What We Do: Offer a Better Way</w:t>
      </w:r>
    </w:p>
    <w:p>
      <w:pPr>
        <w:spacing w:after="0" w:line="212" w:lineRule="exact"/>
        <w:rPr>
          <w:sz w:val="20"/>
          <w:szCs w:val="20"/>
          <w:color w:val="auto"/>
        </w:rPr>
      </w:pPr>
    </w:p>
    <w:p>
      <w:pPr>
        <w:ind w:right="180" w:firstLine="637"/>
        <w:spacing w:after="0" w:line="257" w:lineRule="auto"/>
        <w:rPr>
          <w:sz w:val="20"/>
          <w:szCs w:val="20"/>
          <w:color w:val="auto"/>
        </w:rPr>
      </w:pPr>
      <w:r>
        <w:rPr>
          <w:rFonts w:ascii="Arial" w:cs="Arial" w:eastAsia="Arial" w:hAnsi="Arial"/>
          <w:sz w:val="17"/>
          <w:szCs w:val="17"/>
          <w:color w:val="auto"/>
        </w:rPr>
        <w:t>We are driving a better way to buy and a better way to sell used vehicles and bringing about enduring change in the industry. Our platform brings together all phases of the vehicle buying and selling process in a seamless, intuitive and convenient way. We create a climate of trust and provide an exceptional experience with complete transparency by eliminating friction and sales pressure. The traditional auto dealers and peer-to-peer market do not and cannot offer consumers what we offer. We offer a better way.</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Better Way to Buy</w:t>
      </w:r>
    </w:p>
    <w:p>
      <w:pPr>
        <w:spacing w:after="0" w:line="103" w:lineRule="exact"/>
        <w:rPr>
          <w:sz w:val="20"/>
          <w:szCs w:val="20"/>
          <w:color w:val="auto"/>
        </w:rPr>
      </w:pPr>
    </w:p>
    <w:p>
      <w:pPr>
        <w:jc w:val="both"/>
        <w:ind w:right="20" w:firstLine="637"/>
        <w:spacing w:after="0" w:line="265" w:lineRule="auto"/>
        <w:rPr>
          <w:sz w:val="20"/>
          <w:szCs w:val="20"/>
          <w:color w:val="auto"/>
        </w:rPr>
      </w:pPr>
      <w:r>
        <w:rPr>
          <w:rFonts w:ascii="Arial" w:cs="Arial" w:eastAsia="Arial" w:hAnsi="Arial"/>
          <w:sz w:val="17"/>
          <w:szCs w:val="17"/>
          <w:color w:val="auto"/>
        </w:rPr>
        <w:t>For consumers looking to buy a used vehicle, we offer a value proposition that differs markedly from traditional auto dealers and the peer-to-peer market. We are dedicated to helping customers evolve from wary shoppers to confident owners by streamlining the entire buying process, from discovery through financing to delivery, by offering the following:</w:t>
      </w:r>
    </w:p>
    <w:p>
      <w:pPr>
        <w:spacing w:after="0" w:line="44" w:lineRule="exact"/>
        <w:rPr>
          <w:sz w:val="20"/>
          <w:szCs w:val="20"/>
          <w:color w:val="auto"/>
        </w:rPr>
      </w:pPr>
    </w:p>
    <w:p>
      <w:pPr>
        <w:ind w:left="880" w:right="160" w:hanging="247"/>
        <w:spacing w:after="0" w:line="258"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Enormous Selection of Inventory. </w:t>
      </w:r>
      <w:r>
        <w:rPr>
          <w:rFonts w:ascii="Arial" w:cs="Arial" w:eastAsia="Arial" w:hAnsi="Arial"/>
          <w:sz w:val="17"/>
          <w:szCs w:val="17"/>
          <w:color w:val="auto"/>
        </w:rPr>
        <w:t>We currently offer a growing inventory of thousands of low-mileage, high-demand vehicles. By</w:t>
      </w:r>
      <w:r>
        <w:rPr>
          <w:rFonts w:ascii="Arial" w:cs="Arial" w:eastAsia="Arial" w:hAnsi="Arial"/>
          <w:sz w:val="17"/>
          <w:szCs w:val="17"/>
          <w:b w:val="1"/>
          <w:bCs w:val="1"/>
          <w:color w:val="auto"/>
        </w:rPr>
        <w:t xml:space="preserve"> </w:t>
      </w:r>
      <w:r>
        <w:rPr>
          <w:rFonts w:ascii="Arial" w:cs="Arial" w:eastAsia="Arial" w:hAnsi="Arial"/>
          <w:sz w:val="17"/>
          <w:szCs w:val="17"/>
          <w:color w:val="auto"/>
        </w:rPr>
        <w:t>making purchasing decisions based on data rather than intuition, we are able to offer a wide selection of vehicles that excite our customers. Consumers no longer have to settle for traditional dealerships with a limited number of vehicles on hand or scour local peer-to-peer listings and travel to a seller’s location.</w:t>
      </w:r>
    </w:p>
    <w:p>
      <w:pPr>
        <w:spacing w:after="0" w:line="49" w:lineRule="exact"/>
        <w:rPr>
          <w:rFonts w:ascii="Arial" w:cs="Arial" w:eastAsia="Arial" w:hAnsi="Arial"/>
          <w:sz w:val="17"/>
          <w:szCs w:val="17"/>
          <w:color w:val="auto"/>
        </w:rPr>
      </w:pPr>
    </w:p>
    <w:p>
      <w:pPr>
        <w:ind w:left="880" w:right="200" w:hanging="247"/>
        <w:spacing w:after="0" w:line="266"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Consistent High Quality. </w:t>
      </w:r>
      <w:r>
        <w:rPr>
          <w:rFonts w:ascii="Arial" w:cs="Arial" w:eastAsia="Arial" w:hAnsi="Arial"/>
          <w:sz w:val="17"/>
          <w:szCs w:val="17"/>
          <w:color w:val="auto"/>
        </w:rPr>
        <w:t>All of our vehicles pass our detailed inspections and meet our proprietary Vroom Reconditioning</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Standards, which result in high-quality used vehicles backed by our free Vroom 90-Day Limited Warranty. We never lose sight of the fact that the used vehicles we sell are “new” to our customers.</w:t>
      </w:r>
    </w:p>
    <w:p>
      <w:pPr>
        <w:spacing w:after="0" w:line="43" w:lineRule="exact"/>
        <w:rPr>
          <w:rFonts w:ascii="Arial" w:cs="Arial" w:eastAsia="Arial" w:hAnsi="Arial"/>
          <w:sz w:val="17"/>
          <w:szCs w:val="17"/>
          <w:color w:val="auto"/>
        </w:rPr>
      </w:pPr>
    </w:p>
    <w:p>
      <w:pPr>
        <w:ind w:left="880" w:hanging="247"/>
        <w:spacing w:after="0" w:line="258"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Comprehensive and Transparent Vehicle Information. </w:t>
      </w:r>
      <w:r>
        <w:rPr>
          <w:rFonts w:ascii="Arial" w:cs="Arial" w:eastAsia="Arial" w:hAnsi="Arial"/>
          <w:sz w:val="17"/>
          <w:szCs w:val="17"/>
          <w:color w:val="auto"/>
        </w:rPr>
        <w:t>We remove the asymmetry of information between dealers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consumers by providing comprehensive and transparent information on the vehicles we sell. We mitigate bait-and-switch risk through high-resolution photography and detailed product descriptions on our platform, which show our customers our vehicles from all angles, and provide third-party vehicle history reports on all of our vehicles.</w:t>
      </w:r>
    </w:p>
    <w:p>
      <w:pPr>
        <w:spacing w:after="0" w:line="49" w:lineRule="exact"/>
        <w:rPr>
          <w:rFonts w:ascii="Arial" w:cs="Arial" w:eastAsia="Arial" w:hAnsi="Arial"/>
          <w:sz w:val="17"/>
          <w:szCs w:val="17"/>
          <w:color w:val="auto"/>
        </w:rPr>
      </w:pPr>
    </w:p>
    <w:p>
      <w:pPr>
        <w:ind w:left="880" w:right="80" w:hanging="247"/>
        <w:spacing w:after="0" w:line="266"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Customized Vehicle Search and Discovery. </w:t>
      </w:r>
      <w:r>
        <w:rPr>
          <w:rFonts w:ascii="Arial" w:cs="Arial" w:eastAsia="Arial" w:hAnsi="Arial"/>
          <w:sz w:val="17"/>
          <w:szCs w:val="17"/>
          <w:color w:val="auto"/>
        </w:rPr>
        <w:t>In addition to the size and diversity of our inventory selection, we provide buyers with</w:t>
      </w:r>
      <w:r>
        <w:rPr>
          <w:rFonts w:ascii="Arial" w:cs="Arial" w:eastAsia="Arial" w:hAnsi="Arial"/>
          <w:sz w:val="17"/>
          <w:szCs w:val="17"/>
          <w:b w:val="1"/>
          <w:bCs w:val="1"/>
          <w:color w:val="auto"/>
        </w:rPr>
        <w:t xml:space="preserve"> </w:t>
      </w:r>
      <w:r>
        <w:rPr>
          <w:rFonts w:ascii="Arial" w:cs="Arial" w:eastAsia="Arial" w:hAnsi="Arial"/>
          <w:sz w:val="17"/>
          <w:szCs w:val="17"/>
          <w:color w:val="auto"/>
        </w:rPr>
        <w:t>a personalized, intuitive interface with detailed sorting, searching and filtering functionality. This enables our customers to research and discover the right car for their unique needs.</w:t>
      </w:r>
    </w:p>
    <w:p>
      <w:pPr>
        <w:spacing w:after="0" w:line="43" w:lineRule="exact"/>
        <w:rPr>
          <w:rFonts w:ascii="Arial" w:cs="Arial" w:eastAsia="Arial" w:hAnsi="Arial"/>
          <w:sz w:val="17"/>
          <w:szCs w:val="17"/>
          <w:color w:val="auto"/>
        </w:rPr>
      </w:pPr>
    </w:p>
    <w:p>
      <w:pPr>
        <w:ind w:left="880" w:right="220" w:hanging="247"/>
        <w:spacing w:after="0" w:line="258"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Competitive, Market-based Pricing. </w:t>
      </w:r>
      <w:r>
        <w:rPr>
          <w:rFonts w:ascii="Arial" w:cs="Arial" w:eastAsia="Arial" w:hAnsi="Arial"/>
          <w:sz w:val="17"/>
          <w:szCs w:val="17"/>
          <w:color w:val="auto"/>
        </w:rPr>
        <w:t>We price our vehicles using data science and proprietary algorithms, ensuring that buyers</w:t>
      </w:r>
      <w:r>
        <w:rPr>
          <w:rFonts w:ascii="Arial" w:cs="Arial" w:eastAsia="Arial" w:hAnsi="Arial"/>
          <w:sz w:val="17"/>
          <w:szCs w:val="17"/>
          <w:b w:val="1"/>
          <w:bCs w:val="1"/>
          <w:color w:val="auto"/>
        </w:rPr>
        <w:t xml:space="preserve"> </w:t>
      </w:r>
      <w:r>
        <w:rPr>
          <w:rFonts w:ascii="Arial" w:cs="Arial" w:eastAsia="Arial" w:hAnsi="Arial"/>
          <w:sz w:val="17"/>
          <w:szCs w:val="17"/>
          <w:color w:val="auto"/>
        </w:rPr>
        <w:t>receive attractive, market-based, no-haggle pricing. Our pricing strategy takes into account hundreds of variables when determining the accurate market price of a vehicle, including items beyond make, model and color that are unavailable to traditional dealerships, such as proprietary historical purchase and sales data.</w:t>
      </w:r>
    </w:p>
    <w:p>
      <w:pPr>
        <w:spacing w:after="0" w:line="49" w:lineRule="exact"/>
        <w:rPr>
          <w:rFonts w:ascii="Arial" w:cs="Arial" w:eastAsia="Arial" w:hAnsi="Arial"/>
          <w:sz w:val="17"/>
          <w:szCs w:val="17"/>
          <w:color w:val="auto"/>
        </w:rPr>
      </w:pPr>
    </w:p>
    <w:p>
      <w:pPr>
        <w:ind w:left="880" w:right="220" w:hanging="247"/>
        <w:spacing w:after="0" w:line="266"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Exceptional Customer Support. </w:t>
      </w:r>
      <w:r>
        <w:rPr>
          <w:rFonts w:ascii="Arial" w:cs="Arial" w:eastAsia="Arial" w:hAnsi="Arial"/>
          <w:sz w:val="17"/>
          <w:szCs w:val="17"/>
          <w:color w:val="auto"/>
        </w:rPr>
        <w:t>Our professional customer experience team accompanies the buyer through every step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process to make sure all questions are answered and any concerns are addressed. In all of our customer interactions, our goal is to ensure that every customer is a delighted customer.</w:t>
      </w:r>
    </w:p>
    <w:p>
      <w:pPr>
        <w:spacing w:after="0" w:line="56" w:lineRule="exact"/>
        <w:rPr>
          <w:rFonts w:ascii="Arial" w:cs="Arial" w:eastAsia="Arial" w:hAnsi="Arial"/>
          <w:sz w:val="17"/>
          <w:szCs w:val="17"/>
          <w:color w:val="auto"/>
        </w:rPr>
      </w:pPr>
    </w:p>
    <w:p>
      <w:pPr>
        <w:ind w:left="880" w:right="500" w:hanging="247"/>
        <w:spacing w:after="0" w:line="258"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On-Demand Shopping and Contact-Free, Convenient Delivery Experience. </w:t>
      </w:r>
      <w:r>
        <w:rPr>
          <w:rFonts w:ascii="Arial" w:cs="Arial" w:eastAsia="Arial" w:hAnsi="Arial"/>
          <w:sz w:val="17"/>
          <w:szCs w:val="17"/>
          <w:color w:val="auto"/>
        </w:rPr>
        <w:t>We offer customers the ability to shop for their</w:t>
      </w:r>
      <w:r>
        <w:rPr>
          <w:rFonts w:ascii="Arial" w:cs="Arial" w:eastAsia="Arial" w:hAnsi="Arial"/>
          <w:sz w:val="17"/>
          <w:szCs w:val="17"/>
          <w:b w:val="1"/>
          <w:bCs w:val="1"/>
          <w:color w:val="auto"/>
        </w:rPr>
        <w:t xml:space="preserve"> </w:t>
      </w:r>
      <w:r>
        <w:rPr>
          <w:rFonts w:ascii="Arial" w:cs="Arial" w:eastAsia="Arial" w:hAnsi="Arial"/>
          <w:sz w:val="17"/>
          <w:szCs w:val="17"/>
          <w:color w:val="auto"/>
        </w:rPr>
        <w:t>desired vehicle at any time, on any device and from any location. We also deliver our vehicles nationwide to a location of our customer’s choosing. Our on-demand shopping and contact-free, convenient delivery not only saves our customers a trip to the dealership, it provides the ultimate driveway experience.</w:t>
      </w:r>
    </w:p>
    <w:p>
      <w:pPr>
        <w:spacing w:after="0" w:line="49" w:lineRule="exact"/>
        <w:rPr>
          <w:rFonts w:ascii="Arial" w:cs="Arial" w:eastAsia="Arial" w:hAnsi="Arial"/>
          <w:sz w:val="17"/>
          <w:szCs w:val="17"/>
          <w:color w:val="auto"/>
        </w:rPr>
      </w:pPr>
    </w:p>
    <w:p>
      <w:pPr>
        <w:ind w:left="880" w:right="220" w:hanging="247"/>
        <w:spacing w:after="0" w:line="260"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Value-Added Products. </w:t>
      </w:r>
      <w:r>
        <w:rPr>
          <w:rFonts w:ascii="Arial" w:cs="Arial" w:eastAsia="Arial" w:hAnsi="Arial"/>
          <w:sz w:val="17"/>
          <w:szCs w:val="17"/>
          <w:color w:val="auto"/>
        </w:rPr>
        <w:t>We provide seamlessly integrated, real-time, individualized financing solutions through our strategic</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partnerships with trusted lenders in automotive finance and give our customers access to competitive market rates. We also offer third-party protection products, including vehicle service contracts, GAP protection and tire and wheel coverage, all with transparent pricing.</w:t>
      </w:r>
    </w:p>
    <w:p>
      <w:pPr>
        <w:spacing w:after="0" w:line="254" w:lineRule="exact"/>
        <w:rPr>
          <w:rFonts w:ascii="Arial" w:cs="Arial" w:eastAsia="Arial" w:hAnsi="Arial"/>
          <w:sz w:val="17"/>
          <w:szCs w:val="17"/>
          <w:color w:val="auto"/>
        </w:rPr>
      </w:pPr>
    </w:p>
    <w:p>
      <w:pPr>
        <w:jc w:val="both"/>
        <w:ind w:left="880" w:right="400" w:hanging="247"/>
        <w:spacing w:after="0" w:line="266"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Assurance. </w:t>
      </w:r>
      <w:r>
        <w:rPr>
          <w:rFonts w:ascii="Arial" w:cs="Arial" w:eastAsia="Arial" w:hAnsi="Arial"/>
          <w:sz w:val="17"/>
          <w:szCs w:val="17"/>
          <w:color w:val="auto"/>
        </w:rPr>
        <w:t>Our Vroom 7-Day Return Program offers customers seven days or 250 miles to test drive their purchase with their</w:t>
      </w:r>
      <w:r>
        <w:rPr>
          <w:rFonts w:ascii="Arial" w:cs="Arial" w:eastAsia="Arial" w:hAnsi="Arial"/>
          <w:sz w:val="17"/>
          <w:szCs w:val="17"/>
          <w:b w:val="1"/>
          <w:bCs w:val="1"/>
          <w:color w:val="auto"/>
        </w:rPr>
        <w:t xml:space="preserve"> </w:t>
      </w:r>
      <w:r>
        <w:rPr>
          <w:rFonts w:ascii="Arial" w:cs="Arial" w:eastAsia="Arial" w:hAnsi="Arial"/>
          <w:sz w:val="17"/>
          <w:szCs w:val="17"/>
          <w:color w:val="auto"/>
        </w:rPr>
        <w:t>family, versus a seven-minute test drive around the block at a dealership. This fundamentally transforms the customers’ test drive experience by providing the opportunity to see how their vehicle performs in day-to-day life.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Better Way to Sell</w:t>
      </w:r>
    </w:p>
    <w:p>
      <w:pPr>
        <w:spacing w:after="0" w:line="103" w:lineRule="exact"/>
        <w:rPr>
          <w:sz w:val="20"/>
          <w:szCs w:val="20"/>
          <w:color w:val="auto"/>
        </w:rPr>
      </w:pPr>
    </w:p>
    <w:p>
      <w:pPr>
        <w:jc w:val="both"/>
        <w:ind w:right="240" w:firstLine="637"/>
        <w:spacing w:after="0" w:line="265" w:lineRule="auto"/>
        <w:rPr>
          <w:sz w:val="20"/>
          <w:szCs w:val="20"/>
          <w:color w:val="auto"/>
        </w:rPr>
      </w:pPr>
      <w:r>
        <w:rPr>
          <w:rFonts w:ascii="Arial" w:cs="Arial" w:eastAsia="Arial" w:hAnsi="Arial"/>
          <w:sz w:val="17"/>
          <w:szCs w:val="17"/>
          <w:color w:val="auto"/>
        </w:rPr>
        <w:t>We are revolutionizing the process for consumers to sell or trade-in their vehicles. Consumers typically encounter either low-ball prices from their local dealer or face the prospect of advertising and selling the vehicle themselves in a time-consuming process through the peer-to-peer market. In contrast, we offer consumers the following:</w:t>
      </w:r>
    </w:p>
    <w:p>
      <w:pPr>
        <w:spacing w:after="0" w:line="44" w:lineRule="exact"/>
        <w:rPr>
          <w:sz w:val="20"/>
          <w:szCs w:val="20"/>
          <w:color w:val="auto"/>
        </w:rPr>
      </w:pPr>
    </w:p>
    <w:p>
      <w:pPr>
        <w:ind w:left="880" w:right="80" w:hanging="247"/>
        <w:spacing w:after="0" w:line="275" w:lineRule="auto"/>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Ease of Use. </w:t>
      </w:r>
      <w:r>
        <w:rPr>
          <w:rFonts w:ascii="Arial" w:cs="Arial" w:eastAsia="Arial" w:hAnsi="Arial"/>
          <w:sz w:val="17"/>
          <w:szCs w:val="17"/>
          <w:color w:val="auto"/>
        </w:rPr>
        <w:t>We offer the ease of online submission of basic vehicle information in order to receive an appraisal. There is no trip to</w:t>
      </w:r>
      <w:r>
        <w:rPr>
          <w:rFonts w:ascii="Arial" w:cs="Arial" w:eastAsia="Arial" w:hAnsi="Arial"/>
          <w:sz w:val="17"/>
          <w:szCs w:val="17"/>
          <w:b w:val="1"/>
          <w:bCs w:val="1"/>
          <w:color w:val="auto"/>
        </w:rPr>
        <w:t xml:space="preserve"> </w:t>
      </w:r>
      <w:r>
        <w:rPr>
          <w:rFonts w:ascii="Arial" w:cs="Arial" w:eastAsia="Arial" w:hAnsi="Arial"/>
          <w:sz w:val="17"/>
          <w:szCs w:val="17"/>
          <w:color w:val="auto"/>
        </w:rPr>
        <w:t>the dealership and no cost to submit a vehicle for sale, but rather a simple, hassle-free process enabling customers to sell us their vehicles.</w:t>
      </w:r>
    </w:p>
    <w:p>
      <w:pPr>
        <w:spacing w:after="0" w:line="245" w:lineRule="exact"/>
        <w:rPr>
          <w:rFonts w:ascii="Arial" w:cs="Arial" w:eastAsia="Arial" w:hAnsi="Arial"/>
          <w:sz w:val="17"/>
          <w:szCs w:val="17"/>
          <w:color w:val="auto"/>
        </w:rPr>
      </w:pPr>
    </w:p>
    <w:p>
      <w:pPr>
        <w:ind w:left="880" w:hanging="247"/>
        <w:spacing w:after="0" w:line="266" w:lineRule="auto"/>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On-Demand Appraisals. </w:t>
      </w:r>
      <w:r>
        <w:rPr>
          <w:rFonts w:ascii="Arial" w:cs="Arial" w:eastAsia="Arial" w:hAnsi="Arial"/>
          <w:sz w:val="17"/>
          <w:szCs w:val="17"/>
          <w:color w:val="auto"/>
        </w:rPr>
        <w:t>Our Sell Us Your Car</w:t>
      </w:r>
      <w:r>
        <w:rPr>
          <w:rFonts w:ascii="Arial" w:cs="Arial" w:eastAsia="Arial" w:hAnsi="Arial"/>
          <w:sz w:val="14"/>
          <w:szCs w:val="14"/>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proposition gives customers on-demand appraisals. We utilize our extensive data</w:t>
      </w:r>
      <w:r>
        <w:rPr>
          <w:rFonts w:ascii="Arial" w:cs="Arial" w:eastAsia="Arial" w:hAnsi="Arial"/>
          <w:sz w:val="17"/>
          <w:szCs w:val="17"/>
          <w:b w:val="1"/>
          <w:bCs w:val="1"/>
          <w:color w:val="auto"/>
        </w:rPr>
        <w:t xml:space="preserve"> </w:t>
      </w:r>
      <w:r>
        <w:rPr>
          <w:rFonts w:ascii="Arial" w:cs="Arial" w:eastAsia="Arial" w:hAnsi="Arial"/>
          <w:sz w:val="17"/>
          <w:szCs w:val="17"/>
          <w:color w:val="auto"/>
        </w:rPr>
        <w:t>insights and experience across thousands of transactions to generate a quote that reflects a competitive market-based price, providing customers a fast and easy customer experience.</w:t>
      </w:r>
    </w:p>
    <w:p>
      <w:pPr>
        <w:spacing w:after="0" w:line="43" w:lineRule="exact"/>
        <w:rPr>
          <w:rFonts w:ascii="Arial" w:cs="Arial" w:eastAsia="Arial" w:hAnsi="Arial"/>
          <w:sz w:val="17"/>
          <w:szCs w:val="17"/>
          <w:color w:val="auto"/>
        </w:rPr>
      </w:pPr>
    </w:p>
    <w:p>
      <w:pPr>
        <w:ind w:left="880" w:hanging="247"/>
        <w:spacing w:after="0"/>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A Real-Time Price on Every Vehicle.  </w:t>
      </w:r>
      <w:r>
        <w:rPr>
          <w:rFonts w:ascii="Arial" w:cs="Arial" w:eastAsia="Arial" w:hAnsi="Arial"/>
          <w:sz w:val="17"/>
          <w:szCs w:val="17"/>
          <w:color w:val="auto"/>
        </w:rPr>
        <w:t>For every vehicle that customers submit for appraisal, we provide a real-time price.</w:t>
      </w:r>
    </w:p>
    <w:p>
      <w:pPr>
        <w:spacing w:after="0" w:line="105" w:lineRule="exact"/>
        <w:rPr>
          <w:rFonts w:ascii="Arial" w:cs="Arial" w:eastAsia="Arial" w:hAnsi="Arial"/>
          <w:sz w:val="17"/>
          <w:szCs w:val="17"/>
          <w:color w:val="auto"/>
        </w:rPr>
      </w:pPr>
    </w:p>
    <w:p>
      <w:pPr>
        <w:ind w:left="880" w:right="40" w:hanging="247"/>
        <w:spacing w:after="0" w:line="266" w:lineRule="auto"/>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No High-Pressure Tactics. </w:t>
      </w:r>
      <w:r>
        <w:rPr>
          <w:rFonts w:ascii="Arial" w:cs="Arial" w:eastAsia="Arial" w:hAnsi="Arial"/>
          <w:sz w:val="17"/>
          <w:szCs w:val="17"/>
          <w:color w:val="auto"/>
        </w:rPr>
        <w:t>All price quotes are good for seven days or 250 miles. This process allows customers to shop, compare</w:t>
      </w:r>
      <w:r>
        <w:rPr>
          <w:rFonts w:ascii="Arial" w:cs="Arial" w:eastAsia="Arial" w:hAnsi="Arial"/>
          <w:sz w:val="17"/>
          <w:szCs w:val="17"/>
          <w:b w:val="1"/>
          <w:bCs w:val="1"/>
          <w:color w:val="auto"/>
        </w:rPr>
        <w:t xml:space="preserve"> </w:t>
      </w:r>
      <w:r>
        <w:rPr>
          <w:rFonts w:ascii="Arial" w:cs="Arial" w:eastAsia="Arial" w:hAnsi="Arial"/>
          <w:sz w:val="17"/>
          <w:szCs w:val="17"/>
          <w:color w:val="auto"/>
        </w:rPr>
        <w:t>and analyze the sale of their vehicle from the convenience of their home to ensure they are getting the best value, eliminating pressure to take a deal on the spot.</w:t>
      </w:r>
    </w:p>
    <w:p>
      <w:pPr>
        <w:spacing w:after="0" w:line="43" w:lineRule="exact"/>
        <w:rPr>
          <w:rFonts w:ascii="Arial" w:cs="Arial" w:eastAsia="Arial" w:hAnsi="Arial"/>
          <w:sz w:val="17"/>
          <w:szCs w:val="17"/>
          <w:color w:val="auto"/>
        </w:rPr>
      </w:pPr>
    </w:p>
    <w:p>
      <w:pPr>
        <w:ind w:left="880" w:right="80" w:hanging="247"/>
        <w:spacing w:after="0" w:line="292" w:lineRule="auto"/>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Convenient, Contact-Free Vehicle Pick-ups. </w:t>
      </w:r>
      <w:r>
        <w:rPr>
          <w:rFonts w:ascii="Arial" w:cs="Arial" w:eastAsia="Arial" w:hAnsi="Arial"/>
          <w:sz w:val="17"/>
          <w:szCs w:val="17"/>
          <w:color w:val="auto"/>
        </w:rPr>
        <w:t>Our customers enjoy the convenience of national, at-home contact-free vehicle pick-up free of charge within days of accepting our price.</w:t>
      </w:r>
    </w:p>
    <w:p>
      <w:pPr>
        <w:spacing w:after="0" w:line="21" w:lineRule="exact"/>
        <w:rPr>
          <w:rFonts w:ascii="Arial" w:cs="Arial" w:eastAsia="Arial" w:hAnsi="Arial"/>
          <w:sz w:val="17"/>
          <w:szCs w:val="17"/>
          <w:color w:val="auto"/>
        </w:rPr>
      </w:pPr>
    </w:p>
    <w:p>
      <w:pPr>
        <w:ind w:left="880" w:right="200" w:hanging="247"/>
        <w:spacing w:after="0" w:line="292" w:lineRule="auto"/>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No Hassle Pay-offs. </w:t>
      </w:r>
      <w:r>
        <w:rPr>
          <w:rFonts w:ascii="Arial" w:cs="Arial" w:eastAsia="Arial" w:hAnsi="Arial"/>
          <w:sz w:val="17"/>
          <w:szCs w:val="17"/>
          <w:color w:val="auto"/>
        </w:rPr>
        <w:t>As an added convenience, we offer hassle-free customer payment and/or pay-off of any loans on the vehicle</w:t>
      </w:r>
      <w:r>
        <w:rPr>
          <w:rFonts w:ascii="Arial" w:cs="Arial" w:eastAsia="Arial" w:hAnsi="Arial"/>
          <w:sz w:val="17"/>
          <w:szCs w:val="17"/>
          <w:b w:val="1"/>
          <w:bCs w:val="1"/>
          <w:color w:val="auto"/>
        </w:rPr>
        <w:t xml:space="preserve"> </w:t>
      </w:r>
      <w:r>
        <w:rPr>
          <w:rFonts w:ascii="Arial" w:cs="Arial" w:eastAsia="Arial" w:hAnsi="Arial"/>
          <w:sz w:val="17"/>
          <w:szCs w:val="17"/>
          <w:color w:val="auto"/>
        </w:rPr>
        <w:t>being sold, saving the customer time and paperwork.</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Competitive Strengths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Leading Ecommerce Platform for Used Vehicles</w:t>
      </w:r>
    </w:p>
    <w:p>
      <w:pPr>
        <w:spacing w:after="0" w:line="103" w:lineRule="exact"/>
        <w:rPr>
          <w:sz w:val="20"/>
          <w:szCs w:val="20"/>
          <w:color w:val="auto"/>
        </w:rPr>
      </w:pPr>
    </w:p>
    <w:p>
      <w:pPr>
        <w:ind w:right="60" w:firstLine="637"/>
        <w:spacing w:after="0" w:line="250" w:lineRule="auto"/>
        <w:rPr>
          <w:sz w:val="20"/>
          <w:szCs w:val="20"/>
          <w:color w:val="auto"/>
        </w:rPr>
      </w:pPr>
      <w:r>
        <w:rPr>
          <w:rFonts w:ascii="Arial" w:cs="Arial" w:eastAsia="Arial" w:hAnsi="Arial"/>
          <w:sz w:val="17"/>
          <w:szCs w:val="17"/>
          <w:color w:val="auto"/>
        </w:rPr>
        <w:t>We offer an end-to-end, ecommerce platform for buying, selling, transporting, reconditioning, pricing, financing, registering and delivering vehicles nationwide. Our platform encompasses every element of the customer experience and ensures quality and consistency. Our customer-centric business model addresses the shortcomings of the traditional dealership model and peer-to-peer market. We combine high-quality and high-demand vehicles, asset-light, scalable reconditioning operations, a national logistics network and an exceptional ecommerce experience. In addition, our ability to control the entire customer value chain from demand generation to pick-up or delivery to the customer’s driveway creates operating leverage as we scale, further driving the network effects inherent in our business and contributing to our path to profitability.</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Asset-Light, Scalable Operations</w:t>
      </w:r>
    </w:p>
    <w:p>
      <w:pPr>
        <w:spacing w:after="0" w:line="103" w:lineRule="exact"/>
        <w:rPr>
          <w:sz w:val="20"/>
          <w:szCs w:val="20"/>
          <w:color w:val="auto"/>
        </w:rPr>
      </w:pPr>
    </w:p>
    <w:p>
      <w:pPr>
        <w:ind w:right="100" w:firstLine="637"/>
        <w:spacing w:after="0" w:line="265" w:lineRule="auto"/>
        <w:rPr>
          <w:sz w:val="20"/>
          <w:szCs w:val="20"/>
          <w:color w:val="auto"/>
        </w:rPr>
      </w:pPr>
      <w:r>
        <w:rPr>
          <w:rFonts w:ascii="Arial" w:cs="Arial" w:eastAsia="Arial" w:hAnsi="Arial"/>
          <w:sz w:val="17"/>
          <w:szCs w:val="17"/>
          <w:color w:val="auto"/>
        </w:rPr>
        <w:t>An asset-light strategy is fundamental to our business model. We seek to optimize the combination of ownership and operation of assets by us with strategic third-party partnerships. Our strategy provides flexibility, agility and speed as we scale our business, without taking on the unnecessary risk and capital investment inherent in direct investment.</w:t>
      </w:r>
    </w:p>
    <w:p>
      <w:pPr>
        <w:spacing w:after="0" w:line="46" w:lineRule="exact"/>
        <w:rPr>
          <w:sz w:val="20"/>
          <w:szCs w:val="20"/>
          <w:color w:val="auto"/>
        </w:rPr>
      </w:pPr>
    </w:p>
    <w:p>
      <w:pPr>
        <w:ind w:firstLine="637"/>
        <w:spacing w:after="0" w:line="290" w:lineRule="auto"/>
        <w:rPr>
          <w:sz w:val="20"/>
          <w:szCs w:val="20"/>
          <w:color w:val="auto"/>
        </w:rPr>
      </w:pPr>
      <w:r>
        <w:rPr>
          <w:rFonts w:ascii="Arial" w:cs="Arial" w:eastAsia="Arial" w:hAnsi="Arial"/>
          <w:sz w:val="17"/>
          <w:szCs w:val="17"/>
          <w:color w:val="auto"/>
        </w:rPr>
        <w:t>We employ this hybrid approach across our business and utilize strategic relationships with experienced and trusted providers to optimize reconditioning services, logistics, consumer financing and customer experience:</w:t>
      </w:r>
    </w:p>
    <w:p>
      <w:pPr>
        <w:spacing w:after="0" w:line="25" w:lineRule="exact"/>
        <w:rPr>
          <w:sz w:val="20"/>
          <w:szCs w:val="20"/>
          <w:color w:val="auto"/>
        </w:rPr>
      </w:pPr>
    </w:p>
    <w:p>
      <w:pPr>
        <w:ind w:left="1380" w:right="140" w:hanging="368"/>
        <w:spacing w:after="0" w:line="253" w:lineRule="auto"/>
        <w:tabs>
          <w:tab w:leader="none" w:pos="13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Reconditioning Facilities. </w:t>
      </w:r>
      <w:r>
        <w:rPr>
          <w:rFonts w:ascii="Arial" w:cs="Arial" w:eastAsia="Arial" w:hAnsi="Arial"/>
          <w:sz w:val="17"/>
          <w:szCs w:val="17"/>
          <w:color w:val="auto"/>
        </w:rPr>
        <w:t>We combine the use of our Vroom VRC and third-party vehicle reconditioning centers (“third-party</w:t>
      </w:r>
      <w:r>
        <w:rPr>
          <w:rFonts w:ascii="Arial" w:cs="Arial" w:eastAsia="Arial" w:hAnsi="Arial"/>
          <w:sz w:val="17"/>
          <w:szCs w:val="17"/>
          <w:i w:val="1"/>
          <w:iCs w:val="1"/>
          <w:color w:val="auto"/>
        </w:rPr>
        <w:t xml:space="preserve"> </w:t>
      </w:r>
      <w:r>
        <w:rPr>
          <w:rFonts w:ascii="Arial" w:cs="Arial" w:eastAsia="Arial" w:hAnsi="Arial"/>
          <w:sz w:val="17"/>
          <w:szCs w:val="17"/>
          <w:color w:val="auto"/>
        </w:rPr>
        <w:t>VRCs”) to best meet our reconditioning needs as we continue to expand our business. We leverage our partnerships with third parties within the reconditioning industry to recondition approximately two-thirds of the vehicles in our inventory to our Vroom Reconditioning Standards, which creates capacity to scale quickly and efficiently, while simultaneously reducing our capital commitments and expanding our geographic footprint.</w:t>
      </w:r>
    </w:p>
    <w:p>
      <w:pPr>
        <w:spacing w:after="0" w:line="159" w:lineRule="exact"/>
        <w:rPr>
          <w:rFonts w:ascii="Times New Roman" w:cs="Times New Roman" w:eastAsia="Times New Roman" w:hAnsi="Times New Roman"/>
          <w:sz w:val="17"/>
          <w:szCs w:val="17"/>
          <w:color w:val="auto"/>
        </w:rPr>
      </w:pPr>
    </w:p>
    <w:p>
      <w:pPr>
        <w:ind w:left="1380" w:hanging="368"/>
        <w:spacing w:after="0" w:line="250" w:lineRule="auto"/>
        <w:tabs>
          <w:tab w:leader="none" w:pos="13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Logistics</w:t>
      </w:r>
      <w:r>
        <w:rPr>
          <w:rFonts w:ascii="Arial" w:cs="Arial" w:eastAsia="Arial" w:hAnsi="Arial"/>
          <w:sz w:val="17"/>
          <w:szCs w:val="17"/>
          <w:color w:val="auto"/>
        </w:rPr>
        <w:t>. We primarily have used third-party carriers for our inbound and outbound logistics operations while also developing</w:t>
      </w:r>
      <w:r>
        <w:rPr>
          <w:rFonts w:ascii="Arial" w:cs="Arial" w:eastAsia="Arial" w:hAnsi="Arial"/>
          <w:sz w:val="17"/>
          <w:szCs w:val="17"/>
          <w:i w:val="1"/>
          <w:iCs w:val="1"/>
          <w:color w:val="auto"/>
        </w:rPr>
        <w:t xml:space="preserve"> </w:t>
      </w:r>
      <w:r>
        <w:rPr>
          <w:rFonts w:ascii="Arial" w:cs="Arial" w:eastAsia="Arial" w:hAnsi="Arial"/>
          <w:sz w:val="17"/>
          <w:szCs w:val="17"/>
          <w:color w:val="auto"/>
        </w:rPr>
        <w:t>our proprietary logistics capabilities. This has allowed us to efficiently deliver vehicles to customers throughout the United States while focusing on expanding other critical components of our business, such as the volume and selection of vehicles in our inventory. We are optimizing this hybrid approach by expanding our proprietary logistics operations, including our owned vehicle fleet. We initially are focused on expanding our last-mile delivery operations, which we expect to both improve our operating leverage and enhance our customer experience, and also have begun to invest in long-haul vehicles for hub-to-hub shipments.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VRC and Last Mile Hub Locations as of February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380" w:hanging="368"/>
        <w:spacing w:after="0" w:line="253" w:lineRule="auto"/>
        <w:tabs>
          <w:tab w:leader="none" w:pos="13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Customer Financing</w:t>
      </w:r>
      <w:r>
        <w:rPr>
          <w:rFonts w:ascii="Arial" w:cs="Arial" w:eastAsia="Arial" w:hAnsi="Arial"/>
          <w:sz w:val="17"/>
          <w:szCs w:val="17"/>
          <w:color w:val="auto"/>
        </w:rPr>
        <w:t>. By partnering with many of the largest and most trusted banks in the world, we arrange reliable vehicle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for our customers while avoiding the increased risk associated with underwriting consumer debt and carrying financing receivables on our books. This low-risk, high-margin financing structure enables us to provide customers with an essential aspect of the vehicle-buying process without adding additional debt commitments to our balance sheet and operational cost and complexities to our business.</w:t>
      </w:r>
    </w:p>
    <w:p>
      <w:pPr>
        <w:spacing w:after="0" w:line="159" w:lineRule="exact"/>
        <w:rPr>
          <w:rFonts w:ascii="Times New Roman" w:cs="Times New Roman" w:eastAsia="Times New Roman" w:hAnsi="Times New Roman"/>
          <w:sz w:val="17"/>
          <w:szCs w:val="17"/>
          <w:color w:val="auto"/>
        </w:rPr>
      </w:pPr>
    </w:p>
    <w:p>
      <w:pPr>
        <w:ind w:left="1380" w:right="100" w:hanging="368"/>
        <w:spacing w:after="0" w:line="253" w:lineRule="auto"/>
        <w:tabs>
          <w:tab w:leader="none" w:pos="13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Customer Experience Team</w:t>
      </w:r>
      <w:r>
        <w:rPr>
          <w:rFonts w:ascii="Arial" w:cs="Arial" w:eastAsia="Arial" w:hAnsi="Arial"/>
          <w:sz w:val="17"/>
          <w:szCs w:val="17"/>
          <w:color w:val="auto"/>
        </w:rPr>
        <w:t>. In addition to our in-house customer support personnel, we have partnered with a leading</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experience management provider to operate our primary call center providing sales support to our customers. This strategy enables us to centralize our contact center services, ensure consistency in customer interactions, increase conversion and maximize operating efficiencies. We also recently engaged two additional customer service providers to expand our customer service operations as we scale our business.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Relentless Focus on Data Science</w:t>
      </w:r>
    </w:p>
    <w:p>
      <w:pPr>
        <w:spacing w:after="0" w:line="103" w:lineRule="exact"/>
        <w:rPr>
          <w:sz w:val="20"/>
          <w:szCs w:val="20"/>
          <w:color w:val="auto"/>
        </w:rPr>
      </w:pPr>
    </w:p>
    <w:p>
      <w:pPr>
        <w:ind w:right="120" w:firstLine="637"/>
        <w:spacing w:after="0" w:line="249" w:lineRule="auto"/>
        <w:rPr>
          <w:sz w:val="20"/>
          <w:szCs w:val="20"/>
          <w:color w:val="auto"/>
        </w:rPr>
      </w:pPr>
      <w:r>
        <w:rPr>
          <w:rFonts w:ascii="Arial" w:cs="Arial" w:eastAsia="Arial" w:hAnsi="Arial"/>
          <w:sz w:val="17"/>
          <w:szCs w:val="17"/>
          <w:color w:val="auto"/>
        </w:rPr>
        <w:t>Data science is at the core of everything we do, and all aspects of our business are enhanced by data analytics. In an industry that historically used intuition and basic industry-wide data to drive purchasing and pricing decisions, we are moving from intuition to algorithm. We are expanding and continuously improving our access to data, using data science and machine learning across our business to maximize efficiency. Our proprietary technology, machine learning and data analytics models continuously optimize our marketing investments and conversion funnel, fine-tune our supply, sourcing and logistics models, calibrate our vehicle pricing, streamline our reconditioning processes and optimize our overall inventory sales velocity. Our recent acquisition of CarStory reinforces and enhances our data analytics, as CarStory continues to drive automotive retail innovation as a leader in artificial intelligence powered analytics and digital services in the automotive space.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Continuous Experimentation and Innovation at Scale</w:t>
      </w:r>
    </w:p>
    <w:p>
      <w:pPr>
        <w:spacing w:after="0" w:line="103" w:lineRule="exact"/>
        <w:rPr>
          <w:sz w:val="20"/>
          <w:szCs w:val="20"/>
          <w:color w:val="auto"/>
        </w:rPr>
      </w:pPr>
    </w:p>
    <w:p>
      <w:pPr>
        <w:ind w:right="160" w:firstLine="637"/>
        <w:spacing w:after="0" w:line="253" w:lineRule="auto"/>
        <w:rPr>
          <w:sz w:val="20"/>
          <w:szCs w:val="20"/>
          <w:color w:val="auto"/>
        </w:rPr>
      </w:pPr>
      <w:r>
        <w:rPr>
          <w:rFonts w:ascii="Arial" w:cs="Arial" w:eastAsia="Arial" w:hAnsi="Arial"/>
          <w:sz w:val="17"/>
          <w:szCs w:val="17"/>
          <w:color w:val="auto"/>
        </w:rPr>
        <w:t>We strive to make key decisions based on data and testing. We continuously experiment using A/B and multivariate testing methodologies to drive conversion, innovation and improved unit economics. We test variables involved in sourcing, buying, reconditioning, and managing our inventory, and make decisions based on the data insights gained from such continuous experimentation. We integrate a full-stack statistics engine that is connected to our front-and back-end operations, enabling us to A/B test across all aspects of our business, including our marketing and conversion funnel, inventory procurement, management, refurbishment and sales processes.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National Market Penetration and Brand</w:t>
      </w:r>
    </w:p>
    <w:p>
      <w:pPr>
        <w:spacing w:after="0" w:line="103" w:lineRule="exact"/>
        <w:rPr>
          <w:sz w:val="20"/>
          <w:szCs w:val="20"/>
          <w:color w:val="auto"/>
        </w:rPr>
      </w:pPr>
    </w:p>
    <w:p>
      <w:pPr>
        <w:ind w:firstLine="637"/>
        <w:spacing w:after="0" w:line="248" w:lineRule="auto"/>
        <w:rPr>
          <w:sz w:val="20"/>
          <w:szCs w:val="20"/>
          <w:color w:val="auto"/>
        </w:rPr>
      </w:pPr>
      <w:r>
        <w:rPr>
          <w:rFonts w:ascii="Arial" w:cs="Arial" w:eastAsia="Arial" w:hAnsi="Arial"/>
          <w:sz w:val="17"/>
          <w:szCs w:val="17"/>
          <w:color w:val="auto"/>
        </w:rPr>
        <w:t>Our national presence provides a significant competitive advantage versus local dealerships and regional players that lack scalable technology, operations and logistics, and are unable to take advantage of the efficiencies and lower costs of national brand advertising. We are able to deliver a superior customer experience through the breadth and diversity of our national inventory of thousands of vehicles on our platform. Consumers no longer have to settle for whatever the local dealer has on the lot or scour local peer-to-peer listings and travel to a seller’s location for an unknown, time-consuming experience. Additionally, our customers enjoy the convenience of national, at-home delivery and pick-up of vehicles. We also leverage our national marketing campaigns to efficiently increase brand awareness and attract and convert new customers at lower cost. Our brand’s national reach provides a significant advantage over local dealers who typically rely on costly local or regional advertising campaigns.</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Difficult to Replicate Business Model</w:t>
      </w:r>
    </w:p>
    <w:p>
      <w:pPr>
        <w:spacing w:after="0" w:line="103" w:lineRule="exact"/>
        <w:rPr>
          <w:sz w:val="20"/>
          <w:szCs w:val="20"/>
          <w:color w:val="auto"/>
        </w:rPr>
      </w:pPr>
    </w:p>
    <w:p>
      <w:pPr>
        <w:ind w:right="40" w:firstLine="637"/>
        <w:spacing w:after="0" w:line="248" w:lineRule="auto"/>
        <w:rPr>
          <w:sz w:val="20"/>
          <w:szCs w:val="20"/>
          <w:color w:val="auto"/>
        </w:rPr>
      </w:pPr>
      <w:r>
        <w:rPr>
          <w:rFonts w:ascii="Arial" w:cs="Arial" w:eastAsia="Arial" w:hAnsi="Arial"/>
          <w:sz w:val="17"/>
          <w:szCs w:val="17"/>
          <w:color w:val="auto"/>
        </w:rPr>
        <w:t>Our platform overcomes the unique operational and technological challenges associated with buying and selling used vehicles in an ecommerce channel. Each vehicle that we offer through our platform has a unique vehicle identification number (“VIN”) and requires multiple touch points, including appraisal, inspection, reconditioning, photography, pricing and delivery. It requires significant funding sources to finance the acquisition of inventory, the ability to source and manage complex inventory, pricing and appraisal optimization skills, reconditioning expertise and sophisticated logistics capabilities. Given the significance of the purchase to a consumer, it also requires professional customer service and a brand that consumers can trust. These elements make our platform difficult to replicate. Our operational experience and the improvements we have made over time serve as important competitive moats. To succeed, any new entrant to ecommerce used auto sales would require data-driven automotive expertise, ecommerce capabilities and scalable operations integrated in a single platform.</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Seasoned Leadership Team and an Exceptional Culture</w:t>
      </w:r>
    </w:p>
    <w:p>
      <w:pPr>
        <w:spacing w:after="0" w:line="311" w:lineRule="exact"/>
        <w:rPr>
          <w:sz w:val="20"/>
          <w:szCs w:val="20"/>
          <w:color w:val="auto"/>
        </w:rPr>
      </w:pPr>
    </w:p>
    <w:p>
      <w:pPr>
        <w:ind w:firstLine="637"/>
        <w:spacing w:after="0" w:line="251" w:lineRule="auto"/>
        <w:rPr>
          <w:sz w:val="20"/>
          <w:szCs w:val="20"/>
          <w:color w:val="auto"/>
        </w:rPr>
      </w:pPr>
      <w:r>
        <w:rPr>
          <w:rFonts w:ascii="Arial" w:cs="Arial" w:eastAsia="Arial" w:hAnsi="Arial"/>
          <w:sz w:val="17"/>
          <w:szCs w:val="17"/>
          <w:color w:val="auto"/>
        </w:rPr>
        <w:t xml:space="preserve">Our success to date has been built on a culture that reflects our values: </w:t>
      </w:r>
      <w:r>
        <w:rPr>
          <w:rFonts w:ascii="Arial" w:cs="Arial" w:eastAsia="Arial" w:hAnsi="Arial"/>
          <w:sz w:val="17"/>
          <w:szCs w:val="17"/>
          <w:i w:val="1"/>
          <w:iCs w:val="1"/>
          <w:color w:val="auto"/>
        </w:rPr>
        <w:t>s.p.e.e.d</w:t>
      </w:r>
      <w:r>
        <w:rPr>
          <w:rFonts w:ascii="Arial" w:cs="Arial" w:eastAsia="Arial" w:hAnsi="Arial"/>
          <w:sz w:val="17"/>
          <w:szCs w:val="17"/>
          <w:color w:val="auto"/>
        </w:rPr>
        <w:t xml:space="preserve"> – obsessive customer </w:t>
      </w:r>
      <w:r>
        <w:rPr>
          <w:rFonts w:ascii="Arial" w:cs="Arial" w:eastAsia="Arial" w:hAnsi="Arial"/>
          <w:sz w:val="17"/>
          <w:szCs w:val="17"/>
          <w:b w:val="1"/>
          <w:bCs w:val="1"/>
          <w:color w:val="auto"/>
        </w:rPr>
        <w:t>service</w:t>
      </w:r>
      <w:r>
        <w:rPr>
          <w:rFonts w:ascii="Arial" w:cs="Arial" w:eastAsia="Arial" w:hAnsi="Arial"/>
          <w:sz w:val="17"/>
          <w:szCs w:val="17"/>
          <w:color w:val="auto"/>
        </w:rPr>
        <w:t xml:space="preserve">, unwavering commitment to forward </w:t>
      </w:r>
      <w:r>
        <w:rPr>
          <w:rFonts w:ascii="Arial" w:cs="Arial" w:eastAsia="Arial" w:hAnsi="Arial"/>
          <w:sz w:val="17"/>
          <w:szCs w:val="17"/>
          <w:b w:val="1"/>
          <w:bCs w:val="1"/>
          <w:color w:val="auto"/>
        </w:rPr>
        <w:t>progress</w:t>
      </w:r>
      <w:r>
        <w:rPr>
          <w:rFonts w:ascii="Arial" w:cs="Arial" w:eastAsia="Arial" w:hAnsi="Arial"/>
          <w:sz w:val="17"/>
          <w:szCs w:val="17"/>
          <w:color w:val="auto"/>
        </w:rPr>
        <w:t xml:space="preserve">, appreciation for the diversity and skills of our </w:t>
      </w:r>
      <w:r>
        <w:rPr>
          <w:rFonts w:ascii="Arial" w:cs="Arial" w:eastAsia="Arial" w:hAnsi="Arial"/>
          <w:sz w:val="17"/>
          <w:szCs w:val="17"/>
          <w:b w:val="1"/>
          <w:bCs w:val="1"/>
          <w:color w:val="auto"/>
        </w:rPr>
        <w:t>employees</w:t>
      </w:r>
      <w:r>
        <w:rPr>
          <w:rFonts w:ascii="Arial" w:cs="Arial" w:eastAsia="Arial" w:hAnsi="Arial"/>
          <w:sz w:val="17"/>
          <w:szCs w:val="17"/>
          <w:color w:val="auto"/>
        </w:rPr>
        <w:t xml:space="preserve">, </w:t>
      </w:r>
      <w:r>
        <w:rPr>
          <w:rFonts w:ascii="Arial" w:cs="Arial" w:eastAsia="Arial" w:hAnsi="Arial"/>
          <w:sz w:val="17"/>
          <w:szCs w:val="17"/>
          <w:b w:val="1"/>
          <w:bCs w:val="1"/>
          <w:color w:val="auto"/>
        </w:rPr>
        <w:t>engagement</w:t>
      </w:r>
      <w:r>
        <w:rPr>
          <w:rFonts w:ascii="Arial" w:cs="Arial" w:eastAsia="Arial" w:hAnsi="Arial"/>
          <w:sz w:val="17"/>
          <w:szCs w:val="17"/>
          <w:color w:val="auto"/>
        </w:rPr>
        <w:t xml:space="preserve"> and celebration of all we do, and passionate </w:t>
      </w:r>
      <w:r>
        <w:rPr>
          <w:rFonts w:ascii="Arial" w:cs="Arial" w:eastAsia="Arial" w:hAnsi="Arial"/>
          <w:sz w:val="17"/>
          <w:szCs w:val="17"/>
          <w:b w:val="1"/>
          <w:bCs w:val="1"/>
          <w:color w:val="auto"/>
        </w:rPr>
        <w:t xml:space="preserve">development </w:t>
      </w:r>
      <w:r>
        <w:rPr>
          <w:rFonts w:ascii="Arial" w:cs="Arial" w:eastAsia="Arial" w:hAnsi="Arial"/>
          <w:sz w:val="17"/>
          <w:szCs w:val="17"/>
          <w:color w:val="auto"/>
        </w:rPr>
        <w:t>of our people, products, brand, and communities. We maintain a deep commitment to prudent corporate governance, transparency,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accountability and collaboration. Our leadership team is comprised of seasoned executives who possess cross-vertical experience in the ecommerce, technology, supply chain, logistics, retail and automotive sectors, and have a demonstrated track record of scaling businesses and achieving profitable growth. Building on lessons learned and experience leading digital disruption in other fields, we believe we can bring the same level of innovation to the automotive retail industry. </w:t>
      </w:r>
      <w:r>
        <w:rPr>
          <w:rFonts w:ascii="Arial" w:cs="Arial" w:eastAsia="Arial" w:hAnsi="Arial"/>
          <w:sz w:val="17"/>
          <w:szCs w:val="17"/>
          <w:b w:val="1"/>
          <w:bCs w:val="1"/>
          <w:color w:val="auto"/>
        </w:rPr>
        <w:t>Our Growth Strategies and Path to Profitability</w:t>
      </w:r>
    </w:p>
    <w:p>
      <w:pPr>
        <w:spacing w:after="0" w:line="154" w:lineRule="exact"/>
        <w:rPr>
          <w:sz w:val="20"/>
          <w:szCs w:val="20"/>
          <w:color w:val="auto"/>
        </w:rPr>
      </w:pPr>
    </w:p>
    <w:p>
      <w:pPr>
        <w:ind w:right="220" w:firstLine="637"/>
        <w:spacing w:after="0" w:line="290" w:lineRule="auto"/>
        <w:rPr>
          <w:sz w:val="20"/>
          <w:szCs w:val="20"/>
          <w:color w:val="auto"/>
        </w:rPr>
      </w:pPr>
      <w:r>
        <w:rPr>
          <w:rFonts w:ascii="Arial" w:cs="Arial" w:eastAsia="Arial" w:hAnsi="Arial"/>
          <w:sz w:val="17"/>
          <w:szCs w:val="17"/>
          <w:color w:val="auto"/>
        </w:rPr>
        <w:t>The core elements of our platform—ecommerce, vehicle operations and data science and experimentation—serve as the foundation of our growth strategies and path to profitability.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Drive Growth</w:t>
      </w:r>
    </w:p>
    <w:p>
      <w:pPr>
        <w:spacing w:after="0" w:line="212" w:lineRule="exact"/>
        <w:rPr>
          <w:sz w:val="20"/>
          <w:szCs w:val="20"/>
          <w:color w:val="auto"/>
        </w:rPr>
      </w:pPr>
    </w:p>
    <w:p>
      <w:pPr>
        <w:ind w:right="320" w:firstLine="637"/>
        <w:spacing w:after="0" w:line="253" w:lineRule="auto"/>
        <w:rPr>
          <w:sz w:val="20"/>
          <w:szCs w:val="20"/>
          <w:color w:val="auto"/>
        </w:rPr>
      </w:pPr>
      <w:r>
        <w:rPr>
          <w:rFonts w:ascii="Arial" w:cs="Arial" w:eastAsia="Arial" w:hAnsi="Arial"/>
          <w:sz w:val="17"/>
          <w:szCs w:val="17"/>
          <w:color w:val="auto"/>
        </w:rPr>
        <w:t>Our business has grown significantly as we have scaled our operations. Our growth is not attributable to a single innovation or breakthrough, but to coalescence around multiple strategies that serve as points on our flywheel. The diversity and number of vehicles in our inventory drive demand and support expanded national marketing to enable us to acquire new customers more cost effectively, allowing us to invest back into our platform to continue to improve the customer experience, all of which drives increased conversion. This flywheel revolves, builds momentum and ultimately propels our business forward as we seek to drive disciplined growth and operating leverage.</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Grow and Optimize Vehicle Inventory</w:t>
      </w:r>
    </w:p>
    <w:p>
      <w:pPr>
        <w:spacing w:after="0" w:line="103" w:lineRule="exact"/>
        <w:rPr>
          <w:sz w:val="20"/>
          <w:szCs w:val="20"/>
          <w:color w:val="auto"/>
        </w:rPr>
      </w:pPr>
    </w:p>
    <w:p>
      <w:pPr>
        <w:ind w:right="120" w:firstLine="637"/>
        <w:spacing w:after="0" w:line="257" w:lineRule="auto"/>
        <w:rPr>
          <w:sz w:val="20"/>
          <w:szCs w:val="20"/>
          <w:color w:val="auto"/>
        </w:rPr>
      </w:pPr>
      <w:r>
        <w:rPr>
          <w:rFonts w:ascii="Arial" w:cs="Arial" w:eastAsia="Arial" w:hAnsi="Arial"/>
          <w:sz w:val="17"/>
          <w:szCs w:val="17"/>
          <w:color w:val="auto"/>
        </w:rPr>
        <w:t>As a data-driven business, we measure demand at the unique VIN level and use data analytics to inform our pricing and inventory selection. This enables us to curate an optimal inventory that matches market demand signals, driving higher conversion and sales. As we grow, we will continuously refine our inventory mix and expand our offerings across vehicle price points to serve a greater range of customers and increase our demand and conversion opportunities.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Expand Marketing and Maximize ROI</w:t>
      </w:r>
    </w:p>
    <w:p>
      <w:pPr>
        <w:spacing w:after="0" w:line="103" w:lineRule="exact"/>
        <w:rPr>
          <w:sz w:val="20"/>
          <w:szCs w:val="20"/>
          <w:color w:val="auto"/>
        </w:rPr>
      </w:pPr>
    </w:p>
    <w:p>
      <w:pPr>
        <w:ind w:right="20" w:firstLine="637"/>
        <w:spacing w:after="0" w:line="253" w:lineRule="auto"/>
        <w:rPr>
          <w:sz w:val="20"/>
          <w:szCs w:val="20"/>
          <w:color w:val="auto"/>
        </w:rPr>
      </w:pPr>
      <w:r>
        <w:rPr>
          <w:rFonts w:ascii="Arial" w:cs="Arial" w:eastAsia="Arial" w:hAnsi="Arial"/>
          <w:sz w:val="17"/>
          <w:szCs w:val="17"/>
          <w:color w:val="auto"/>
        </w:rPr>
        <w:t>The strength of our brand and effectiveness of our advertising programs is critical to our ability to attract new customers cost effectively. Leveraging our advanced data analytics, we will continue to invest in national marketing campaigns and targeted performance marketing to identify, attract and convert new customers at lower cost. This strategy provides a significant advantage over local dealers who typically rely on costly local or regional campaigns and enables us to maximize return on our marketing spend. We also run sophisticated digital marketing across various vehicle listing sites, constantly monitoring performance and maximizing ROI with limited reliance on any one platform.</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Deliver Exceptional Customer Experience</w:t>
      </w:r>
    </w:p>
    <w:p>
      <w:pPr>
        <w:spacing w:after="0" w:line="103" w:lineRule="exact"/>
        <w:rPr>
          <w:sz w:val="20"/>
          <w:szCs w:val="20"/>
          <w:color w:val="auto"/>
        </w:rPr>
      </w:pPr>
    </w:p>
    <w:p>
      <w:pPr>
        <w:ind w:firstLine="637"/>
        <w:spacing w:after="0" w:line="250" w:lineRule="auto"/>
        <w:rPr>
          <w:sz w:val="20"/>
          <w:szCs w:val="20"/>
          <w:color w:val="auto"/>
        </w:rPr>
      </w:pPr>
      <w:r>
        <w:rPr>
          <w:rFonts w:ascii="Arial" w:cs="Arial" w:eastAsia="Arial" w:hAnsi="Arial"/>
          <w:sz w:val="17"/>
          <w:szCs w:val="17"/>
          <w:color w:val="auto"/>
        </w:rPr>
        <w:t>We believe that customer experience is fundamental to our ability to convert consumers into customers, attract new customers and ensure repeat customers. We seek to provide customers with an intuitive, trustworthy and convenient buying and selling experience. We will continue to invest in our platform to further streamline the transaction process for our customers, as well as invest in expanded customer service operations to support our customers and enhance the customer experience. We will also continue to invest in the development of our mobile experiences to strengthen customer engagement. We believe these investments will lead to greater consumer traffic to our platform, higher levels of customer satisfaction and increased conversion and sales.</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 Conversion</w:t>
      </w:r>
    </w:p>
    <w:p>
      <w:pPr>
        <w:spacing w:after="0" w:line="103" w:lineRule="exact"/>
        <w:rPr>
          <w:sz w:val="20"/>
          <w:szCs w:val="20"/>
          <w:color w:val="auto"/>
        </w:rPr>
      </w:pPr>
    </w:p>
    <w:p>
      <w:pPr>
        <w:ind w:right="140" w:firstLine="637"/>
        <w:spacing w:after="0" w:line="265" w:lineRule="auto"/>
        <w:rPr>
          <w:sz w:val="20"/>
          <w:szCs w:val="20"/>
          <w:color w:val="auto"/>
        </w:rPr>
      </w:pPr>
      <w:r>
        <w:rPr>
          <w:rFonts w:ascii="Arial" w:cs="Arial" w:eastAsia="Arial" w:hAnsi="Arial"/>
          <w:sz w:val="17"/>
          <w:szCs w:val="17"/>
          <w:color w:val="auto"/>
        </w:rPr>
        <w:t>Sales conversion drives revenue growth and is an output of the acceleration of every point on the growth flywheel. We will continue to invest in our technology framework to optimize all aspects of our conversion funnel by constantly A/B testing our web and mobile applications to ensure we are displaying the features and formats that are most likely to resonate with our customers and lead to increased sales.</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Drive Profitability</w:t>
      </w:r>
    </w:p>
    <w:p>
      <w:pPr>
        <w:spacing w:after="0" w:line="212" w:lineRule="exact"/>
        <w:rPr>
          <w:sz w:val="20"/>
          <w:szCs w:val="20"/>
          <w:color w:val="auto"/>
        </w:rPr>
      </w:pPr>
    </w:p>
    <w:p>
      <w:pPr>
        <w:ind w:right="240" w:firstLine="637"/>
        <w:spacing w:after="0" w:line="290" w:lineRule="auto"/>
        <w:rPr>
          <w:sz w:val="20"/>
          <w:szCs w:val="20"/>
          <w:color w:val="auto"/>
        </w:rPr>
      </w:pPr>
      <w:r>
        <w:rPr>
          <w:rFonts w:ascii="Arial" w:cs="Arial" w:eastAsia="Arial" w:hAnsi="Arial"/>
          <w:sz w:val="17"/>
          <w:szCs w:val="17"/>
          <w:color w:val="auto"/>
        </w:rPr>
        <w:t>Our business model benefits from network effects and significant operating leverage as it scales. We believe that improvements in our unit economics are the foundation to driving profitability and will be achieved by scaling and optimizing the following elements of our platform:</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Optimize Vehicle Acquisition and Pricing</w:t>
      </w:r>
    </w:p>
    <w:p>
      <w:pPr>
        <w:spacing w:after="0" w:line="103" w:lineRule="exact"/>
        <w:rPr>
          <w:sz w:val="20"/>
          <w:szCs w:val="20"/>
          <w:color w:val="auto"/>
        </w:rPr>
      </w:pPr>
    </w:p>
    <w:p>
      <w:pPr>
        <w:ind w:right="40" w:firstLine="637"/>
        <w:spacing w:after="0" w:line="249" w:lineRule="auto"/>
        <w:rPr>
          <w:sz w:val="20"/>
          <w:szCs w:val="20"/>
          <w:color w:val="auto"/>
        </w:rPr>
      </w:pPr>
      <w:r>
        <w:rPr>
          <w:rFonts w:ascii="Arial" w:cs="Arial" w:eastAsia="Arial" w:hAnsi="Arial"/>
          <w:sz w:val="17"/>
          <w:szCs w:val="17"/>
          <w:color w:val="auto"/>
        </w:rPr>
        <w:t>We strategically source inventory from auctions, consumers, rental car companies, OEMs and dealers. We improve our ability to acquire the right vehicle at the right price through enhanced supply science across all our sourcing channels. We are expanding our national marketing efforts featuring our Sell Us Your Car</w:t>
      </w:r>
      <w:r>
        <w:rPr>
          <w:rFonts w:ascii="Arial" w:cs="Arial" w:eastAsia="Arial" w:hAnsi="Arial"/>
          <w:sz w:val="14"/>
          <w:szCs w:val="14"/>
          <w:color w:val="auto"/>
        </w:rPr>
        <w:t>®</w:t>
      </w:r>
      <w:r>
        <w:rPr>
          <w:rFonts w:ascii="Arial" w:cs="Arial" w:eastAsia="Arial" w:hAnsi="Arial"/>
          <w:sz w:val="17"/>
          <w:szCs w:val="17"/>
          <w:color w:val="auto"/>
        </w:rPr>
        <w:t xml:space="preserve"> proposition to drive consumer sourcing. As a result, we expect to increase the number of vehicles we purchase from consumers, which typically generate higher gross profit per unit when sold compared to other inventory sources. In parallel, we continue to invest in data analytics and machine learning to optimize vehicle acquisition and pricing, increase sales velocity and drive profitability. We also are exploring third-party inventory strategies, which offers the possibility of expanding our sourcing channels while offering attractive revenue models in an asset light, debt free structure.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 Reconditioning Capacity</w:t>
      </w:r>
    </w:p>
    <w:p>
      <w:pPr>
        <w:spacing w:after="0" w:line="103" w:lineRule="exact"/>
        <w:rPr>
          <w:sz w:val="20"/>
          <w:szCs w:val="20"/>
          <w:color w:val="auto"/>
        </w:rPr>
      </w:pPr>
    </w:p>
    <w:p>
      <w:pPr>
        <w:ind w:right="40" w:firstLine="637"/>
        <w:spacing w:after="0" w:line="248" w:lineRule="auto"/>
        <w:rPr>
          <w:sz w:val="20"/>
          <w:szCs w:val="20"/>
          <w:color w:val="auto"/>
        </w:rPr>
      </w:pPr>
      <w:r>
        <w:rPr>
          <w:rFonts w:ascii="Arial" w:cs="Arial" w:eastAsia="Arial" w:hAnsi="Arial"/>
          <w:sz w:val="17"/>
          <w:szCs w:val="17"/>
          <w:color w:val="auto"/>
        </w:rPr>
        <w:t>As we scale our business, we intend to continue to invest in increased reconditioning capacity. In addition to achieving cost savings and operational efficiencies, we will be focused on lowering our days to sale to improve working capital efficiency. We will continue to employ a hybrid approach that combines the use of our Vroom VRC with geographically dispersed third-party VRCs to best meet our reconditioning needs. To do so, we have expanded and are continuing to expand our third-party VRC locations to provide added scale with reduced lead-time and greater flexibility. As we search for additional VRC locations, leveraging our data analytics and deep industry experience, we take into account a combination of factors, including proximity to customers, transportation costs, access to inbound inventory and the ability to expand capacity at our third-party partners’ specific locations. All of these initiatives are designed to lower reconditioning costs and inbound shipping costs per unit, and thereby improve per unit economics while enhancing the customer experience.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Expand Value-Added Products</w:t>
      </w:r>
    </w:p>
    <w:p>
      <w:pPr>
        <w:spacing w:after="0" w:line="103" w:lineRule="exact"/>
        <w:rPr>
          <w:sz w:val="20"/>
          <w:szCs w:val="20"/>
          <w:color w:val="auto"/>
        </w:rPr>
      </w:pPr>
    </w:p>
    <w:p>
      <w:pPr>
        <w:ind w:right="40" w:firstLine="637"/>
        <w:spacing w:after="0" w:line="247" w:lineRule="auto"/>
        <w:rPr>
          <w:sz w:val="20"/>
          <w:szCs w:val="20"/>
          <w:color w:val="auto"/>
        </w:rPr>
      </w:pPr>
      <w:r>
        <w:rPr>
          <w:rFonts w:ascii="Arial" w:cs="Arial" w:eastAsia="Arial" w:hAnsi="Arial"/>
          <w:sz w:val="17"/>
          <w:szCs w:val="17"/>
          <w:color w:val="auto"/>
        </w:rPr>
        <w:t>Every vehicle sale creates potential for multiple additional revenue streams, including fees earned on third-party vehicle financing and fees from the sale of other value-added products. As we expand our business, we believe there are substantial opportunities to increase attachment rates on our existing value-added products through training, merchandising and technology enhancements. Strategic partnerships with lenders such as Chase and Santander provide enhanced revenue streams for us, as well as offering convenience, assurance and efficiency for our customers. Introducing new types of vehicle related finance and protection products can provide additional revenues going forward. Because we are paid fees on the value-added products we sell, our gross profit on such products is equal to the revenue we generate on such sales. In addition to expanding our offering of value-added products, in the longer term, we see a significant opportunity to provide our customers with complementary services such as entertainment and location-based services. The addition of new value-added products and services will not only increase our product offerings and profitability but will also strengthen and extend our interactions with customers.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Strategically Develop Logistics Network</w:t>
      </w:r>
    </w:p>
    <w:p>
      <w:pPr>
        <w:spacing w:after="0" w:line="103" w:lineRule="exact"/>
        <w:rPr>
          <w:sz w:val="20"/>
          <w:szCs w:val="20"/>
          <w:color w:val="auto"/>
        </w:rPr>
      </w:pPr>
    </w:p>
    <w:p>
      <w:pPr>
        <w:ind w:firstLine="637"/>
        <w:spacing w:after="0" w:line="245" w:lineRule="auto"/>
        <w:rPr>
          <w:sz w:val="20"/>
          <w:szCs w:val="20"/>
          <w:color w:val="auto"/>
        </w:rPr>
      </w:pPr>
      <w:r>
        <w:rPr>
          <w:rFonts w:ascii="Arial" w:cs="Arial" w:eastAsia="Arial" w:hAnsi="Arial"/>
          <w:sz w:val="17"/>
          <w:szCs w:val="17"/>
          <w:color w:val="auto"/>
        </w:rPr>
        <w:t>For our logistics operations, we primarily have used national third-party carriers, which has allowed us to efficiently deliver vehicles to customers throughout the United States while focusing on expanding other critical components of our business, such as the volume and selection of vehicles in our inventory. We optimized our third-party logistics network nationally through the development of strategic carrier arrangements with national haulers and consolidated our carrier base into dedicated operating regions. This strategy enhanced the flexibility, agility and speed of our growth while reducing the need for additional capital commitments as we scaled our business. In part as a result of a reduced supply of carriers, increased shipping prices and deteriorating service levels at the outset of the COVID-19 pandemic, and to further enhance the quality of our logistics operations and our customer experience, we have been accelerating our strategy to optimize our hybrid approach by expanding our proprietary logistics network and improving our operating leverage. Initially, we have been prioritizing investment in our last-mile delivery operations, where we can have the greatest impact on the customer experience, and also have begun to invest in long-haul vehicles for hub-to-hub shipments. Consistent with our hybrid approach, as we continue to scale our business, we will strategically combine the operation of our expanded proprietary fleet with the use of third-party carriers, which will enable us to both accommodate our rapid growth and provide the highest level of customer service.</w:t>
      </w:r>
    </w:p>
    <w:p>
      <w:pPr>
        <w:spacing w:after="0" w:line="200" w:lineRule="exact"/>
        <w:rPr>
          <w:sz w:val="20"/>
          <w:szCs w:val="20"/>
          <w:color w:val="auto"/>
        </w:rPr>
      </w:pPr>
    </w:p>
    <w:p>
      <w:pPr>
        <w:spacing w:after="0" w:line="272"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Capitalize on New Product and Market Opportunities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Expand our Platform to Additional Products and Markets</w:t>
      </w:r>
    </w:p>
    <w:p>
      <w:pPr>
        <w:spacing w:after="0" w:line="103" w:lineRule="exact"/>
        <w:rPr>
          <w:sz w:val="20"/>
          <w:szCs w:val="20"/>
          <w:color w:val="auto"/>
        </w:rPr>
      </w:pPr>
    </w:p>
    <w:p>
      <w:pPr>
        <w:ind w:right="180" w:firstLine="637"/>
        <w:spacing w:after="0" w:line="257" w:lineRule="auto"/>
        <w:rPr>
          <w:sz w:val="20"/>
          <w:szCs w:val="20"/>
          <w:color w:val="auto"/>
        </w:rPr>
      </w:pPr>
      <w:r>
        <w:rPr>
          <w:rFonts w:ascii="Arial" w:cs="Arial" w:eastAsia="Arial" w:hAnsi="Arial"/>
          <w:sz w:val="17"/>
          <w:szCs w:val="17"/>
          <w:color w:val="auto"/>
        </w:rPr>
        <w:t>We have designed and built an innovative platform with countless potential applications. We have the potential to leverage our platform for expansion into adjacent areas of technology-enabled commerce and fully deploy our technology, data analytics and business experience to take advantage of the opportunities this creates. We will have the flexibility to strategically pursue opportunities across markets, potentially including additional transportation and vehicle markets, global geographic markets and B-to-B business models.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Continue to Innovate on New Capabilities</w:t>
      </w:r>
    </w:p>
    <w:p>
      <w:pPr>
        <w:spacing w:after="0" w:line="103" w:lineRule="exact"/>
        <w:rPr>
          <w:sz w:val="20"/>
          <w:szCs w:val="20"/>
          <w:color w:val="auto"/>
        </w:rPr>
      </w:pPr>
    </w:p>
    <w:p>
      <w:pPr>
        <w:ind w:right="20" w:firstLine="637"/>
        <w:spacing w:after="0" w:line="253" w:lineRule="auto"/>
        <w:rPr>
          <w:sz w:val="20"/>
          <w:szCs w:val="20"/>
          <w:color w:val="auto"/>
        </w:rPr>
      </w:pPr>
      <w:r>
        <w:rPr>
          <w:rFonts w:ascii="Arial" w:cs="Arial" w:eastAsia="Arial" w:hAnsi="Arial"/>
          <w:sz w:val="17"/>
          <w:szCs w:val="17"/>
          <w:color w:val="auto"/>
        </w:rPr>
        <w:t>Technological developments have had a significant impact on the automobile industry and are expected to continue to have an impact for the foreseeable future. Electrification and shared mobility in particular are expected to have a transformative impact on road transportation. We continuously monitor developments in autonomy, ride-hailing and ride-sharing as it relates to the overall automotive market, and we are well-positioned to expand our capabilities to participate actively as the industry evolves. As the automotive landscape develops, we will seek to capitalize on new opportunities.</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Our Marketing</w:t>
      </w:r>
    </w:p>
    <w:p>
      <w:pPr>
        <w:spacing w:after="0" w:line="212" w:lineRule="exact"/>
        <w:rPr>
          <w:sz w:val="20"/>
          <w:szCs w:val="20"/>
          <w:color w:val="auto"/>
        </w:rPr>
      </w:pPr>
    </w:p>
    <w:p>
      <w:pPr>
        <w:ind w:right="20" w:firstLine="637"/>
        <w:spacing w:after="0" w:line="257" w:lineRule="auto"/>
        <w:rPr>
          <w:sz w:val="20"/>
          <w:szCs w:val="20"/>
          <w:color w:val="auto"/>
        </w:rPr>
      </w:pPr>
      <w:r>
        <w:rPr>
          <w:rFonts w:ascii="Arial" w:cs="Arial" w:eastAsia="Arial" w:hAnsi="Arial"/>
          <w:sz w:val="17"/>
          <w:szCs w:val="17"/>
          <w:color w:val="auto"/>
        </w:rPr>
        <w:t>We operate a multi-channel marketing strategy that includes both national brand and digital performance marketing. We leverage various digital performance channels, including automotive aggregator sites, to generate demand for Vroom inventory by VIN. In these channels, we manage the national distribution footprint of each VIN by continually optimizing its forward distribution to maximize consumer demand and achieve planned conversion, sales velocity and profitability.</w:t>
      </w:r>
    </w:p>
    <w:p>
      <w:pPr>
        <w:spacing w:after="0" w:line="157" w:lineRule="exact"/>
        <w:rPr>
          <w:sz w:val="20"/>
          <w:szCs w:val="20"/>
          <w:color w:val="auto"/>
        </w:rPr>
      </w:pPr>
    </w:p>
    <w:p>
      <w:pPr>
        <w:ind w:right="80" w:firstLine="644"/>
        <w:spacing w:after="0" w:line="253" w:lineRule="auto"/>
        <w:rPr>
          <w:sz w:val="20"/>
          <w:szCs w:val="20"/>
          <w:color w:val="auto"/>
        </w:rPr>
      </w:pPr>
      <w:r>
        <w:rPr>
          <w:rFonts w:ascii="Arial" w:cs="Arial" w:eastAsia="Arial" w:hAnsi="Arial"/>
          <w:sz w:val="17"/>
          <w:szCs w:val="17"/>
          <w:color w:val="auto"/>
        </w:rPr>
        <w:t>Our national brand campaign through TV and online media, which commenced in the first quarter of 2019, has shown strong momentum in its first two years. Because brand leads convert at a higher rate than all other marketing channels, we believe that continued growth of our national brand marketing campaign and an increasing mix of brand leads will improve our marketing efficiency. We also have expanded our national marketing efforts to feature our Sell Us Your Car</w:t>
      </w:r>
      <w:r>
        <w:rPr>
          <w:rFonts w:ascii="Arial" w:cs="Arial" w:eastAsia="Arial" w:hAnsi="Arial"/>
          <w:sz w:val="14"/>
          <w:szCs w:val="14"/>
          <w:color w:val="auto"/>
        </w:rPr>
        <w:t>®</w:t>
      </w:r>
      <w:r>
        <w:rPr>
          <w:rFonts w:ascii="Arial" w:cs="Arial" w:eastAsia="Arial" w:hAnsi="Arial"/>
          <w:sz w:val="17"/>
          <w:szCs w:val="17"/>
          <w:color w:val="auto"/>
        </w:rPr>
        <w:t xml:space="preserve"> proposition to drive consumer sourcing of vehicles, which typically generate higher gross profit per unit when sold compared to other inventory sources.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ind w:right="220" w:firstLine="637"/>
        <w:spacing w:after="0" w:line="265" w:lineRule="auto"/>
        <w:rPr>
          <w:sz w:val="20"/>
          <w:szCs w:val="20"/>
          <w:color w:val="auto"/>
        </w:rPr>
      </w:pPr>
      <w:r>
        <w:rPr>
          <w:rFonts w:ascii="Arial" w:cs="Arial" w:eastAsia="Arial" w:hAnsi="Arial"/>
          <w:sz w:val="17"/>
          <w:szCs w:val="17"/>
          <w:color w:val="auto"/>
        </w:rPr>
        <w:t>We analyze visitor traffic and customer interaction with our platform to identify and correlate visitor behavior with sales conversion. Our analytics enable us to measure and monitor the ROI generated by our marketing placements, which we then use to optimize placement and spend across marketing channels to balance sales velocity and profitability.</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Our Technology</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Technology and data science are the foundation of all of our operations and strategic decision making.</w:t>
      </w:r>
    </w:p>
    <w:p>
      <w:pPr>
        <w:spacing w:after="0" w:line="105" w:lineRule="exact"/>
        <w:rPr>
          <w:sz w:val="20"/>
          <w:szCs w:val="20"/>
          <w:color w:val="auto"/>
        </w:rPr>
      </w:pPr>
    </w:p>
    <w:p>
      <w:pPr>
        <w:ind w:firstLine="637"/>
        <w:spacing w:after="0" w:line="257" w:lineRule="auto"/>
        <w:rPr>
          <w:sz w:val="20"/>
          <w:szCs w:val="20"/>
          <w:color w:val="auto"/>
        </w:rPr>
      </w:pPr>
      <w:r>
        <w:rPr>
          <w:rFonts w:ascii="Arial" w:cs="Arial" w:eastAsia="Arial" w:hAnsi="Arial"/>
          <w:sz w:val="17"/>
          <w:szCs w:val="17"/>
          <w:color w:val="auto"/>
        </w:rPr>
        <w:t>Our team of data scientists and engineers continuously extract and analyze additional information, processing millions of data points daily to create models that inform purchasing, pricing and market decisions, allowing us to understand price elasticity, and also allowing us to price a significant majority of the vehicles we acquire from consumers in just a few seconds. We adjust price as a function of overall market value trend, taking into account competitor inventory, market price fluctuations, and relative inventory advantages.</w:t>
      </w:r>
    </w:p>
    <w:p>
      <w:pPr>
        <w:spacing w:after="0" w:line="157" w:lineRule="exact"/>
        <w:rPr>
          <w:sz w:val="20"/>
          <w:szCs w:val="20"/>
          <w:color w:val="auto"/>
        </w:rPr>
      </w:pPr>
    </w:p>
    <w:p>
      <w:pPr>
        <w:jc w:val="both"/>
        <w:ind w:right="60" w:firstLine="637"/>
        <w:spacing w:after="0" w:line="257" w:lineRule="auto"/>
        <w:rPr>
          <w:sz w:val="20"/>
          <w:szCs w:val="20"/>
          <w:color w:val="auto"/>
        </w:rPr>
      </w:pPr>
      <w:r>
        <w:rPr>
          <w:rFonts w:ascii="Arial" w:cs="Arial" w:eastAsia="Arial" w:hAnsi="Arial"/>
          <w:sz w:val="17"/>
          <w:szCs w:val="17"/>
          <w:color w:val="auto"/>
        </w:rPr>
        <w:t>Core to our underlying technology is the real-time collection of customer and inventory data. We analyze and act on the data in real time. As our systems collect new or updated incoming data signals, those signals are immediately available to downstream systems to trigger parallel event processes. Our technology supports multi-channel engagement with our customers, delivering consistent messaging via the web, in native apps and via email. In cases where customers need attention outside of our ecommerce experience, we provide customer assistance via phone.</w:t>
      </w:r>
    </w:p>
    <w:p>
      <w:pPr>
        <w:spacing w:after="0" w:line="157" w:lineRule="exact"/>
        <w:rPr>
          <w:sz w:val="20"/>
          <w:szCs w:val="20"/>
          <w:color w:val="auto"/>
        </w:rPr>
      </w:pPr>
    </w:p>
    <w:p>
      <w:pPr>
        <w:ind w:right="120" w:firstLine="637"/>
        <w:spacing w:after="0" w:line="257" w:lineRule="auto"/>
        <w:rPr>
          <w:sz w:val="20"/>
          <w:szCs w:val="20"/>
          <w:color w:val="auto"/>
        </w:rPr>
      </w:pPr>
      <w:r>
        <w:rPr>
          <w:rFonts w:ascii="Arial" w:cs="Arial" w:eastAsia="Arial" w:hAnsi="Arial"/>
          <w:sz w:val="17"/>
          <w:szCs w:val="17"/>
          <w:color w:val="auto"/>
        </w:rPr>
        <w:t>In addition, CarStory drives automotive retail innovation by aggregating, optimizing, and distributing current market data from thousands of automotive sources. CarStory tracks over five million unique VINs listed for sale every day. This data is aggregated with nationwide demand insights from dealers and enterprise brands to generate accurate price and sales predictions. These predictions are further enhanced by CarStory's proprietary enhanced VIN database, ensuring a comprehensive and accurate view of a vehicle.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Competition</w:t>
      </w:r>
    </w:p>
    <w:p>
      <w:pPr>
        <w:spacing w:after="0" w:line="212" w:lineRule="exact"/>
        <w:rPr>
          <w:sz w:val="20"/>
          <w:szCs w:val="20"/>
          <w:color w:val="auto"/>
        </w:rPr>
      </w:pPr>
    </w:p>
    <w:p>
      <w:pPr>
        <w:ind w:right="240" w:firstLine="637"/>
        <w:spacing w:after="0" w:line="290" w:lineRule="auto"/>
        <w:rPr>
          <w:sz w:val="20"/>
          <w:szCs w:val="20"/>
          <w:color w:val="auto"/>
        </w:rPr>
      </w:pPr>
      <w:r>
        <w:rPr>
          <w:rFonts w:ascii="Arial" w:cs="Arial" w:eastAsia="Arial" w:hAnsi="Arial"/>
          <w:sz w:val="17"/>
          <w:szCs w:val="17"/>
          <w:color w:val="auto"/>
        </w:rPr>
        <w:t>The U.S. used vehicle market is highly fragmented, with over 42,000 traditional franchised and independent dealerships nationwide as well as the peer-to-peer market. The players in the used vehicle market can be classified into the following segments:</w:t>
      </w:r>
    </w:p>
    <w:p>
      <w:pPr>
        <w:spacing w:after="0" w:line="25" w:lineRule="exact"/>
        <w:rPr>
          <w:sz w:val="20"/>
          <w:szCs w:val="20"/>
          <w:color w:val="auto"/>
        </w:rPr>
      </w:pPr>
    </w:p>
    <w:p>
      <w:pPr>
        <w:ind w:left="880" w:hanging="247"/>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traditional new and used car dealerships;</w:t>
      </w:r>
    </w:p>
    <w:p>
      <w:pPr>
        <w:spacing w:after="0" w:line="105" w:lineRule="exact"/>
        <w:rPr>
          <w:rFonts w:ascii="Arial" w:cs="Arial" w:eastAsia="Arial" w:hAnsi="Arial"/>
          <w:sz w:val="17"/>
          <w:szCs w:val="17"/>
          <w:color w:val="auto"/>
        </w:rPr>
      </w:pPr>
    </w:p>
    <w:p>
      <w:pPr>
        <w:ind w:left="880" w:right="740" w:hanging="247"/>
        <w:spacing w:after="0" w:line="290" w:lineRule="auto"/>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large, national car dealers, such as CarMax and AutoNation, which are expanding into online sales, including “omni-channel” offerings;</w:t>
      </w:r>
    </w:p>
    <w:p>
      <w:pPr>
        <w:spacing w:after="0" w:line="37" w:lineRule="exact"/>
        <w:rPr>
          <w:rFonts w:ascii="Arial" w:cs="Arial" w:eastAsia="Arial" w:hAnsi="Arial"/>
          <w:sz w:val="17"/>
          <w:szCs w:val="17"/>
          <w:color w:val="auto"/>
        </w:rPr>
      </w:pPr>
    </w:p>
    <w:p>
      <w:pPr>
        <w:ind w:left="880" w:hanging="247"/>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used car dealers or marketplaces that currently have existing ecommerce businesses or online platforms, such as Carvana;</w:t>
      </w:r>
    </w:p>
    <w:p>
      <w:pPr>
        <w:spacing w:after="0" w:line="105" w:lineRule="exact"/>
        <w:rPr>
          <w:rFonts w:ascii="Arial" w:cs="Arial" w:eastAsia="Arial" w:hAnsi="Arial"/>
          <w:sz w:val="17"/>
          <w:szCs w:val="17"/>
          <w:color w:val="auto"/>
        </w:rPr>
      </w:pPr>
    </w:p>
    <w:p>
      <w:pPr>
        <w:ind w:left="880" w:hanging="247"/>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peer-to-peer market, utilizing sites such as Facebook, Craigslist.com, eBay Motors and Nextdoor.com; and</w:t>
      </w:r>
    </w:p>
    <w:p>
      <w:pPr>
        <w:spacing w:after="0" w:line="105" w:lineRule="exact"/>
        <w:rPr>
          <w:rFonts w:ascii="Arial" w:cs="Arial" w:eastAsia="Arial" w:hAnsi="Arial"/>
          <w:sz w:val="17"/>
          <w:szCs w:val="17"/>
          <w:color w:val="auto"/>
        </w:rPr>
      </w:pPr>
    </w:p>
    <w:p>
      <w:pPr>
        <w:ind w:left="880" w:right="20" w:hanging="247"/>
        <w:spacing w:after="0" w:line="290" w:lineRule="auto"/>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sales by rental car companies directly to consumers of used vehicles which were previously utilized in rental fleets, such as Enterprise Car Sales.</w:t>
      </w:r>
    </w:p>
    <w:p>
      <w:pPr>
        <w:spacing w:after="0" w:line="129" w:lineRule="exact"/>
        <w:rPr>
          <w:sz w:val="20"/>
          <w:szCs w:val="20"/>
          <w:color w:val="auto"/>
        </w:rPr>
      </w:pPr>
    </w:p>
    <w:p>
      <w:pPr>
        <w:ind w:firstLine="637"/>
        <w:spacing w:after="0" w:line="250" w:lineRule="auto"/>
        <w:rPr>
          <w:sz w:val="20"/>
          <w:szCs w:val="20"/>
          <w:color w:val="auto"/>
        </w:rPr>
      </w:pPr>
      <w:r>
        <w:rPr>
          <w:rFonts w:ascii="Arial" w:cs="Arial" w:eastAsia="Arial" w:hAnsi="Arial"/>
          <w:sz w:val="17"/>
          <w:szCs w:val="17"/>
          <w:color w:val="auto"/>
        </w:rPr>
        <w:t>Internet and online automotive sites could change their models to sell used vehicles and compete with us, such as Google, Amazon, AutoTrader.com, Edmunds.com, KBB.com, Autobytel.com, TrueCar.com, CarGurus and Cars.com. In addition, automobile manufacturers such as General Motors, Ford and Volkswagen could change their sales models to better compete with our model through technology and infrastructure investments. While such enterprises may change their business models and endeavor to compete with us, the sale of used vehicles through ecommerce presents unique operational and technical challenges. See “Business—Our Competitive Strengths—Difficult to Replicate Business Model.”</w:t>
      </w:r>
    </w:p>
    <w:p>
      <w:pPr>
        <w:spacing w:after="0" w:line="165" w:lineRule="exact"/>
        <w:rPr>
          <w:sz w:val="20"/>
          <w:szCs w:val="20"/>
          <w:color w:val="auto"/>
        </w:rPr>
      </w:pPr>
    </w:p>
    <w:p>
      <w:pPr>
        <w:ind w:right="180" w:firstLine="637"/>
        <w:spacing w:after="0" w:line="290" w:lineRule="auto"/>
        <w:rPr>
          <w:sz w:val="20"/>
          <w:szCs w:val="20"/>
          <w:color w:val="auto"/>
        </w:rPr>
      </w:pPr>
      <w:r>
        <w:rPr>
          <w:rFonts w:ascii="Arial" w:cs="Arial" w:eastAsia="Arial" w:hAnsi="Arial"/>
          <w:sz w:val="17"/>
          <w:szCs w:val="17"/>
          <w:color w:val="auto"/>
        </w:rPr>
        <w:t>We view our main competitors to be the traditional auto dealers, who make up the significant portion of U.S. used vehicle sales and are still operating under an outdated business model that is ripe for disruption.</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Description of Human Capital Management</w:t>
      </w:r>
    </w:p>
    <w:p>
      <w:pPr>
        <w:spacing w:after="0" w:line="212" w:lineRule="exact"/>
        <w:rPr>
          <w:sz w:val="20"/>
          <w:szCs w:val="20"/>
          <w:color w:val="auto"/>
        </w:rPr>
      </w:pPr>
    </w:p>
    <w:p>
      <w:pPr>
        <w:ind w:right="40" w:firstLine="750"/>
        <w:spacing w:after="0" w:line="253" w:lineRule="auto"/>
        <w:rPr>
          <w:sz w:val="20"/>
          <w:szCs w:val="20"/>
          <w:color w:val="auto"/>
        </w:rPr>
      </w:pPr>
      <w:r>
        <w:rPr>
          <w:rFonts w:ascii="Arial" w:cs="Arial" w:eastAsia="Arial" w:hAnsi="Arial"/>
          <w:sz w:val="17"/>
          <w:szCs w:val="17"/>
          <w:color w:val="auto"/>
        </w:rPr>
        <w:t xml:space="preserve">Vroom believes in and adheres to a core set of values and Rules of the Road that guide our actions at work. Those values are summed up as </w:t>
      </w:r>
      <w:r>
        <w:rPr>
          <w:rFonts w:ascii="Arial" w:cs="Arial" w:eastAsia="Arial" w:hAnsi="Arial"/>
          <w:sz w:val="17"/>
          <w:szCs w:val="17"/>
          <w:i w:val="1"/>
          <w:iCs w:val="1"/>
          <w:color w:val="auto"/>
        </w:rPr>
        <w:t>s.p.e.e.d</w:t>
      </w:r>
      <w:r>
        <w:rPr>
          <w:rFonts w:ascii="Arial" w:cs="Arial" w:eastAsia="Arial" w:hAnsi="Arial"/>
          <w:sz w:val="17"/>
          <w:szCs w:val="17"/>
          <w:color w:val="auto"/>
        </w:rPr>
        <w:t xml:space="preserve">: obsessive customer </w:t>
      </w:r>
      <w:r>
        <w:rPr>
          <w:rFonts w:ascii="Arial" w:cs="Arial" w:eastAsia="Arial" w:hAnsi="Arial"/>
          <w:sz w:val="17"/>
          <w:szCs w:val="17"/>
          <w:b w:val="1"/>
          <w:bCs w:val="1"/>
          <w:color w:val="auto"/>
        </w:rPr>
        <w:t>service</w:t>
      </w:r>
      <w:r>
        <w:rPr>
          <w:rFonts w:ascii="Arial" w:cs="Arial" w:eastAsia="Arial" w:hAnsi="Arial"/>
          <w:sz w:val="17"/>
          <w:szCs w:val="17"/>
          <w:color w:val="auto"/>
        </w:rPr>
        <w:t xml:space="preserve">, unwavering commitment to forward </w:t>
      </w:r>
      <w:r>
        <w:rPr>
          <w:rFonts w:ascii="Arial" w:cs="Arial" w:eastAsia="Arial" w:hAnsi="Arial"/>
          <w:sz w:val="17"/>
          <w:szCs w:val="17"/>
          <w:b w:val="1"/>
          <w:bCs w:val="1"/>
          <w:color w:val="auto"/>
        </w:rPr>
        <w:t>progress</w:t>
      </w:r>
      <w:r>
        <w:rPr>
          <w:rFonts w:ascii="Arial" w:cs="Arial" w:eastAsia="Arial" w:hAnsi="Arial"/>
          <w:sz w:val="17"/>
          <w:szCs w:val="17"/>
          <w:color w:val="auto"/>
        </w:rPr>
        <w:t xml:space="preserve">, an appreciation for the diversity and skills of our </w:t>
      </w:r>
      <w:r>
        <w:rPr>
          <w:rFonts w:ascii="Arial" w:cs="Arial" w:eastAsia="Arial" w:hAnsi="Arial"/>
          <w:sz w:val="17"/>
          <w:szCs w:val="17"/>
          <w:b w:val="1"/>
          <w:bCs w:val="1"/>
          <w:color w:val="auto"/>
        </w:rPr>
        <w:t>employees</w:t>
      </w:r>
      <w:r>
        <w:rPr>
          <w:rFonts w:ascii="Arial" w:cs="Arial" w:eastAsia="Arial" w:hAnsi="Arial"/>
          <w:sz w:val="17"/>
          <w:szCs w:val="17"/>
          <w:color w:val="auto"/>
        </w:rPr>
        <w:t>,</w:t>
      </w:r>
      <w:r>
        <w:rPr>
          <w:rFonts w:ascii="Arial" w:cs="Arial" w:eastAsia="Arial" w:hAnsi="Arial"/>
          <w:sz w:val="17"/>
          <w:szCs w:val="17"/>
          <w:b w:val="1"/>
          <w:bCs w:val="1"/>
          <w:color w:val="auto"/>
        </w:rPr>
        <w:t xml:space="preserve"> engagement </w:t>
      </w:r>
      <w:r>
        <w:rPr>
          <w:rFonts w:ascii="Arial" w:cs="Arial" w:eastAsia="Arial" w:hAnsi="Arial"/>
          <w:sz w:val="17"/>
          <w:szCs w:val="17"/>
          <w:color w:val="auto"/>
        </w:rPr>
        <w:t>and celebration of all we do, and passionate</w:t>
      </w:r>
      <w:r>
        <w:rPr>
          <w:rFonts w:ascii="Arial" w:cs="Arial" w:eastAsia="Arial" w:hAnsi="Arial"/>
          <w:sz w:val="17"/>
          <w:szCs w:val="17"/>
          <w:b w:val="1"/>
          <w:bCs w:val="1"/>
          <w:color w:val="auto"/>
        </w:rPr>
        <w:t xml:space="preserve"> development </w:t>
      </w:r>
      <w:r>
        <w:rPr>
          <w:rFonts w:ascii="Arial" w:cs="Arial" w:eastAsia="Arial" w:hAnsi="Arial"/>
          <w:sz w:val="17"/>
          <w:szCs w:val="17"/>
          <w:color w:val="auto"/>
        </w:rPr>
        <w:t>of our people, products, brand, and communities. Our core</w:t>
      </w:r>
      <w:r>
        <w:rPr>
          <w:rFonts w:ascii="Arial" w:cs="Arial" w:eastAsia="Arial" w:hAnsi="Arial"/>
          <w:sz w:val="17"/>
          <w:szCs w:val="17"/>
          <w:b w:val="1"/>
          <w:bCs w:val="1"/>
          <w:color w:val="auto"/>
        </w:rPr>
        <w:t xml:space="preserve"> </w:t>
      </w:r>
      <w:r>
        <w:rPr>
          <w:rFonts w:ascii="Arial" w:cs="Arial" w:eastAsia="Arial" w:hAnsi="Arial"/>
          <w:sz w:val="17"/>
          <w:szCs w:val="17"/>
          <w:color w:val="auto"/>
        </w:rPr>
        <w:t>values are embedded in our culture through our onboarding, training, operations and communication. All of our employees receive Driver’s Manuals that outline and define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30"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these values and all new hires are invited to listen to our Chief Executive Officer and Chief People and Culture Officer discuss the Company’s Mission, Vision, and Values, and those values inform everything we do.</w:t>
      </w:r>
    </w:p>
    <w:p>
      <w:pPr>
        <w:spacing w:after="0" w:line="129" w:lineRule="exact"/>
        <w:rPr>
          <w:sz w:val="20"/>
          <w:szCs w:val="20"/>
          <w:color w:val="auto"/>
        </w:rPr>
      </w:pPr>
    </w:p>
    <w:p>
      <w:pPr>
        <w:ind w:right="680" w:firstLine="750"/>
        <w:spacing w:after="0" w:line="290" w:lineRule="auto"/>
        <w:rPr>
          <w:sz w:val="20"/>
          <w:szCs w:val="20"/>
          <w:color w:val="auto"/>
        </w:rPr>
      </w:pPr>
      <w:r>
        <w:rPr>
          <w:rFonts w:ascii="Arial" w:cs="Arial" w:eastAsia="Arial" w:hAnsi="Arial"/>
          <w:sz w:val="17"/>
          <w:szCs w:val="17"/>
          <w:color w:val="auto"/>
        </w:rPr>
        <w:t>At the center of Vroom’s values are its employees, without whom we could not achieve our vision of building the world’s premier platform to research, discover, buy and sell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1448435</wp:posOffset>
            </wp:positionH>
            <wp:positionV relativeFrom="paragraph">
              <wp:posOffset>113030</wp:posOffset>
            </wp:positionV>
            <wp:extent cx="4245610" cy="31235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45610" cy="3123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60" w:firstLine="750"/>
        <w:spacing w:after="0" w:line="257" w:lineRule="auto"/>
        <w:rPr>
          <w:sz w:val="20"/>
          <w:szCs w:val="20"/>
          <w:color w:val="auto"/>
        </w:rPr>
      </w:pPr>
      <w:r>
        <w:rPr>
          <w:rFonts w:ascii="Arial" w:cs="Arial" w:eastAsia="Arial" w:hAnsi="Arial"/>
          <w:sz w:val="17"/>
          <w:szCs w:val="17"/>
          <w:color w:val="auto"/>
        </w:rPr>
        <w:t>As of December 31, 2020, Vroom employed a total of 944 employees. The total consisted of 25.5% reconditioning and logistics staff, 48.6% corporate and transactional staff, 13% technical and engineering staff, and 12.8% retail staff. None of our employees is represented by a labor union. We consider our relationships with our employees to be good and have not experienced any interruptions of operations due to labor disagreements.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Engaging Talent</w:t>
      </w:r>
    </w:p>
    <w:p>
      <w:pPr>
        <w:spacing w:after="0" w:line="208" w:lineRule="exact"/>
        <w:rPr>
          <w:sz w:val="20"/>
          <w:szCs w:val="20"/>
          <w:color w:val="auto"/>
        </w:rPr>
      </w:pPr>
    </w:p>
    <w:p>
      <w:pPr>
        <w:jc w:val="both"/>
        <w:ind w:right="60" w:firstLine="750"/>
        <w:spacing w:after="0" w:line="257" w:lineRule="auto"/>
        <w:rPr>
          <w:sz w:val="20"/>
          <w:szCs w:val="20"/>
          <w:color w:val="auto"/>
        </w:rPr>
      </w:pPr>
      <w:r>
        <w:rPr>
          <w:rFonts w:ascii="Arial" w:cs="Arial" w:eastAsia="Arial" w:hAnsi="Arial"/>
          <w:sz w:val="17"/>
          <w:szCs w:val="17"/>
          <w:color w:val="auto"/>
        </w:rPr>
        <w:t>Each year, we conduct an annual engagement survey of our employees, both to measure our employees’ collective sentiment, and also to focus our efforts on maintaining a workplace where employees can bring their whole selves to work and do their best work every day. We used our 2019 annual engagement survey to identify four key areas for improvement and, through a series of targeted initiatives, we saw improvement across each topic in our 2020 annual engagement survey results: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640" w:type="dxa"/>
            <w:vAlign w:val="bottom"/>
            <w:tcBorders>
              <w:right w:val="single" w:sz="8" w:color="auto"/>
            </w:tcBorders>
          </w:tcPr>
          <w:p>
            <w:pPr>
              <w:spacing w:after="0"/>
              <w:rPr>
                <w:sz w:val="22"/>
                <w:szCs w:val="22"/>
                <w:color w:val="auto"/>
              </w:rPr>
            </w:pPr>
          </w:p>
        </w:tc>
        <w:tc>
          <w:tcPr>
            <w:tcW w:w="5800" w:type="dxa"/>
            <w:vAlign w:val="bottom"/>
            <w:tcBorders>
              <w:top w:val="single" w:sz="8" w:color="auto"/>
              <w:right w:val="single" w:sz="8" w:color="auto"/>
            </w:tcBorders>
          </w:tcPr>
          <w:p>
            <w:pPr>
              <w:ind w:left="2420"/>
              <w:spacing w:after="0"/>
              <w:rPr>
                <w:sz w:val="20"/>
                <w:szCs w:val="20"/>
                <w:color w:val="auto"/>
              </w:rPr>
            </w:pPr>
            <w:r>
              <w:rPr>
                <w:rFonts w:ascii="Arial" w:cs="Arial" w:eastAsia="Arial" w:hAnsi="Arial"/>
                <w:sz w:val="17"/>
                <w:szCs w:val="17"/>
                <w:b w:val="1"/>
                <w:bCs w:val="1"/>
                <w:color w:val="auto"/>
              </w:rPr>
              <w:t>Focus Area</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Year over Year change</w:t>
            </w:r>
          </w:p>
        </w:tc>
        <w:tc>
          <w:tcPr>
            <w:tcW w:w="1620" w:type="dxa"/>
            <w:vAlign w:val="bottom"/>
          </w:tcPr>
          <w:p>
            <w:pPr>
              <w:spacing w:after="0"/>
              <w:rPr>
                <w:sz w:val="22"/>
                <w:szCs w:val="22"/>
                <w:color w:val="auto"/>
              </w:rPr>
            </w:pPr>
          </w:p>
        </w:tc>
      </w:tr>
      <w:tr>
        <w:trPr>
          <w:trHeight w:val="246"/>
        </w:trPr>
        <w:tc>
          <w:tcPr>
            <w:tcW w:w="1640" w:type="dxa"/>
            <w:vAlign w:val="bottom"/>
            <w:tcBorders>
              <w:right w:val="single" w:sz="8" w:color="auto"/>
            </w:tcBorders>
          </w:tcPr>
          <w:p>
            <w:pPr>
              <w:spacing w:after="0"/>
              <w:rPr>
                <w:sz w:val="21"/>
                <w:szCs w:val="21"/>
                <w:color w:val="auto"/>
              </w:rPr>
            </w:pPr>
          </w:p>
        </w:tc>
        <w:tc>
          <w:tcPr>
            <w:tcW w:w="5800" w:type="dxa"/>
            <w:vAlign w:val="bottom"/>
            <w:tcBorders>
              <w:right w:val="single" w:sz="8" w:color="auto"/>
            </w:tcBorders>
          </w:tcPr>
          <w:p>
            <w:pPr>
              <w:spacing w:after="0"/>
              <w:rPr>
                <w:sz w:val="21"/>
                <w:szCs w:val="21"/>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rPr>
              <w:t>2019 to 2020</w:t>
            </w:r>
          </w:p>
        </w:tc>
        <w:tc>
          <w:tcPr>
            <w:tcW w:w="1620" w:type="dxa"/>
            <w:vAlign w:val="bottom"/>
          </w:tcPr>
          <w:p>
            <w:pPr>
              <w:spacing w:after="0"/>
              <w:rPr>
                <w:sz w:val="21"/>
                <w:szCs w:val="21"/>
                <w:color w:val="auto"/>
              </w:rPr>
            </w:pPr>
          </w:p>
        </w:tc>
      </w:tr>
      <w:tr>
        <w:trPr>
          <w:trHeight w:val="54"/>
        </w:trPr>
        <w:tc>
          <w:tcPr>
            <w:tcW w:w="1640" w:type="dxa"/>
            <w:vAlign w:val="bottom"/>
            <w:tcBorders>
              <w:right w:val="single" w:sz="8" w:color="auto"/>
            </w:tcBorders>
          </w:tcPr>
          <w:p>
            <w:pPr>
              <w:spacing w:after="0"/>
              <w:rPr>
                <w:sz w:val="4"/>
                <w:szCs w:val="4"/>
                <w:color w:val="auto"/>
              </w:rPr>
            </w:pPr>
          </w:p>
        </w:tc>
        <w:tc>
          <w:tcPr>
            <w:tcW w:w="580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1620" w:type="dxa"/>
            <w:vAlign w:val="bottom"/>
          </w:tcPr>
          <w:p>
            <w:pPr>
              <w:spacing w:after="0"/>
              <w:rPr>
                <w:sz w:val="4"/>
                <w:szCs w:val="4"/>
                <w:color w:val="auto"/>
              </w:rPr>
            </w:pPr>
          </w:p>
        </w:tc>
      </w:tr>
      <w:tr>
        <w:trPr>
          <w:trHeight w:val="245"/>
        </w:trPr>
        <w:tc>
          <w:tcPr>
            <w:tcW w:w="1640" w:type="dxa"/>
            <w:vAlign w:val="bottom"/>
            <w:tcBorders>
              <w:right w:val="single" w:sz="8" w:color="auto"/>
            </w:tcBorders>
          </w:tcPr>
          <w:p>
            <w:pPr>
              <w:spacing w:after="0"/>
              <w:rPr>
                <w:sz w:val="21"/>
                <w:szCs w:val="21"/>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Improving employee’s perception that the organization was listening to</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+6%</w:t>
            </w:r>
          </w:p>
        </w:tc>
        <w:tc>
          <w:tcPr>
            <w:tcW w:w="1620" w:type="dxa"/>
            <w:vAlign w:val="bottom"/>
          </w:tcPr>
          <w:p>
            <w:pPr>
              <w:spacing w:after="0"/>
              <w:rPr>
                <w:sz w:val="21"/>
                <w:szCs w:val="21"/>
                <w:color w:val="auto"/>
              </w:rPr>
            </w:pPr>
          </w:p>
        </w:tc>
      </w:tr>
      <w:tr>
        <w:trPr>
          <w:trHeight w:val="236"/>
        </w:trPr>
        <w:tc>
          <w:tcPr>
            <w:tcW w:w="1640" w:type="dxa"/>
            <w:vAlign w:val="bottom"/>
            <w:tcBorders>
              <w:right w:val="single" w:sz="8" w:color="auto"/>
            </w:tcBorders>
          </w:tcPr>
          <w:p>
            <w:pPr>
              <w:spacing w:after="0"/>
              <w:rPr>
                <w:sz w:val="20"/>
                <w:szCs w:val="20"/>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and acting upon employee feedback</w:t>
            </w:r>
          </w:p>
        </w:tc>
        <w:tc>
          <w:tcPr>
            <w:tcW w:w="22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r>
      <w:tr>
        <w:trPr>
          <w:trHeight w:val="62"/>
        </w:trPr>
        <w:tc>
          <w:tcPr>
            <w:tcW w:w="1640" w:type="dxa"/>
            <w:vAlign w:val="bottom"/>
            <w:tcBorders>
              <w:right w:val="single" w:sz="8" w:color="auto"/>
            </w:tcBorders>
          </w:tcPr>
          <w:p>
            <w:pPr>
              <w:spacing w:after="0"/>
              <w:rPr>
                <w:sz w:val="5"/>
                <w:szCs w:val="5"/>
                <w:color w:val="auto"/>
              </w:rPr>
            </w:pPr>
          </w:p>
        </w:tc>
        <w:tc>
          <w:tcPr>
            <w:tcW w:w="5800" w:type="dxa"/>
            <w:vAlign w:val="bottom"/>
            <w:tcBorders>
              <w:bottom w:val="single" w:sz="8" w:color="auto"/>
              <w:right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1620" w:type="dxa"/>
            <w:vAlign w:val="bottom"/>
          </w:tcPr>
          <w:p>
            <w:pPr>
              <w:spacing w:after="0"/>
              <w:rPr>
                <w:sz w:val="5"/>
                <w:szCs w:val="5"/>
                <w:color w:val="auto"/>
              </w:rPr>
            </w:pPr>
          </w:p>
        </w:tc>
      </w:tr>
      <w:tr>
        <w:trPr>
          <w:trHeight w:val="285"/>
        </w:trPr>
        <w:tc>
          <w:tcPr>
            <w:tcW w:w="1640" w:type="dxa"/>
            <w:vAlign w:val="bottom"/>
            <w:tcBorders>
              <w:right w:val="single" w:sz="8" w:color="auto"/>
            </w:tcBorders>
          </w:tcPr>
          <w:p>
            <w:pPr>
              <w:spacing w:after="0"/>
              <w:rPr>
                <w:sz w:val="24"/>
                <w:szCs w:val="24"/>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Improving individual employee recognition</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+25%</w:t>
            </w:r>
          </w:p>
        </w:tc>
        <w:tc>
          <w:tcPr>
            <w:tcW w:w="1620" w:type="dxa"/>
            <w:vAlign w:val="bottom"/>
          </w:tcPr>
          <w:p>
            <w:pPr>
              <w:spacing w:after="0"/>
              <w:rPr>
                <w:sz w:val="24"/>
                <w:szCs w:val="24"/>
                <w:color w:val="auto"/>
              </w:rPr>
            </w:pPr>
          </w:p>
        </w:tc>
      </w:tr>
      <w:tr>
        <w:trPr>
          <w:trHeight w:val="62"/>
        </w:trPr>
        <w:tc>
          <w:tcPr>
            <w:tcW w:w="1640" w:type="dxa"/>
            <w:vAlign w:val="bottom"/>
            <w:tcBorders>
              <w:right w:val="single" w:sz="8" w:color="auto"/>
            </w:tcBorders>
          </w:tcPr>
          <w:p>
            <w:pPr>
              <w:spacing w:after="0"/>
              <w:rPr>
                <w:sz w:val="5"/>
                <w:szCs w:val="5"/>
                <w:color w:val="auto"/>
              </w:rPr>
            </w:pPr>
          </w:p>
        </w:tc>
        <w:tc>
          <w:tcPr>
            <w:tcW w:w="5800" w:type="dxa"/>
            <w:vAlign w:val="bottom"/>
            <w:tcBorders>
              <w:bottom w:val="single" w:sz="8" w:color="auto"/>
              <w:right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1620" w:type="dxa"/>
            <w:vAlign w:val="bottom"/>
          </w:tcPr>
          <w:p>
            <w:pPr>
              <w:spacing w:after="0"/>
              <w:rPr>
                <w:sz w:val="5"/>
                <w:szCs w:val="5"/>
                <w:color w:val="auto"/>
              </w:rPr>
            </w:pPr>
          </w:p>
        </w:tc>
      </w:tr>
      <w:tr>
        <w:trPr>
          <w:trHeight w:val="285"/>
        </w:trPr>
        <w:tc>
          <w:tcPr>
            <w:tcW w:w="1640" w:type="dxa"/>
            <w:vAlign w:val="bottom"/>
            <w:tcBorders>
              <w:right w:val="single" w:sz="8" w:color="auto"/>
            </w:tcBorders>
          </w:tcPr>
          <w:p>
            <w:pPr>
              <w:spacing w:after="0"/>
              <w:rPr>
                <w:sz w:val="24"/>
                <w:szCs w:val="24"/>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More effectively managing change in the organization</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+5%</w:t>
            </w:r>
          </w:p>
        </w:tc>
        <w:tc>
          <w:tcPr>
            <w:tcW w:w="1620" w:type="dxa"/>
            <w:vAlign w:val="bottom"/>
          </w:tcPr>
          <w:p>
            <w:pPr>
              <w:spacing w:after="0"/>
              <w:rPr>
                <w:sz w:val="24"/>
                <w:szCs w:val="24"/>
                <w:color w:val="auto"/>
              </w:rPr>
            </w:pPr>
          </w:p>
        </w:tc>
      </w:tr>
      <w:tr>
        <w:trPr>
          <w:trHeight w:val="62"/>
        </w:trPr>
        <w:tc>
          <w:tcPr>
            <w:tcW w:w="1640" w:type="dxa"/>
            <w:vAlign w:val="bottom"/>
            <w:tcBorders>
              <w:right w:val="single" w:sz="8" w:color="auto"/>
            </w:tcBorders>
          </w:tcPr>
          <w:p>
            <w:pPr>
              <w:spacing w:after="0"/>
              <w:rPr>
                <w:sz w:val="5"/>
                <w:szCs w:val="5"/>
                <w:color w:val="auto"/>
              </w:rPr>
            </w:pPr>
          </w:p>
        </w:tc>
        <w:tc>
          <w:tcPr>
            <w:tcW w:w="5800" w:type="dxa"/>
            <w:vAlign w:val="bottom"/>
            <w:tcBorders>
              <w:bottom w:val="single" w:sz="8" w:color="auto"/>
              <w:right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1620" w:type="dxa"/>
            <w:vAlign w:val="bottom"/>
          </w:tcPr>
          <w:p>
            <w:pPr>
              <w:spacing w:after="0"/>
              <w:rPr>
                <w:sz w:val="5"/>
                <w:szCs w:val="5"/>
                <w:color w:val="auto"/>
              </w:rPr>
            </w:pPr>
          </w:p>
        </w:tc>
      </w:tr>
      <w:tr>
        <w:trPr>
          <w:trHeight w:val="285"/>
        </w:trPr>
        <w:tc>
          <w:tcPr>
            <w:tcW w:w="1640" w:type="dxa"/>
            <w:vAlign w:val="bottom"/>
            <w:tcBorders>
              <w:right w:val="single" w:sz="8" w:color="auto"/>
            </w:tcBorders>
          </w:tcPr>
          <w:p>
            <w:pPr>
              <w:spacing w:after="0"/>
              <w:rPr>
                <w:sz w:val="24"/>
                <w:szCs w:val="24"/>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Increasing perceptions of fair compensation</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+4%</w:t>
            </w:r>
          </w:p>
        </w:tc>
        <w:tc>
          <w:tcPr>
            <w:tcW w:w="1620" w:type="dxa"/>
            <w:vAlign w:val="bottom"/>
          </w:tcPr>
          <w:p>
            <w:pPr>
              <w:spacing w:after="0"/>
              <w:rPr>
                <w:sz w:val="24"/>
                <w:szCs w:val="24"/>
                <w:color w:val="auto"/>
              </w:rPr>
            </w:pPr>
          </w:p>
        </w:tc>
      </w:tr>
      <w:tr>
        <w:trPr>
          <w:trHeight w:val="62"/>
        </w:trPr>
        <w:tc>
          <w:tcPr>
            <w:tcW w:w="1640" w:type="dxa"/>
            <w:vAlign w:val="bottom"/>
            <w:tcBorders>
              <w:right w:val="single" w:sz="8" w:color="auto"/>
            </w:tcBorders>
          </w:tcPr>
          <w:p>
            <w:pPr>
              <w:spacing w:after="0"/>
              <w:rPr>
                <w:sz w:val="5"/>
                <w:szCs w:val="5"/>
                <w:color w:val="auto"/>
              </w:rPr>
            </w:pPr>
          </w:p>
        </w:tc>
        <w:tc>
          <w:tcPr>
            <w:tcW w:w="5800" w:type="dxa"/>
            <w:vAlign w:val="bottom"/>
            <w:tcBorders>
              <w:bottom w:val="single" w:sz="8" w:color="auto"/>
              <w:right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1620" w:type="dxa"/>
            <w:vAlign w:val="bottom"/>
          </w:tcPr>
          <w:p>
            <w:pPr>
              <w:spacing w:after="0"/>
              <w:rPr>
                <w:sz w:val="5"/>
                <w:szCs w:val="5"/>
                <w:color w:val="auto"/>
              </w:rPr>
            </w:pPr>
          </w:p>
        </w:tc>
      </w:tr>
      <w:tr>
        <w:trPr>
          <w:trHeight w:val="625"/>
        </w:trPr>
        <w:tc>
          <w:tcPr>
            <w:tcW w:w="1640" w:type="dxa"/>
            <w:vAlign w:val="bottom"/>
          </w:tcPr>
          <w:p>
            <w:pPr>
              <w:spacing w:after="0"/>
              <w:rPr>
                <w:sz w:val="24"/>
                <w:szCs w:val="24"/>
                <w:color w:val="auto"/>
              </w:rPr>
            </w:pPr>
          </w:p>
        </w:tc>
        <w:tc>
          <w:tcPr>
            <w:tcW w:w="5800" w:type="dxa"/>
            <w:vAlign w:val="bottom"/>
          </w:tcPr>
          <w:p>
            <w:pPr>
              <w:ind w:left="3880"/>
              <w:spacing w:after="0"/>
              <w:rPr>
                <w:sz w:val="20"/>
                <w:szCs w:val="20"/>
                <w:color w:val="auto"/>
              </w:rPr>
            </w:pPr>
            <w:r>
              <w:rPr>
                <w:rFonts w:ascii="Arial" w:cs="Arial" w:eastAsia="Arial" w:hAnsi="Arial"/>
                <w:sz w:val="17"/>
                <w:szCs w:val="17"/>
                <w:color w:val="auto"/>
              </w:rPr>
              <w:t>14</w:t>
            </w:r>
          </w:p>
        </w:tc>
        <w:tc>
          <w:tcPr>
            <w:tcW w:w="2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94"/>
        </w:trPr>
        <w:tc>
          <w:tcPr>
            <w:tcW w:w="1640" w:type="dxa"/>
            <w:vAlign w:val="bottom"/>
            <w:tcBorders>
              <w:bottom w:val="single" w:sz="8" w:color="9A9A9A"/>
            </w:tcBorders>
          </w:tcPr>
          <w:p>
            <w:pPr>
              <w:spacing w:after="0"/>
              <w:rPr>
                <w:sz w:val="8"/>
                <w:szCs w:val="8"/>
                <w:color w:val="auto"/>
              </w:rPr>
            </w:pPr>
          </w:p>
        </w:tc>
        <w:tc>
          <w:tcPr>
            <w:tcW w:w="580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-7620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Measuring Talent</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We use a variety of human capital measures in managing our business, including diversity, attrition, hiring, promotions, and leadership.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We also use certain talent management metrics, including retention rates of top talent and hiring metrics.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Diversity, Equity, and Inclusion</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 xml:space="preserve">Diversity, equity and inclusion (“DEI”) are cornerstones of the Vroom values, emphasized most strongly in the </w:t>
      </w:r>
      <w:r>
        <w:rPr>
          <w:rFonts w:ascii="Arial" w:cs="Arial" w:eastAsia="Arial" w:hAnsi="Arial"/>
          <w:sz w:val="17"/>
          <w:szCs w:val="17"/>
          <w:i w:val="1"/>
          <w:iCs w:val="1"/>
          <w:color w:val="auto"/>
        </w:rPr>
        <w:t>s.p.e.e.d.</w:t>
      </w:r>
      <w:r>
        <w:rPr>
          <w:rFonts w:ascii="Arial" w:cs="Arial" w:eastAsia="Arial" w:hAnsi="Arial"/>
          <w:sz w:val="17"/>
          <w:szCs w:val="17"/>
          <w:color w:val="auto"/>
        </w:rPr>
        <w:t xml:space="preserve"> values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Employees and Engagement. During 2020, we made progress on a number of our diversity initiatives: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Representation</w:t>
      </w:r>
    </w:p>
    <w:p>
      <w:pPr>
        <w:spacing w:after="0" w:line="143" w:lineRule="exact"/>
        <w:rPr>
          <w:sz w:val="20"/>
          <w:szCs w:val="20"/>
          <w:color w:val="auto"/>
        </w:rPr>
      </w:pPr>
    </w:p>
    <w:p>
      <w:pPr>
        <w:ind w:left="740" w:right="300" w:hanging="369"/>
        <w:spacing w:after="0" w:line="253" w:lineRule="auto"/>
        <w:tabs>
          <w:tab w:leader="none" w:pos="74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We added two female members to our board of directors, bringing representation of our non-employee directors to 33% female as of December 31, 2020.</w:t>
      </w:r>
    </w:p>
    <w:p>
      <w:pPr>
        <w:spacing w:after="0" w:line="1" w:lineRule="exact"/>
        <w:rPr>
          <w:rFonts w:ascii="Times New Roman" w:cs="Times New Roman" w:eastAsia="Times New Roman" w:hAnsi="Times New Roman"/>
          <w:sz w:val="17"/>
          <w:szCs w:val="17"/>
          <w:color w:val="auto"/>
        </w:rPr>
      </w:pPr>
    </w:p>
    <w:p>
      <w:pPr>
        <w:ind w:left="740" w:hanging="369"/>
        <w:spacing w:after="0"/>
        <w:tabs>
          <w:tab w:leader="none" w:pos="74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The percentage of women in our workforce increased from 33.0% as of December 31, 2019 to 40.6% as of December 31, 2020.</w:t>
      </w:r>
    </w:p>
    <w:p>
      <w:pPr>
        <w:spacing w:after="0" w:line="17" w:lineRule="exact"/>
        <w:rPr>
          <w:rFonts w:ascii="Times New Roman" w:cs="Times New Roman" w:eastAsia="Times New Roman" w:hAnsi="Times New Roman"/>
          <w:sz w:val="17"/>
          <w:szCs w:val="17"/>
          <w:color w:val="auto"/>
        </w:rPr>
      </w:pPr>
    </w:p>
    <w:p>
      <w:pPr>
        <w:jc w:val="both"/>
        <w:ind w:left="740" w:right="80" w:hanging="369"/>
        <w:spacing w:after="0" w:line="244" w:lineRule="auto"/>
        <w:tabs>
          <w:tab w:leader="none" w:pos="74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Efforts to improve race and ethnicity-related voluntary reporting by our employees greatly improved our confidence in the data reported in 2020 relative to 2019. In 2019, 32.6% of our employees did not report a race or ethnicity. That number dropped to 8.2% by the end of 2020.</w:t>
      </w:r>
    </w:p>
    <w:p>
      <w:pPr>
        <w:ind w:left="740" w:right="60" w:hanging="369"/>
        <w:spacing w:after="0" w:line="262" w:lineRule="auto"/>
        <w:tabs>
          <w:tab w:leader="none" w:pos="74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Based on the reported race and ethnicity-related data, non-white representation among our employees stayed nearly flat at 68.5% as of December 31, 2019 and 67.9% as of December 31, 2020.</w:t>
      </w:r>
    </w:p>
    <w:p>
      <w:pPr>
        <w:spacing w:after="0" w:line="155" w:lineRule="exact"/>
        <w:rPr>
          <w:sz w:val="20"/>
          <w:szCs w:val="20"/>
          <w:color w:val="auto"/>
        </w:rPr>
      </w:pPr>
    </w:p>
    <w:tbl>
      <w:tblPr>
        <w:tblLayout w:type="fixed"/>
        <w:tblInd w:w="2270" w:type="dxa"/>
        <w:tblCellMar>
          <w:top w:w="0" w:type="dxa"/>
          <w:left w:w="0" w:type="dxa"/>
          <w:bottom w:w="0" w:type="dxa"/>
          <w:right w:w="0" w:type="dxa"/>
        </w:tblCellMar>
      </w:tblPr>
      <w:tr>
        <w:trPr>
          <w:trHeight w:val="185"/>
        </w:trPr>
        <w:tc>
          <w:tcPr>
            <w:tcW w:w="3260" w:type="dxa"/>
            <w:vAlign w:val="bottom"/>
            <w:tcBorders>
              <w:top w:val="single" w:sz="8" w:color="auto"/>
              <w:left w:val="single" w:sz="8" w:color="auto"/>
              <w:right w:val="single" w:sz="8" w:color="auto"/>
            </w:tcBorders>
          </w:tcPr>
          <w:p>
            <w:pPr>
              <w:spacing w:after="0"/>
              <w:rPr>
                <w:sz w:val="16"/>
                <w:szCs w:val="16"/>
                <w:color w:val="auto"/>
              </w:rPr>
            </w:pPr>
          </w:p>
        </w:tc>
        <w:tc>
          <w:tcPr>
            <w:tcW w:w="2400" w:type="dxa"/>
            <w:vAlign w:val="bottom"/>
            <w:tcBorders>
              <w:top w:val="single" w:sz="8" w:color="auto"/>
              <w:right w:val="single" w:sz="8" w:color="auto"/>
            </w:tcBorders>
            <w:gridSpan w:val="2"/>
          </w:tcPr>
          <w:p>
            <w:pPr>
              <w:jc w:val="right"/>
              <w:ind w:right="313"/>
              <w:spacing w:after="0" w:line="185" w:lineRule="exact"/>
              <w:rPr>
                <w:sz w:val="20"/>
                <w:szCs w:val="20"/>
                <w:color w:val="auto"/>
              </w:rPr>
            </w:pPr>
            <w:r>
              <w:rPr>
                <w:rFonts w:ascii="Arial" w:cs="Arial" w:eastAsia="Arial" w:hAnsi="Arial"/>
                <w:sz w:val="17"/>
                <w:szCs w:val="17"/>
                <w:b w:val="1"/>
                <w:bCs w:val="1"/>
                <w:color w:val="auto"/>
              </w:rPr>
              <w:t>Employee Race and</w:t>
            </w:r>
          </w:p>
        </w:tc>
        <w:tc>
          <w:tcPr>
            <w:tcW w:w="1080" w:type="dxa"/>
            <w:vAlign w:val="bottom"/>
            <w:tcBorders>
              <w:top w:val="single" w:sz="8" w:color="auto"/>
              <w:right w:val="single" w:sz="8" w:color="auto"/>
            </w:tcBorders>
          </w:tcPr>
          <w:p>
            <w:pPr>
              <w:spacing w:after="0"/>
              <w:rPr>
                <w:sz w:val="16"/>
                <w:szCs w:val="16"/>
                <w:color w:val="auto"/>
              </w:rPr>
            </w:pPr>
          </w:p>
        </w:tc>
      </w:tr>
      <w:tr>
        <w:trPr>
          <w:trHeight w:val="246"/>
        </w:trPr>
        <w:tc>
          <w:tcPr>
            <w:tcW w:w="3260" w:type="dxa"/>
            <w:vAlign w:val="bottom"/>
            <w:tcBorders>
              <w:left w:val="single" w:sz="8" w:color="auto"/>
              <w:right w:val="single" w:sz="8" w:color="auto"/>
            </w:tcBorders>
          </w:tcPr>
          <w:p>
            <w:pPr>
              <w:spacing w:after="0"/>
              <w:rPr>
                <w:sz w:val="21"/>
                <w:szCs w:val="21"/>
                <w:color w:val="auto"/>
              </w:rPr>
            </w:pPr>
          </w:p>
        </w:tc>
        <w:tc>
          <w:tcPr>
            <w:tcW w:w="2400" w:type="dxa"/>
            <w:vAlign w:val="bottom"/>
            <w:tcBorders>
              <w:right w:val="single" w:sz="8" w:color="auto"/>
            </w:tcBorders>
            <w:gridSpan w:val="2"/>
          </w:tcPr>
          <w:p>
            <w:pPr>
              <w:jc w:val="right"/>
              <w:ind w:right="753"/>
              <w:spacing w:after="0"/>
              <w:rPr>
                <w:sz w:val="20"/>
                <w:szCs w:val="20"/>
                <w:color w:val="auto"/>
              </w:rPr>
            </w:pPr>
            <w:r>
              <w:rPr>
                <w:rFonts w:ascii="Arial" w:cs="Arial" w:eastAsia="Arial" w:hAnsi="Arial"/>
                <w:sz w:val="17"/>
                <w:szCs w:val="17"/>
                <w:b w:val="1"/>
                <w:bCs w:val="1"/>
                <w:color w:val="auto"/>
              </w:rPr>
              <w:t>Ethnicity</w:t>
            </w:r>
          </w:p>
        </w:tc>
        <w:tc>
          <w:tcPr>
            <w:tcW w:w="1080" w:type="dxa"/>
            <w:vAlign w:val="bottom"/>
            <w:tcBorders>
              <w:right w:val="single" w:sz="8" w:color="auto"/>
            </w:tcBorders>
          </w:tcPr>
          <w:p>
            <w:pPr>
              <w:spacing w:after="0"/>
              <w:rPr>
                <w:sz w:val="21"/>
                <w:szCs w:val="21"/>
                <w:color w:val="auto"/>
              </w:rPr>
            </w:pPr>
          </w:p>
        </w:tc>
      </w:tr>
      <w:tr>
        <w:trPr>
          <w:trHeight w:val="394"/>
        </w:trPr>
        <w:tc>
          <w:tcPr>
            <w:tcW w:w="326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r>
      <w:tr>
        <w:trPr>
          <w:trHeight w:val="216"/>
        </w:trPr>
        <w:tc>
          <w:tcPr>
            <w:tcW w:w="3260" w:type="dxa"/>
            <w:vAlign w:val="bottom"/>
            <w:tcBorders>
              <w:left w:val="single" w:sz="8" w:color="auto"/>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c>
          <w:tcPr>
            <w:tcW w:w="1320" w:type="dxa"/>
            <w:vAlign w:val="bottom"/>
            <w:tcBorders>
              <w:bottom w:val="single" w:sz="8" w:color="auto"/>
              <w:right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2020</w:t>
            </w:r>
          </w:p>
        </w:tc>
        <w:tc>
          <w:tcPr>
            <w:tcW w:w="108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Change</w:t>
            </w:r>
          </w:p>
        </w:tc>
      </w:tr>
      <w:tr>
        <w:trPr>
          <w:trHeight w:val="216"/>
        </w:trPr>
        <w:tc>
          <w:tcPr>
            <w:tcW w:w="3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Asian</w:t>
            </w:r>
          </w:p>
        </w:tc>
        <w:tc>
          <w:tcPr>
            <w:tcW w:w="10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7.88%</w:t>
            </w:r>
          </w:p>
        </w:tc>
        <w:tc>
          <w:tcPr>
            <w:tcW w:w="13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7"/>
                <w:szCs w:val="17"/>
                <w:color w:val="auto"/>
              </w:rPr>
              <w:t>8.07%</w:t>
            </w:r>
          </w:p>
        </w:tc>
        <w:tc>
          <w:tcPr>
            <w:tcW w:w="10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0.20%</w:t>
            </w:r>
          </w:p>
        </w:tc>
      </w:tr>
      <w:tr>
        <w:trPr>
          <w:trHeight w:val="216"/>
        </w:trPr>
        <w:tc>
          <w:tcPr>
            <w:tcW w:w="3260" w:type="dxa"/>
            <w:vAlign w:val="bottom"/>
            <w:tcBorders>
              <w:left w:val="single" w:sz="8" w:color="auto"/>
              <w:bottom w:val="single" w:sz="8" w:color="auto"/>
              <w:right w:val="single" w:sz="8" w:color="auto"/>
            </w:tcBorders>
            <w:shd w:val="clear" w:color="auto" w:fill="E2EFDA"/>
          </w:tcPr>
          <w:p>
            <w:pPr>
              <w:ind w:left="120"/>
              <w:spacing w:after="0"/>
              <w:rPr>
                <w:sz w:val="20"/>
                <w:szCs w:val="20"/>
                <w:color w:val="auto"/>
              </w:rPr>
            </w:pPr>
            <w:r>
              <w:rPr>
                <w:rFonts w:ascii="Arial" w:cs="Arial" w:eastAsia="Arial" w:hAnsi="Arial"/>
                <w:sz w:val="17"/>
                <w:szCs w:val="17"/>
                <w:color w:val="auto"/>
              </w:rPr>
              <w:t>Black / African American</w:t>
            </w:r>
          </w:p>
        </w:tc>
        <w:tc>
          <w:tcPr>
            <w:tcW w:w="1080" w:type="dxa"/>
            <w:vAlign w:val="bottom"/>
            <w:tcBorders>
              <w:bottom w:val="single" w:sz="8" w:color="auto"/>
              <w:right w:val="single" w:sz="8" w:color="auto"/>
            </w:tcBorders>
            <w:shd w:val="clear" w:color="auto" w:fill="E2EFDA"/>
          </w:tcPr>
          <w:p>
            <w:pPr>
              <w:jc w:val="right"/>
              <w:ind w:right="13"/>
              <w:spacing w:after="0"/>
              <w:rPr>
                <w:sz w:val="20"/>
                <w:szCs w:val="20"/>
                <w:color w:val="auto"/>
              </w:rPr>
            </w:pPr>
            <w:r>
              <w:rPr>
                <w:rFonts w:ascii="Arial" w:cs="Arial" w:eastAsia="Arial" w:hAnsi="Arial"/>
                <w:sz w:val="17"/>
                <w:szCs w:val="17"/>
                <w:color w:val="auto"/>
              </w:rPr>
              <w:t>20.33%</w:t>
            </w:r>
          </w:p>
        </w:tc>
        <w:tc>
          <w:tcPr>
            <w:tcW w:w="1320" w:type="dxa"/>
            <w:vAlign w:val="bottom"/>
            <w:tcBorders>
              <w:bottom w:val="single" w:sz="8" w:color="auto"/>
              <w:right w:val="single" w:sz="8" w:color="auto"/>
            </w:tcBorders>
            <w:shd w:val="clear" w:color="auto" w:fill="E2EFDA"/>
          </w:tcPr>
          <w:p>
            <w:pPr>
              <w:jc w:val="right"/>
              <w:ind w:right="33"/>
              <w:spacing w:after="0"/>
              <w:rPr>
                <w:sz w:val="20"/>
                <w:szCs w:val="20"/>
                <w:color w:val="auto"/>
              </w:rPr>
            </w:pPr>
            <w:r>
              <w:rPr>
                <w:rFonts w:ascii="Arial" w:cs="Arial" w:eastAsia="Arial" w:hAnsi="Arial"/>
                <w:sz w:val="17"/>
                <w:szCs w:val="17"/>
                <w:color w:val="auto"/>
              </w:rPr>
              <w:t>25.26%</w:t>
            </w:r>
          </w:p>
        </w:tc>
        <w:tc>
          <w:tcPr>
            <w:tcW w:w="1080" w:type="dxa"/>
            <w:vAlign w:val="bottom"/>
            <w:tcBorders>
              <w:bottom w:val="single" w:sz="8" w:color="auto"/>
              <w:right w:val="single" w:sz="8" w:color="auto"/>
            </w:tcBorders>
            <w:shd w:val="clear" w:color="auto" w:fill="E2EFDA"/>
          </w:tcPr>
          <w:p>
            <w:pPr>
              <w:jc w:val="right"/>
              <w:ind w:right="13"/>
              <w:spacing w:after="0"/>
              <w:rPr>
                <w:sz w:val="20"/>
                <w:szCs w:val="20"/>
                <w:color w:val="auto"/>
              </w:rPr>
            </w:pPr>
            <w:r>
              <w:rPr>
                <w:rFonts w:ascii="Arial" w:cs="Arial" w:eastAsia="Arial" w:hAnsi="Arial"/>
                <w:sz w:val="17"/>
                <w:szCs w:val="17"/>
                <w:color w:val="auto"/>
              </w:rPr>
              <w:t>4.93%</w:t>
            </w:r>
          </w:p>
        </w:tc>
      </w:tr>
      <w:tr>
        <w:trPr>
          <w:trHeight w:val="216"/>
        </w:trPr>
        <w:tc>
          <w:tcPr>
            <w:tcW w:w="3260" w:type="dxa"/>
            <w:vAlign w:val="bottom"/>
            <w:tcBorders>
              <w:left w:val="single" w:sz="8" w:color="auto"/>
              <w:bottom w:val="single" w:sz="8" w:color="auto"/>
              <w:right w:val="single" w:sz="8" w:color="auto"/>
            </w:tcBorders>
            <w:shd w:val="clear" w:color="auto" w:fill="FCE4D6"/>
          </w:tcPr>
          <w:p>
            <w:pPr>
              <w:ind w:left="120"/>
              <w:spacing w:after="0"/>
              <w:rPr>
                <w:sz w:val="20"/>
                <w:szCs w:val="20"/>
                <w:color w:val="auto"/>
              </w:rPr>
            </w:pPr>
            <w:r>
              <w:rPr>
                <w:rFonts w:ascii="Arial" w:cs="Arial" w:eastAsia="Arial" w:hAnsi="Arial"/>
                <w:sz w:val="17"/>
                <w:szCs w:val="17"/>
                <w:color w:val="auto"/>
              </w:rPr>
              <w:t>Hispanic / Latino</w:t>
            </w:r>
          </w:p>
        </w:tc>
        <w:tc>
          <w:tcPr>
            <w:tcW w:w="1080" w:type="dxa"/>
            <w:vAlign w:val="bottom"/>
            <w:tcBorders>
              <w:bottom w:val="single" w:sz="8" w:color="auto"/>
              <w:right w:val="single" w:sz="8" w:color="auto"/>
            </w:tcBorders>
            <w:shd w:val="clear" w:color="auto" w:fill="FCE4D6"/>
          </w:tcPr>
          <w:p>
            <w:pPr>
              <w:jc w:val="right"/>
              <w:ind w:right="13"/>
              <w:spacing w:after="0"/>
              <w:rPr>
                <w:sz w:val="20"/>
                <w:szCs w:val="20"/>
                <w:color w:val="auto"/>
              </w:rPr>
            </w:pPr>
            <w:r>
              <w:rPr>
                <w:rFonts w:ascii="Arial" w:cs="Arial" w:eastAsia="Arial" w:hAnsi="Arial"/>
                <w:sz w:val="17"/>
                <w:szCs w:val="17"/>
                <w:color w:val="auto"/>
              </w:rPr>
              <w:t>35.71%</w:t>
            </w:r>
          </w:p>
        </w:tc>
        <w:tc>
          <w:tcPr>
            <w:tcW w:w="1320" w:type="dxa"/>
            <w:vAlign w:val="bottom"/>
            <w:tcBorders>
              <w:bottom w:val="single" w:sz="8" w:color="auto"/>
              <w:right w:val="single" w:sz="8" w:color="auto"/>
            </w:tcBorders>
            <w:shd w:val="clear" w:color="auto" w:fill="FCE4D6"/>
          </w:tcPr>
          <w:p>
            <w:pPr>
              <w:jc w:val="right"/>
              <w:ind w:right="33"/>
              <w:spacing w:after="0"/>
              <w:rPr>
                <w:sz w:val="20"/>
                <w:szCs w:val="20"/>
                <w:color w:val="auto"/>
              </w:rPr>
            </w:pPr>
            <w:r>
              <w:rPr>
                <w:rFonts w:ascii="Arial" w:cs="Arial" w:eastAsia="Arial" w:hAnsi="Arial"/>
                <w:sz w:val="17"/>
                <w:szCs w:val="17"/>
                <w:color w:val="auto"/>
              </w:rPr>
              <w:t>29.53%</w:t>
            </w:r>
          </w:p>
        </w:tc>
        <w:tc>
          <w:tcPr>
            <w:tcW w:w="1080" w:type="dxa"/>
            <w:vAlign w:val="bottom"/>
            <w:tcBorders>
              <w:bottom w:val="single" w:sz="8" w:color="auto"/>
              <w:right w:val="single" w:sz="8" w:color="auto"/>
            </w:tcBorders>
            <w:shd w:val="clear" w:color="auto" w:fill="FCE4D6"/>
          </w:tcPr>
          <w:p>
            <w:pPr>
              <w:jc w:val="right"/>
              <w:ind w:right="13"/>
              <w:spacing w:after="0"/>
              <w:rPr>
                <w:sz w:val="20"/>
                <w:szCs w:val="20"/>
                <w:color w:val="auto"/>
              </w:rPr>
            </w:pPr>
            <w:r>
              <w:rPr>
                <w:rFonts w:ascii="Arial" w:cs="Arial" w:eastAsia="Arial" w:hAnsi="Arial"/>
                <w:sz w:val="17"/>
                <w:szCs w:val="17"/>
                <w:color w:val="auto"/>
              </w:rPr>
              <w:t>(6.19)%</w:t>
            </w:r>
          </w:p>
        </w:tc>
      </w:tr>
      <w:tr>
        <w:trPr>
          <w:trHeight w:val="216"/>
        </w:trPr>
        <w:tc>
          <w:tcPr>
            <w:tcW w:w="3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Native Hawaiian / Pacific Islander</w:t>
            </w:r>
          </w:p>
        </w:tc>
        <w:tc>
          <w:tcPr>
            <w:tcW w:w="10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0.55%</w:t>
            </w:r>
          </w:p>
        </w:tc>
        <w:tc>
          <w:tcPr>
            <w:tcW w:w="13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7"/>
                <w:szCs w:val="17"/>
                <w:color w:val="auto"/>
              </w:rPr>
              <w:t>0.35%</w:t>
            </w:r>
          </w:p>
        </w:tc>
        <w:tc>
          <w:tcPr>
            <w:tcW w:w="10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(0.20)%</w:t>
            </w:r>
          </w:p>
        </w:tc>
      </w:tr>
      <w:tr>
        <w:trPr>
          <w:trHeight w:val="216"/>
        </w:trPr>
        <w:tc>
          <w:tcPr>
            <w:tcW w:w="3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Two or More Races</w:t>
            </w:r>
          </w:p>
        </w:tc>
        <w:tc>
          <w:tcPr>
            <w:tcW w:w="10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2.20%</w:t>
            </w:r>
          </w:p>
        </w:tc>
        <w:tc>
          <w:tcPr>
            <w:tcW w:w="13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7"/>
                <w:szCs w:val="17"/>
                <w:color w:val="auto"/>
              </w:rPr>
              <w:t>2.54%</w:t>
            </w:r>
          </w:p>
        </w:tc>
        <w:tc>
          <w:tcPr>
            <w:tcW w:w="10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0.34%</w:t>
            </w:r>
          </w:p>
        </w:tc>
      </w:tr>
      <w:tr>
        <w:trPr>
          <w:trHeight w:val="216"/>
        </w:trPr>
        <w:tc>
          <w:tcPr>
            <w:tcW w:w="3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White</w:t>
            </w:r>
          </w:p>
        </w:tc>
        <w:tc>
          <w:tcPr>
            <w:tcW w:w="10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31.50%</w:t>
            </w:r>
          </w:p>
        </w:tc>
        <w:tc>
          <w:tcPr>
            <w:tcW w:w="13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7"/>
                <w:szCs w:val="17"/>
                <w:color w:val="auto"/>
              </w:rPr>
              <w:t>32.06%</w:t>
            </w:r>
          </w:p>
        </w:tc>
        <w:tc>
          <w:tcPr>
            <w:tcW w:w="10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0.56%</w:t>
            </w:r>
          </w:p>
        </w:tc>
      </w:tr>
      <w:tr>
        <w:trPr>
          <w:trHeight w:val="216"/>
        </w:trPr>
        <w:tc>
          <w:tcPr>
            <w:tcW w:w="3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I do not wish to answer</w:t>
            </w:r>
          </w:p>
        </w:tc>
        <w:tc>
          <w:tcPr>
            <w:tcW w:w="10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1.83%</w:t>
            </w:r>
          </w:p>
        </w:tc>
        <w:tc>
          <w:tcPr>
            <w:tcW w:w="13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7"/>
                <w:szCs w:val="17"/>
                <w:color w:val="auto"/>
              </w:rPr>
              <w:t>2.19%</w:t>
            </w:r>
          </w:p>
        </w:tc>
        <w:tc>
          <w:tcPr>
            <w:tcW w:w="10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0.36%</w:t>
            </w:r>
          </w:p>
        </w:tc>
      </w:tr>
      <w:tr>
        <w:trPr>
          <w:trHeight w:val="216"/>
        </w:trPr>
        <w:tc>
          <w:tcPr>
            <w:tcW w:w="3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Total</w:t>
            </w:r>
          </w:p>
        </w:tc>
        <w:tc>
          <w:tcPr>
            <w:tcW w:w="10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100.00%</w:t>
            </w:r>
          </w:p>
        </w:tc>
        <w:tc>
          <w:tcPr>
            <w:tcW w:w="13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7"/>
                <w:szCs w:val="17"/>
                <w:color w:val="auto"/>
              </w:rPr>
              <w:t>100.00%</w:t>
            </w:r>
          </w:p>
        </w:tc>
        <w:tc>
          <w:tcPr>
            <w:tcW w:w="1080" w:type="dxa"/>
            <w:vAlign w:val="bottom"/>
            <w:tcBorders>
              <w:bottom w:val="single" w:sz="8" w:color="auto"/>
              <w:right w:val="single" w:sz="8" w:color="auto"/>
            </w:tcBorders>
          </w:tcPr>
          <w:p>
            <w:pPr>
              <w:spacing w:after="0"/>
              <w:rPr>
                <w:sz w:val="18"/>
                <w:szCs w:val="18"/>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Inclusion</w:t>
      </w:r>
    </w:p>
    <w:p>
      <w:pPr>
        <w:spacing w:after="0" w:line="130" w:lineRule="exact"/>
        <w:rPr>
          <w:sz w:val="20"/>
          <w:szCs w:val="20"/>
          <w:color w:val="auto"/>
        </w:rPr>
      </w:pPr>
    </w:p>
    <w:p>
      <w:pPr>
        <w:ind w:left="740" w:right="280" w:hanging="369"/>
        <w:spacing w:after="0" w:line="249" w:lineRule="auto"/>
        <w:tabs>
          <w:tab w:leader="none" w:pos="74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During the summer of 2020, in the midst of social unrest, we held a number of listening sessions to discuss the experiences of our employees — with particular emphasis on our African American colleagues. These sessions were well attended and well received by our employees.</w:t>
      </w:r>
    </w:p>
    <w:p>
      <w:pPr>
        <w:spacing w:after="0" w:line="1" w:lineRule="exact"/>
        <w:rPr>
          <w:rFonts w:ascii="Times New Roman" w:cs="Times New Roman" w:eastAsia="Times New Roman" w:hAnsi="Times New Roman"/>
          <w:sz w:val="17"/>
          <w:szCs w:val="17"/>
          <w:color w:val="auto"/>
        </w:rPr>
      </w:pPr>
    </w:p>
    <w:p>
      <w:pPr>
        <w:ind w:left="740" w:right="120" w:hanging="369"/>
        <w:spacing w:after="0"/>
        <w:tabs>
          <w:tab w:leader="none" w:pos="74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We also established a cross functional Diversity, Equity and Inclusion Committee tasked with working with our Senior Leadership Team on efforts aimed at improving DEI experiences and outcomes for our employees. The Diversity, Equity and Inclusion Committee has begun making recommendations for Company-wide training, communication, and other efforts.</w:t>
      </w:r>
    </w:p>
    <w:p>
      <w:pPr>
        <w:spacing w:after="0" w:line="1" w:lineRule="exact"/>
        <w:rPr>
          <w:rFonts w:ascii="Times New Roman" w:cs="Times New Roman" w:eastAsia="Times New Roman" w:hAnsi="Times New Roman"/>
          <w:sz w:val="17"/>
          <w:szCs w:val="17"/>
          <w:color w:val="auto"/>
        </w:rPr>
      </w:pPr>
    </w:p>
    <w:p>
      <w:pPr>
        <w:ind w:left="740" w:right="180" w:hanging="369"/>
        <w:spacing w:after="0" w:line="262" w:lineRule="auto"/>
        <w:tabs>
          <w:tab w:leader="none" w:pos="74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In addition to our required anti-harassment training, we have introduced mandatory implicit bias training to heighten awareness across the organization.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Workplace Health &amp; Safety</w:t>
      </w:r>
    </w:p>
    <w:p>
      <w:pPr>
        <w:spacing w:after="0" w:line="143" w:lineRule="exact"/>
        <w:rPr>
          <w:sz w:val="20"/>
          <w:szCs w:val="20"/>
          <w:color w:val="auto"/>
        </w:rPr>
      </w:pPr>
    </w:p>
    <w:p>
      <w:pPr>
        <w:jc w:val="both"/>
        <w:ind w:right="260" w:firstLine="750"/>
        <w:spacing w:after="0" w:line="265" w:lineRule="auto"/>
        <w:rPr>
          <w:sz w:val="20"/>
          <w:szCs w:val="20"/>
          <w:color w:val="auto"/>
        </w:rPr>
      </w:pPr>
      <w:r>
        <w:rPr>
          <w:rFonts w:ascii="Arial" w:cs="Arial" w:eastAsia="Arial" w:hAnsi="Arial"/>
          <w:sz w:val="17"/>
          <w:szCs w:val="17"/>
          <w:color w:val="auto"/>
        </w:rPr>
        <w:t>Vroom takes a comprehensive approach to workplace health and safety. During 2020, efforts were largely focused on addressing the spread of COVID-19, especially given the in-person nature of the work of many of Vroom’s employees, including our reconditioning, titling, and document support staff.</w:t>
      </w:r>
    </w:p>
    <w:p>
      <w:pPr>
        <w:spacing w:after="0" w:line="85" w:lineRule="exact"/>
        <w:rPr>
          <w:sz w:val="20"/>
          <w:szCs w:val="20"/>
          <w:color w:val="auto"/>
        </w:rPr>
      </w:pPr>
    </w:p>
    <w:p>
      <w:pPr>
        <w:ind w:right="280" w:firstLine="750"/>
        <w:spacing w:after="0" w:line="253" w:lineRule="auto"/>
        <w:rPr>
          <w:sz w:val="20"/>
          <w:szCs w:val="20"/>
          <w:color w:val="auto"/>
        </w:rPr>
      </w:pPr>
      <w:r>
        <w:rPr>
          <w:rFonts w:ascii="Arial" w:cs="Arial" w:eastAsia="Arial" w:hAnsi="Arial"/>
          <w:sz w:val="17"/>
          <w:szCs w:val="17"/>
          <w:color w:val="auto"/>
        </w:rPr>
        <w:t>In response to the COVID-19 disruptions, we implemented a number of measures to protect the health and safety of our workforce. These measures include restrictions on non-essential business travel, the institution of work-from-home policies wherever feasible and the implementation of strategies for workplace safety at our facilities. We are following and require all of our on-site vendors to follow the guidance from public health officials and government agencies, including implementation of enhanced cleaning measures, social distancing guidelines, wearing of masks, eliminating non-essential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30" w:lineRule="exact"/>
        <w:rPr>
          <w:sz w:val="20"/>
          <w:szCs w:val="20"/>
          <w:color w:val="auto"/>
        </w:rPr>
      </w:pPr>
    </w:p>
    <w:p>
      <w:pPr>
        <w:ind w:right="300"/>
        <w:spacing w:after="0" w:line="250" w:lineRule="auto"/>
        <w:rPr>
          <w:sz w:val="20"/>
          <w:szCs w:val="20"/>
          <w:color w:val="auto"/>
        </w:rPr>
      </w:pPr>
      <w:r>
        <w:rPr>
          <w:rFonts w:ascii="Arial" w:cs="Arial" w:eastAsia="Arial" w:hAnsi="Arial"/>
          <w:sz w:val="17"/>
          <w:szCs w:val="17"/>
          <w:color w:val="auto"/>
        </w:rPr>
        <w:t>vendor / guest visitation, and requiring temperature checks and health attestations prior to entering buildings. Seating, signage, and cleaning materials have been added to ensure adherence to best practices for employee health and safety during this pandemic. In addition, we have leased additional office space to ensure sufficient in-office capacity while providing adequate spacing of our employees. Where feasible, we operate on a rotating team schedule to reduce exposure and also require any diagnosed or exposed employees to self-isolate for up to two weeks. In response to the COVID-19 pandemic, a cross functional working group was formed to focus on COVID-related matters of space and remote work and continues to meet bi-weekly to ensure up-to-date safety protocols and efficient responses to new information.</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&amp; Rewards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COVID-19 Related Actions</w:t>
      </w:r>
    </w:p>
    <w:p>
      <w:pPr>
        <w:spacing w:after="0" w:line="210" w:lineRule="exact"/>
        <w:rPr>
          <w:sz w:val="20"/>
          <w:szCs w:val="20"/>
          <w:color w:val="auto"/>
        </w:rPr>
      </w:pPr>
    </w:p>
    <w:p>
      <w:pPr>
        <w:ind w:right="240" w:firstLine="750"/>
        <w:spacing w:after="0" w:line="253" w:lineRule="auto"/>
        <w:rPr>
          <w:sz w:val="20"/>
          <w:szCs w:val="20"/>
          <w:color w:val="auto"/>
        </w:rPr>
      </w:pPr>
      <w:r>
        <w:rPr>
          <w:rFonts w:ascii="Arial" w:cs="Arial" w:eastAsia="Arial" w:hAnsi="Arial"/>
          <w:sz w:val="17"/>
          <w:szCs w:val="17"/>
          <w:color w:val="auto"/>
        </w:rPr>
        <w:t>Reduced unit volume in the early weeks of the COVID-19 pandemic led to a furlough of approximately one-third of our staff as well as salary reductions for our remaining staff. Employees were given two weeks’ notice prior to any furlough action and remained on Company-provided benefits for the duration of the furlough. Approximately 77% of those employees furloughed were returned to work within 60 days and only 13% were ultimately terminated. Each of these terminated employees received standard separation benefits, including outplacement and separation pay.</w:t>
      </w:r>
    </w:p>
    <w:p>
      <w:pPr>
        <w:spacing w:after="0" w:line="95" w:lineRule="exact"/>
        <w:rPr>
          <w:sz w:val="20"/>
          <w:szCs w:val="20"/>
          <w:color w:val="auto"/>
        </w:rPr>
      </w:pPr>
    </w:p>
    <w:p>
      <w:pPr>
        <w:ind w:right="220" w:firstLine="750"/>
        <w:spacing w:after="0" w:line="257" w:lineRule="auto"/>
        <w:rPr>
          <w:sz w:val="20"/>
          <w:szCs w:val="20"/>
          <w:color w:val="auto"/>
        </w:rPr>
      </w:pPr>
      <w:r>
        <w:rPr>
          <w:rFonts w:ascii="Arial" w:cs="Arial" w:eastAsia="Arial" w:hAnsi="Arial"/>
          <w:sz w:val="17"/>
          <w:szCs w:val="17"/>
          <w:color w:val="auto"/>
        </w:rPr>
        <w:t>In May 2020, salary reductions were instituted relative to level and overall compensation in the organization. The option to work overtime was eliminated for hourly employees and salaried employees experienced reductions at the most junior level of 5%, up to 25% for our Chief Executive Officer. Salaries were returned to pre-COVID levels by July of 2020, with our Chief Executive Officer being the last employee to have his full salary restored.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General Compensation</w:t>
      </w:r>
    </w:p>
    <w:p>
      <w:pPr>
        <w:spacing w:after="0" w:line="210" w:lineRule="exact"/>
        <w:rPr>
          <w:sz w:val="20"/>
          <w:szCs w:val="20"/>
          <w:color w:val="auto"/>
        </w:rPr>
      </w:pPr>
    </w:p>
    <w:p>
      <w:pPr>
        <w:ind w:right="280" w:firstLine="644"/>
        <w:spacing w:after="0" w:line="257" w:lineRule="auto"/>
        <w:rPr>
          <w:sz w:val="20"/>
          <w:szCs w:val="20"/>
          <w:color w:val="auto"/>
        </w:rPr>
      </w:pPr>
      <w:r>
        <w:rPr>
          <w:rFonts w:ascii="Arial" w:cs="Arial" w:eastAsia="Arial" w:hAnsi="Arial"/>
          <w:sz w:val="17"/>
          <w:szCs w:val="17"/>
          <w:color w:val="auto"/>
        </w:rPr>
        <w:t>Our compensation philosophy is driven by the desire to attract and retain top talent, while ensuring that compensation aligns with our corporate and financial objectives and the long-term interests of our stockholders. We have developed a pay structure that offers a competitive total compensation package including base salary, bonus, equity, and other position-specific incentives. Annual bonus plans are tied to both company and individual performance factors.</w:t>
      </w:r>
    </w:p>
    <w:p>
      <w:pPr>
        <w:spacing w:after="0" w:line="157" w:lineRule="exact"/>
        <w:rPr>
          <w:sz w:val="20"/>
          <w:szCs w:val="20"/>
          <w:color w:val="auto"/>
        </w:rPr>
      </w:pPr>
    </w:p>
    <w:p>
      <w:pPr>
        <w:ind w:right="100" w:firstLine="644"/>
        <w:spacing w:after="0" w:line="265" w:lineRule="auto"/>
        <w:rPr>
          <w:sz w:val="20"/>
          <w:szCs w:val="20"/>
          <w:color w:val="auto"/>
        </w:rPr>
      </w:pPr>
      <w:r>
        <w:rPr>
          <w:rFonts w:ascii="Arial" w:cs="Arial" w:eastAsia="Arial" w:hAnsi="Arial"/>
          <w:sz w:val="17"/>
          <w:szCs w:val="17"/>
          <w:color w:val="auto"/>
        </w:rPr>
        <w:t>Our comprehensive benefit plans offer medical, dental and vision insurance and long and short-term disability, as well as flexible spending accounts and other voluntary coverage to all of our employees. We routinely benchmark our salaries and benefits against market peers to ensure our total rewards package remains competitive.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Communication &amp; Talent Development</w:t>
      </w:r>
    </w:p>
    <w:p>
      <w:pPr>
        <w:spacing w:after="0" w:line="143" w:lineRule="exact"/>
        <w:rPr>
          <w:sz w:val="20"/>
          <w:szCs w:val="20"/>
          <w:color w:val="auto"/>
        </w:rPr>
      </w:pPr>
    </w:p>
    <w:p>
      <w:pPr>
        <w:ind w:right="200" w:firstLine="750"/>
        <w:spacing w:after="0" w:line="265" w:lineRule="auto"/>
        <w:rPr>
          <w:sz w:val="20"/>
          <w:szCs w:val="20"/>
          <w:color w:val="auto"/>
        </w:rPr>
      </w:pPr>
      <w:r>
        <w:rPr>
          <w:rFonts w:ascii="Arial" w:cs="Arial" w:eastAsia="Arial" w:hAnsi="Arial"/>
          <w:sz w:val="17"/>
          <w:szCs w:val="17"/>
          <w:color w:val="auto"/>
        </w:rPr>
        <w:t>A key part of Vroom’s operating philosophy is ensuring that employees are learning and developing as well as providing input into Vroom’s daily operations. In addition to a standard engagement survey and formal feedback tool, Vroom has implemented a number of systems designed to improve feedback to and from employees. They are described below:</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1260" w:type="dxa"/>
            <w:vAlign w:val="bottom"/>
            <w:tcBorders>
              <w:right w:val="single" w:sz="8" w:color="auto"/>
            </w:tcBorders>
          </w:tcPr>
          <w:p>
            <w:pPr>
              <w:spacing w:after="0"/>
              <w:rPr>
                <w:sz w:val="24"/>
                <w:szCs w:val="24"/>
                <w:color w:val="auto"/>
              </w:rPr>
            </w:pPr>
          </w:p>
        </w:tc>
        <w:tc>
          <w:tcPr>
            <w:tcW w:w="19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System / Tool</w:t>
            </w:r>
          </w:p>
        </w:tc>
        <w:tc>
          <w:tcPr>
            <w:tcW w:w="68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Description / Purpose</w:t>
            </w:r>
          </w:p>
        </w:tc>
        <w:tc>
          <w:tcPr>
            <w:tcW w:w="1220" w:type="dxa"/>
            <w:vAlign w:val="bottom"/>
          </w:tcPr>
          <w:p>
            <w:pPr>
              <w:spacing w:after="0"/>
              <w:rPr>
                <w:sz w:val="24"/>
                <w:szCs w:val="24"/>
                <w:color w:val="auto"/>
              </w:rPr>
            </w:pPr>
          </w:p>
        </w:tc>
      </w:tr>
      <w:tr>
        <w:trPr>
          <w:trHeight w:val="198"/>
        </w:trPr>
        <w:tc>
          <w:tcPr>
            <w:tcW w:w="1260" w:type="dxa"/>
            <w:vAlign w:val="bottom"/>
            <w:tcBorders>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6880" w:type="dxa"/>
            <w:vAlign w:val="bottom"/>
            <w:tcBorders>
              <w:bottom w:val="single" w:sz="8" w:color="auto"/>
              <w:right w:val="single" w:sz="8" w:color="auto"/>
            </w:tcBorders>
          </w:tcPr>
          <w:p>
            <w:pPr>
              <w:spacing w:after="0"/>
              <w:rPr>
                <w:sz w:val="17"/>
                <w:szCs w:val="17"/>
                <w:color w:val="auto"/>
              </w:rPr>
            </w:pPr>
          </w:p>
        </w:tc>
        <w:tc>
          <w:tcPr>
            <w:tcW w:w="1220" w:type="dxa"/>
            <w:vAlign w:val="bottom"/>
          </w:tcPr>
          <w:p>
            <w:pPr>
              <w:spacing w:after="0"/>
              <w:rPr>
                <w:sz w:val="17"/>
                <w:szCs w:val="17"/>
                <w:color w:val="auto"/>
              </w:rPr>
            </w:pPr>
          </w:p>
        </w:tc>
      </w:tr>
      <w:tr>
        <w:trPr>
          <w:trHeight w:val="245"/>
        </w:trPr>
        <w:tc>
          <w:tcPr>
            <w:tcW w:w="126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Pit Crew Meetings</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Frequent small group meetings between employees and a senior leader in the</w:t>
            </w:r>
          </w:p>
        </w:tc>
        <w:tc>
          <w:tcPr>
            <w:tcW w:w="1220" w:type="dxa"/>
            <w:vAlign w:val="bottom"/>
          </w:tcPr>
          <w:p>
            <w:pPr>
              <w:spacing w:after="0"/>
              <w:rPr>
                <w:sz w:val="21"/>
                <w:szCs w:val="21"/>
                <w:color w:val="auto"/>
              </w:rPr>
            </w:pPr>
          </w:p>
        </w:tc>
      </w:tr>
      <w:tr>
        <w:trPr>
          <w:trHeight w:val="196"/>
        </w:trPr>
        <w:tc>
          <w:tcPr>
            <w:tcW w:w="126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organization to share business updates and surface ideas for improvements in the</w:t>
            </w:r>
          </w:p>
        </w:tc>
        <w:tc>
          <w:tcPr>
            <w:tcW w:w="1220" w:type="dxa"/>
            <w:vAlign w:val="bottom"/>
          </w:tcPr>
          <w:p>
            <w:pPr>
              <w:spacing w:after="0"/>
              <w:rPr>
                <w:sz w:val="17"/>
                <w:szCs w:val="17"/>
                <w:color w:val="auto"/>
              </w:rPr>
            </w:pPr>
          </w:p>
        </w:tc>
      </w:tr>
      <w:tr>
        <w:trPr>
          <w:trHeight w:val="236"/>
        </w:trPr>
        <w:tc>
          <w:tcPr>
            <w:tcW w:w="126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business and employee experience.</w:t>
            </w:r>
          </w:p>
        </w:tc>
        <w:tc>
          <w:tcPr>
            <w:tcW w:w="1220" w:type="dxa"/>
            <w:vAlign w:val="bottom"/>
          </w:tcPr>
          <w:p>
            <w:pPr>
              <w:spacing w:after="0"/>
              <w:rPr>
                <w:sz w:val="20"/>
                <w:szCs w:val="20"/>
                <w:color w:val="auto"/>
              </w:rPr>
            </w:pPr>
          </w:p>
        </w:tc>
      </w:tr>
      <w:tr>
        <w:trPr>
          <w:trHeight w:val="206"/>
        </w:trPr>
        <w:tc>
          <w:tcPr>
            <w:tcW w:w="1260" w:type="dxa"/>
            <w:vAlign w:val="bottom"/>
            <w:tcBorders>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6880" w:type="dxa"/>
            <w:vAlign w:val="bottom"/>
            <w:tcBorders>
              <w:bottom w:val="single" w:sz="8" w:color="auto"/>
              <w:right w:val="single" w:sz="8" w:color="auto"/>
            </w:tcBorders>
          </w:tcPr>
          <w:p>
            <w:pPr>
              <w:spacing w:after="0"/>
              <w:rPr>
                <w:sz w:val="17"/>
                <w:szCs w:val="17"/>
                <w:color w:val="auto"/>
              </w:rPr>
            </w:pPr>
          </w:p>
        </w:tc>
        <w:tc>
          <w:tcPr>
            <w:tcW w:w="1220" w:type="dxa"/>
            <w:vAlign w:val="bottom"/>
          </w:tcPr>
          <w:p>
            <w:pPr>
              <w:spacing w:after="0"/>
              <w:rPr>
                <w:sz w:val="17"/>
                <w:szCs w:val="17"/>
                <w:color w:val="auto"/>
              </w:rPr>
            </w:pPr>
          </w:p>
        </w:tc>
      </w:tr>
      <w:tr>
        <w:trPr>
          <w:trHeight w:val="245"/>
        </w:trPr>
        <w:tc>
          <w:tcPr>
            <w:tcW w:w="126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Town Hall Style</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Quarterly town-hall style meetings where business results are shared and employees</w:t>
            </w:r>
          </w:p>
        </w:tc>
        <w:tc>
          <w:tcPr>
            <w:tcW w:w="1220" w:type="dxa"/>
            <w:vAlign w:val="bottom"/>
          </w:tcPr>
          <w:p>
            <w:pPr>
              <w:spacing w:after="0"/>
              <w:rPr>
                <w:sz w:val="21"/>
                <w:szCs w:val="21"/>
                <w:color w:val="auto"/>
              </w:rPr>
            </w:pPr>
          </w:p>
        </w:tc>
      </w:tr>
      <w:tr>
        <w:trPr>
          <w:trHeight w:val="196"/>
        </w:trPr>
        <w:tc>
          <w:tcPr>
            <w:tcW w:w="126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Meetings with Chief</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xml:space="preserve">submit questions </w:t>
            </w:r>
            <w:r>
              <w:rPr>
                <w:rFonts w:ascii="Times New Roman" w:cs="Times New Roman" w:eastAsia="Times New Roman" w:hAnsi="Times New Roman"/>
                <w:sz w:val="17"/>
                <w:szCs w:val="17"/>
                <w:color w:val="auto"/>
              </w:rPr>
              <w:t>to the</w:t>
            </w:r>
            <w:r>
              <w:rPr>
                <w:rFonts w:ascii="Arial" w:cs="Arial" w:eastAsia="Arial" w:hAnsi="Arial"/>
                <w:sz w:val="17"/>
                <w:szCs w:val="17"/>
                <w:color w:val="auto"/>
              </w:rPr>
              <w:t xml:space="preserve"> Chief Executive Officer and Senior Leadership Team </w:t>
            </w:r>
            <w:r>
              <w:rPr>
                <w:rFonts w:ascii="Times New Roman" w:cs="Times New Roman" w:eastAsia="Times New Roman" w:hAnsi="Times New Roman"/>
                <w:sz w:val="17"/>
                <w:szCs w:val="17"/>
                <w:color w:val="auto"/>
              </w:rPr>
              <w:t>regarding a</w:t>
            </w:r>
          </w:p>
        </w:tc>
        <w:tc>
          <w:tcPr>
            <w:tcW w:w="1220" w:type="dxa"/>
            <w:vAlign w:val="bottom"/>
          </w:tcPr>
          <w:p>
            <w:pPr>
              <w:spacing w:after="0"/>
              <w:rPr>
                <w:sz w:val="17"/>
                <w:szCs w:val="17"/>
                <w:color w:val="auto"/>
              </w:rPr>
            </w:pPr>
          </w:p>
        </w:tc>
      </w:tr>
      <w:tr>
        <w:trPr>
          <w:trHeight w:val="245"/>
        </w:trPr>
        <w:tc>
          <w:tcPr>
            <w:tcW w:w="126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Executive Officer</w:t>
            </w:r>
          </w:p>
        </w:tc>
        <w:tc>
          <w:tcPr>
            <w:tcW w:w="6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wide range of topics.</w:t>
            </w:r>
          </w:p>
        </w:tc>
        <w:tc>
          <w:tcPr>
            <w:tcW w:w="1220" w:type="dxa"/>
            <w:vAlign w:val="bottom"/>
          </w:tcPr>
          <w:p>
            <w:pPr>
              <w:spacing w:after="0"/>
              <w:rPr>
                <w:sz w:val="21"/>
                <w:szCs w:val="21"/>
                <w:color w:val="auto"/>
              </w:rPr>
            </w:pPr>
          </w:p>
        </w:tc>
      </w:tr>
      <w:tr>
        <w:trPr>
          <w:trHeight w:val="223"/>
        </w:trPr>
        <w:tc>
          <w:tcPr>
            <w:tcW w:w="1260" w:type="dxa"/>
            <w:vAlign w:val="bottom"/>
            <w:tcBorders>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6880" w:type="dxa"/>
            <w:vAlign w:val="bottom"/>
            <w:tcBorders>
              <w:bottom w:val="single" w:sz="8" w:color="auto"/>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45"/>
        </w:trPr>
        <w:tc>
          <w:tcPr>
            <w:tcW w:w="126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Check Engine System</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An anonymous forum for uncovering problems or challenges in the business that are</w:t>
            </w:r>
          </w:p>
        </w:tc>
        <w:tc>
          <w:tcPr>
            <w:tcW w:w="1220" w:type="dxa"/>
            <w:vAlign w:val="bottom"/>
          </w:tcPr>
          <w:p>
            <w:pPr>
              <w:spacing w:after="0"/>
              <w:rPr>
                <w:sz w:val="21"/>
                <w:szCs w:val="21"/>
                <w:color w:val="auto"/>
              </w:rPr>
            </w:pPr>
          </w:p>
        </w:tc>
      </w:tr>
      <w:tr>
        <w:trPr>
          <w:trHeight w:val="236"/>
        </w:trPr>
        <w:tc>
          <w:tcPr>
            <w:tcW w:w="126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then addressed by appropriate parties.</w:t>
            </w:r>
          </w:p>
        </w:tc>
        <w:tc>
          <w:tcPr>
            <w:tcW w:w="1220" w:type="dxa"/>
            <w:vAlign w:val="bottom"/>
          </w:tcPr>
          <w:p>
            <w:pPr>
              <w:spacing w:after="0"/>
              <w:rPr>
                <w:sz w:val="20"/>
                <w:szCs w:val="20"/>
                <w:color w:val="auto"/>
              </w:rPr>
            </w:pPr>
          </w:p>
        </w:tc>
      </w:tr>
      <w:tr>
        <w:trPr>
          <w:trHeight w:val="206"/>
        </w:trPr>
        <w:tc>
          <w:tcPr>
            <w:tcW w:w="1260" w:type="dxa"/>
            <w:vAlign w:val="bottom"/>
            <w:tcBorders>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6880" w:type="dxa"/>
            <w:vAlign w:val="bottom"/>
            <w:tcBorders>
              <w:bottom w:val="single" w:sz="8" w:color="auto"/>
              <w:right w:val="single" w:sz="8" w:color="auto"/>
            </w:tcBorders>
          </w:tcPr>
          <w:p>
            <w:pPr>
              <w:spacing w:after="0"/>
              <w:rPr>
                <w:sz w:val="17"/>
                <w:szCs w:val="17"/>
                <w:color w:val="auto"/>
              </w:rPr>
            </w:pPr>
          </w:p>
        </w:tc>
        <w:tc>
          <w:tcPr>
            <w:tcW w:w="1220" w:type="dxa"/>
            <w:vAlign w:val="bottom"/>
          </w:tcPr>
          <w:p>
            <w:pPr>
              <w:spacing w:after="0"/>
              <w:rPr>
                <w:sz w:val="17"/>
                <w:szCs w:val="17"/>
                <w:color w:val="auto"/>
              </w:rPr>
            </w:pPr>
          </w:p>
        </w:tc>
      </w:tr>
      <w:tr>
        <w:trPr>
          <w:trHeight w:val="245"/>
        </w:trPr>
        <w:tc>
          <w:tcPr>
            <w:tcW w:w="126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Pit Crew Feedback</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An always-on, multi-rater feedback tool that allows managers to collect feedback from</w:t>
            </w:r>
          </w:p>
        </w:tc>
        <w:tc>
          <w:tcPr>
            <w:tcW w:w="1220" w:type="dxa"/>
            <w:vAlign w:val="bottom"/>
          </w:tcPr>
          <w:p>
            <w:pPr>
              <w:spacing w:after="0"/>
              <w:rPr>
                <w:sz w:val="21"/>
                <w:szCs w:val="21"/>
                <w:color w:val="auto"/>
              </w:rPr>
            </w:pPr>
          </w:p>
        </w:tc>
      </w:tr>
      <w:tr>
        <w:trPr>
          <w:trHeight w:val="236"/>
        </w:trPr>
        <w:tc>
          <w:tcPr>
            <w:tcW w:w="126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their employee’s key stakeho</w:t>
            </w:r>
            <w:r>
              <w:rPr>
                <w:rFonts w:ascii="Times New Roman" w:cs="Times New Roman" w:eastAsia="Times New Roman" w:hAnsi="Times New Roman"/>
                <w:sz w:val="17"/>
                <w:szCs w:val="17"/>
                <w:color w:val="auto"/>
              </w:rPr>
              <w:t>lders at the times when it’s most pertinent.</w:t>
            </w:r>
          </w:p>
        </w:tc>
        <w:tc>
          <w:tcPr>
            <w:tcW w:w="1220" w:type="dxa"/>
            <w:vAlign w:val="bottom"/>
          </w:tcPr>
          <w:p>
            <w:pPr>
              <w:spacing w:after="0"/>
              <w:rPr>
                <w:sz w:val="20"/>
                <w:szCs w:val="20"/>
                <w:color w:val="auto"/>
              </w:rPr>
            </w:pPr>
          </w:p>
        </w:tc>
      </w:tr>
      <w:tr>
        <w:trPr>
          <w:trHeight w:val="219"/>
        </w:trPr>
        <w:tc>
          <w:tcPr>
            <w:tcW w:w="1260" w:type="dxa"/>
            <w:vAlign w:val="bottom"/>
            <w:tcBorders>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6880" w:type="dxa"/>
            <w:vAlign w:val="bottom"/>
            <w:tcBorders>
              <w:bottom w:val="single" w:sz="8" w:color="auto"/>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415"/>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80" w:type="dxa"/>
            <w:vAlign w:val="bottom"/>
          </w:tcPr>
          <w:p>
            <w:pPr>
              <w:ind w:left="2360"/>
              <w:spacing w:after="0"/>
              <w:rPr>
                <w:sz w:val="20"/>
                <w:szCs w:val="20"/>
                <w:color w:val="auto"/>
              </w:rPr>
            </w:pPr>
            <w:r>
              <w:rPr>
                <w:rFonts w:ascii="Arial" w:cs="Arial" w:eastAsia="Arial" w:hAnsi="Arial"/>
                <w:sz w:val="17"/>
                <w:szCs w:val="17"/>
                <w:color w:val="auto"/>
              </w:rPr>
              <w:t>16</w:t>
            </w:r>
          </w:p>
        </w:tc>
        <w:tc>
          <w:tcPr>
            <w:tcW w:w="1220" w:type="dxa"/>
            <w:vAlign w:val="bottom"/>
          </w:tcPr>
          <w:p>
            <w:pPr>
              <w:spacing w:after="0"/>
              <w:rPr>
                <w:sz w:val="24"/>
                <w:szCs w:val="24"/>
                <w:color w:val="auto"/>
              </w:rPr>
            </w:pPr>
          </w:p>
        </w:tc>
      </w:tr>
      <w:tr>
        <w:trPr>
          <w:trHeight w:val="94"/>
        </w:trPr>
        <w:tc>
          <w:tcPr>
            <w:tcW w:w="126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68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33" w:lineRule="exact"/>
        <w:rPr>
          <w:sz w:val="20"/>
          <w:szCs w:val="20"/>
          <w:color w:val="auto"/>
        </w:rPr>
      </w:pPr>
    </w:p>
    <w:tbl>
      <w:tblPr>
        <w:tblLayout w:type="fixed"/>
        <w:tblInd w:w="1250" w:type="dxa"/>
        <w:tblCellMar>
          <w:top w:w="0" w:type="dxa"/>
          <w:left w:w="0" w:type="dxa"/>
          <w:bottom w:w="0" w:type="dxa"/>
          <w:right w:w="0" w:type="dxa"/>
        </w:tblCellMar>
      </w:tblPr>
      <w:tr>
        <w:trPr>
          <w:trHeight w:val="265"/>
        </w:trPr>
        <w:tc>
          <w:tcPr>
            <w:tcW w:w="31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PaceSetter Awards</w:t>
            </w:r>
          </w:p>
        </w:tc>
        <w:tc>
          <w:tcPr>
            <w:tcW w:w="56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Quarterly awards that highlight employees in the business who</w:t>
            </w:r>
          </w:p>
        </w:tc>
      </w:tr>
      <w:tr>
        <w:trPr>
          <w:trHeight w:val="196"/>
        </w:trPr>
        <w:tc>
          <w:tcPr>
            <w:tcW w:w="3120" w:type="dxa"/>
            <w:vAlign w:val="bottom"/>
            <w:tcBorders>
              <w:left w:val="single" w:sz="8" w:color="auto"/>
              <w:right w:val="single" w:sz="8" w:color="auto"/>
            </w:tcBorders>
          </w:tcPr>
          <w:p>
            <w:pPr>
              <w:spacing w:after="0"/>
              <w:rPr>
                <w:sz w:val="17"/>
                <w:szCs w:val="17"/>
                <w:color w:val="auto"/>
              </w:rPr>
            </w:pPr>
          </w:p>
        </w:tc>
        <w:tc>
          <w:tcPr>
            <w:tcW w:w="5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exemplify Vroom’s values. These awards show appreciation while also</w:t>
            </w:r>
          </w:p>
        </w:tc>
      </w:tr>
      <w:tr>
        <w:trPr>
          <w:trHeight w:val="236"/>
        </w:trPr>
        <w:tc>
          <w:tcPr>
            <w:tcW w:w="3120" w:type="dxa"/>
            <w:vAlign w:val="bottom"/>
            <w:tcBorders>
              <w:left w:val="single" w:sz="8" w:color="auto"/>
              <w:right w:val="single" w:sz="8" w:color="auto"/>
            </w:tcBorders>
          </w:tcPr>
          <w:p>
            <w:pPr>
              <w:spacing w:after="0"/>
              <w:rPr>
                <w:sz w:val="20"/>
                <w:szCs w:val="20"/>
                <w:color w:val="auto"/>
              </w:rPr>
            </w:pPr>
          </w:p>
        </w:tc>
        <w:tc>
          <w:tcPr>
            <w:tcW w:w="5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setting an example for employee interactions.</w:t>
            </w:r>
          </w:p>
        </w:tc>
      </w:tr>
      <w:tr>
        <w:trPr>
          <w:trHeight w:val="206"/>
        </w:trPr>
        <w:tc>
          <w:tcPr>
            <w:tcW w:w="3120" w:type="dxa"/>
            <w:vAlign w:val="bottom"/>
            <w:tcBorders>
              <w:left w:val="single" w:sz="8" w:color="auto"/>
              <w:bottom w:val="single" w:sz="8" w:color="auto"/>
              <w:right w:val="single" w:sz="8" w:color="auto"/>
            </w:tcBorders>
          </w:tcPr>
          <w:p>
            <w:pPr>
              <w:spacing w:after="0"/>
              <w:rPr>
                <w:sz w:val="17"/>
                <w:szCs w:val="17"/>
                <w:color w:val="auto"/>
              </w:rPr>
            </w:pPr>
          </w:p>
        </w:tc>
        <w:tc>
          <w:tcPr>
            <w:tcW w:w="5680" w:type="dxa"/>
            <w:vAlign w:val="bottom"/>
            <w:tcBorders>
              <w:bottom w:val="single" w:sz="8" w:color="auto"/>
              <w:right w:val="single" w:sz="8" w:color="auto"/>
            </w:tcBorders>
          </w:tcPr>
          <w:p>
            <w:pPr>
              <w:spacing w:after="0"/>
              <w:rPr>
                <w:sz w:val="17"/>
                <w:szCs w:val="17"/>
                <w:color w:val="auto"/>
              </w:rPr>
            </w:pPr>
          </w:p>
        </w:tc>
      </w:tr>
      <w:tr>
        <w:trPr>
          <w:trHeight w:val="245"/>
        </w:trPr>
        <w:tc>
          <w:tcPr>
            <w:tcW w:w="31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Mission, Vision, Values</w:t>
            </w:r>
          </w:p>
        </w:tc>
        <w:tc>
          <w:tcPr>
            <w:tcW w:w="5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The Chief Executive Officer and Chief People and Culture Officer meet</w:t>
            </w:r>
          </w:p>
        </w:tc>
      </w:tr>
      <w:tr>
        <w:trPr>
          <w:trHeight w:val="196"/>
        </w:trPr>
        <w:tc>
          <w:tcPr>
            <w:tcW w:w="3120" w:type="dxa"/>
            <w:vAlign w:val="bottom"/>
            <w:tcBorders>
              <w:left w:val="single" w:sz="8" w:color="auto"/>
              <w:right w:val="single" w:sz="8" w:color="auto"/>
            </w:tcBorders>
          </w:tcPr>
          <w:p>
            <w:pPr>
              <w:spacing w:after="0"/>
              <w:rPr>
                <w:sz w:val="17"/>
                <w:szCs w:val="17"/>
                <w:color w:val="auto"/>
              </w:rPr>
            </w:pPr>
          </w:p>
        </w:tc>
        <w:tc>
          <w:tcPr>
            <w:tcW w:w="5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with all new hires in interactive sessions to discuss Vroom’s Mission,</w:t>
            </w:r>
          </w:p>
        </w:tc>
      </w:tr>
      <w:tr>
        <w:trPr>
          <w:trHeight w:val="236"/>
        </w:trPr>
        <w:tc>
          <w:tcPr>
            <w:tcW w:w="3120" w:type="dxa"/>
            <w:vAlign w:val="bottom"/>
            <w:tcBorders>
              <w:left w:val="single" w:sz="8" w:color="auto"/>
              <w:right w:val="single" w:sz="8" w:color="auto"/>
            </w:tcBorders>
          </w:tcPr>
          <w:p>
            <w:pPr>
              <w:spacing w:after="0"/>
              <w:rPr>
                <w:sz w:val="20"/>
                <w:szCs w:val="20"/>
                <w:color w:val="auto"/>
              </w:rPr>
            </w:pPr>
          </w:p>
        </w:tc>
        <w:tc>
          <w:tcPr>
            <w:tcW w:w="5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Vision, and Values in detail.</w:t>
            </w:r>
          </w:p>
        </w:tc>
      </w:tr>
      <w:tr>
        <w:trPr>
          <w:trHeight w:val="206"/>
        </w:trPr>
        <w:tc>
          <w:tcPr>
            <w:tcW w:w="3120" w:type="dxa"/>
            <w:vAlign w:val="bottom"/>
            <w:tcBorders>
              <w:left w:val="single" w:sz="8" w:color="auto"/>
              <w:bottom w:val="single" w:sz="8" w:color="auto"/>
              <w:right w:val="single" w:sz="8" w:color="auto"/>
            </w:tcBorders>
          </w:tcPr>
          <w:p>
            <w:pPr>
              <w:spacing w:after="0"/>
              <w:rPr>
                <w:sz w:val="17"/>
                <w:szCs w:val="17"/>
                <w:color w:val="auto"/>
              </w:rPr>
            </w:pPr>
          </w:p>
        </w:tc>
        <w:tc>
          <w:tcPr>
            <w:tcW w:w="5680" w:type="dxa"/>
            <w:vAlign w:val="bottom"/>
            <w:tcBorders>
              <w:bottom w:val="single" w:sz="8" w:color="auto"/>
              <w:right w:val="single" w:sz="8" w:color="auto"/>
            </w:tcBorders>
          </w:tcPr>
          <w:p>
            <w:pPr>
              <w:spacing w:after="0"/>
              <w:rPr>
                <w:sz w:val="17"/>
                <w:szCs w:val="17"/>
                <w:color w:val="auto"/>
              </w:rPr>
            </w:pPr>
          </w:p>
        </w:tc>
      </w:tr>
    </w:tbl>
    <w:p>
      <w:pPr>
        <w:spacing w:after="0" w:line="187" w:lineRule="exact"/>
        <w:rPr>
          <w:sz w:val="20"/>
          <w:szCs w:val="20"/>
          <w:color w:val="auto"/>
        </w:rPr>
      </w:pPr>
    </w:p>
    <w:p>
      <w:pPr>
        <w:ind w:right="240" w:firstLine="750"/>
        <w:spacing w:after="0" w:line="253" w:lineRule="auto"/>
        <w:rPr>
          <w:sz w:val="20"/>
          <w:szCs w:val="20"/>
          <w:color w:val="auto"/>
        </w:rPr>
      </w:pPr>
      <w:r>
        <w:rPr>
          <w:rFonts w:ascii="Arial" w:cs="Arial" w:eastAsia="Arial" w:hAnsi="Arial"/>
          <w:sz w:val="17"/>
          <w:szCs w:val="17"/>
          <w:color w:val="auto"/>
        </w:rPr>
        <w:t>The Company offers a number of developmental programs in addition to standard training on compliance-oriented topics. Offerings include content on managing bias, providing effective feedback, utilizing compensation tools, and thoughtful self-evaluation. Vroom invested in development resources during 2020, adding both a Senior Director of Learning and Development focused on broad initiatives, as well as a Director of Training &amp; Quality Assurance focused on operational skills and measurement. We look forward to providing even more growth opportunities for the team in 2021.</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Intellectual Property</w:t>
      </w:r>
    </w:p>
    <w:p>
      <w:pPr>
        <w:spacing w:after="0" w:line="212" w:lineRule="exact"/>
        <w:rPr>
          <w:sz w:val="20"/>
          <w:szCs w:val="20"/>
          <w:color w:val="auto"/>
        </w:rPr>
      </w:pPr>
    </w:p>
    <w:p>
      <w:pPr>
        <w:ind w:right="440" w:firstLine="637"/>
        <w:spacing w:after="0" w:line="253" w:lineRule="auto"/>
        <w:rPr>
          <w:sz w:val="20"/>
          <w:szCs w:val="20"/>
          <w:color w:val="auto"/>
        </w:rPr>
      </w:pPr>
      <w:r>
        <w:rPr>
          <w:rFonts w:ascii="Arial" w:cs="Arial" w:eastAsia="Arial" w:hAnsi="Arial"/>
          <w:sz w:val="17"/>
          <w:szCs w:val="17"/>
          <w:color w:val="auto"/>
        </w:rPr>
        <w:t>The protection of our technology and intellectual property is an important aspect of our business. We seek to protect our intellectual property rights, including our intellectual property rights in our technology, through trademark, trade secret and copyright law, as well as confidentiality agreements, procedures and other contractual commitments and other legal rights. We generally enter into confidentiality agreements and invention assignment agreements with our employees and consultants to control access to, and clarify ownership of, our proprietary information.</w:t>
      </w:r>
    </w:p>
    <w:p>
      <w:pPr>
        <w:spacing w:after="0" w:line="160" w:lineRule="exact"/>
        <w:rPr>
          <w:sz w:val="20"/>
          <w:szCs w:val="20"/>
          <w:color w:val="auto"/>
        </w:rPr>
      </w:pPr>
    </w:p>
    <w:p>
      <w:pPr>
        <w:ind w:firstLine="637"/>
        <w:spacing w:after="0" w:line="250" w:lineRule="auto"/>
        <w:rPr>
          <w:sz w:val="20"/>
          <w:szCs w:val="20"/>
          <w:color w:val="auto"/>
        </w:rPr>
      </w:pPr>
      <w:r>
        <w:rPr>
          <w:rFonts w:ascii="Arial" w:cs="Arial" w:eastAsia="Arial" w:hAnsi="Arial"/>
          <w:sz w:val="17"/>
          <w:szCs w:val="17"/>
          <w:color w:val="auto"/>
        </w:rPr>
        <w:t>As of the date of this Annual Report on Form 10-K, we do not own any U.S. or foreign patents and do not have any U.S. or foreign patent applications pending, except for certain U.S. patents and pending U.S. patent applications we acquired as part of the CarStory acquisition. We own 12 registrations for our trademarks in the United States, including Vroom</w:t>
      </w:r>
      <w:r>
        <w:rPr>
          <w:rFonts w:ascii="Arial" w:cs="Arial" w:eastAsia="Arial" w:hAnsi="Arial"/>
          <w:sz w:val="14"/>
          <w:szCs w:val="14"/>
          <w:color w:val="auto"/>
        </w:rPr>
        <w:t>®</w:t>
      </w:r>
      <w:r>
        <w:rPr>
          <w:rFonts w:ascii="Arial" w:cs="Arial" w:eastAsia="Arial" w:hAnsi="Arial"/>
          <w:sz w:val="17"/>
          <w:szCs w:val="17"/>
          <w:color w:val="auto"/>
        </w:rPr>
        <w:t>, Vroom Get In</w:t>
      </w:r>
      <w:r>
        <w:rPr>
          <w:rFonts w:ascii="Arial" w:cs="Arial" w:eastAsia="Arial" w:hAnsi="Arial"/>
          <w:sz w:val="14"/>
          <w:szCs w:val="14"/>
          <w:color w:val="auto"/>
        </w:rPr>
        <w:t>®</w:t>
      </w:r>
      <w:r>
        <w:rPr>
          <w:rFonts w:ascii="Arial" w:cs="Arial" w:eastAsia="Arial" w:hAnsi="Arial"/>
          <w:sz w:val="17"/>
          <w:szCs w:val="17"/>
          <w:color w:val="auto"/>
        </w:rPr>
        <w:t>, TDA</w:t>
      </w:r>
      <w:r>
        <w:rPr>
          <w:rFonts w:ascii="Arial" w:cs="Arial" w:eastAsia="Arial" w:hAnsi="Arial"/>
          <w:sz w:val="14"/>
          <w:szCs w:val="14"/>
          <w:color w:val="auto"/>
        </w:rPr>
        <w:t>®</w:t>
      </w:r>
      <w:r>
        <w:rPr>
          <w:rFonts w:ascii="Arial" w:cs="Arial" w:eastAsia="Arial" w:hAnsi="Arial"/>
          <w:sz w:val="17"/>
          <w:szCs w:val="17"/>
          <w:color w:val="auto"/>
        </w:rPr>
        <w:t>, DealerLane</w:t>
      </w:r>
      <w:r>
        <w:rPr>
          <w:rFonts w:ascii="Arial" w:cs="Arial" w:eastAsia="Arial" w:hAnsi="Arial"/>
          <w:sz w:val="14"/>
          <w:szCs w:val="14"/>
          <w:color w:val="auto"/>
        </w:rPr>
        <w:t>®</w:t>
      </w:r>
      <w:r>
        <w:rPr>
          <w:rFonts w:ascii="Arial" w:cs="Arial" w:eastAsia="Arial" w:hAnsi="Arial"/>
          <w:sz w:val="17"/>
          <w:szCs w:val="17"/>
          <w:color w:val="auto"/>
        </w:rPr>
        <w:t>, Texas Direct</w:t>
      </w:r>
      <w:r>
        <w:rPr>
          <w:rFonts w:ascii="Arial" w:cs="Arial" w:eastAsia="Arial" w:hAnsi="Arial"/>
          <w:sz w:val="14"/>
          <w:szCs w:val="14"/>
          <w:color w:val="auto"/>
        </w:rPr>
        <w:t>®</w:t>
      </w:r>
      <w:r>
        <w:rPr>
          <w:rFonts w:ascii="Arial" w:cs="Arial" w:eastAsia="Arial" w:hAnsi="Arial"/>
          <w:sz w:val="17"/>
          <w:szCs w:val="17"/>
          <w:color w:val="auto"/>
        </w:rPr>
        <w:t>, Flag and Highway Logo and Sell Us Your Car</w:t>
      </w:r>
      <w:r>
        <w:rPr>
          <w:rFonts w:ascii="Arial" w:cs="Arial" w:eastAsia="Arial" w:hAnsi="Arial"/>
          <w:sz w:val="14"/>
          <w:szCs w:val="14"/>
          <w:color w:val="auto"/>
        </w:rPr>
        <w:t>®</w:t>
      </w:r>
      <w:r>
        <w:rPr>
          <w:rFonts w:ascii="Arial" w:cs="Arial" w:eastAsia="Arial" w:hAnsi="Arial"/>
          <w:sz w:val="17"/>
          <w:szCs w:val="17"/>
          <w:color w:val="auto"/>
        </w:rPr>
        <w:t>; and we hold registered trademarks in Colombia, Chile, Mexico, Canada and Peru for the Vroom</w:t>
      </w:r>
      <w:r>
        <w:rPr>
          <w:rFonts w:ascii="Arial" w:cs="Arial" w:eastAsia="Arial" w:hAnsi="Arial"/>
          <w:sz w:val="14"/>
          <w:szCs w:val="14"/>
          <w:color w:val="auto"/>
        </w:rPr>
        <w:t>®</w:t>
      </w:r>
      <w:r>
        <w:rPr>
          <w:rFonts w:ascii="Arial" w:cs="Arial" w:eastAsia="Arial" w:hAnsi="Arial"/>
          <w:sz w:val="17"/>
          <w:szCs w:val="17"/>
          <w:color w:val="auto"/>
        </w:rPr>
        <w:t xml:space="preserve"> trademark and have a number of pending applications to register the Vroom</w:t>
      </w:r>
      <w:r>
        <w:rPr>
          <w:rFonts w:ascii="Arial" w:cs="Arial" w:eastAsia="Arial" w:hAnsi="Arial"/>
          <w:sz w:val="14"/>
          <w:szCs w:val="14"/>
          <w:color w:val="auto"/>
        </w:rPr>
        <w:t>®</w:t>
      </w:r>
      <w:r>
        <w:rPr>
          <w:rFonts w:ascii="Arial" w:cs="Arial" w:eastAsia="Arial" w:hAnsi="Arial"/>
          <w:sz w:val="17"/>
          <w:szCs w:val="17"/>
          <w:color w:val="auto"/>
        </w:rPr>
        <w:t xml:space="preserve"> trademark in other foreign jurisdictions. We continually review our branding strategies and technology development efforts to assess the existence, registrability, and patentability of new intellectual property.</w:t>
      </w:r>
    </w:p>
    <w:p>
      <w:pPr>
        <w:spacing w:after="0" w:line="165" w:lineRule="exact"/>
        <w:rPr>
          <w:sz w:val="20"/>
          <w:szCs w:val="20"/>
          <w:color w:val="auto"/>
        </w:rPr>
      </w:pPr>
    </w:p>
    <w:p>
      <w:pPr>
        <w:ind w:right="180" w:firstLine="644"/>
        <w:spacing w:after="0" w:line="265" w:lineRule="auto"/>
        <w:rPr>
          <w:sz w:val="20"/>
          <w:szCs w:val="20"/>
          <w:color w:val="auto"/>
        </w:rPr>
      </w:pPr>
      <w:r>
        <w:rPr>
          <w:rFonts w:ascii="Arial" w:cs="Arial" w:eastAsia="Arial" w:hAnsi="Arial"/>
          <w:sz w:val="17"/>
          <w:szCs w:val="17"/>
          <w:color w:val="auto"/>
        </w:rPr>
        <w:t>As part of the CarStory acquisition, we acquired 19 U.S. patents and ten pending U.S. patent applications. In addition, we acquired ten trademark registrations and two applications for trademark registration in the United States, Canada, and Europe, including for VAST</w:t>
      </w:r>
      <w:r>
        <w:rPr>
          <w:rFonts w:ascii="Arial" w:cs="Arial" w:eastAsia="Arial" w:hAnsi="Arial"/>
          <w:sz w:val="14"/>
          <w:szCs w:val="14"/>
          <w:color w:val="auto"/>
        </w:rPr>
        <w:t>®</w:t>
      </w:r>
      <w:r>
        <w:rPr>
          <w:rFonts w:ascii="Arial" w:cs="Arial" w:eastAsia="Arial" w:hAnsi="Arial"/>
          <w:sz w:val="17"/>
          <w:szCs w:val="17"/>
          <w:color w:val="auto"/>
        </w:rPr>
        <w:t xml:space="preserve"> and CARSTORY</w:t>
      </w:r>
      <w:r>
        <w:rPr>
          <w:rFonts w:ascii="Arial" w:cs="Arial" w:eastAsia="Arial" w:hAnsi="Arial"/>
          <w:sz w:val="14"/>
          <w:szCs w:val="14"/>
          <w:color w:val="auto"/>
        </w:rPr>
        <w:t>®</w:t>
      </w:r>
      <w:r>
        <w:rPr>
          <w:rFonts w:ascii="Arial" w:cs="Arial" w:eastAsia="Arial" w:hAnsi="Arial"/>
          <w:sz w:val="17"/>
          <w:szCs w:val="17"/>
          <w:color w:val="auto"/>
        </w:rPr>
        <w:t>.</w:t>
      </w:r>
    </w:p>
    <w:p>
      <w:pPr>
        <w:spacing w:after="0" w:line="151" w:lineRule="exact"/>
        <w:rPr>
          <w:sz w:val="20"/>
          <w:szCs w:val="20"/>
          <w:color w:val="auto"/>
        </w:rPr>
      </w:pPr>
    </w:p>
    <w:p>
      <w:pPr>
        <w:ind w:right="140" w:firstLine="644"/>
        <w:spacing w:after="0" w:line="257" w:lineRule="auto"/>
        <w:rPr>
          <w:sz w:val="20"/>
          <w:szCs w:val="20"/>
          <w:color w:val="auto"/>
        </w:rPr>
      </w:pPr>
      <w:r>
        <w:rPr>
          <w:rFonts w:ascii="Arial" w:cs="Arial" w:eastAsia="Arial" w:hAnsi="Arial"/>
          <w:sz w:val="17"/>
          <w:szCs w:val="17"/>
          <w:color w:val="auto"/>
        </w:rPr>
        <w:t>Intellectual property laws, procedures and restrictions provide only limited protection and any of our intellectual property rights may be challenged, invalidated, circumvented, infringed or misappropriated. Further, the laws of certain countries do not protect proprietary rights to the same extent as the laws of the United States, and, therefore, in certain jurisdictions, we may be unable to protect our proprietary technology, brands, or other intellectual property.</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222222"/>
        </w:rPr>
        <w:t>Government Regulation</w:t>
      </w:r>
    </w:p>
    <w:p>
      <w:pPr>
        <w:spacing w:after="0" w:line="212" w:lineRule="exact"/>
        <w:rPr>
          <w:sz w:val="20"/>
          <w:szCs w:val="20"/>
          <w:color w:val="auto"/>
        </w:rPr>
      </w:pPr>
    </w:p>
    <w:p>
      <w:pPr>
        <w:ind w:right="20" w:firstLine="637"/>
        <w:spacing w:after="0" w:line="246" w:lineRule="auto"/>
        <w:rPr>
          <w:sz w:val="20"/>
          <w:szCs w:val="20"/>
          <w:color w:val="auto"/>
        </w:rPr>
      </w:pPr>
      <w:r>
        <w:rPr>
          <w:rFonts w:ascii="Arial" w:cs="Arial" w:eastAsia="Arial" w:hAnsi="Arial"/>
          <w:sz w:val="17"/>
          <w:szCs w:val="17"/>
          <w:color w:val="222222"/>
        </w:rPr>
        <w:t>Our business is and will continue to be subject to extensive U.S. federal, state and local laws and regulations. The advertising, sale, purchase, financing and transportation of used vehicles are regulated by every state in which we operate and by the U.S. federal government. The titling and registration of vehicles and the sale of value-added products also are regulated by state laws, and such laws can vary significantly from state to state. In addition, we are subject to regulations and laws specifically governing the internet and ecommerce and the collection, storage and use of personal information and other customer data. We are also subject to federal and state consumer protection laws, including the Equal Credit Opportunities Act and prohibitions again unfair or deceptive acts or practices. The federal governmental agencies that regulate our business and have the authority to enforce such regulations and laws against us include the U.S. Federal Trade Commission, the U.S. Department of Transportation, the U.S. Occupational Health and Safety Administration, the U.S. Department of Justice and the U.S. Federal Communications Commission. Additionally, we are subject to regulation by individual state dealer licensing authorities, state consumer protection agencies and state financial regulatory agencies. We also are subject to audit by such state regulatory authorities.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right="40" w:firstLine="637"/>
        <w:spacing w:after="0" w:line="249" w:lineRule="auto"/>
        <w:rPr>
          <w:sz w:val="20"/>
          <w:szCs w:val="20"/>
          <w:color w:val="auto"/>
        </w:rPr>
      </w:pPr>
      <w:r>
        <w:rPr>
          <w:rFonts w:ascii="Arial" w:cs="Arial" w:eastAsia="Arial" w:hAnsi="Arial"/>
          <w:sz w:val="17"/>
          <w:szCs w:val="17"/>
          <w:color w:val="222222"/>
        </w:rPr>
        <w:t>State dealer licensing authorities regulate the purchase and sale of used vehicles by dealers within their respective states. The applicability of these regulatory and legal compliance obligations to our ecommerce business is dependent on evolving interpretations of these laws and regulations and how our operations are, or are not, subject to them. We are licensed as a dealer in the States of Texas and Florida and all of our vehicle transactions are conducted under our Texas and Florida licenses. We believe that our activities in other states are not subject to such states’ vehicle dealer licensing laws; however, regulators in such states could seek to require us to maintain a used vehicle dealer license in order to engage in activities in that state. In addition, we intend to obtain a used vehicle dealer license in certain additional states to maximize operational flexibility and efficiency, enhance our customer experience and invest in relationships with state regulators.</w:t>
      </w:r>
    </w:p>
    <w:p>
      <w:pPr>
        <w:spacing w:after="0" w:line="163" w:lineRule="exact"/>
        <w:rPr>
          <w:sz w:val="20"/>
          <w:szCs w:val="20"/>
          <w:color w:val="auto"/>
        </w:rPr>
      </w:pPr>
    </w:p>
    <w:p>
      <w:pPr>
        <w:ind w:firstLine="644"/>
        <w:spacing w:after="0" w:line="246" w:lineRule="auto"/>
        <w:rPr>
          <w:sz w:val="20"/>
          <w:szCs w:val="20"/>
          <w:color w:val="auto"/>
        </w:rPr>
      </w:pPr>
      <w:r>
        <w:rPr>
          <w:rFonts w:ascii="Arial" w:cs="Arial" w:eastAsia="Arial" w:hAnsi="Arial"/>
          <w:sz w:val="17"/>
          <w:szCs w:val="17"/>
          <w:color w:val="222222"/>
        </w:rPr>
        <w:t>Most states regulate retail installment sales, including setting a maximum interest rate, caps on certain fees or maximum amounts financed. In addition, certain states require that retail installment sellers file a notice or registration document or have a sales finance license or an installment sellers license in order to solicit or originate installment sales in that state. We have obtained a motor vehicle sales finance license in Texas in connection with our Texas dealer license, and we have obtained a retail installment seller license in Florida in connection with our Florida dealer license. The financial regulatory agency in Pennsylvania determined that we need to obtain an installment seller license in order to enter into retail installment sales with residents of Pennsylvania. As a result, we are not currently offering third-party financing to our customers in Pennsylvania, who must obtain independent financing to the extent needed to fund any vehicle purchases on our platform. We recently obtained a Pennsylvania installment seller license and expect to resume offering financing to Pennsylvania customers in the future. In addition, we may elect to obtain sales finance or installment seller licenses in certain other states in which our customers reside in order to maximize operational flexibility and efficiency, enhance our customer experience and invest in relationships with state regulators.</w:t>
      </w:r>
    </w:p>
    <w:p>
      <w:pPr>
        <w:spacing w:after="0" w:line="168" w:lineRule="exact"/>
        <w:rPr>
          <w:sz w:val="20"/>
          <w:szCs w:val="20"/>
          <w:color w:val="auto"/>
        </w:rPr>
      </w:pPr>
    </w:p>
    <w:p>
      <w:pPr>
        <w:ind w:right="240" w:firstLine="637"/>
        <w:spacing w:after="0" w:line="290" w:lineRule="auto"/>
        <w:rPr>
          <w:sz w:val="20"/>
          <w:szCs w:val="20"/>
          <w:color w:val="auto"/>
        </w:rPr>
      </w:pPr>
      <w:r>
        <w:rPr>
          <w:rFonts w:ascii="Arial" w:cs="Arial" w:eastAsia="Arial" w:hAnsi="Arial"/>
          <w:sz w:val="17"/>
          <w:szCs w:val="17"/>
          <w:color w:val="222222"/>
        </w:rPr>
        <w:t>In addition, the ongoing expansion of our proprietary logistics operations exposes us to greater regulation from the U.S. Department of Transportation and state transportation regulators.</w:t>
      </w:r>
    </w:p>
    <w:p>
      <w:pPr>
        <w:spacing w:after="0" w:line="129" w:lineRule="exact"/>
        <w:rPr>
          <w:sz w:val="20"/>
          <w:szCs w:val="20"/>
          <w:color w:val="auto"/>
        </w:rPr>
      </w:pPr>
    </w:p>
    <w:p>
      <w:pPr>
        <w:ind w:right="80" w:firstLine="637"/>
        <w:spacing w:after="0" w:line="265" w:lineRule="auto"/>
        <w:rPr>
          <w:sz w:val="20"/>
          <w:szCs w:val="20"/>
          <w:color w:val="auto"/>
        </w:rPr>
      </w:pPr>
      <w:r>
        <w:rPr>
          <w:rFonts w:ascii="Arial" w:cs="Arial" w:eastAsia="Arial" w:hAnsi="Arial"/>
          <w:sz w:val="17"/>
          <w:szCs w:val="17"/>
          <w:color w:val="222222"/>
        </w:rPr>
        <w:t>We previously had not been operating in the Commonwealth of Massachusetts due to its prohibition on the use of temporary tags, which we typically provide to our customers upon delivery. We recently implemented a solution that enables us to sell vehicles in Massachusetts and provide customers with vehicle registration and permanent tags upon delivery.</w:t>
      </w:r>
    </w:p>
    <w:p>
      <w:pPr>
        <w:spacing w:after="0" w:line="151" w:lineRule="exact"/>
        <w:rPr>
          <w:sz w:val="20"/>
          <w:szCs w:val="20"/>
          <w:color w:val="auto"/>
        </w:rPr>
      </w:pPr>
    </w:p>
    <w:p>
      <w:pPr>
        <w:ind w:right="160" w:firstLine="644"/>
        <w:spacing w:after="0" w:line="250" w:lineRule="auto"/>
        <w:rPr>
          <w:sz w:val="20"/>
          <w:szCs w:val="20"/>
          <w:color w:val="auto"/>
        </w:rPr>
      </w:pPr>
      <w:r>
        <w:rPr>
          <w:rFonts w:ascii="Arial" w:cs="Arial" w:eastAsia="Arial" w:hAnsi="Arial"/>
          <w:sz w:val="17"/>
          <w:szCs w:val="17"/>
          <w:color w:val="222222"/>
        </w:rPr>
        <w:t>In addition to these laws and regulations that apply specifically to the sale and financing of used vehicles, our facilities and business operations are subject to laws and regulations relating to environmental protection, occupational health and safety, and other broadly applicable business regulations. We also are subject to laws and regulations involving taxes, tariffs, privacy and data security, anti-spam, pricing, content protection, electronic contracts and communications, mobile communications, consumer protection, information -reporting requirements, unencumbered internet access to our platform, the design and operation of websites and internet neutrality. We also are subject to laws and regulations affecting public companies, including securities laws and Nasdaq rules.</w:t>
      </w:r>
    </w:p>
    <w:p>
      <w:pPr>
        <w:spacing w:after="0" w:line="165" w:lineRule="exact"/>
        <w:rPr>
          <w:sz w:val="20"/>
          <w:szCs w:val="20"/>
          <w:color w:val="auto"/>
        </w:rPr>
      </w:pPr>
    </w:p>
    <w:p>
      <w:pPr>
        <w:ind w:right="380" w:firstLine="644"/>
        <w:spacing w:after="0" w:line="290" w:lineRule="auto"/>
        <w:rPr>
          <w:sz w:val="20"/>
          <w:szCs w:val="20"/>
          <w:color w:val="auto"/>
        </w:rPr>
      </w:pPr>
      <w:r>
        <w:rPr>
          <w:rFonts w:ascii="Arial" w:cs="Arial" w:eastAsia="Arial" w:hAnsi="Arial"/>
          <w:sz w:val="17"/>
          <w:szCs w:val="17"/>
          <w:color w:val="222222"/>
        </w:rPr>
        <w:t>Additionally, we are subject to Federal, State and local laws and regulations, and other government actions, related to the COVID-19 pandemic.</w:t>
      </w:r>
    </w:p>
    <w:p>
      <w:pPr>
        <w:spacing w:after="0" w:line="129" w:lineRule="exact"/>
        <w:rPr>
          <w:sz w:val="20"/>
          <w:szCs w:val="20"/>
          <w:color w:val="auto"/>
        </w:rPr>
      </w:pPr>
    </w:p>
    <w:p>
      <w:pPr>
        <w:ind w:firstLine="644"/>
        <w:spacing w:after="0" w:line="244" w:lineRule="auto"/>
        <w:rPr>
          <w:sz w:val="20"/>
          <w:szCs w:val="20"/>
          <w:color w:val="auto"/>
        </w:rPr>
      </w:pPr>
      <w:r>
        <w:rPr>
          <w:rFonts w:ascii="Arial" w:cs="Arial" w:eastAsia="Arial" w:hAnsi="Arial"/>
          <w:sz w:val="17"/>
          <w:szCs w:val="17"/>
          <w:color w:val="222222"/>
        </w:rPr>
        <w:t>For a discussion of the various risks we face from regulation and compliance matters, see “Risk Factors—Risks Related to Laws and Regulations—Failure to comply with federal, state and local laws and regulations relating to privacy, data protection and consumer protection, or the expansion of current or the enactment of new laws or regulations relating to privacy, data protection and consumer protection, as well as our actual or perceived failure to protect such information could harm our reputation and could adversely affect our business, financial condition and results of operations”; “—We operate in a highly regulated industry and are subject to a wide range of federal, state and local laws and regulations. Failure to comply with these laws and regulations could have a material adverse effect on our business, financial condition and results of operations”; “—</w:t>
      </w:r>
      <w:r>
        <w:rPr>
          <w:rFonts w:ascii="Arial" w:cs="Arial" w:eastAsia="Arial" w:hAnsi="Arial"/>
          <w:sz w:val="17"/>
          <w:szCs w:val="17"/>
          <w:color w:val="000000"/>
        </w:rPr>
        <w:t>If we fail to comply with the Telephone Consumer Protection Act, we may face significant damages, which could harm</w:t>
      </w:r>
      <w:r>
        <w:rPr>
          <w:rFonts w:ascii="Arial" w:cs="Arial" w:eastAsia="Arial" w:hAnsi="Arial"/>
          <w:sz w:val="17"/>
          <w:szCs w:val="17"/>
          <w:color w:val="222222"/>
        </w:rPr>
        <w:t xml:space="preserve"> </w:t>
      </w:r>
      <w:r>
        <w:rPr>
          <w:rFonts w:ascii="Arial" w:cs="Arial" w:eastAsia="Arial" w:hAnsi="Arial"/>
          <w:sz w:val="17"/>
          <w:szCs w:val="17"/>
          <w:color w:val="000000"/>
        </w:rPr>
        <w:t>our business, financial condition and results of operations</w:t>
      </w:r>
      <w:r>
        <w:rPr>
          <w:rFonts w:ascii="Arial" w:cs="Arial" w:eastAsia="Arial" w:hAnsi="Arial"/>
          <w:sz w:val="17"/>
          <w:szCs w:val="17"/>
          <w:color w:val="222222"/>
        </w:rPr>
        <w:t>”; “—Government regulation of the internet and ecommerce is evolving, and unfavorable</w:t>
      </w:r>
      <w:r>
        <w:rPr>
          <w:rFonts w:ascii="Arial" w:cs="Arial" w:eastAsia="Arial" w:hAnsi="Arial"/>
          <w:sz w:val="17"/>
          <w:szCs w:val="17"/>
          <w:color w:val="000000"/>
        </w:rPr>
        <w:t xml:space="preserve"> </w:t>
      </w:r>
      <w:r>
        <w:rPr>
          <w:rFonts w:ascii="Arial" w:cs="Arial" w:eastAsia="Arial" w:hAnsi="Arial"/>
          <w:sz w:val="17"/>
          <w:szCs w:val="17"/>
          <w:color w:val="222222"/>
        </w:rPr>
        <w:t>changes or failure by us to comply with these regulations could substantially harm our business, financial condition and results of operations”; “Risk Factors—Risks Related to Our Use of Data and Technology—We are subject to risks related to online payment methods”; “Risk Factors— Risks Related to Our Growth and Strategy—</w:t>
      </w:r>
      <w:r>
        <w:rPr>
          <w:rFonts w:ascii="Arial" w:cs="Arial" w:eastAsia="Arial" w:hAnsi="Arial"/>
          <w:sz w:val="17"/>
          <w:szCs w:val="17"/>
          <w:color w:val="000000"/>
        </w:rPr>
        <w:t>We are expanding our proprietary logistics operations, including vehicle pick-ups and delivery from</w:t>
      </w:r>
      <w:r>
        <w:rPr>
          <w:rFonts w:ascii="Arial" w:cs="Arial" w:eastAsia="Arial" w:hAnsi="Arial"/>
          <w:sz w:val="17"/>
          <w:szCs w:val="17"/>
          <w:color w:val="222222"/>
        </w:rPr>
        <w:t xml:space="preserve"> </w:t>
      </w:r>
      <w:r>
        <w:rPr>
          <w:rFonts w:ascii="Arial" w:cs="Arial" w:eastAsia="Arial" w:hAnsi="Arial"/>
          <w:sz w:val="17"/>
          <w:szCs w:val="17"/>
          <w:color w:val="000000"/>
        </w:rPr>
        <w:t>our last mile hubs and line haul transportation of vehicles between our last mile hubs, which will further expose us to increased risks related to ownership of infrastructure and the transportation of vehicles</w:t>
      </w:r>
      <w:r>
        <w:rPr>
          <w:rFonts w:ascii="Arial" w:cs="Arial" w:eastAsia="Arial" w:hAnsi="Arial"/>
          <w:sz w:val="17"/>
          <w:szCs w:val="17"/>
          <w:color w:val="222222"/>
        </w:rPr>
        <w:t>” and “Risk Factors—Risks Related to the COVID-19 Pandemic—The COVID-19</w:t>
      </w:r>
      <w:r>
        <w:rPr>
          <w:rFonts w:ascii="Arial" w:cs="Arial" w:eastAsia="Arial" w:hAnsi="Arial"/>
          <w:sz w:val="17"/>
          <w:szCs w:val="17"/>
          <w:color w:val="000000"/>
        </w:rPr>
        <w:t xml:space="preserve"> </w:t>
      </w:r>
      <w:r>
        <w:rPr>
          <w:rFonts w:ascii="Arial" w:cs="Arial" w:eastAsia="Arial" w:hAnsi="Arial"/>
          <w:sz w:val="17"/>
          <w:szCs w:val="17"/>
          <w:color w:val="222222"/>
        </w:rPr>
        <w:t>pandemic has had and is expected to continue to have an adverse effect on our business, financial condition and results of operations.”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Seasonality</w:t>
      </w:r>
    </w:p>
    <w:p>
      <w:pPr>
        <w:spacing w:after="0" w:line="107" w:lineRule="exact"/>
        <w:rPr>
          <w:sz w:val="20"/>
          <w:szCs w:val="20"/>
          <w:color w:val="auto"/>
        </w:rPr>
      </w:pPr>
    </w:p>
    <w:p>
      <w:pPr>
        <w:ind w:firstLine="762"/>
        <w:spacing w:after="0" w:line="248" w:lineRule="auto"/>
        <w:rPr>
          <w:sz w:val="20"/>
          <w:szCs w:val="20"/>
          <w:color w:val="auto"/>
        </w:rPr>
      </w:pPr>
      <w:r>
        <w:rPr>
          <w:rFonts w:ascii="Arial" w:cs="Arial" w:eastAsia="Arial" w:hAnsi="Arial"/>
          <w:sz w:val="17"/>
          <w:szCs w:val="17"/>
          <w:color w:val="auto"/>
        </w:rPr>
        <w:t>Used vehicle sales are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Additionally, used vehicles depreciate at a faster rate in the last two quarters of each year and a slower rate in the first two quarters of each year. In line with these macro trends, our gross profit per unit has historically been higher in the first half of the year when compared to the second half of the year. See “Risk Factors—Risks Related to Our Financial Condition and Results of Operations—We may experience seasonal and other fluctuations in our quarterly results of operations, which may not fully reflect the underlying performance of our business.”</w:t>
      </w: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Available Information</w:t>
      </w:r>
    </w:p>
    <w:p>
      <w:pPr>
        <w:spacing w:after="0" w:line="212" w:lineRule="exact"/>
        <w:rPr>
          <w:sz w:val="20"/>
          <w:szCs w:val="20"/>
          <w:color w:val="auto"/>
        </w:rPr>
      </w:pPr>
    </w:p>
    <w:p>
      <w:pPr>
        <w:ind w:right="20" w:firstLine="637"/>
        <w:spacing w:after="0" w:line="251"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www.vroom.com</w:t>
      </w:r>
      <w:r>
        <w:rPr>
          <w:rFonts w:ascii="Arial" w:cs="Arial" w:eastAsia="Arial" w:hAnsi="Arial"/>
          <w:sz w:val="17"/>
          <w:szCs w:val="17"/>
          <w:color w:val="auto"/>
        </w:rPr>
        <w:t xml:space="preserve">. The information contained on, or that can be accessed through, our website is deemed not to be incorporated in this Annual Report on Form 10-K or to be part of this Annual Report on Form 10-K or any other report filed with the SEC. </w:t>
      </w:r>
      <w:r>
        <w:rPr>
          <w:rFonts w:ascii="Arial" w:cs="Arial" w:eastAsia="Arial" w:hAnsi="Arial"/>
          <w:sz w:val="17"/>
          <w:szCs w:val="17"/>
          <w:color w:val="222222"/>
        </w:rPr>
        <w:t>Our</w:t>
      </w:r>
      <w:r>
        <w:rPr>
          <w:rFonts w:ascii="Arial" w:cs="Arial" w:eastAsia="Arial" w:hAnsi="Arial"/>
          <w:sz w:val="17"/>
          <w:szCs w:val="17"/>
          <w:color w:val="auto"/>
        </w:rPr>
        <w:t xml:space="preserve"> </w:t>
      </w:r>
      <w:r>
        <w:rPr>
          <w:rFonts w:ascii="Arial" w:cs="Arial" w:eastAsia="Arial" w:hAnsi="Arial"/>
          <w:sz w:val="17"/>
          <w:szCs w:val="17"/>
          <w:color w:val="222222"/>
        </w:rPr>
        <w:t xml:space="preserve">Annual Report on Form 10-K, Quarterly Reports on Form 10-Q and Current Reports on Form 8-K, as well as any amendments to those reports, are available free of charge through our website as soon as reasonably practicable after we file them with, or furnish them to, the SEC. The SEC maintains a website at </w:t>
      </w:r>
      <w:r>
        <w:rPr>
          <w:rFonts w:ascii="Arial" w:cs="Arial" w:eastAsia="Arial" w:hAnsi="Arial"/>
          <w:sz w:val="17"/>
          <w:szCs w:val="17"/>
          <w:u w:val="single" w:color="auto"/>
          <w:color w:val="000000"/>
        </w:rPr>
        <w:t>www.sec.gov</w:t>
      </w:r>
      <w:r>
        <w:rPr>
          <w:rFonts w:ascii="Arial" w:cs="Arial" w:eastAsia="Arial" w:hAnsi="Arial"/>
          <w:sz w:val="17"/>
          <w:szCs w:val="17"/>
          <w:color w:val="222222"/>
        </w:rPr>
        <w:t xml:space="preserve"> that contains reports, proxy statements, and other information regarding SEC registrants, including Vroom Inc.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09" w:lineRule="exact"/>
        <w:rPr>
          <w:sz w:val="20"/>
          <w:szCs w:val="20"/>
          <w:color w:val="auto"/>
        </w:rPr>
      </w:pPr>
    </w:p>
    <w:p>
      <w:pPr>
        <w:ind w:right="220" w:firstLine="637"/>
        <w:spacing w:after="0" w:line="248" w:lineRule="auto"/>
        <w:rPr>
          <w:sz w:val="20"/>
          <w:szCs w:val="20"/>
          <w:color w:val="auto"/>
        </w:rPr>
      </w:pPr>
      <w:r>
        <w:rPr>
          <w:rFonts w:ascii="Arial" w:cs="Arial" w:eastAsia="Arial" w:hAnsi="Arial"/>
          <w:sz w:val="17"/>
          <w:szCs w:val="17"/>
          <w:i w:val="1"/>
          <w:iCs w:val="1"/>
          <w:color w:val="auto"/>
        </w:rPr>
        <w:t>An investment in our common stock involves a high degree of risk. You should consider carefully the risks and uncertainties described below, together with the financial and other information contained in this Annual Report on Form 10-K, before you decide to purchase shares of our common stock.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and you could lose all or part of your investment in our common stock.</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the COVID-19 Pandemic</w:t>
      </w:r>
    </w:p>
    <w:p>
      <w:pPr>
        <w:spacing w:after="0" w:line="319" w:lineRule="exact"/>
        <w:rPr>
          <w:sz w:val="20"/>
          <w:szCs w:val="20"/>
          <w:color w:val="auto"/>
        </w:rPr>
      </w:pPr>
    </w:p>
    <w:p>
      <w:pPr>
        <w:ind w:right="20"/>
        <w:spacing w:after="0" w:line="297" w:lineRule="auto"/>
        <w:rPr>
          <w:sz w:val="20"/>
          <w:szCs w:val="20"/>
          <w:color w:val="auto"/>
        </w:rPr>
      </w:pPr>
      <w:r>
        <w:rPr>
          <w:rFonts w:ascii="Arial" w:cs="Arial" w:eastAsia="Arial" w:hAnsi="Arial"/>
          <w:sz w:val="17"/>
          <w:szCs w:val="17"/>
          <w:b w:val="1"/>
          <w:bCs w:val="1"/>
          <w:i w:val="1"/>
          <w:iCs w:val="1"/>
          <w:color w:val="auto"/>
        </w:rPr>
        <w:t>The COVID-19 pandemic has had and is expected to continue to have an adverse effect on our business, financial condition and results of operations.</w:t>
      </w:r>
    </w:p>
    <w:p>
      <w:pPr>
        <w:spacing w:after="0" w:line="38" w:lineRule="exact"/>
        <w:rPr>
          <w:sz w:val="20"/>
          <w:szCs w:val="20"/>
          <w:color w:val="auto"/>
        </w:rPr>
      </w:pPr>
    </w:p>
    <w:p>
      <w:pPr>
        <w:ind w:right="400" w:firstLine="637"/>
        <w:spacing w:after="0" w:line="265" w:lineRule="auto"/>
        <w:rPr>
          <w:sz w:val="20"/>
          <w:szCs w:val="20"/>
          <w:color w:val="auto"/>
        </w:rPr>
      </w:pPr>
      <w:r>
        <w:rPr>
          <w:rFonts w:ascii="Arial" w:cs="Arial" w:eastAsia="Arial" w:hAnsi="Arial"/>
          <w:sz w:val="17"/>
          <w:szCs w:val="17"/>
          <w:color w:val="auto"/>
        </w:rPr>
        <w:t>Governmental authorities around the world have implemented measures to reduce the spread of COVID-19. These measures have adversely affected workforces, customers, supply chains, consumer sentiment, economies, and financial markets, and, along with decreased consumer spending, have led to an economic downturn across many global economies.</w:t>
      </w:r>
    </w:p>
    <w:p>
      <w:pPr>
        <w:spacing w:after="0" w:line="111" w:lineRule="exact"/>
        <w:rPr>
          <w:sz w:val="20"/>
          <w:szCs w:val="20"/>
          <w:color w:val="auto"/>
        </w:rPr>
      </w:pPr>
    </w:p>
    <w:p>
      <w:pPr>
        <w:ind w:firstLine="637"/>
        <w:spacing w:after="0" w:line="245" w:lineRule="auto"/>
        <w:rPr>
          <w:sz w:val="20"/>
          <w:szCs w:val="20"/>
          <w:color w:val="auto"/>
        </w:rPr>
      </w:pPr>
      <w:r>
        <w:rPr>
          <w:rFonts w:ascii="Arial" w:cs="Arial" w:eastAsia="Arial" w:hAnsi="Arial"/>
          <w:sz w:val="17"/>
          <w:szCs w:val="17"/>
          <w:color w:val="auto"/>
        </w:rPr>
        <w:t>The COVID-19 pandemic rapidly escalated in the United States, creating significant uncertainty and economic disruption, and leading to record levels of unemployment nationally. Numerous state and local jurisdictions imposed, and others in the future may impose, shelter-in-place orders, quarantines, shut-downs or restrictions on operations of non-essential businesses, and similar government orders and restrictions on their residents to control the spread of COVID-19. While some such orders or restrictions have been lifted in certain jurisdictions, certain of those orders have been re-instated, new orders have been imposed and future orders may be imposed as the COVID-19 pandemic continues to spread in waves nationwide and various new strains of the virus surface. Such orders or restrictions have resulted in temporary facility closures (including certain of our third-party VRCs), work stoppages, slowdowns and travel restrictions, among other effects, thereby adversely impacting our operations. Due to the evolving nature of the COVID-19 crisis and the uncertainties surrounding the availability and efficacy of vaccines and other treatments for COVID-19, including with respect to their development and distribution, we continue to monitor the situation closely and assess the impact on our business. As of the filing of this Annual Report on Form 10-K, we expect our operations will continue to be adversely impacted in 2021, however, the magnitude and duration of the ultimate impact is impossible to predict with certainty due to:</w:t>
      </w:r>
    </w:p>
    <w:p>
      <w:pPr>
        <w:spacing w:after="0" w:line="82" w:lineRule="exact"/>
        <w:rPr>
          <w:sz w:val="20"/>
          <w:szCs w:val="20"/>
          <w:color w:val="auto"/>
        </w:rPr>
      </w:pPr>
    </w:p>
    <w:p>
      <w:pPr>
        <w:ind w:left="1000" w:right="60" w:hanging="367"/>
        <w:spacing w:after="0" w:line="289" w:lineRule="auto"/>
        <w:tabs>
          <w:tab w:leader="none" w:pos="100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uncertainties regarding the duration of the COVID-19 pandemic and the length of time over which the disruptions caused by COVID-19 will continue;</w:t>
      </w:r>
    </w:p>
    <w:p>
      <w:pPr>
        <w:spacing w:after="0" w:line="38" w:lineRule="exact"/>
        <w:rPr>
          <w:rFonts w:ascii="Times New Roman" w:cs="Times New Roman" w:eastAsia="Times New Roman" w:hAnsi="Times New Roman"/>
          <w:sz w:val="17"/>
          <w:szCs w:val="17"/>
          <w:color w:val="auto"/>
        </w:rPr>
      </w:pPr>
    </w:p>
    <w:p>
      <w:pPr>
        <w:ind w:left="1000" w:hanging="367"/>
        <w:spacing w:after="0"/>
        <w:tabs>
          <w:tab w:leader="none" w:pos="100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governmental orders and regulations that have been, and may in the future be, imposed in response to the pandemic;</w:t>
      </w:r>
    </w:p>
    <w:p>
      <w:pPr>
        <w:spacing w:after="0" w:line="143" w:lineRule="exact"/>
        <w:rPr>
          <w:rFonts w:ascii="Times New Roman" w:cs="Times New Roman" w:eastAsia="Times New Roman" w:hAnsi="Times New Roman"/>
          <w:sz w:val="17"/>
          <w:szCs w:val="17"/>
          <w:color w:val="auto"/>
        </w:rPr>
      </w:pPr>
    </w:p>
    <w:p>
      <w:pPr>
        <w:ind w:left="1000" w:right="320" w:hanging="367"/>
        <w:spacing w:after="0" w:line="289" w:lineRule="auto"/>
        <w:tabs>
          <w:tab w:leader="none" w:pos="100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COVID-19 on VRCs, wholesale auctions, state DMV titling and registration services, third-party vehicle carriers and other third parties on which we rely;</w:t>
      </w:r>
    </w:p>
    <w:p>
      <w:pPr>
        <w:spacing w:after="0" w:line="38" w:lineRule="exact"/>
        <w:rPr>
          <w:rFonts w:ascii="Times New Roman" w:cs="Times New Roman" w:eastAsia="Times New Roman" w:hAnsi="Times New Roman"/>
          <w:sz w:val="17"/>
          <w:szCs w:val="17"/>
          <w:color w:val="auto"/>
        </w:rPr>
      </w:pPr>
    </w:p>
    <w:p>
      <w:pPr>
        <w:ind w:left="1000" w:right="300" w:hanging="367"/>
        <w:spacing w:after="0" w:line="289" w:lineRule="auto"/>
        <w:tabs>
          <w:tab w:leader="none" w:pos="100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uncertainty as to the impact future increases in COVID-19 transmission rates could have on our ability to fully staff portions of our business;</w:t>
      </w:r>
    </w:p>
    <w:p>
      <w:pPr>
        <w:spacing w:after="0" w:line="38" w:lineRule="exact"/>
        <w:rPr>
          <w:rFonts w:ascii="Times New Roman" w:cs="Times New Roman" w:eastAsia="Times New Roman" w:hAnsi="Times New Roman"/>
          <w:sz w:val="17"/>
          <w:szCs w:val="17"/>
          <w:color w:val="auto"/>
        </w:rPr>
      </w:pPr>
    </w:p>
    <w:p>
      <w:pPr>
        <w:ind w:left="1000" w:right="320" w:hanging="367"/>
        <w:spacing w:after="0" w:line="289" w:lineRule="auto"/>
        <w:tabs>
          <w:tab w:leader="none" w:pos="100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the deterioration of economic conditions in the United States, as well as high unemployment levels, which could have an adverse impact on discretionary consumer spending;</w:t>
      </w:r>
    </w:p>
    <w:p>
      <w:pPr>
        <w:spacing w:after="0" w:line="38" w:lineRule="exact"/>
        <w:rPr>
          <w:rFonts w:ascii="Times New Roman" w:cs="Times New Roman" w:eastAsia="Times New Roman" w:hAnsi="Times New Roman"/>
          <w:sz w:val="17"/>
          <w:szCs w:val="17"/>
          <w:color w:val="auto"/>
        </w:rPr>
      </w:pPr>
    </w:p>
    <w:p>
      <w:pPr>
        <w:ind w:left="1000" w:right="240" w:hanging="367"/>
        <w:spacing w:after="0" w:line="289" w:lineRule="auto"/>
        <w:tabs>
          <w:tab w:leader="none" w:pos="100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uncertainty regarding the potential for, timing and duration of, and severity of future waves of the COVID-19 crisis and the effect of new strains of the virus;</w:t>
      </w:r>
    </w:p>
    <w:p>
      <w:pPr>
        <w:spacing w:after="0" w:line="38" w:lineRule="exact"/>
        <w:rPr>
          <w:rFonts w:ascii="Times New Roman" w:cs="Times New Roman" w:eastAsia="Times New Roman" w:hAnsi="Times New Roman"/>
          <w:sz w:val="17"/>
          <w:szCs w:val="17"/>
          <w:color w:val="auto"/>
        </w:rPr>
      </w:pPr>
    </w:p>
    <w:p>
      <w:pPr>
        <w:ind w:left="1000" w:right="100" w:hanging="367"/>
        <w:spacing w:after="0" w:line="289" w:lineRule="auto"/>
        <w:tabs>
          <w:tab w:leader="none" w:pos="100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uncertainty as to whether and to what degree governmental economic relief will be provided to soften the negative economic effects of the COVID-19 crisis and the resulting governmental orders and restrictions; and</w:t>
      </w:r>
    </w:p>
    <w:p>
      <w:pPr>
        <w:spacing w:after="0" w:line="38" w:lineRule="exact"/>
        <w:rPr>
          <w:rFonts w:ascii="Times New Roman" w:cs="Times New Roman" w:eastAsia="Times New Roman" w:hAnsi="Times New Roman"/>
          <w:sz w:val="17"/>
          <w:szCs w:val="17"/>
          <w:color w:val="auto"/>
        </w:rPr>
      </w:pPr>
    </w:p>
    <w:p>
      <w:pPr>
        <w:ind w:left="1000" w:right="760" w:hanging="367"/>
        <w:spacing w:after="0" w:line="289" w:lineRule="auto"/>
        <w:tabs>
          <w:tab w:leader="none" w:pos="100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and efficacy of vaccines and other treatments for COVID-19, including with respect to their development and distribution.</w:t>
      </w:r>
    </w:p>
    <w:p>
      <w:pPr>
        <w:spacing w:after="0" w:line="143" w:lineRule="exact"/>
        <w:rPr>
          <w:sz w:val="20"/>
          <w:szCs w:val="20"/>
          <w:color w:val="auto"/>
        </w:rPr>
      </w:pPr>
    </w:p>
    <w:p>
      <w:pPr>
        <w:ind w:right="40" w:firstLine="637"/>
        <w:spacing w:after="0" w:line="250" w:lineRule="auto"/>
        <w:rPr>
          <w:sz w:val="20"/>
          <w:szCs w:val="20"/>
          <w:color w:val="auto"/>
        </w:rPr>
      </w:pPr>
      <w:r>
        <w:rPr>
          <w:rFonts w:ascii="Arial" w:cs="Arial" w:eastAsia="Arial" w:hAnsi="Arial"/>
          <w:sz w:val="17"/>
          <w:szCs w:val="17"/>
          <w:color w:val="auto"/>
        </w:rPr>
        <w:t>In response to the COVID-19 disruptions, we implemented a number of measures designed to protect the health and safety of our workforce. These measures include restrictions on non-essential business travel, the institution of work-from-home policies wherever feasible and the implementation of strategies for workplace safety at our facilities that remain open. We are following the guidance from public health officials and government agencies, including limiting the number of employees in our office facilities, implementation of enhanced cleaning measures, social distancing guidelines, wearing of masks, eliminating non-essential vendor / guest visitation, and requiring health attestations and temperature checks prior to entering facilities, in each case subject to local requirements. Seating, signage, and cleaning materials have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been added to ensure adherence to best practices for employee health and safety during this pandemic. Where feasible, we operate on a rotating team schedule to reduce exposure and also require any diagnosed or exposed employees to self-isolate for up to two weeks before returning to work. Nevertheless, these actions may not be sufficient to prevent a material disruption in our workforce.</w:t>
      </w:r>
    </w:p>
    <w:p>
      <w:pPr>
        <w:spacing w:after="0" w:line="190" w:lineRule="exact"/>
        <w:rPr>
          <w:sz w:val="20"/>
          <w:szCs w:val="20"/>
          <w:color w:val="auto"/>
        </w:rPr>
      </w:pPr>
    </w:p>
    <w:p>
      <w:pPr>
        <w:ind w:right="140" w:firstLine="637"/>
        <w:spacing w:after="0" w:line="247" w:lineRule="auto"/>
        <w:rPr>
          <w:sz w:val="20"/>
          <w:szCs w:val="20"/>
          <w:color w:val="auto"/>
        </w:rPr>
      </w:pPr>
      <w:r>
        <w:rPr>
          <w:rFonts w:ascii="Arial" w:cs="Arial" w:eastAsia="Arial" w:hAnsi="Arial"/>
          <w:sz w:val="17"/>
          <w:szCs w:val="17"/>
          <w:color w:val="auto"/>
        </w:rPr>
        <w:t>Both TDA and our back-office facility in Houston continued to remain open during the year ended December 31, 2020 and through the date of this Annual Report on Form 10-K. However, lower foot traffic in the initial phase of the COVID-19 pandemic as well as reduced inventory at the TDA location as the ecommerce business scales, continues to negatively affect our TDA business. We also have experienced disruptions in our logistics network and productivity challenges in our back-office operations, including backlogs in the titling and registration of vehicles due to shutdowns of or limited operations at state departments of motor vehicles. As COVID-19 disruptions continue, we are unsure when the negative effects on our business will subside. As a result of these developments, our business, results of operations, cash flows and financial condition for fiscal year 2020 have been significantly affected by the COVID-19 disruptions and could continue to be adversely impacted in the future. There is no assurance the measures we have taken or may take in the future will be successful in managing the uncertainties caused by COVID-19.</w:t>
      </w:r>
    </w:p>
    <w:p>
      <w:pPr>
        <w:spacing w:after="0" w:line="340" w:lineRule="exact"/>
        <w:rPr>
          <w:sz w:val="20"/>
          <w:szCs w:val="20"/>
          <w:color w:val="auto"/>
        </w:rPr>
      </w:pPr>
    </w:p>
    <w:p>
      <w:pPr>
        <w:ind w:firstLine="637"/>
        <w:spacing w:after="0" w:line="250" w:lineRule="auto"/>
        <w:rPr>
          <w:sz w:val="20"/>
          <w:szCs w:val="20"/>
          <w:color w:val="auto"/>
        </w:rPr>
      </w:pPr>
      <w:r>
        <w:rPr>
          <w:rFonts w:ascii="Arial" w:cs="Arial" w:eastAsia="Arial" w:hAnsi="Arial"/>
          <w:sz w:val="17"/>
          <w:szCs w:val="17"/>
          <w:color w:val="auto"/>
        </w:rPr>
        <w:t>The extent to which COVID-19 ultimately impacts our business, financial condition and results of operations will depend on future developments, which are highly uncertain and unpredictable, including new information which may emerge concerning the severity and duration of the COVID-19 outbreak and the effectiveness of actions taken to contain the COVID-19 outbreak or treat its impact, including the availability and efficacy of vaccines and other treatments for COVID-19, including with respect to their development and distribution, and the resistance of new strains of the virus to vaccines, among others. The ultimate consequences of the COVID-19 pandemic cannot be predicted with certainty, but it could have a material effect on our business, operating results, financial condition and prospects.</w:t>
      </w:r>
    </w:p>
    <w:p>
      <w:pPr>
        <w:spacing w:after="0" w:line="165" w:lineRule="exact"/>
        <w:rPr>
          <w:sz w:val="20"/>
          <w:szCs w:val="20"/>
          <w:color w:val="auto"/>
        </w:rPr>
      </w:pPr>
    </w:p>
    <w:p>
      <w:pPr>
        <w:ind w:right="40" w:firstLine="637"/>
        <w:spacing w:after="0" w:line="249" w:lineRule="auto"/>
        <w:rPr>
          <w:sz w:val="20"/>
          <w:szCs w:val="20"/>
          <w:color w:val="auto"/>
        </w:rPr>
      </w:pPr>
      <w:r>
        <w:rPr>
          <w:rFonts w:ascii="Arial" w:cs="Arial" w:eastAsia="Arial" w:hAnsi="Arial"/>
          <w:sz w:val="17"/>
          <w:szCs w:val="17"/>
          <w:color w:val="auto"/>
        </w:rPr>
        <w:t>In addition to the COVID-19 disruptions adversely impacting our business and financial results, they may also have the effect of heightening many of the other risks described herein, including risks relating to changes in consumer demand; our limited operating history; our ability to generate sufficient revenue to generate positive cash flow; the operation of TDA; our relationships with third party customer experience teams; the availability of third-party providers to deliver our vehicles to customers nationwide; the operation of our VRCs by us and our third party service providers; the current geographic concentration of reconditioning services and store inventory; our level of indebtedness; our agreement with a single lender to finance our vehicle inventory purchases and the expiration of such agreement; our access to desirable vehicle inventory; regulatory restrictions; and the shift by traditional dealers to online sales and deliveries.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Our Financial Condition and Results of Operations</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losses and we may not achieve or maintain profitability in the future.</w:t>
      </w:r>
    </w:p>
    <w:p>
      <w:pPr>
        <w:spacing w:after="0" w:line="103" w:lineRule="exact"/>
        <w:rPr>
          <w:sz w:val="20"/>
          <w:szCs w:val="20"/>
          <w:color w:val="auto"/>
        </w:rPr>
      </w:pPr>
    </w:p>
    <w:p>
      <w:pPr>
        <w:ind w:right="20" w:firstLine="637"/>
        <w:spacing w:after="0" w:line="249" w:lineRule="auto"/>
        <w:rPr>
          <w:sz w:val="20"/>
          <w:szCs w:val="20"/>
          <w:color w:val="auto"/>
        </w:rPr>
      </w:pPr>
      <w:r>
        <w:rPr>
          <w:rFonts w:ascii="Arial" w:cs="Arial" w:eastAsia="Arial" w:hAnsi="Arial"/>
          <w:sz w:val="17"/>
          <w:szCs w:val="17"/>
          <w:color w:val="auto"/>
        </w:rPr>
        <w:t>We have not been profitable since our inception in 2012 and had an accumulated deficit of approximately $777.9 million as of December 31, 2020. We incurred net losses of $202.8 million and $143.0 million for the years ended December 31, 2020 and 2019, respectively. We may incur significant losses in the future for a number of reasons, including our inability to reduce costs, acquire and appropriately price vehicle inventory, provide the exceptional customer experience needed to attract customers or identify and respond to emerging trends in the used car industry; a slowdown in demand for used vehicles and our related value-added products; weakness in the automotive retail industry generally; general economic conditions; global pandemics; and increasing competition, as well as other risks described in this Annual Report on Form 10-K, and we may encounter unforeseen expenses, difficulties, complications and delays in achieving profitability.</w:t>
      </w:r>
    </w:p>
    <w:p>
      <w:pPr>
        <w:spacing w:after="0" w:line="163" w:lineRule="exact"/>
        <w:rPr>
          <w:sz w:val="20"/>
          <w:szCs w:val="20"/>
          <w:color w:val="auto"/>
        </w:rPr>
      </w:pPr>
    </w:p>
    <w:p>
      <w:pPr>
        <w:ind w:right="40" w:firstLine="637"/>
        <w:spacing w:after="0" w:line="246" w:lineRule="auto"/>
        <w:rPr>
          <w:sz w:val="20"/>
          <w:szCs w:val="20"/>
          <w:color w:val="auto"/>
        </w:rPr>
      </w:pPr>
      <w:r>
        <w:rPr>
          <w:rFonts w:ascii="Arial" w:cs="Arial" w:eastAsia="Arial" w:hAnsi="Arial"/>
          <w:sz w:val="17"/>
          <w:szCs w:val="17"/>
          <w:color w:val="auto"/>
        </w:rPr>
        <w:t>Additionally, we expect to continue to incur losses as we invest in and strive to grow our business. We expect our operating expenses to increase in the future as we increase our investment in our proprietary logistics operations, increase our advertising and marketing efforts to build our brand, continue to invest in technology development, increase hiring and expand our operating infrastructure. In addition, as a public company, we now have significant legal, accounting and other expenses that we did not incur as a private company. As a result of these increased expenditures, we will have to generate and sustain increased revenue to offset our operating expenses and achieve and maintain profitability. In addition, if we reduce variable costs to respond to losses, this may limit our ability to acquire customers and grow our revenues. Our ecommerce gross profit per unit increased by $ 69, or 4.1%, from the year ended December 31, 2019 to December 31, 2020. To reduce our losses, we will need to increase our gross profit per unit by lowering our costs per unit by, among other things, increasing efficiencies in reconditioning and logistics, which we may be unable to do. Accordingly, we may not achieve or maintain profitability and we may continue to incur significant losses in the future.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ind w:right="340"/>
        <w:spacing w:after="0" w:line="297" w:lineRule="auto"/>
        <w:rPr>
          <w:sz w:val="20"/>
          <w:szCs w:val="20"/>
          <w:color w:val="auto"/>
        </w:rPr>
      </w:pPr>
      <w:r>
        <w:rPr>
          <w:rFonts w:ascii="Arial" w:cs="Arial" w:eastAsia="Arial" w:hAnsi="Arial"/>
          <w:sz w:val="17"/>
          <w:szCs w:val="17"/>
          <w:b w:val="1"/>
          <w:bCs w:val="1"/>
          <w:i w:val="1"/>
          <w:iCs w:val="1"/>
          <w:color w:val="auto"/>
        </w:rPr>
        <w:t>We may not be able to generate sufficient revenue to generate positive cash flow on a sustained basis, and our revenue growth rate may decline.</w:t>
      </w:r>
    </w:p>
    <w:p>
      <w:pPr>
        <w:spacing w:after="0" w:line="11" w:lineRule="exact"/>
        <w:rPr>
          <w:sz w:val="20"/>
          <w:szCs w:val="20"/>
          <w:color w:val="auto"/>
        </w:rPr>
      </w:pPr>
    </w:p>
    <w:p>
      <w:pPr>
        <w:ind w:right="20" w:firstLine="637"/>
        <w:spacing w:after="0" w:line="248" w:lineRule="auto"/>
        <w:rPr>
          <w:sz w:val="20"/>
          <w:szCs w:val="20"/>
          <w:color w:val="auto"/>
        </w:rPr>
      </w:pPr>
      <w:r>
        <w:rPr>
          <w:rFonts w:ascii="Arial" w:cs="Arial" w:eastAsia="Arial" w:hAnsi="Arial"/>
          <w:sz w:val="17"/>
          <w:szCs w:val="17"/>
          <w:color w:val="auto"/>
        </w:rPr>
        <w:t>We cannot assure you that we will generate sufficient revenue to offset the cost of maintaining our platform and maintaining and growing our business. Although our revenue grew from $1.2 billion for the year ended December 31, 2019 to $1.4 billion for the year ended December 31, 2020, our revenue growth rate may decline in the future because of a variety of factors, including our inability to acquire and appropriately price vehicle inventory, provide the exceptional customer experience needed to attract customers or execute effective marketing campaigns to increase traffic to our platform; a slowdown in demand for used vehicles and our related value-added products; weakness in the automotive retail industry generally; general economic conditions; and increasing competition. We cannot assure you that our revenue will continue to grow or will not decline. You should not consider our historical revenue growth as indicative of our future performance. If our revenue growth rate declines, our business, financial condition and results of operations will be materially and adversely affected.</w:t>
      </w:r>
    </w:p>
    <w:p>
      <w:pPr>
        <w:spacing w:after="0" w:line="163" w:lineRule="exact"/>
        <w:rPr>
          <w:sz w:val="20"/>
          <w:szCs w:val="20"/>
          <w:color w:val="auto"/>
        </w:rPr>
      </w:pPr>
    </w:p>
    <w:p>
      <w:pPr>
        <w:ind w:right="60" w:firstLine="637"/>
        <w:spacing w:after="0" w:line="246" w:lineRule="auto"/>
        <w:rPr>
          <w:sz w:val="20"/>
          <w:szCs w:val="20"/>
          <w:color w:val="auto"/>
        </w:rPr>
      </w:pPr>
      <w:r>
        <w:rPr>
          <w:rFonts w:ascii="Arial" w:cs="Arial" w:eastAsia="Arial" w:hAnsi="Arial"/>
          <w:sz w:val="17"/>
          <w:szCs w:val="17"/>
          <w:color w:val="auto"/>
        </w:rPr>
        <w:t>Further, going forward we expect to make significant investments to further develop and expand our business, and these investments may not result in increased revenue or growth on a timely basis or at all. For example, we expect to continue to expend substantial financial and other resources on increased marketing and other efforts to acquire and retain customers, expanding our customer experience team, developing our technology and data analytics capabilities, adding new features and functionality to our website, mobile application development and expansion of our reconditioning and proprietary logistics operations. These investments may not result in increased revenue or growth in our business. If we cannot successfully earn revenue at a rate that exceeds the costs associated with our business, we will not be able to generate positive cash flow on a sustained basis and our revenue growth rate may decline. Additionally, we base our expenses and investment plans on our estimates of revenue and gross profit. If our assumptions prove to be wrong, we may spend more than we anticipate or may generate less revenue than anticipated. If we fail to continue to grow our revenue, our business, financial condition and results of operations could be materially and adversely affected.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certain risks related to the operation of TDA.</w:t>
      </w:r>
    </w:p>
    <w:p>
      <w:pPr>
        <w:spacing w:after="0" w:line="103" w:lineRule="exact"/>
        <w:rPr>
          <w:sz w:val="20"/>
          <w:szCs w:val="20"/>
          <w:color w:val="auto"/>
        </w:rPr>
      </w:pPr>
    </w:p>
    <w:p>
      <w:pPr>
        <w:ind w:firstLine="637"/>
        <w:spacing w:after="0" w:line="245" w:lineRule="auto"/>
        <w:rPr>
          <w:sz w:val="20"/>
          <w:szCs w:val="20"/>
          <w:color w:val="auto"/>
        </w:rPr>
      </w:pPr>
      <w:r>
        <w:rPr>
          <w:rFonts w:ascii="Arial" w:cs="Arial" w:eastAsia="Arial" w:hAnsi="Arial"/>
          <w:sz w:val="17"/>
          <w:szCs w:val="17"/>
          <w:color w:val="auto"/>
        </w:rPr>
        <w:t>In the years ended December 31, 2020 and 2019, $196.7 million and $390.2 million, respectively, of our revenues were related to sales at TDA, representing approximately 14.5% and 32.8% of our total revenues for those years. For the years ended December 31, 2020 and 2019, TDA gross profit was $12.1 million and $25.4 million, respectively. Lower foot traffic in the initial phase of the COVID-19 pandemic, as well as reduced inventory at the TDA location as the ecommerce business scales, continues to negatively affect our TDA business. Vehicle sales at TDA also could be adversely affected for a variety of other reasons, including severe weather conditions or other catastrophic events in the Houston area that could damage our facilities and/or our inventory and keep customers from coming onsite, or economic downturns or other factors affecting the Houston area that could lead to reduced demand. Although revenues and gross profit from TDA are expected to decline as a percentage of total revenues over time as we scale our ecommerce business, a material decline in vehicle sales at TDA in the near term would adversely affect our results of operations. In addition, we acquired TDA in 2015, and, in connection with this acquisition, we could continue to be subject to risks and liabilities from the operation of TDA under its prior ownership, and the indemnities that we negotiated as part of the transaction may not adequately protect us.</w:t>
      </w:r>
    </w:p>
    <w:p>
      <w:pPr>
        <w:spacing w:after="0" w:line="200" w:lineRule="exact"/>
        <w:rPr>
          <w:sz w:val="20"/>
          <w:szCs w:val="20"/>
          <w:color w:val="auto"/>
        </w:rPr>
      </w:pPr>
    </w:p>
    <w:p>
      <w:pPr>
        <w:spacing w:after="0" w:line="279" w:lineRule="exact"/>
        <w:rPr>
          <w:sz w:val="20"/>
          <w:szCs w:val="20"/>
          <w:color w:val="auto"/>
        </w:rPr>
      </w:pPr>
    </w:p>
    <w:p>
      <w:pPr>
        <w:ind w:right="300"/>
        <w:spacing w:after="0" w:line="297" w:lineRule="auto"/>
        <w:rPr>
          <w:sz w:val="20"/>
          <w:szCs w:val="20"/>
          <w:color w:val="auto"/>
        </w:rPr>
      </w:pPr>
      <w:r>
        <w:rPr>
          <w:rFonts w:ascii="Arial" w:cs="Arial" w:eastAsia="Arial" w:hAnsi="Arial"/>
          <w:sz w:val="17"/>
          <w:szCs w:val="17"/>
          <w:b w:val="1"/>
          <w:bCs w:val="1"/>
          <w:i w:val="1"/>
          <w:iCs w:val="1"/>
          <w:color w:val="auto"/>
        </w:rPr>
        <w:t>We may experience seasonal and other fluctuations in our quarterly results of operations, which may not fully reflect the underlying performance of our business.</w:t>
      </w:r>
    </w:p>
    <w:p>
      <w:pPr>
        <w:spacing w:after="0" w:line="11" w:lineRule="exact"/>
        <w:rPr>
          <w:sz w:val="20"/>
          <w:szCs w:val="20"/>
          <w:color w:val="auto"/>
        </w:rPr>
      </w:pPr>
    </w:p>
    <w:p>
      <w:pPr>
        <w:ind w:right="40" w:firstLine="637"/>
        <w:spacing w:after="0" w:line="250" w:lineRule="auto"/>
        <w:rPr>
          <w:sz w:val="20"/>
          <w:szCs w:val="20"/>
          <w:color w:val="auto"/>
        </w:rPr>
      </w:pPr>
      <w:r>
        <w:rPr>
          <w:rFonts w:ascii="Arial" w:cs="Arial" w:eastAsia="Arial" w:hAnsi="Arial"/>
          <w:sz w:val="17"/>
          <w:szCs w:val="17"/>
          <w:color w:val="auto"/>
        </w:rPr>
        <w:t>We expect our quarterly results of operations, including our revenue, gross profit and cash flow to vary significantly in the future based in part on, among other things, vehicle-buying patterns. Vehicle sales generally exhibit seasonality with an increase in sales early in the year that reaches its highest point late in the first quarter and early in the second quarter, which then levels off through the rest of the year with the lowest level of sales in the fourth quarter. This seasonality historically corresponds with the timing of income tax refunds, which can provide a primary source of funds for customers’ payments on used vehicle purchases. Used vehicle prices also exhibit seasonality, with used vehicles depreciating at a faster rate in the last two quarters of each year and a slower rate in the first two quarters of each year.</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Other factors that may cause our quarterly results to fluctuate include, without limitation:</w:t>
      </w:r>
    </w:p>
    <w:p>
      <w:pPr>
        <w:spacing w:after="0" w:line="105" w:lineRule="exact"/>
        <w:rPr>
          <w:sz w:val="20"/>
          <w:szCs w:val="20"/>
          <w:color w:val="auto"/>
        </w:rPr>
      </w:pPr>
    </w:p>
    <w:p>
      <w:pPr>
        <w:ind w:left="880" w:hanging="247"/>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attract new customers;</w:t>
      </w:r>
    </w:p>
    <w:p>
      <w:pPr>
        <w:spacing w:after="0" w:line="105" w:lineRule="exact"/>
        <w:rPr>
          <w:rFonts w:ascii="Arial" w:cs="Arial" w:eastAsia="Arial" w:hAnsi="Arial"/>
          <w:sz w:val="17"/>
          <w:szCs w:val="17"/>
          <w:color w:val="auto"/>
        </w:rPr>
      </w:pPr>
    </w:p>
    <w:p>
      <w:pPr>
        <w:ind w:left="880" w:hanging="247"/>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generate sales of value-added products;</w:t>
      </w:r>
    </w:p>
    <w:p>
      <w:pPr>
        <w:spacing w:after="0" w:line="105" w:lineRule="exact"/>
        <w:rPr>
          <w:rFonts w:ascii="Arial" w:cs="Arial" w:eastAsia="Arial" w:hAnsi="Arial"/>
          <w:sz w:val="17"/>
          <w:szCs w:val="17"/>
          <w:color w:val="auto"/>
        </w:rPr>
      </w:pPr>
    </w:p>
    <w:p>
      <w:pPr>
        <w:ind w:left="880" w:hanging="247"/>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the competitive dynamics of our industry;</w:t>
      </w:r>
    </w:p>
    <w:p>
      <w:pPr>
        <w:spacing w:after="0" w:line="105" w:lineRule="exact"/>
        <w:rPr>
          <w:rFonts w:ascii="Arial" w:cs="Arial" w:eastAsia="Arial" w:hAnsi="Arial"/>
          <w:sz w:val="17"/>
          <w:szCs w:val="17"/>
          <w:color w:val="auto"/>
        </w:rPr>
      </w:pPr>
    </w:p>
    <w:p>
      <w:pPr>
        <w:ind w:left="880" w:hanging="247"/>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regulatory environment;</w:t>
      </w:r>
    </w:p>
    <w:p>
      <w:pPr>
        <w:spacing w:after="0" w:line="105" w:lineRule="exact"/>
        <w:rPr>
          <w:rFonts w:ascii="Arial" w:cs="Arial" w:eastAsia="Arial" w:hAnsi="Arial"/>
          <w:sz w:val="17"/>
          <w:szCs w:val="17"/>
          <w:color w:val="auto"/>
        </w:rPr>
      </w:pPr>
    </w:p>
    <w:p>
      <w:pPr>
        <w:ind w:left="880" w:hanging="247"/>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expenses associated with unforeseen quality issues;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880" w:hanging="247"/>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macroeconomic conditions, including the impact of the COVID-19 pandemic;</w:t>
      </w:r>
    </w:p>
    <w:p>
      <w:pPr>
        <w:spacing w:after="0" w:line="105" w:lineRule="exact"/>
        <w:rPr>
          <w:rFonts w:ascii="Arial" w:cs="Arial" w:eastAsia="Arial" w:hAnsi="Arial"/>
          <w:sz w:val="17"/>
          <w:szCs w:val="17"/>
          <w:color w:val="auto"/>
        </w:rPr>
      </w:pPr>
    </w:p>
    <w:p>
      <w:pPr>
        <w:ind w:left="880" w:hanging="247"/>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scope, impact and timing of any federal economic stimulus checks;</w:t>
      </w:r>
    </w:p>
    <w:p>
      <w:pPr>
        <w:spacing w:after="0" w:line="79" w:lineRule="exact"/>
        <w:rPr>
          <w:rFonts w:ascii="Arial" w:cs="Arial" w:eastAsia="Arial" w:hAnsi="Arial"/>
          <w:sz w:val="17"/>
          <w:szCs w:val="17"/>
          <w:color w:val="auto"/>
        </w:rPr>
      </w:pPr>
    </w:p>
    <w:p>
      <w:pPr>
        <w:ind w:left="880" w:hanging="247"/>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maintain sufficient inventory of desirable vehicles;</w:t>
      </w:r>
    </w:p>
    <w:p>
      <w:pPr>
        <w:spacing w:after="0" w:line="105" w:lineRule="exact"/>
        <w:rPr>
          <w:rFonts w:ascii="Arial" w:cs="Arial" w:eastAsia="Arial" w:hAnsi="Arial"/>
          <w:sz w:val="17"/>
          <w:szCs w:val="17"/>
          <w:color w:val="auto"/>
        </w:rPr>
      </w:pPr>
    </w:p>
    <w:p>
      <w:pPr>
        <w:ind w:left="880" w:hanging="247"/>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seasonality of the automotive industry and third-party aggregation websites on which we rely;</w:t>
      </w:r>
    </w:p>
    <w:p>
      <w:pPr>
        <w:spacing w:after="0" w:line="105" w:lineRule="exact"/>
        <w:rPr>
          <w:rFonts w:ascii="Arial" w:cs="Arial" w:eastAsia="Arial" w:hAnsi="Arial"/>
          <w:sz w:val="17"/>
          <w:szCs w:val="17"/>
          <w:color w:val="auto"/>
        </w:rPr>
      </w:pPr>
    </w:p>
    <w:p>
      <w:pPr>
        <w:ind w:left="880" w:hanging="247"/>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that impact disposable income, including changes that impact the timing or amount of income tax refunds; and</w:t>
      </w:r>
    </w:p>
    <w:p>
      <w:pPr>
        <w:spacing w:after="0" w:line="105" w:lineRule="exact"/>
        <w:rPr>
          <w:rFonts w:ascii="Arial" w:cs="Arial" w:eastAsia="Arial" w:hAnsi="Arial"/>
          <w:sz w:val="17"/>
          <w:szCs w:val="17"/>
          <w:color w:val="auto"/>
        </w:rPr>
      </w:pPr>
    </w:p>
    <w:p>
      <w:pPr>
        <w:ind w:left="880" w:hanging="247"/>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litigation or other claims against us.</w:t>
      </w:r>
    </w:p>
    <w:p>
      <w:pPr>
        <w:spacing w:after="0" w:line="210" w:lineRule="exact"/>
        <w:rPr>
          <w:sz w:val="20"/>
          <w:szCs w:val="20"/>
          <w:color w:val="auto"/>
        </w:rPr>
      </w:pPr>
    </w:p>
    <w:p>
      <w:pPr>
        <w:ind w:right="260" w:firstLine="637"/>
        <w:spacing w:after="0" w:line="265" w:lineRule="auto"/>
        <w:rPr>
          <w:sz w:val="20"/>
          <w:szCs w:val="20"/>
          <w:color w:val="auto"/>
        </w:rPr>
      </w:pPr>
      <w:r>
        <w:rPr>
          <w:rFonts w:ascii="Arial" w:cs="Arial" w:eastAsia="Arial" w:hAnsi="Arial"/>
          <w:sz w:val="17"/>
          <w:szCs w:val="17"/>
          <w:color w:val="auto"/>
        </w:rPr>
        <w:t>In addition, a significant portion of our expenses are fixed and do not vary proportionately with fluctuations in revenues. As a result of these seasonal fluctuations, our results in any quarter may not be indicative of the results we may achieve in any subsequent quarter or for the full year, and period-to-period comparisons of our results of operations may not be meaningful.</w:t>
      </w:r>
    </w:p>
    <w:p>
      <w:pPr>
        <w:spacing w:after="0" w:line="283" w:lineRule="exact"/>
        <w:rPr>
          <w:sz w:val="20"/>
          <w:szCs w:val="20"/>
          <w:color w:val="auto"/>
        </w:rPr>
      </w:pPr>
    </w:p>
    <w:p>
      <w:pPr>
        <w:ind w:right="140"/>
        <w:spacing w:after="0" w:line="297" w:lineRule="auto"/>
        <w:rPr>
          <w:sz w:val="20"/>
          <w:szCs w:val="20"/>
          <w:color w:val="auto"/>
        </w:rPr>
      </w:pPr>
      <w:r>
        <w:rPr>
          <w:rFonts w:ascii="Arial" w:cs="Arial" w:eastAsia="Arial" w:hAnsi="Arial"/>
          <w:sz w:val="17"/>
          <w:szCs w:val="17"/>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11" w:lineRule="exact"/>
        <w:rPr>
          <w:sz w:val="20"/>
          <w:szCs w:val="20"/>
          <w:color w:val="auto"/>
        </w:rPr>
      </w:pPr>
    </w:p>
    <w:p>
      <w:pPr>
        <w:jc w:val="both"/>
        <w:ind w:firstLine="637"/>
        <w:spacing w:after="0" w:line="265" w:lineRule="auto"/>
        <w:rPr>
          <w:sz w:val="20"/>
          <w:szCs w:val="20"/>
          <w:color w:val="auto"/>
        </w:rPr>
      </w:pPr>
      <w:r>
        <w:rPr>
          <w:rFonts w:ascii="Arial" w:cs="Arial" w:eastAsia="Arial" w:hAnsi="Arial"/>
          <w:sz w:val="17"/>
          <w:szCs w:val="17"/>
          <w:color w:val="auto"/>
        </w:rPr>
        <w:t>As of December 31, 2020, we had outstanding $329.2 million aggregate principal amount of borrowings under our 2020 Vehicle Floorplan Facility (as defined in “Management’s Discussion and Analysis of Financial Condition and Results of Operations—Liquidity and Capital Resources —Vehicle Financing”). Our interest expense was $9.7 million for the year ended December 31, 2020.</w:t>
      </w:r>
    </w:p>
    <w:p>
      <w:pPr>
        <w:spacing w:after="0" w:line="151" w:lineRule="exact"/>
        <w:rPr>
          <w:sz w:val="20"/>
          <w:szCs w:val="20"/>
          <w:color w:val="auto"/>
        </w:rPr>
      </w:pPr>
    </w:p>
    <w:p>
      <w:pPr>
        <w:ind w:right="20" w:firstLine="637"/>
        <w:spacing w:after="0" w:line="245" w:lineRule="auto"/>
        <w:rPr>
          <w:sz w:val="20"/>
          <w:szCs w:val="20"/>
          <w:color w:val="auto"/>
        </w:rPr>
      </w:pPr>
      <w:r>
        <w:rPr>
          <w:rFonts w:ascii="Arial" w:cs="Arial" w:eastAsia="Arial" w:hAnsi="Arial"/>
          <w:sz w:val="17"/>
          <w:szCs w:val="17"/>
          <w:color w:val="auto"/>
        </w:rPr>
        <w:t>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Any failure to make payments of interest and principal on our outstanding indebtedness on a timely basis or failure to comply with certain restrictions in our debt instruments would result in a default under our debt instruments. In the event of a default under any of our current or future debt instruments, the lenders could elect to declare all amounts outstanding under such debt instruments to be due and payable. Furthermore, our 2020 Vehicle Floorplan Facility restricts our ability to dispose of assets and/or use the proceeds from the disposition. We may not be able to consummate any such dispositions or to obtain the proceeds that we could realize from them and these proceeds may not be adequate to meet any debt service obligations then due.</w:t>
      </w:r>
    </w:p>
    <w:p>
      <w:pPr>
        <w:spacing w:after="0" w:line="373" w:lineRule="exact"/>
        <w:rPr>
          <w:sz w:val="20"/>
          <w:szCs w:val="20"/>
          <w:color w:val="auto"/>
        </w:rPr>
      </w:pPr>
    </w:p>
    <w:p>
      <w:pPr>
        <w:ind w:right="260" w:firstLine="637"/>
        <w:spacing w:after="0" w:line="259" w:lineRule="auto"/>
        <w:rPr>
          <w:sz w:val="20"/>
          <w:szCs w:val="20"/>
          <w:color w:val="auto"/>
        </w:rPr>
      </w:pPr>
      <w:r>
        <w:rPr>
          <w:rFonts w:ascii="Arial" w:cs="Arial" w:eastAsia="Arial" w:hAnsi="Arial"/>
          <w:sz w:val="17"/>
          <w:szCs w:val="17"/>
          <w:color w:val="auto"/>
        </w:rPr>
        <w:t>In addition, our indebtedness under our 2020 Vehicle Floorplan Facility bears interest at variable rates. Because we have variable rate debt, fluctuations in interest rates may affect our cash flows or business, financial condition and results of operations. We may attempt to minimize interest rate risk and lower our overall borrowing costs through the utilization of derivative financial instruments, primarily interest rate swaps.</w:t>
      </w:r>
    </w:p>
    <w:p>
      <w:pPr>
        <w:spacing w:after="0" w:line="200" w:lineRule="exact"/>
        <w:rPr>
          <w:sz w:val="20"/>
          <w:szCs w:val="20"/>
          <w:color w:val="auto"/>
        </w:rPr>
      </w:pPr>
    </w:p>
    <w:p>
      <w:pPr>
        <w:spacing w:after="0" w:line="268" w:lineRule="exact"/>
        <w:rPr>
          <w:sz w:val="20"/>
          <w:szCs w:val="20"/>
          <w:color w:val="auto"/>
        </w:rPr>
      </w:pPr>
    </w:p>
    <w:p>
      <w:pPr>
        <w:ind w:right="820"/>
        <w:spacing w:after="0" w:line="269" w:lineRule="auto"/>
        <w:rPr>
          <w:sz w:val="20"/>
          <w:szCs w:val="20"/>
          <w:color w:val="auto"/>
        </w:rPr>
      </w:pPr>
      <w:r>
        <w:rPr>
          <w:rFonts w:ascii="Arial" w:cs="Arial" w:eastAsia="Arial" w:hAnsi="Arial"/>
          <w:sz w:val="17"/>
          <w:szCs w:val="17"/>
          <w:b w:val="1"/>
          <w:bCs w:val="1"/>
          <w:i w:val="1"/>
          <w:iCs w:val="1"/>
          <w:color w:val="auto"/>
        </w:rPr>
        <w:t>We may require additional debt and equity capital to pursue our business objectives and respond to business opportunities, challenges or unforeseen circumstances. If such capital is not available to us, our business, financial condition and results of operations may be materially and adversely affected.</w:t>
      </w:r>
    </w:p>
    <w:p>
      <w:pPr>
        <w:spacing w:after="0" w:line="34" w:lineRule="exact"/>
        <w:rPr>
          <w:sz w:val="20"/>
          <w:szCs w:val="20"/>
          <w:color w:val="auto"/>
        </w:rPr>
      </w:pPr>
    </w:p>
    <w:p>
      <w:pPr>
        <w:ind w:right="60" w:firstLine="637"/>
        <w:spacing w:after="0" w:line="245" w:lineRule="auto"/>
        <w:rPr>
          <w:sz w:val="20"/>
          <w:szCs w:val="20"/>
          <w:color w:val="auto"/>
        </w:rPr>
      </w:pPr>
      <w:r>
        <w:rPr>
          <w:rFonts w:ascii="Arial" w:cs="Arial" w:eastAsia="Arial" w:hAnsi="Arial"/>
          <w:sz w:val="17"/>
          <w:szCs w:val="17"/>
          <w:color w:val="auto"/>
        </w:rPr>
        <w:t>We may require additional capital to pursue our business objectives and respond to business opportunities, challenges or unforeseen circumstances, including to increase our marketing expenditures to improve our brand awareness, build and maintain our inventory of used vehicles, develop new products or services or further improve existing products and services, expand and enhance our operating and proprietary logistics infrastructure and acquire complementary businesses and technologies. Accordingly, we may need to engage in equity or debt financings to secure additional funds. However, additional funds may not be available when we need them, on terms that are acceptable to us, or at all. Moreover, any debt financing that we secure in the future could involve restrictive covenants which may make it more difficult for us to obtain additional capital and to pursue business opportunities. Volatility in the credit markets may also have an adverse effect on our ability to obtain debt financing.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If we are unable to obtain adequate financing or financing on terms satisfactory to us when we require it, we may be forced to obtain financing on undesirable terms or our ability to continue to pursue our business objectives and to respond to business opportunities, challenges or unforeseen circumstances could be significantly limited, and our business, financial condition and results of operations could be materially and adversely affected.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i w:val="1"/>
          <w:iCs w:val="1"/>
          <w:color w:val="auto"/>
        </w:rPr>
        <w:t>We currently rely on an agreement with a single lender to finance our vehicle inventory purchases under our 2020 Vehicle Floorplan Facility. If our relationship with this lender were to terminate, and we fail to acquire alternative sources of funding to finance our vehicle inventory purchases, we may be unable to maintain sufficient inventory, which would adversely affect our business, financial condition and results of operations.</w:t>
      </w:r>
    </w:p>
    <w:p>
      <w:pPr>
        <w:spacing w:after="0" w:line="44" w:lineRule="exact"/>
        <w:rPr>
          <w:sz w:val="20"/>
          <w:szCs w:val="20"/>
          <w:color w:val="auto"/>
        </w:rPr>
      </w:pPr>
    </w:p>
    <w:p>
      <w:pPr>
        <w:ind w:right="20" w:firstLine="637"/>
        <w:spacing w:after="0" w:line="247" w:lineRule="auto"/>
        <w:rPr>
          <w:sz w:val="20"/>
          <w:szCs w:val="20"/>
          <w:color w:val="auto"/>
        </w:rPr>
      </w:pPr>
      <w:r>
        <w:rPr>
          <w:rFonts w:ascii="Arial" w:cs="Arial" w:eastAsia="Arial" w:hAnsi="Arial"/>
          <w:sz w:val="17"/>
          <w:szCs w:val="17"/>
          <w:color w:val="auto"/>
        </w:rPr>
        <w:t>We rely on a revolving credit agreement with a single lender to finance our vehicle inventory purchases under our 2020 Vehicle Floorplan Facility. Outstanding borrowings are due as financed vehicles are sold, and the 2020 Vehicle Floorplan Facility is secured by our vehicle inventory and certain other assets. If we are unable to maintain our 2020 Vehicle Floorplan Facility, which expires in September 2022, absent renewal, on favorable terms or at all, or if the agreement is terminated or expires and is not renewed with our existing third-party lender or we are unable to find a satisfactory replacement, our inventory supply may decline, resulting in fewer vehicles available for sale on our website. Moreover, new funding arrangements may be at higher interest rates or subject to other less favorable terms. These financing risks, in addition to potential rising interest rates and changes in market conditions, if realized, could negatively impact our business, financial condition and results of operations. See “Management’s Discussion and Analysis of Financial Condition and Results of Operations—Liquidity and Capital Resources—Vehicle Financing.”</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Our Growth and Strategy</w:t>
      </w:r>
    </w:p>
    <w:p>
      <w:pPr>
        <w:spacing w:after="0" w:line="319" w:lineRule="exact"/>
        <w:rPr>
          <w:sz w:val="20"/>
          <w:szCs w:val="20"/>
          <w:color w:val="auto"/>
        </w:rPr>
      </w:pPr>
    </w:p>
    <w:p>
      <w:pPr>
        <w:ind w:right="140"/>
        <w:spacing w:after="0" w:line="297" w:lineRule="auto"/>
        <w:rPr>
          <w:sz w:val="20"/>
          <w:szCs w:val="20"/>
          <w:color w:val="auto"/>
        </w:rPr>
      </w:pPr>
      <w:r>
        <w:rPr>
          <w:rFonts w:ascii="Arial" w:cs="Arial" w:eastAsia="Arial" w:hAnsi="Arial"/>
          <w:sz w:val="17"/>
          <w:szCs w:val="17"/>
          <w:b w:val="1"/>
          <w:bCs w:val="1"/>
          <w:i w:val="1"/>
          <w:iCs w:val="1"/>
          <w:color w:val="auto"/>
        </w:rPr>
        <w:t>Our recent, rapid growth may not be indicative of our future growth and, if we continue to grow rapidly, we may not be able to manage our growth effectively.</w:t>
      </w:r>
    </w:p>
    <w:p>
      <w:pPr>
        <w:spacing w:after="0" w:line="11" w:lineRule="exact"/>
        <w:rPr>
          <w:sz w:val="20"/>
          <w:szCs w:val="20"/>
          <w:color w:val="auto"/>
        </w:rPr>
      </w:pPr>
    </w:p>
    <w:p>
      <w:pPr>
        <w:ind w:right="220" w:firstLine="637"/>
        <w:spacing w:after="0" w:line="265" w:lineRule="auto"/>
        <w:rPr>
          <w:sz w:val="20"/>
          <w:szCs w:val="20"/>
          <w:color w:val="auto"/>
        </w:rPr>
      </w:pPr>
      <w:r>
        <w:rPr>
          <w:rFonts w:ascii="Arial" w:cs="Arial" w:eastAsia="Arial" w:hAnsi="Arial"/>
          <w:sz w:val="17"/>
          <w:szCs w:val="17"/>
          <w:color w:val="auto"/>
        </w:rPr>
        <w:t>Our revenue grew from $1.2 billion for the year ended December 31, 2019 to $1.4 billion for the year ended December 31, 2020. We expect that, in the future, even if our revenue continues to increase, our rate of growth may decline. In any event, we will not be able to grow as fast or at all if we do not:</w:t>
      </w:r>
    </w:p>
    <w:p>
      <w:pPr>
        <w:spacing w:after="0" w:line="46" w:lineRule="exact"/>
        <w:rPr>
          <w:sz w:val="20"/>
          <w:szCs w:val="20"/>
          <w:color w:val="auto"/>
        </w:rPr>
      </w:pPr>
    </w:p>
    <w:p>
      <w:pPr>
        <w:ind w:left="880" w:right="300" w:hanging="247"/>
        <w:spacing w:after="0" w:line="290"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increase the number of unique visitors to our website, the number of qualified visitors to our website (i.e. those who have the intent and ability to transact), and the number of customers transacting on or through our platform;</w:t>
      </w:r>
    </w:p>
    <w:p>
      <w:pPr>
        <w:spacing w:after="0" w:line="24" w:lineRule="exact"/>
        <w:rPr>
          <w:rFonts w:ascii="Arial" w:cs="Arial" w:eastAsia="Arial" w:hAnsi="Arial"/>
          <w:sz w:val="17"/>
          <w:szCs w:val="17"/>
          <w:color w:val="auto"/>
        </w:rPr>
      </w:pPr>
    </w:p>
    <w:p>
      <w:pPr>
        <w:ind w:left="880" w:hanging="247"/>
        <w:spacing w:after="0" w:line="290"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further enhance the quality of our vehicle offerings and value-added products, and introduce high quality new offerings and features on our platform;</w:t>
      </w:r>
    </w:p>
    <w:p>
      <w:pPr>
        <w:spacing w:after="0" w:line="24" w:lineRule="exact"/>
        <w:rPr>
          <w:rFonts w:ascii="Arial" w:cs="Arial" w:eastAsia="Arial" w:hAnsi="Arial"/>
          <w:sz w:val="17"/>
          <w:szCs w:val="17"/>
          <w:color w:val="auto"/>
        </w:rPr>
      </w:pPr>
    </w:p>
    <w:p>
      <w:pPr>
        <w:ind w:left="880" w:hanging="247"/>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acquire sufficient high-quality inventory at an attractive cost to meet the increasing demand for our vehicles;</w:t>
      </w:r>
    </w:p>
    <w:p>
      <w:pPr>
        <w:spacing w:after="0" w:line="105" w:lineRule="exact"/>
        <w:rPr>
          <w:rFonts w:ascii="Arial" w:cs="Arial" w:eastAsia="Arial" w:hAnsi="Arial"/>
          <w:sz w:val="17"/>
          <w:szCs w:val="17"/>
          <w:color w:val="auto"/>
        </w:rPr>
      </w:pPr>
    </w:p>
    <w:p>
      <w:pPr>
        <w:ind w:left="880" w:hanging="247"/>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further invest in and enhance the quality of our logistics operations, including our customer delivery experience; and</w:t>
      </w:r>
    </w:p>
    <w:p>
      <w:pPr>
        <w:spacing w:after="0" w:line="105" w:lineRule="exact"/>
        <w:rPr>
          <w:rFonts w:ascii="Arial" w:cs="Arial" w:eastAsia="Arial" w:hAnsi="Arial"/>
          <w:sz w:val="17"/>
          <w:szCs w:val="17"/>
          <w:color w:val="auto"/>
        </w:rPr>
      </w:pPr>
    </w:p>
    <w:p>
      <w:pPr>
        <w:ind w:left="900" w:right="360" w:hanging="239"/>
        <w:spacing w:after="0" w:line="290" w:lineRule="auto"/>
        <w:tabs>
          <w:tab w:leader="none" w:pos="823" w:val="left"/>
        </w:tabs>
        <w:numPr>
          <w:ilvl w:val="1"/>
          <w:numId w:val="15"/>
        </w:numPr>
        <w:rPr>
          <w:rFonts w:ascii="Arial" w:cs="Arial" w:eastAsia="Arial" w:hAnsi="Arial"/>
          <w:sz w:val="17"/>
          <w:szCs w:val="17"/>
          <w:color w:val="auto"/>
        </w:rPr>
      </w:pPr>
      <w:r>
        <w:rPr>
          <w:rFonts w:ascii="Arial" w:cs="Arial" w:eastAsia="Arial" w:hAnsi="Arial"/>
          <w:sz w:val="17"/>
          <w:szCs w:val="17"/>
          <w:color w:val="auto"/>
        </w:rPr>
        <w:t>further develop the functionality of our website and mobile applications to facilitate fully digital transactions and reduce the need for continued investments in staffing for sales and sales support functions.</w:t>
      </w:r>
    </w:p>
    <w:p>
      <w:pPr>
        <w:spacing w:after="0" w:line="129" w:lineRule="exact"/>
        <w:rPr>
          <w:sz w:val="20"/>
          <w:szCs w:val="20"/>
          <w:color w:val="auto"/>
        </w:rPr>
      </w:pPr>
    </w:p>
    <w:p>
      <w:pPr>
        <w:ind w:firstLine="637"/>
        <w:spacing w:after="0" w:line="246" w:lineRule="auto"/>
        <w:rPr>
          <w:sz w:val="20"/>
          <w:szCs w:val="20"/>
          <w:color w:val="auto"/>
        </w:rPr>
      </w:pPr>
      <w:r>
        <w:rPr>
          <w:rFonts w:ascii="Arial" w:cs="Arial" w:eastAsia="Arial" w:hAnsi="Arial"/>
          <w:sz w:val="17"/>
          <w:szCs w:val="17"/>
          <w:color w:val="auto"/>
        </w:rPr>
        <w:t>Our business has grown rapidly as new customers have purchased vehicles and value-added products from us. However, our business is relatively new and has operated at substantial scale for only a limited period of time. Given this limited history, it is difficult to predict whether we will be able to maintain or grow our business. Our historical revenue growth should not be considered indicative of our future performance. We have encountered, and will continue to encounter, risks and difficulties frequently experienced by growing companies in rapidly changing industries, including difficulties in our ability to achieve market acceptance of our platform and attract customers, as well as increasing competition and increasing expenses as we continue to grow our business. We also expect that our business will evolve in ways that may be difficult to predict. For example, over time our investments that are intended to drive new customer traffic to our website may be less productive than expected. In the event of this or any other adverse developments, our continued success will depend on our ability to successfully adjust our strategy to meet changing market dynamics. If we are unable to do so, our business, financial condition and results of operations could be materially and adversely affected.</w:t>
      </w:r>
    </w:p>
    <w:p>
      <w:pPr>
        <w:spacing w:after="0" w:line="329" w:lineRule="exact"/>
        <w:rPr>
          <w:sz w:val="20"/>
          <w:szCs w:val="20"/>
          <w:color w:val="auto"/>
        </w:rPr>
      </w:pPr>
    </w:p>
    <w:p>
      <w:pPr>
        <w:ind w:right="180" w:firstLine="637"/>
        <w:spacing w:after="0" w:line="246" w:lineRule="auto"/>
        <w:rPr>
          <w:sz w:val="20"/>
          <w:szCs w:val="20"/>
          <w:color w:val="auto"/>
        </w:rPr>
      </w:pPr>
      <w:r>
        <w:rPr>
          <w:rFonts w:ascii="Arial" w:cs="Arial" w:eastAsia="Arial" w:hAnsi="Arial"/>
          <w:sz w:val="17"/>
          <w:szCs w:val="17"/>
          <w:color w:val="auto"/>
        </w:rPr>
        <w:t>Our recent, rapid growth has placed and may continue to place significant demands on our management and our operational and financial resources. In addition to our significant growth in sales and revenues, we have experienced significant growth in the number of customers on our platform as well as the amount of data that we analyze. Although we have hired additional personnel, our operations have not kept pace with our top-line growth, which has resulted in backlog in our operations that have adversely affected our customer experience. We expect to continue hiring additional personnel to support our continued rapid growth. In addition, our organizational structure is becoming more complex as we add staff, and we will need to continue to improve our operational, financial and management controls as well as our reporting systems and procedures. This will require significant capital expenditures and the allocation of valuable management resources to grow and adapt in these areas without undermining our corporate culture of teamwork. If we cannot manage our growth effectively to maintain the quality and efficiency of our customers’ experience and/or the quality of the vehicles we sell, our business, financial condition and results of operations could be materially and adversely affected.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limited operating history and are still building out our foundational systems.</w:t>
      </w:r>
    </w:p>
    <w:p>
      <w:pPr>
        <w:spacing w:after="0" w:line="90" w:lineRule="exact"/>
        <w:rPr>
          <w:sz w:val="20"/>
          <w:szCs w:val="20"/>
          <w:color w:val="auto"/>
        </w:rPr>
      </w:pPr>
    </w:p>
    <w:p>
      <w:pPr>
        <w:ind w:firstLine="637"/>
        <w:spacing w:after="0" w:line="248" w:lineRule="auto"/>
        <w:rPr>
          <w:sz w:val="20"/>
          <w:szCs w:val="20"/>
          <w:color w:val="auto"/>
        </w:rPr>
      </w:pPr>
      <w:r>
        <w:rPr>
          <w:rFonts w:ascii="Arial" w:cs="Arial" w:eastAsia="Arial" w:hAnsi="Arial"/>
          <w:sz w:val="17"/>
          <w:szCs w:val="17"/>
          <w:color w:val="auto"/>
        </w:rPr>
        <w:t>We commenced operations in 2012 and acquired TDA in 2015 and, as a result, have a limited operating history. Moreover, over the past four years, we brought in a new senior leadership team that has refocused our strategy, accelerated our growth and committed us to pursue a path to profitability. To execute this strategy, we have invested, and continue to invest, in enhancing our foundational systems as we scale our business, including design and expansion of website functionality and features, mobile application development, advancement and deployment of sophisticated data analytics, lean manufacturing technology and logistics network management, and work on all such foundational systems is ongoing. Fundamental to our continued growth and path to profitability is the further development of the functionality of our website and mobile applications to facilitate fully digital transactions and reduce the need for continued investments in staffing for the sales and sales support functions.</w:t>
      </w:r>
    </w:p>
    <w:p>
      <w:pPr>
        <w:spacing w:after="0" w:line="235" w:lineRule="exact"/>
        <w:rPr>
          <w:sz w:val="20"/>
          <w:szCs w:val="20"/>
          <w:color w:val="auto"/>
        </w:rPr>
      </w:pPr>
    </w:p>
    <w:p>
      <w:pPr>
        <w:ind w:right="140" w:firstLine="637"/>
        <w:spacing w:after="0" w:line="249" w:lineRule="auto"/>
        <w:rPr>
          <w:sz w:val="20"/>
          <w:szCs w:val="20"/>
          <w:color w:val="auto"/>
        </w:rPr>
      </w:pPr>
      <w:r>
        <w:rPr>
          <w:rFonts w:ascii="Arial" w:cs="Arial" w:eastAsia="Arial" w:hAnsi="Arial"/>
          <w:sz w:val="17"/>
          <w:szCs w:val="17"/>
          <w:color w:val="auto"/>
        </w:rPr>
        <w:t>These types of activities and investments subject us to various costs and risks, including increased capital expenditures, additional administration and operating expenses, potential disruption of our internal control structure, acquisition and retention of sufficiently skilled personnel, demands on management time, the introduction of errors or vulnerabilities and other risks and costs of delays or difficulties in transitioning to or integrating new systems into our foundational systems. There can be no assurance that we will succeed in successfully developing our capabilities in each of these areas, or that a desirable return on investment will be achieved on the investments made in these areas. A failure to successfully execute on the development of our foundational systems would adversely affect our business, financial condition and results of operations.</w:t>
      </w:r>
    </w:p>
    <w:p>
      <w:pPr>
        <w:spacing w:after="0" w:line="165" w:lineRule="exact"/>
        <w:rPr>
          <w:sz w:val="20"/>
          <w:szCs w:val="20"/>
          <w:color w:val="auto"/>
        </w:rPr>
      </w:pPr>
    </w:p>
    <w:p>
      <w:pPr>
        <w:ind w:right="300"/>
        <w:spacing w:after="0" w:line="269" w:lineRule="auto"/>
        <w:rPr>
          <w:sz w:val="20"/>
          <w:szCs w:val="20"/>
          <w:color w:val="auto"/>
        </w:rPr>
      </w:pPr>
      <w:r>
        <w:rPr>
          <w:rFonts w:ascii="Arial" w:cs="Arial" w:eastAsia="Arial" w:hAnsi="Arial"/>
          <w:sz w:val="17"/>
          <w:szCs w:val="17"/>
          <w:b w:val="1"/>
          <w:bCs w:val="1"/>
          <w:i w:val="1"/>
          <w:iCs w:val="1"/>
          <w:color w:val="auto"/>
        </w:rPr>
        <w:t>We are expanding our proprietary logistics operations, including vehicle pick-ups and delivery from our last mile hubs and line haul transportation of vehicles between our last mile hubs, which will further expose us to increased risks related to ownership of infrastructure and the transportation of vehicles.</w:t>
      </w:r>
    </w:p>
    <w:p>
      <w:pPr>
        <w:spacing w:after="0" w:line="34" w:lineRule="exact"/>
        <w:rPr>
          <w:sz w:val="20"/>
          <w:szCs w:val="20"/>
          <w:color w:val="auto"/>
        </w:rPr>
      </w:pPr>
    </w:p>
    <w:p>
      <w:pPr>
        <w:ind w:right="40" w:firstLine="637"/>
        <w:spacing w:after="0" w:line="265" w:lineRule="auto"/>
        <w:rPr>
          <w:sz w:val="20"/>
          <w:szCs w:val="20"/>
          <w:color w:val="auto"/>
        </w:rPr>
      </w:pPr>
      <w:r>
        <w:rPr>
          <w:rFonts w:ascii="Arial" w:cs="Arial" w:eastAsia="Arial" w:hAnsi="Arial"/>
          <w:sz w:val="17"/>
          <w:szCs w:val="17"/>
          <w:color w:val="auto"/>
        </w:rPr>
        <w:t>We experienced disruptions across our logistics network at the outset of the COVID-19 pandemic, with a reduced number of third-party providers available to deliver our vehicles, which resulted in a slowdown of inventory being picked up and delivered to our VRCs and in sold units being delivered to customers. In addition, our transportation costs increased as the remaining carriers have increased prices.</w:t>
      </w:r>
    </w:p>
    <w:p>
      <w:pPr>
        <w:spacing w:after="0" w:line="255" w:lineRule="exact"/>
        <w:rPr>
          <w:sz w:val="20"/>
          <w:szCs w:val="20"/>
          <w:color w:val="auto"/>
        </w:rPr>
      </w:pPr>
    </w:p>
    <w:p>
      <w:pPr>
        <w:ind w:right="40" w:firstLine="637"/>
        <w:spacing w:after="0" w:line="245" w:lineRule="auto"/>
        <w:rPr>
          <w:sz w:val="20"/>
          <w:szCs w:val="20"/>
          <w:color w:val="auto"/>
        </w:rPr>
      </w:pPr>
      <w:r>
        <w:rPr>
          <w:rFonts w:ascii="Arial" w:cs="Arial" w:eastAsia="Arial" w:hAnsi="Arial"/>
          <w:sz w:val="17"/>
          <w:szCs w:val="17"/>
          <w:color w:val="auto"/>
        </w:rPr>
        <w:t>In response to these disruptions, and to further enhance the quality of our logistics operations and our customer experience, we have been accelerating our investment in our proprietary logistics operations, including expanding our owned vehicle fleet. Additionally, as of February 15, 2021, we have opened twelve last mile hubs around the country at third-party facilities, through which we will coordinate directly with our customers to schedule deliveries in an effort to further strengthen our customer experience. We also have invested in short-haul trucks to make regional deliveries from our last mile hubs, and have begun to invest in long-haul vehicles for hub-to-hub shipments. These investments will require additional capital expenditures and operating expenses, increase our current risks and expose us to new risks. These risks include local and federal regulations, vehicular crashes, injury, insufficient internal capacity, taxes, license and registration fees, insurance premiums, self-insurance levels, difficulty in recruiting and retaining qualified drivers, maintaining the truck fleet, disruption of our technology systems, equipment supply, equipment quality, and increasing equipment and operational and overhead costs. Our failure to successfully manage the expansion of our logistics operations could cause delays and increase costs in our inbound and outbound shipping, which may adversely affect our operating results and financial condition.</w:t>
      </w:r>
    </w:p>
    <w:p>
      <w:pPr>
        <w:spacing w:after="0" w:line="280" w:lineRule="exact"/>
        <w:rPr>
          <w:sz w:val="20"/>
          <w:szCs w:val="20"/>
          <w:color w:val="auto"/>
        </w:rPr>
      </w:pPr>
    </w:p>
    <w:p>
      <w:pPr>
        <w:spacing w:after="0" w:line="297" w:lineRule="auto"/>
        <w:rPr>
          <w:sz w:val="20"/>
          <w:szCs w:val="20"/>
          <w:color w:val="auto"/>
        </w:rPr>
      </w:pPr>
      <w:r>
        <w:rPr>
          <w:rFonts w:ascii="Arial" w:cs="Arial" w:eastAsia="Arial" w:hAnsi="Arial"/>
          <w:sz w:val="17"/>
          <w:szCs w:val="17"/>
          <w:b w:val="1"/>
          <w:bCs w:val="1"/>
          <w:i w:val="1"/>
          <w:iCs w:val="1"/>
          <w:color w:val="auto"/>
        </w:rPr>
        <w:t>Our ability to expand value-added product offerings and introduce additional products and services may be limited, which could have a material adverse effect on our business, financial condition and results of operations.</w:t>
      </w:r>
    </w:p>
    <w:p>
      <w:pPr>
        <w:spacing w:after="0" w:line="11" w:lineRule="exact"/>
        <w:rPr>
          <w:sz w:val="20"/>
          <w:szCs w:val="20"/>
          <w:color w:val="auto"/>
        </w:rPr>
      </w:pPr>
    </w:p>
    <w:p>
      <w:pPr>
        <w:ind w:firstLine="637"/>
        <w:spacing w:after="0" w:line="245" w:lineRule="auto"/>
        <w:rPr>
          <w:sz w:val="20"/>
          <w:szCs w:val="20"/>
          <w:color w:val="auto"/>
        </w:rPr>
      </w:pPr>
      <w:r>
        <w:rPr>
          <w:rFonts w:ascii="Arial" w:cs="Arial" w:eastAsia="Arial" w:hAnsi="Arial"/>
          <w:sz w:val="17"/>
          <w:szCs w:val="17"/>
          <w:color w:val="auto"/>
        </w:rPr>
        <w:t>Currently, our third-party value-added products consist of finance and protection products, which includes third-party financing of customers’ vehicle purchases, as well as other value-added products, such as vehicle service contracts, GAP protection and tire and wheel coverage. If we introduce new value-added products or expand existing offerings on our platform, such as insurance referral services, music services and vehicle diagnostic and tracking services, we may incur losses or otherwise fail to enter these markets successfully. Our expansion into these markets may place us in competitive and regulatory environments with which we are unfamiliar and involve various risks, including the need to invest significant resources to familiarize ourselves with such frameworks and the possibility that returns on such investments may not be achieved for several years, if at all. In attempting to establish new offerings, we expect to incur significant expenses and face various other challenges, such as expanding our customer experience team and management personnel to cover these markets and complying with complicated regulations that apply to these markets. In addition, we may not successfully demonstrate the value of these value-added products to customers, and failure to do so would compromise our ability to successfully expand into these additional revenue streams. Any of these risks, if realized, could materially and adversely affect our business, financial condition and results of operations.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third-party vendors for key components of our business, which exposes us to increased risks.</w:t>
      </w:r>
    </w:p>
    <w:p>
      <w:pPr>
        <w:spacing w:after="0" w:line="103" w:lineRule="exact"/>
        <w:rPr>
          <w:sz w:val="20"/>
          <w:szCs w:val="20"/>
          <w:color w:val="auto"/>
        </w:rPr>
      </w:pPr>
    </w:p>
    <w:p>
      <w:pPr>
        <w:ind w:right="60" w:firstLine="637"/>
        <w:spacing w:after="0" w:line="249" w:lineRule="auto"/>
        <w:rPr>
          <w:sz w:val="20"/>
          <w:szCs w:val="20"/>
          <w:color w:val="auto"/>
        </w:rPr>
      </w:pPr>
      <w:r>
        <w:rPr>
          <w:rFonts w:ascii="Arial" w:cs="Arial" w:eastAsia="Arial" w:hAnsi="Arial"/>
          <w:sz w:val="17"/>
          <w:szCs w:val="17"/>
          <w:color w:val="auto"/>
        </w:rPr>
        <w:t>In line with our asset-light business strategy, many components of our business, including our reconditioning facilities, our logistics operations, our customer financing and our customer experience teams are primarily provided by third parties. We carefully select our third-party vendors, but we cannot control their actions. If our vendors fail to perform as we expect, our operations and reputation could suffer if the failure harms the vendors’ ability to serve us and our customers. One or more of these third-party vendors may experience financial distress, staffing shortages or liquidity challenges, file for bankruptcy protection, go out of business, or suffer disruptions in their business due to the COVID-19 pandemic. The use of third-party vendors represents an inherent risk to our Company that could have a material adverse effect on our business, financial condition and results of operations.</w:t>
      </w:r>
    </w:p>
    <w:p>
      <w:pPr>
        <w:spacing w:after="0" w:line="270" w:lineRule="exact"/>
        <w:rPr>
          <w:sz w:val="20"/>
          <w:szCs w:val="20"/>
          <w:color w:val="auto"/>
        </w:rPr>
      </w:pPr>
    </w:p>
    <w:p>
      <w:pPr>
        <w:ind w:right="180"/>
        <w:spacing w:after="0" w:line="297" w:lineRule="auto"/>
        <w:rPr>
          <w:sz w:val="20"/>
          <w:szCs w:val="20"/>
          <w:color w:val="auto"/>
        </w:rPr>
      </w:pPr>
      <w:r>
        <w:rPr>
          <w:rFonts w:ascii="Arial" w:cs="Arial" w:eastAsia="Arial" w:hAnsi="Arial"/>
          <w:sz w:val="17"/>
          <w:szCs w:val="17"/>
          <w:b w:val="1"/>
          <w:bCs w:val="1"/>
          <w:i w:val="1"/>
          <w:iCs w:val="1"/>
          <w:color w:val="auto"/>
        </w:rPr>
        <w:t>Our future growth and profitability relies heavily on the effectiveness and efficiency of our marketing and branding efforts, and these efforts may not be successful.</w:t>
      </w:r>
    </w:p>
    <w:p>
      <w:pPr>
        <w:spacing w:after="0" w:line="11" w:lineRule="exact"/>
        <w:rPr>
          <w:sz w:val="20"/>
          <w:szCs w:val="20"/>
          <w:color w:val="auto"/>
        </w:rPr>
      </w:pPr>
    </w:p>
    <w:p>
      <w:pPr>
        <w:ind w:right="120" w:firstLine="637"/>
        <w:spacing w:after="0" w:line="250" w:lineRule="auto"/>
        <w:rPr>
          <w:sz w:val="20"/>
          <w:szCs w:val="20"/>
          <w:color w:val="auto"/>
        </w:rPr>
      </w:pPr>
      <w:r>
        <w:rPr>
          <w:rFonts w:ascii="Arial" w:cs="Arial" w:eastAsia="Arial" w:hAnsi="Arial"/>
          <w:sz w:val="17"/>
          <w:szCs w:val="17"/>
          <w:color w:val="auto"/>
        </w:rPr>
        <w:t>Because we are a consumer brand, we rely heavily on marketing and advertising to increase brand visibility and attract potential customers. Advertising expenditures are and will continue to be a significant component of our operating expenses, and there can be no assurance that we will achieve a meaningful return on investment on such expenditures. We continue to evolve our marketing strategies, adjusting our messages, the amount we spend on advertising and where we spend it, and no assurance can be given that we will be successful in developing effective messages and in achieving efficiency in our marketing and advertising expenditures. As a result, our future growth and profitability will depend in part on:</w:t>
      </w:r>
    </w:p>
    <w:p>
      <w:pPr>
        <w:spacing w:after="0" w:line="60" w:lineRule="exact"/>
        <w:rPr>
          <w:sz w:val="20"/>
          <w:szCs w:val="20"/>
          <w:color w:val="auto"/>
        </w:rPr>
      </w:pPr>
    </w:p>
    <w:p>
      <w:pPr>
        <w:ind w:left="1000" w:hanging="367"/>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effectiveness of our national television advertising campaigns;</w:t>
      </w:r>
    </w:p>
    <w:p>
      <w:pPr>
        <w:spacing w:after="0" w:line="105" w:lineRule="exact"/>
        <w:rPr>
          <w:rFonts w:ascii="Arial" w:cs="Arial" w:eastAsia="Arial" w:hAnsi="Arial"/>
          <w:sz w:val="17"/>
          <w:szCs w:val="17"/>
          <w:color w:val="auto"/>
        </w:rPr>
      </w:pPr>
    </w:p>
    <w:p>
      <w:pPr>
        <w:ind w:left="1000" w:hanging="367"/>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effectiveness of our performance-based digital marketing efforts;</w:t>
      </w:r>
    </w:p>
    <w:p>
      <w:pPr>
        <w:spacing w:after="0" w:line="105" w:lineRule="exact"/>
        <w:rPr>
          <w:rFonts w:ascii="Arial" w:cs="Arial" w:eastAsia="Arial" w:hAnsi="Arial"/>
          <w:sz w:val="17"/>
          <w:szCs w:val="17"/>
          <w:color w:val="auto"/>
        </w:rPr>
      </w:pPr>
    </w:p>
    <w:p>
      <w:pPr>
        <w:ind w:left="1000" w:hanging="367"/>
        <w:spacing w:after="0" w:line="290"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effectiveness and efficiency of our online advertising and search marketing programs in generating consumer awareness of, and sales on, our platform;</w:t>
      </w:r>
    </w:p>
    <w:p>
      <w:pPr>
        <w:spacing w:after="0" w:line="24" w:lineRule="exact"/>
        <w:rPr>
          <w:rFonts w:ascii="Arial" w:cs="Arial" w:eastAsia="Arial" w:hAnsi="Arial"/>
          <w:sz w:val="17"/>
          <w:szCs w:val="17"/>
          <w:color w:val="auto"/>
        </w:rPr>
      </w:pPr>
    </w:p>
    <w:p>
      <w:pPr>
        <w:ind w:left="1000" w:right="320" w:hanging="367"/>
        <w:spacing w:after="0" w:line="290"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prevent confusion among customers that can result from search engines that allow competitors to use or bid on our trademarks to direct customers to competitors’ websites;</w:t>
      </w:r>
    </w:p>
    <w:p>
      <w:pPr>
        <w:spacing w:after="0" w:line="24" w:lineRule="exact"/>
        <w:rPr>
          <w:rFonts w:ascii="Arial" w:cs="Arial" w:eastAsia="Arial" w:hAnsi="Arial"/>
          <w:sz w:val="17"/>
          <w:szCs w:val="17"/>
          <w:color w:val="auto"/>
        </w:rPr>
      </w:pPr>
    </w:p>
    <w:p>
      <w:pPr>
        <w:ind w:left="1000" w:hanging="367"/>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prevent internet publication of false or misleading information regarding our platform or our competitors’ offerings; and</w:t>
      </w:r>
    </w:p>
    <w:p>
      <w:pPr>
        <w:spacing w:after="0" w:line="105" w:lineRule="exact"/>
        <w:rPr>
          <w:rFonts w:ascii="Arial" w:cs="Arial" w:eastAsia="Arial" w:hAnsi="Arial"/>
          <w:sz w:val="17"/>
          <w:szCs w:val="17"/>
          <w:color w:val="auto"/>
        </w:rPr>
      </w:pPr>
    </w:p>
    <w:p>
      <w:pPr>
        <w:ind w:left="1000" w:hanging="367"/>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effectiveness of our direct-to-consumer advertising to reduce our dependency on third-party aggregation websites.</w:t>
      </w:r>
    </w:p>
    <w:p>
      <w:pPr>
        <w:spacing w:after="0" w:line="236" w:lineRule="exact"/>
        <w:rPr>
          <w:sz w:val="20"/>
          <w:szCs w:val="20"/>
          <w:color w:val="auto"/>
        </w:rPr>
      </w:pPr>
    </w:p>
    <w:p>
      <w:pPr>
        <w:ind w:right="60" w:firstLine="637"/>
        <w:spacing w:after="0" w:line="248" w:lineRule="auto"/>
        <w:rPr>
          <w:sz w:val="20"/>
          <w:szCs w:val="20"/>
          <w:color w:val="auto"/>
        </w:rPr>
      </w:pPr>
      <w:r>
        <w:rPr>
          <w:rFonts w:ascii="Arial" w:cs="Arial" w:eastAsia="Arial" w:hAnsi="Arial"/>
          <w:sz w:val="17"/>
          <w:szCs w:val="17"/>
          <w:color w:val="auto"/>
        </w:rPr>
        <w:t>We currently advertise through a blend of brand and direct advertising channels with the goal of increasing the strength, recognition and trust in the Vroom brand and driving more unique visitors to our platform. Our marketing strategy includes national television campaigns, and performance marketing through digital platforms, including both auto-centric lead generation platforms and broader consumer-facing platforms. We also strategically use targeted radio campaigns and billboards and other local advertising in key markets, and we are expanding our national marketing efforts featuring Sell Us Your Car</w:t>
      </w:r>
      <w:r>
        <w:rPr>
          <w:rFonts w:ascii="Arial" w:cs="Arial" w:eastAsia="Arial" w:hAnsi="Arial"/>
          <w:sz w:val="14"/>
          <w:szCs w:val="14"/>
          <w:color w:val="auto"/>
        </w:rPr>
        <w:t>®</w:t>
      </w:r>
      <w:r>
        <w:rPr>
          <w:rFonts w:ascii="Arial" w:cs="Arial" w:eastAsia="Arial" w:hAnsi="Arial"/>
          <w:sz w:val="17"/>
          <w:szCs w:val="17"/>
          <w:color w:val="auto"/>
        </w:rPr>
        <w:t>. As such, a significant component of our marketing spend involves the use of various marketing techniques, including programmatic ad-buying, interest targeting, retargeting and email nurturing. Future growth and profitability will depend in part on the cost and efficiency of our promotional advertising and marketing programs and related expenditures, including our ability to create greater awareness of our platform and brand name, to appropriately plan for future expenditures and to drive the promotion of our platform.</w:t>
      </w:r>
    </w:p>
    <w:p>
      <w:pPr>
        <w:spacing w:after="0" w:line="163" w:lineRule="exact"/>
        <w:rPr>
          <w:sz w:val="20"/>
          <w:szCs w:val="20"/>
          <w:color w:val="auto"/>
        </w:rPr>
      </w:pPr>
    </w:p>
    <w:p>
      <w:pPr>
        <w:ind w:right="60" w:firstLine="637"/>
        <w:spacing w:after="0" w:line="257" w:lineRule="auto"/>
        <w:rPr>
          <w:sz w:val="20"/>
          <w:szCs w:val="20"/>
          <w:color w:val="auto"/>
        </w:rPr>
      </w:pPr>
      <w:r>
        <w:rPr>
          <w:rFonts w:ascii="Arial" w:cs="Arial" w:eastAsia="Arial" w:hAnsi="Arial"/>
          <w:sz w:val="17"/>
          <w:szCs w:val="17"/>
          <w:color w:val="auto"/>
        </w:rPr>
        <w:t>Additionally, our business model relies on our ability to grow rapidly and to decrease incremental customer acquisition costs as we grow. If we are unable to recover our marketing costs through increases in customer traffic and incremental sales, if our advertising partners refuse to work with us at competitive rates or at all, or if our broad marketing campaigns are not successful or are terminated, our growth may suffer and our business, financial condition and results of operations could be materially and adversely affected.</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ind w:right="240"/>
        <w:spacing w:after="0" w:line="297" w:lineRule="auto"/>
        <w:rPr>
          <w:sz w:val="20"/>
          <w:szCs w:val="20"/>
          <w:color w:val="auto"/>
        </w:rPr>
      </w:pPr>
      <w:r>
        <w:rPr>
          <w:rFonts w:ascii="Arial" w:cs="Arial" w:eastAsia="Arial" w:hAnsi="Arial"/>
          <w:sz w:val="17"/>
          <w:szCs w:val="17"/>
          <w:b w:val="1"/>
          <w:bCs w:val="1"/>
          <w:i w:val="1"/>
          <w:iCs w:val="1"/>
          <w:color w:val="auto"/>
        </w:rPr>
        <w:t>We may acquire other companies or technologies, which could divert our management’s attention, result in additional dilution to our stockholders and otherwise disrupt our operations and harm our results of operations.</w:t>
      </w:r>
    </w:p>
    <w:p>
      <w:pPr>
        <w:spacing w:after="0" w:line="11" w:lineRule="exact"/>
        <w:rPr>
          <w:sz w:val="20"/>
          <w:szCs w:val="20"/>
          <w:color w:val="auto"/>
        </w:rPr>
      </w:pPr>
    </w:p>
    <w:p>
      <w:pPr>
        <w:ind w:right="20" w:firstLine="637"/>
        <w:spacing w:after="0" w:line="253" w:lineRule="auto"/>
        <w:rPr>
          <w:sz w:val="20"/>
          <w:szCs w:val="20"/>
          <w:color w:val="auto"/>
        </w:rPr>
      </w:pPr>
      <w:r>
        <w:rPr>
          <w:rFonts w:ascii="Arial" w:cs="Arial" w:eastAsia="Arial" w:hAnsi="Arial"/>
          <w:sz w:val="17"/>
          <w:szCs w:val="17"/>
          <w:color w:val="auto"/>
        </w:rPr>
        <w:t>Our success will depend, in part, on our ability to grow our business in response to the demands of consumers and other constituents within the automotive industry, as well as competitive pressures. Although we have no plans to do so currently, in some circumstances, we may determine to grow our business through the acquisition of complementary businesses and technologies rather than through internal development, such as our recent acquisition of the CarStory business. The identification of suitable acquisition candidates can be difficult, time-consuming and costly, and we may not be able to successfully complete identified acquisitions. The risks we face in connection with acquisitions include:</w:t>
      </w:r>
    </w:p>
    <w:p>
      <w:pPr>
        <w:spacing w:after="0" w:line="56" w:lineRule="exact"/>
        <w:rPr>
          <w:sz w:val="20"/>
          <w:szCs w:val="20"/>
          <w:color w:val="auto"/>
        </w:rPr>
      </w:pPr>
    </w:p>
    <w:p>
      <w:pPr>
        <w:ind w:left="1000" w:hanging="367"/>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diversion of management time and focus from operating our business to addressing acquisition integration challenges;</w:t>
      </w:r>
    </w:p>
    <w:p>
      <w:pPr>
        <w:spacing w:after="0" w:line="105" w:lineRule="exact"/>
        <w:rPr>
          <w:rFonts w:ascii="Arial" w:cs="Arial" w:eastAsia="Arial" w:hAnsi="Arial"/>
          <w:sz w:val="17"/>
          <w:szCs w:val="17"/>
          <w:color w:val="auto"/>
        </w:rPr>
      </w:pPr>
    </w:p>
    <w:p>
      <w:pPr>
        <w:ind w:left="1000" w:hanging="367"/>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coordination of technology, research and development and sales and marketing functions;</w:t>
      </w:r>
    </w:p>
    <w:p>
      <w:pPr>
        <w:spacing w:after="0" w:line="105" w:lineRule="exact"/>
        <w:rPr>
          <w:rFonts w:ascii="Arial" w:cs="Arial" w:eastAsia="Arial" w:hAnsi="Arial"/>
          <w:sz w:val="17"/>
          <w:szCs w:val="17"/>
          <w:color w:val="auto"/>
        </w:rPr>
      </w:pPr>
    </w:p>
    <w:p>
      <w:pPr>
        <w:ind w:left="1000" w:hanging="367"/>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transition of the acquired company’s users to our platform;</w:t>
      </w:r>
    </w:p>
    <w:p>
      <w:pPr>
        <w:spacing w:after="0" w:line="105" w:lineRule="exact"/>
        <w:rPr>
          <w:rFonts w:ascii="Arial" w:cs="Arial" w:eastAsia="Arial" w:hAnsi="Arial"/>
          <w:sz w:val="17"/>
          <w:szCs w:val="17"/>
          <w:color w:val="auto"/>
        </w:rPr>
      </w:pPr>
    </w:p>
    <w:p>
      <w:pPr>
        <w:ind w:left="1000" w:hanging="367"/>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retention of employees from the acquired company;</w:t>
      </w:r>
    </w:p>
    <w:p>
      <w:pPr>
        <w:spacing w:after="0" w:line="105" w:lineRule="exact"/>
        <w:rPr>
          <w:rFonts w:ascii="Arial" w:cs="Arial" w:eastAsia="Arial" w:hAnsi="Arial"/>
          <w:sz w:val="17"/>
          <w:szCs w:val="17"/>
          <w:color w:val="auto"/>
        </w:rPr>
      </w:pPr>
    </w:p>
    <w:p>
      <w:pPr>
        <w:ind w:left="1000" w:hanging="367"/>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potential adverse reactions to the acquisition by an acquired company’s customers;</w:t>
      </w:r>
    </w:p>
    <w:p>
      <w:pPr>
        <w:spacing w:after="0" w:line="105" w:lineRule="exact"/>
        <w:rPr>
          <w:rFonts w:ascii="Arial" w:cs="Arial" w:eastAsia="Arial" w:hAnsi="Arial"/>
          <w:sz w:val="17"/>
          <w:szCs w:val="17"/>
          <w:color w:val="auto"/>
        </w:rPr>
      </w:pPr>
    </w:p>
    <w:p>
      <w:pPr>
        <w:ind w:left="1000" w:hanging="367"/>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cultural challenges associated with integrating employees from the acquired company into our organization;</w:t>
      </w:r>
    </w:p>
    <w:p>
      <w:pPr>
        <w:spacing w:after="0" w:line="105" w:lineRule="exact"/>
        <w:rPr>
          <w:rFonts w:ascii="Arial" w:cs="Arial" w:eastAsia="Arial" w:hAnsi="Arial"/>
          <w:sz w:val="17"/>
          <w:szCs w:val="17"/>
          <w:color w:val="auto"/>
        </w:rPr>
      </w:pPr>
    </w:p>
    <w:p>
      <w:pPr>
        <w:ind w:left="1000" w:hanging="367"/>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integration of the acquired company’s accounting, management information, human resources and other administrative systems;</w:t>
      </w:r>
    </w:p>
    <w:p>
      <w:pPr>
        <w:spacing w:after="0" w:line="105" w:lineRule="exact"/>
        <w:rPr>
          <w:rFonts w:ascii="Arial" w:cs="Arial" w:eastAsia="Arial" w:hAnsi="Arial"/>
          <w:sz w:val="17"/>
          <w:szCs w:val="17"/>
          <w:color w:val="auto"/>
        </w:rPr>
      </w:pPr>
    </w:p>
    <w:p>
      <w:pPr>
        <w:ind w:left="1000" w:right="420" w:hanging="367"/>
        <w:spacing w:after="0" w:line="290"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need to implement or improve controls, policies and procedures at a business that, prior to the acquisition, may have lacked effective controls, policies and procedures;</w:t>
      </w:r>
    </w:p>
    <w:p>
      <w:pPr>
        <w:spacing w:after="0" w:line="24" w:lineRule="exact"/>
        <w:rPr>
          <w:rFonts w:ascii="Arial" w:cs="Arial" w:eastAsia="Arial" w:hAnsi="Arial"/>
          <w:sz w:val="17"/>
          <w:szCs w:val="17"/>
          <w:color w:val="auto"/>
        </w:rPr>
      </w:pPr>
    </w:p>
    <w:p>
      <w:pPr>
        <w:ind w:left="1000" w:right="660" w:hanging="367"/>
        <w:spacing w:after="0" w:line="290"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potential write-offs of intangibles or other assets acquired in such transactions that may have an adverse effect our results of operations;</w:t>
      </w:r>
    </w:p>
    <w:p>
      <w:pPr>
        <w:spacing w:after="0" w:line="24" w:lineRule="exact"/>
        <w:rPr>
          <w:rFonts w:ascii="Arial" w:cs="Arial" w:eastAsia="Arial" w:hAnsi="Arial"/>
          <w:sz w:val="17"/>
          <w:szCs w:val="17"/>
          <w:color w:val="auto"/>
        </w:rPr>
      </w:pPr>
    </w:p>
    <w:p>
      <w:pPr>
        <w:ind w:left="1000" w:right="20" w:hanging="367"/>
        <w:spacing w:after="0" w:line="290"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liability for activities of the acquired company before the acquisition, including patent and trademark infringement claims, violations of laws, commercial disputes, tax liabilities and other known and unknown liabilities; and</w:t>
      </w:r>
    </w:p>
    <w:p>
      <w:pPr>
        <w:spacing w:after="0" w:line="37" w:lineRule="exact"/>
        <w:rPr>
          <w:rFonts w:ascii="Arial" w:cs="Arial" w:eastAsia="Arial" w:hAnsi="Arial"/>
          <w:sz w:val="17"/>
          <w:szCs w:val="17"/>
          <w:color w:val="auto"/>
        </w:rPr>
      </w:pPr>
    </w:p>
    <w:p>
      <w:pPr>
        <w:ind w:left="1000" w:right="240" w:hanging="367"/>
        <w:spacing w:after="0" w:line="290"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litigation or other claims in connection with the acquired company, including claims from terminated employees, customers, former stockholders or other third parties.</w:t>
      </w:r>
    </w:p>
    <w:p>
      <w:pPr>
        <w:spacing w:after="0" w:line="129" w:lineRule="exact"/>
        <w:rPr>
          <w:sz w:val="20"/>
          <w:szCs w:val="20"/>
          <w:color w:val="auto"/>
        </w:rPr>
      </w:pPr>
    </w:p>
    <w:p>
      <w:pPr>
        <w:ind w:right="60" w:firstLine="637"/>
        <w:spacing w:after="0" w:line="253" w:lineRule="auto"/>
        <w:rPr>
          <w:sz w:val="20"/>
          <w:szCs w:val="20"/>
          <w:color w:val="auto"/>
        </w:rPr>
      </w:pPr>
      <w:r>
        <w:rPr>
          <w:rFonts w:ascii="Arial" w:cs="Arial" w:eastAsia="Arial" w:hAnsi="Arial"/>
          <w:sz w:val="17"/>
          <w:szCs w:val="17"/>
          <w:color w:val="auto"/>
        </w:rPr>
        <w:t>Our failure to address these risks or other problems encountered in connection with our past or future acquisitions and investments could cause us to fail to realize the anticipated benefits of these acquisitions or investments, cause us to incur unanticipated liabilities and otherwise harm our business. Future acquisitions also could result in dilutive issuances of our equity securities, the incurrence of debt, contingent liabilities or amortization expenses, any of which could harm our financial condition. Also, the anticipated benefits of any acquisitions may not materialize. Any of these risks, if realized, could materially and adversely affect our business, financial condition and results of operations.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Our Operations</w:t>
      </w:r>
    </w:p>
    <w:p>
      <w:pPr>
        <w:spacing w:after="0" w:line="214" w:lineRule="exact"/>
        <w:rPr>
          <w:sz w:val="20"/>
          <w:szCs w:val="20"/>
          <w:color w:val="auto"/>
        </w:rPr>
      </w:pPr>
    </w:p>
    <w:p>
      <w:pPr>
        <w:ind w:right="320"/>
        <w:spacing w:after="0" w:line="297" w:lineRule="auto"/>
        <w:rPr>
          <w:sz w:val="20"/>
          <w:szCs w:val="20"/>
          <w:color w:val="auto"/>
        </w:rPr>
      </w:pPr>
      <w:r>
        <w:rPr>
          <w:rFonts w:ascii="Arial" w:cs="Arial" w:eastAsia="Arial" w:hAnsi="Arial"/>
          <w:sz w:val="17"/>
          <w:szCs w:val="17"/>
          <w:b w:val="1"/>
          <w:bCs w:val="1"/>
          <w:i w:val="1"/>
          <w:iCs w:val="1"/>
          <w:color w:val="auto"/>
        </w:rPr>
        <w:t>We face a variety of risks associated with the operation of our VRCs by us and our third-party service providers, any of which could materially and adversely affect our business, financial condition and results of operations.</w:t>
      </w:r>
    </w:p>
    <w:p>
      <w:pPr>
        <w:spacing w:after="0" w:line="11" w:lineRule="exact"/>
        <w:rPr>
          <w:sz w:val="20"/>
          <w:szCs w:val="20"/>
          <w:color w:val="auto"/>
        </w:rPr>
      </w:pPr>
    </w:p>
    <w:p>
      <w:pPr>
        <w:ind w:firstLine="637"/>
        <w:spacing w:after="0" w:line="248" w:lineRule="auto"/>
        <w:rPr>
          <w:sz w:val="20"/>
          <w:szCs w:val="20"/>
          <w:color w:val="auto"/>
        </w:rPr>
      </w:pPr>
      <w:r>
        <w:rPr>
          <w:rFonts w:ascii="Arial" w:cs="Arial" w:eastAsia="Arial" w:hAnsi="Arial"/>
          <w:sz w:val="17"/>
          <w:szCs w:val="17"/>
          <w:color w:val="auto"/>
        </w:rPr>
        <w:t>We and third-party service providers operate our VRCs. If we are unable to maintain our relationship with our third-party service providers, such service providers cease to provide the services we need, or such service providers are unable to effectively deliver our services to our standards on timelines and at the prices we have negotiated, and we are unable to contract with alternative vendors or replace such service providers with a Vroom VRC (which may require significant time and investment), we could experience a decrease in the finished goods output sufficient to scale the business and quality of our reconditioning services, delays in listing our inventory, additional expenses, delivery delays and loss of potential and existing customers and related revenues, which may materially and adversely affect our business, financial condition and results of operations. These risks are exacerbated by the fact that slightly more than half of our current third-party VRCs are primarily operated by one third-party provider.</w:t>
      </w:r>
    </w:p>
    <w:p>
      <w:pPr>
        <w:spacing w:after="0" w:line="365" w:lineRule="exact"/>
        <w:rPr>
          <w:sz w:val="20"/>
          <w:szCs w:val="20"/>
          <w:color w:val="auto"/>
        </w:rPr>
      </w:pPr>
    </w:p>
    <w:p>
      <w:pPr>
        <w:ind w:right="40" w:firstLine="637"/>
        <w:spacing w:after="0" w:line="253" w:lineRule="auto"/>
        <w:rPr>
          <w:sz w:val="20"/>
          <w:szCs w:val="20"/>
          <w:color w:val="auto"/>
        </w:rPr>
      </w:pPr>
      <w:r>
        <w:rPr>
          <w:rFonts w:ascii="Arial" w:cs="Arial" w:eastAsia="Arial" w:hAnsi="Arial"/>
          <w:sz w:val="17"/>
          <w:szCs w:val="17"/>
          <w:color w:val="auto"/>
        </w:rPr>
        <w:t>Moreover, our future growth and profitability depends in part on scaling our reconditioning operations and expanding the geographic reach of those operations in order to reduce shipping costs. We are expanding our reconditioning capacity through third-party VRC locations If for any reason we are unable to expand our reconditioning operations as planned, we could experience operational delays and a decrease in planned inventory. Any operational delays or delays in our planned expansion could have a material adverse effect on our business, financial condition and results of operations.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ind w:right="300" w:firstLine="637"/>
        <w:spacing w:after="0" w:line="253" w:lineRule="auto"/>
        <w:rPr>
          <w:sz w:val="20"/>
          <w:szCs w:val="20"/>
          <w:color w:val="auto"/>
        </w:rPr>
      </w:pPr>
      <w:r>
        <w:rPr>
          <w:rFonts w:ascii="Arial" w:cs="Arial" w:eastAsia="Arial" w:hAnsi="Arial"/>
          <w:sz w:val="17"/>
          <w:szCs w:val="17"/>
          <w:color w:val="auto"/>
        </w:rPr>
        <w:t>Additionally, we and our third-party vendors are required to obtain approvals, permits and licenses from state regulators and local municipalities to operate our VRCs. There could be delays in obtaining the requisite approvals, permits, financing and licenses to operate our VRCs or we may not be able to obtain them at all. If we or our vendors encounter delays in obtaining or cannot obtain the requisite approvals, permits, financing and licenses to operate our VRCs in desirable locations, our business, financial condition and results of operations may be materially and adversely affected.</w:t>
      </w:r>
    </w:p>
    <w:p>
      <w:pPr>
        <w:spacing w:after="0" w:line="267" w:lineRule="exact"/>
        <w:rPr>
          <w:sz w:val="20"/>
          <w:szCs w:val="20"/>
          <w:color w:val="auto"/>
        </w:rPr>
      </w:pPr>
    </w:p>
    <w:p>
      <w:pPr>
        <w:ind w:right="440"/>
        <w:spacing w:after="0" w:line="297" w:lineRule="auto"/>
        <w:rPr>
          <w:sz w:val="20"/>
          <w:szCs w:val="20"/>
          <w:color w:val="auto"/>
        </w:rPr>
      </w:pPr>
      <w:r>
        <w:rPr>
          <w:rFonts w:ascii="Arial" w:cs="Arial" w:eastAsia="Arial" w:hAnsi="Arial"/>
          <w:sz w:val="17"/>
          <w:szCs w:val="17"/>
          <w:b w:val="1"/>
          <w:bCs w:val="1"/>
          <w:i w:val="1"/>
          <w:iCs w:val="1"/>
          <w:color w:val="auto"/>
        </w:rPr>
        <w:t>We rely primarily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11" w:lineRule="exact"/>
        <w:rPr>
          <w:sz w:val="20"/>
          <w:szCs w:val="20"/>
          <w:color w:val="auto"/>
        </w:rPr>
      </w:pPr>
    </w:p>
    <w:p>
      <w:pPr>
        <w:ind w:right="20" w:firstLine="637"/>
        <w:spacing w:after="0" w:line="248" w:lineRule="auto"/>
        <w:rPr>
          <w:sz w:val="20"/>
          <w:szCs w:val="20"/>
          <w:color w:val="auto"/>
        </w:rPr>
      </w:pPr>
      <w:r>
        <w:rPr>
          <w:rFonts w:ascii="Arial" w:cs="Arial" w:eastAsia="Arial" w:hAnsi="Arial"/>
          <w:sz w:val="17"/>
          <w:szCs w:val="17"/>
          <w:color w:val="auto"/>
        </w:rPr>
        <w:t>Although we are expanding our proprietary logistics network, we still primarily rely on third-party carriers to transport vehicles from auctions or individual sellers to VRCs, and then from our VRCs to our customers. As a result, we are exposed to risks associated with the transportation industry such as weather, traffic patterns, local and federal regulations, vehicular crashes, gasoline prices and lack of reliability of many independent carriers. Our third-party carriers’ failure to successfully manage our logistics and fulfilment process could cause a disruption in our inventory supply chain and decrease our inventory sales velocity, which may materially and adversely affect our business, financial condition and results of operations. In addition, third-party carriers who deliver vehicles to our customers could adversely affect the customer experience if they do not perform to our standards of professionalism and courtesy, which could adversely impact our business, financial condition and results of operations.</w:t>
      </w:r>
    </w:p>
    <w:p>
      <w:pPr>
        <w:spacing w:after="0" w:line="200" w:lineRule="exact"/>
        <w:rPr>
          <w:sz w:val="20"/>
          <w:szCs w:val="20"/>
          <w:color w:val="auto"/>
        </w:rPr>
      </w:pPr>
    </w:p>
    <w:p>
      <w:pPr>
        <w:spacing w:after="0" w:line="272" w:lineRule="exact"/>
        <w:rPr>
          <w:sz w:val="20"/>
          <w:szCs w:val="20"/>
          <w:color w:val="auto"/>
        </w:rPr>
      </w:pPr>
    </w:p>
    <w:p>
      <w:pPr>
        <w:spacing w:after="0" w:line="297" w:lineRule="auto"/>
        <w:rPr>
          <w:sz w:val="20"/>
          <w:szCs w:val="20"/>
          <w:color w:val="auto"/>
        </w:rPr>
      </w:pPr>
      <w:r>
        <w:rPr>
          <w:rFonts w:ascii="Arial" w:cs="Arial" w:eastAsia="Arial" w:hAnsi="Arial"/>
          <w:sz w:val="17"/>
          <w:szCs w:val="17"/>
          <w:b w:val="1"/>
          <w:bCs w:val="1"/>
          <w:i w:val="1"/>
          <w:iCs w:val="1"/>
          <w:color w:val="auto"/>
        </w:rPr>
        <w:t>We rely on third-party service providers to provide financing, as well as value-added products to our customers, and we cannot control the quality or fulfillment of these products.</w:t>
      </w:r>
    </w:p>
    <w:p>
      <w:pPr>
        <w:spacing w:after="0" w:line="11" w:lineRule="exact"/>
        <w:rPr>
          <w:sz w:val="20"/>
          <w:szCs w:val="20"/>
          <w:color w:val="auto"/>
        </w:rPr>
      </w:pPr>
    </w:p>
    <w:p>
      <w:pPr>
        <w:ind w:firstLine="637"/>
        <w:spacing w:after="0" w:line="248" w:lineRule="auto"/>
        <w:rPr>
          <w:sz w:val="20"/>
          <w:szCs w:val="20"/>
          <w:color w:val="auto"/>
        </w:rPr>
      </w:pPr>
      <w:r>
        <w:rPr>
          <w:rFonts w:ascii="Arial" w:cs="Arial" w:eastAsia="Arial" w:hAnsi="Arial"/>
          <w:sz w:val="17"/>
          <w:szCs w:val="17"/>
          <w:color w:val="auto"/>
        </w:rPr>
        <w:t>We rely on third-party lenders to finance our customers’ vehicle purchases. We also offer value-added products to our customers through a third-party service provider, including vehicle service contracts, GAP protection and tire and wheel coverage. Because we utilize third-party service providers, we cannot control all of the factors that might affect the quality and fulfillment of these services and products, including (i) lack of day-to-day control over the activities of third-party service providers, (ii) that such service providers may not fulfill their obligations to us or our customers or may otherwise fail to meet expectations and (iii) that such service providers may terminate their arrangements with us on limited or no notice or may change the terms of these arrangements in a manner unfavorable to us for reasons outside of our control. Such providers also are subject to state and federal regulations and any failure by such third-party service providers to comply with applicable legal requirements could cause us financial or reputational harm.</w:t>
      </w:r>
    </w:p>
    <w:p>
      <w:pPr>
        <w:spacing w:after="0" w:line="163" w:lineRule="exact"/>
        <w:rPr>
          <w:sz w:val="20"/>
          <w:szCs w:val="20"/>
          <w:color w:val="auto"/>
        </w:rPr>
      </w:pPr>
    </w:p>
    <w:p>
      <w:pPr>
        <w:ind w:right="220" w:firstLine="637"/>
        <w:spacing w:after="0" w:line="250" w:lineRule="auto"/>
        <w:rPr>
          <w:sz w:val="20"/>
          <w:szCs w:val="20"/>
          <w:color w:val="auto"/>
        </w:rPr>
      </w:pPr>
      <w:r>
        <w:rPr>
          <w:rFonts w:ascii="Arial" w:cs="Arial" w:eastAsia="Arial" w:hAnsi="Arial"/>
          <w:sz w:val="17"/>
          <w:szCs w:val="17"/>
          <w:color w:val="auto"/>
        </w:rPr>
        <w:t>Our revenues and results of operations are partially dependent on the actions of these third parties. If one or more of these third-party service providers cease to provide these services or products to our customers, tighten their credit standards or otherwise provide services to fewer customers or are no longer able to provide them on competitive terms, it could have a material adverse effect on our business, revenues and results of operations. If we were unable to replace the current third-party providers upon the occurrence of one or more of the foregoing events, it could also have a material adverse effect on our business, revenues and results of operations. In addition, disagreements with such third-party service providers could require or result in costly and time-consuming litigation or arbitration.</w:t>
      </w:r>
    </w:p>
    <w:p>
      <w:pPr>
        <w:spacing w:after="0" w:line="191" w:lineRule="exact"/>
        <w:rPr>
          <w:sz w:val="20"/>
          <w:szCs w:val="20"/>
          <w:color w:val="auto"/>
        </w:rPr>
      </w:pPr>
    </w:p>
    <w:p>
      <w:pPr>
        <w:ind w:right="20" w:firstLine="637"/>
        <w:spacing w:after="0" w:line="265" w:lineRule="auto"/>
        <w:rPr>
          <w:sz w:val="20"/>
          <w:szCs w:val="20"/>
          <w:color w:val="auto"/>
        </w:rPr>
      </w:pPr>
      <w:r>
        <w:rPr>
          <w:rFonts w:ascii="Arial" w:cs="Arial" w:eastAsia="Arial" w:hAnsi="Arial"/>
          <w:sz w:val="17"/>
          <w:szCs w:val="17"/>
          <w:color w:val="auto"/>
        </w:rPr>
        <w:t>Moreover, we receive fees from these third-party service providers in connection with finance, service and protection products purchased by our customers. A portion of the fees we receive on such products is subject to chargebacks in the event of early termination, default or prepayment of the contracts by end-customers, which could adversely affect our business, revenues and results of operations.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2"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b w:val="1"/>
          <w:bCs w:val="1"/>
          <w:i w:val="1"/>
          <w:iCs w:val="1"/>
          <w:color w:val="auto"/>
        </w:rPr>
        <w:t>The current geographic concentration where we provide reconditioning services and store inventory creates an exposure to local and regional downturns or severe weather or catastrophic occurrences that may materially and adversely affect our business, financial condition and results of operations.</w:t>
      </w:r>
    </w:p>
    <w:p>
      <w:pPr>
        <w:spacing w:after="0" w:line="34" w:lineRule="exact"/>
        <w:rPr>
          <w:sz w:val="20"/>
          <w:szCs w:val="20"/>
          <w:color w:val="auto"/>
        </w:rPr>
      </w:pPr>
    </w:p>
    <w:p>
      <w:pPr>
        <w:ind w:right="20" w:firstLine="637"/>
        <w:spacing w:after="0" w:line="248" w:lineRule="auto"/>
        <w:rPr>
          <w:sz w:val="20"/>
          <w:szCs w:val="20"/>
          <w:color w:val="auto"/>
        </w:rPr>
      </w:pPr>
      <w:r>
        <w:rPr>
          <w:rFonts w:ascii="Arial" w:cs="Arial" w:eastAsia="Arial" w:hAnsi="Arial"/>
          <w:sz w:val="17"/>
          <w:szCs w:val="17"/>
          <w:color w:val="auto"/>
        </w:rPr>
        <w:t>We currently conduct our business through multiple VRCs, including our Vroom VRC located outside Houston, Texas, where we hold 22% of our inventory. In addition, more than half of our third-party reconditioning services are conducted through a single provider, with facilities located in California, Florida, Arizona and other states. Any unforeseen events or circumstances that negatively affect these areas, particularly our facilities near Houston, which have experienced flooding and other damage in recent years as a result of severe weather conditions, including hurricanes, could materially and adversely affect our revenues and results of operations. Changes in demographics and population or severe weather conditions and other catastrophic occurrences in areas in which we operate or from which we obtain inventory may materially and adversely affect our results of operations. Such conditions may result in physical damage to our properties, loss of inventory and delays in the delivery of vehicles to our customers.</w:t>
      </w:r>
    </w:p>
    <w:p>
      <w:pPr>
        <w:spacing w:after="0" w:line="200" w:lineRule="exact"/>
        <w:rPr>
          <w:sz w:val="20"/>
          <w:szCs w:val="20"/>
          <w:color w:val="auto"/>
        </w:rPr>
      </w:pPr>
    </w:p>
    <w:p>
      <w:pPr>
        <w:spacing w:after="0" w:line="272" w:lineRule="exact"/>
        <w:rPr>
          <w:sz w:val="20"/>
          <w:szCs w:val="20"/>
          <w:color w:val="auto"/>
        </w:rPr>
      </w:pPr>
    </w:p>
    <w:p>
      <w:pPr>
        <w:ind w:right="500"/>
        <w:spacing w:after="0" w:line="297" w:lineRule="auto"/>
        <w:rPr>
          <w:sz w:val="20"/>
          <w:szCs w:val="20"/>
          <w:color w:val="auto"/>
        </w:rPr>
      </w:pPr>
      <w:r>
        <w:rPr>
          <w:rFonts w:ascii="Arial" w:cs="Arial" w:eastAsia="Arial" w:hAnsi="Arial"/>
          <w:sz w:val="17"/>
          <w:szCs w:val="17"/>
          <w:b w:val="1"/>
          <w:bCs w:val="1"/>
          <w:i w:val="1"/>
          <w:iCs w:val="1"/>
          <w:color w:val="auto"/>
        </w:rPr>
        <w:t>We depend on key personnel to operate our business, and if we are unable to retain, attract and integrate qualified personnel, our ability to develop and successfully grow our business could be harmed.</w:t>
      </w:r>
    </w:p>
    <w:p>
      <w:pPr>
        <w:spacing w:after="0" w:line="11" w:lineRule="exact"/>
        <w:rPr>
          <w:sz w:val="20"/>
          <w:szCs w:val="20"/>
          <w:color w:val="auto"/>
        </w:rPr>
      </w:pPr>
    </w:p>
    <w:p>
      <w:pPr>
        <w:ind w:firstLine="637"/>
        <w:spacing w:after="0" w:line="247" w:lineRule="auto"/>
        <w:rPr>
          <w:sz w:val="20"/>
          <w:szCs w:val="20"/>
          <w:color w:val="auto"/>
        </w:rPr>
      </w:pPr>
      <w:r>
        <w:rPr>
          <w:rFonts w:ascii="Arial" w:cs="Arial" w:eastAsia="Arial" w:hAnsi="Arial"/>
          <w:sz w:val="17"/>
          <w:szCs w:val="17"/>
          <w:color w:val="auto"/>
        </w:rPr>
        <w:t>We believe our success has depended, and continues to depend, on the efforts and talents of our executives and employees. Our future success depends on our continuing ability to attract, develop, motivate and retain highly qualified and skilled employees. Qualified individuals are in high demand, and we may incur significant costs to attract and retain them. In addition, the loss of any of our key employees or senior management, including our Chief Executive Officer, Paul J. Hennessy, could materially and adversely affect our ability to execute our business plan and strategy, and we may not be able to find adequate replacements on a timely basis, or at all.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If we do not succeed in attracting well-qualified employees or retaining and motivating existing employees, our business, financial condition and results of operations could be materially and adversely affected.</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Our Customer Experience</w:t>
      </w:r>
    </w:p>
    <w:p>
      <w:pPr>
        <w:spacing w:after="0" w:line="319" w:lineRule="exact"/>
        <w:rPr>
          <w:sz w:val="20"/>
          <w:szCs w:val="20"/>
          <w:color w:val="auto"/>
        </w:rPr>
      </w:pPr>
    </w:p>
    <w:p>
      <w:pPr>
        <w:ind w:right="680"/>
        <w:spacing w:after="0" w:line="297" w:lineRule="auto"/>
        <w:rPr>
          <w:sz w:val="20"/>
          <w:szCs w:val="20"/>
          <w:color w:val="auto"/>
        </w:rPr>
      </w:pPr>
      <w:r>
        <w:rPr>
          <w:rFonts w:ascii="Arial" w:cs="Arial" w:eastAsia="Arial" w:hAnsi="Arial"/>
          <w:sz w:val="17"/>
          <w:szCs w:val="17"/>
          <w:b w:val="1"/>
          <w:bCs w:val="1"/>
          <w:i w:val="1"/>
          <w:iCs w:val="1"/>
          <w:color w:val="auto"/>
        </w:rPr>
        <w:t>We have entered into outsourcing arrangements with third parties related to our customer experience team, and any difficulties experienced in these arrangements could result in an interruption of our ability to sell our vehicles and value-added products.</w:t>
      </w:r>
    </w:p>
    <w:p>
      <w:pPr>
        <w:spacing w:after="0" w:line="11" w:lineRule="exact"/>
        <w:rPr>
          <w:sz w:val="20"/>
          <w:szCs w:val="20"/>
          <w:color w:val="auto"/>
        </w:rPr>
      </w:pPr>
    </w:p>
    <w:p>
      <w:pPr>
        <w:ind w:right="240" w:firstLine="637"/>
        <w:spacing w:after="0" w:line="290" w:lineRule="auto"/>
        <w:rPr>
          <w:sz w:val="20"/>
          <w:szCs w:val="20"/>
          <w:color w:val="auto"/>
        </w:rPr>
      </w:pPr>
      <w:r>
        <w:rPr>
          <w:rFonts w:ascii="Arial" w:cs="Arial" w:eastAsia="Arial" w:hAnsi="Arial"/>
          <w:sz w:val="17"/>
          <w:szCs w:val="17"/>
          <w:color w:val="auto"/>
        </w:rPr>
        <w:t>We have entered into several outsourcing arrangements with third parties related to our customer experience teams, including with respect to our customer inquiries, sales, purchases, financing, document support, customer service and other customer experience operations.</w:t>
      </w:r>
    </w:p>
    <w:p>
      <w:pPr>
        <w:spacing w:after="0" w:line="129" w:lineRule="exact"/>
        <w:rPr>
          <w:sz w:val="20"/>
          <w:szCs w:val="20"/>
          <w:color w:val="auto"/>
        </w:rPr>
      </w:pPr>
    </w:p>
    <w:p>
      <w:pPr>
        <w:ind w:right="40" w:firstLine="637"/>
        <w:spacing w:after="0" w:line="250" w:lineRule="auto"/>
        <w:rPr>
          <w:sz w:val="20"/>
          <w:szCs w:val="20"/>
          <w:color w:val="auto"/>
        </w:rPr>
      </w:pPr>
      <w:r>
        <w:rPr>
          <w:rFonts w:ascii="Arial" w:cs="Arial" w:eastAsia="Arial" w:hAnsi="Arial"/>
          <w:sz w:val="17"/>
          <w:szCs w:val="17"/>
          <w:color w:val="auto"/>
        </w:rPr>
        <w:t>Currently, the substantial majority of inquiries, sales, purchases and financings of our vehicles in our ecommerce business are conducted by phone through a third-party customer experience center located in Detroit, Michigan. Thus, the customer experience center is fundamental to the success of our business. As a result, the success of our business and our customer experience is partially dependent on a third party over which we have limited control. If the third party’s systems and operations fail or if the third party is otherwise unable to perform its sales function, we would be limited in our ability to complete customer transactions, which would make it more difficult to sell vehicles and value-added products through our platform.</w:t>
      </w:r>
    </w:p>
    <w:p>
      <w:pPr>
        <w:spacing w:after="0" w:line="165" w:lineRule="exact"/>
        <w:rPr>
          <w:sz w:val="20"/>
          <w:szCs w:val="20"/>
          <w:color w:val="auto"/>
        </w:rPr>
      </w:pPr>
    </w:p>
    <w:p>
      <w:pPr>
        <w:ind w:right="20" w:firstLine="637"/>
        <w:spacing w:after="0" w:line="250" w:lineRule="auto"/>
        <w:rPr>
          <w:sz w:val="20"/>
          <w:szCs w:val="20"/>
          <w:color w:val="auto"/>
        </w:rPr>
      </w:pPr>
      <w:r>
        <w:rPr>
          <w:rFonts w:ascii="Arial" w:cs="Arial" w:eastAsia="Arial" w:hAnsi="Arial"/>
          <w:sz w:val="17"/>
          <w:szCs w:val="17"/>
          <w:color w:val="auto"/>
        </w:rPr>
        <w:t>We also rely on other third parties to provide customer service, document support and other important customer experience operations. If the customer experience center or any of these third parties are unable to perform to our standards or to provide the level of service required or expected by our customers, or we are unable to renegotiate our agreements with them on attractive terms or at all, or if we are unable to contract with alternative third-party providers, our business, financial condition and results of operations may be harmed and we may be forced to pursue alternatives to provide these services, which could result in delays, interruptions, additional expenses and loss of potential and existing customers and related revenues.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ind w:right="500"/>
        <w:spacing w:after="0" w:line="297" w:lineRule="auto"/>
        <w:rPr>
          <w:sz w:val="20"/>
          <w:szCs w:val="20"/>
          <w:color w:val="auto"/>
        </w:rPr>
      </w:pPr>
      <w:r>
        <w:rPr>
          <w:rFonts w:ascii="Arial" w:cs="Arial" w:eastAsia="Arial" w:hAnsi="Arial"/>
          <w:sz w:val="17"/>
          <w:szCs w:val="17"/>
          <w:b w:val="1"/>
          <w:bCs w:val="1"/>
          <w:i w:val="1"/>
          <w:iCs w:val="1"/>
          <w:color w:val="auto"/>
        </w:rPr>
        <w:t>If the quality of our customer experience, our reputation or our brand were negatively affected, our business, sales and results of operations could be materially and adversely affected.</w:t>
      </w:r>
    </w:p>
    <w:p>
      <w:pPr>
        <w:spacing w:after="0" w:line="11" w:lineRule="exact"/>
        <w:rPr>
          <w:sz w:val="20"/>
          <w:szCs w:val="20"/>
          <w:color w:val="auto"/>
        </w:rPr>
      </w:pPr>
    </w:p>
    <w:p>
      <w:pPr>
        <w:ind w:right="40" w:firstLine="637"/>
        <w:spacing w:after="0" w:line="249" w:lineRule="auto"/>
        <w:rPr>
          <w:sz w:val="20"/>
          <w:szCs w:val="20"/>
          <w:color w:val="auto"/>
        </w:rPr>
      </w:pPr>
      <w:r>
        <w:rPr>
          <w:rFonts w:ascii="Arial" w:cs="Arial" w:eastAsia="Arial" w:hAnsi="Arial"/>
          <w:sz w:val="17"/>
          <w:szCs w:val="17"/>
          <w:color w:val="auto"/>
        </w:rPr>
        <w:t>Our business model is primarily based on our ability to enable consumers to buy and sell used vehicles through our ecommerce platform in a seamless, transparent and hassle-free transaction. If consumers fail to perceive us as a trusted brand with a strong reputation and high standards, or if an event occurs that damages our reputation, it could adversely affect customer demand and have a material adverse effect on our business, revenues and results of operations. Even the perception of a decrease in the quality of our customer experience or brand could impact results. Our high rate of growth makes maintaining the quality of our customer experience more difficult, and we have encountered operational challenges in keeping up with our rapid growth over the past year. Backlogs in our business developed as there was more sales volume than we had the capacity to process, resulting in delays that degraded the customer experience.</w:t>
      </w:r>
    </w:p>
    <w:p>
      <w:pPr>
        <w:spacing w:after="0" w:line="163" w:lineRule="exact"/>
        <w:rPr>
          <w:sz w:val="20"/>
          <w:szCs w:val="20"/>
          <w:color w:val="auto"/>
        </w:rPr>
      </w:pPr>
    </w:p>
    <w:p>
      <w:pPr>
        <w:ind w:firstLine="637"/>
        <w:spacing w:after="0" w:line="248" w:lineRule="auto"/>
        <w:rPr>
          <w:sz w:val="20"/>
          <w:szCs w:val="20"/>
          <w:color w:val="auto"/>
        </w:rPr>
      </w:pPr>
      <w:r>
        <w:rPr>
          <w:rFonts w:ascii="Arial" w:cs="Arial" w:eastAsia="Arial" w:hAnsi="Arial"/>
          <w:sz w:val="17"/>
          <w:szCs w:val="17"/>
          <w:color w:val="auto"/>
        </w:rPr>
        <w:t>Complaints or negative publicity about our business practices, marketing and advertising campaigns, vehicle quality, customer service, delivery experience, compliance with applicable laws and regulations, data privacy and security or other aspects of our business, including on consumer platforms such as the Better Business Bureau, consumer facing blogs and social media websites, could diminish consumer confidence in our platform and adversely affect our brand. The growing use of social media increases the speed with which information and opinions can be shared and thus the speed with which our reputation can be damaged. If we fail to deliver the desired customer experience, or fail to correct or mitigate misinformation or negative information about us, our platform, our vehicle inventory, our customer experience, our brand or any aspect of our business, including information spread through social media or traditional media channels, it could materially and adversely affect our business, financial condition and results of operations.</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Risks Related to Cybersecurity and Privacy</w:t>
      </w:r>
    </w:p>
    <w:p>
      <w:pPr>
        <w:spacing w:after="0" w:line="214" w:lineRule="exact"/>
        <w:rPr>
          <w:sz w:val="20"/>
          <w:szCs w:val="20"/>
          <w:color w:val="auto"/>
        </w:rPr>
      </w:pPr>
    </w:p>
    <w:p>
      <w:pPr>
        <w:ind w:right="80"/>
        <w:spacing w:after="0" w:line="297" w:lineRule="auto"/>
        <w:rPr>
          <w:sz w:val="20"/>
          <w:szCs w:val="20"/>
          <w:color w:val="auto"/>
        </w:rPr>
      </w:pPr>
      <w:r>
        <w:rPr>
          <w:rFonts w:ascii="Arial" w:cs="Arial" w:eastAsia="Arial" w:hAnsi="Arial"/>
          <w:sz w:val="17"/>
          <w:szCs w:val="17"/>
          <w:b w:val="1"/>
          <w:bCs w:val="1"/>
          <w:i w:val="1"/>
          <w:iCs w:val="1"/>
          <w:color w:val="auto"/>
        </w:rPr>
        <w:t>An actual or perceived failure to maintain the security of personal information and other customer data that we collect, store, process, and use could harm our business, financial condition and results of operations.</w:t>
      </w:r>
    </w:p>
    <w:p>
      <w:pPr>
        <w:spacing w:after="0" w:line="77" w:lineRule="exact"/>
        <w:rPr>
          <w:sz w:val="20"/>
          <w:szCs w:val="20"/>
          <w:color w:val="auto"/>
        </w:rPr>
      </w:pPr>
    </w:p>
    <w:p>
      <w:pPr>
        <w:ind w:firstLine="637"/>
        <w:spacing w:after="0" w:line="249" w:lineRule="auto"/>
        <w:rPr>
          <w:sz w:val="20"/>
          <w:szCs w:val="20"/>
          <w:color w:val="auto"/>
        </w:rPr>
      </w:pPr>
      <w:r>
        <w:rPr>
          <w:rFonts w:ascii="Arial" w:cs="Arial" w:eastAsia="Arial" w:hAnsi="Arial"/>
          <w:sz w:val="17"/>
          <w:szCs w:val="17"/>
          <w:color w:val="auto"/>
        </w:rPr>
        <w:t>We collect, store, process, and use personal information and other customer data, and rely in part on third parties that are not directly under our control, including our third-party customer experience teams, to manage certain areas of these operations. For example, we rely on encryption, storage, and processing technology developed by third parties to securely transmit, operate on and store such information. Due to the volume and sensitivity of the personal information and data we and these third parties manage and expect to manage in the future, as well as the nature of our customer base, the security features of our information systems are critical. Any failure or perceived failure to maintain the security of personal and other data that is provided to us by customers, employees and vendors could harm our reputation and brand and expose us to a risk of loss or litigation and possible liability, any of which could adversely affect our business, financial condition, and results of operations.</w:t>
      </w:r>
    </w:p>
    <w:p>
      <w:pPr>
        <w:spacing w:after="0" w:line="124" w:lineRule="exact"/>
        <w:rPr>
          <w:sz w:val="20"/>
          <w:szCs w:val="20"/>
          <w:color w:val="auto"/>
        </w:rPr>
      </w:pPr>
    </w:p>
    <w:p>
      <w:pPr>
        <w:ind w:firstLine="637"/>
        <w:spacing w:after="0" w:line="246" w:lineRule="auto"/>
        <w:rPr>
          <w:sz w:val="20"/>
          <w:szCs w:val="20"/>
          <w:color w:val="auto"/>
        </w:rPr>
      </w:pPr>
      <w:r>
        <w:rPr>
          <w:rFonts w:ascii="Arial" w:cs="Arial" w:eastAsia="Arial" w:hAnsi="Arial"/>
          <w:sz w:val="17"/>
          <w:szCs w:val="17"/>
          <w:color w:val="auto"/>
        </w:rPr>
        <w:t>Additionally, concerns about our practices with regard to the collection, use or disclosure of personal information or other privacy-related matters, even if unfounded, could harm our business, financial condition and results of operations. We are subject to numerous federal, state and local laws and regulations regarding privacy, cybersecurity and the collection, use and disclosure or personal information and other data. The scope and interpretation of these laws continue to evolve and may be inconsistent across jurisdictions. New laws also may be enacted. Further, we are subject to contractual requirements and others’ privacy policies that govern how we use and protect personal information and other data. These obligations may be interpreted and applied inconsistently and may conflict with other rules or our practices. Any failure or perceived failure by us to comply with our privacy policies or obligations may result in governmental enforcement actions, litigation or negative publicity that could have an adverse effect on our business. If our third-party service providers violate applicable laws, contractual obligations or our policies, then such violations also may put consumer, employee and vendor information at risk and could, in turn, harm our reputation, business and operating results. We carry out ongoing efforts to implement a number of security controls to mitigate these risks.</w:t>
      </w:r>
    </w:p>
    <w:p>
      <w:pPr>
        <w:spacing w:after="0" w:line="275" w:lineRule="exact"/>
        <w:rPr>
          <w:sz w:val="20"/>
          <w:szCs w:val="20"/>
          <w:color w:val="auto"/>
        </w:rPr>
      </w:pPr>
    </w:p>
    <w:p>
      <w:pPr>
        <w:ind w:right="200"/>
        <w:spacing w:after="0" w:line="297" w:lineRule="auto"/>
        <w:rPr>
          <w:sz w:val="20"/>
          <w:szCs w:val="20"/>
          <w:color w:val="auto"/>
        </w:rPr>
      </w:pPr>
      <w:r>
        <w:rPr>
          <w:rFonts w:ascii="Arial" w:cs="Arial" w:eastAsia="Arial" w:hAnsi="Arial"/>
          <w:sz w:val="17"/>
          <w:szCs w:val="17"/>
          <w:b w:val="1"/>
          <w:bCs w:val="1"/>
          <w:i w:val="1"/>
          <w:iCs w:val="1"/>
          <w:color w:val="auto"/>
        </w:rPr>
        <w:t>If we sustain cyber-attacks or other privacy or data security incidents that result in security breaches, we could suffer a loss of sales and increased costs, exposure to significant liability, reputational harm and other negative consequences.</w:t>
      </w:r>
    </w:p>
    <w:p>
      <w:pPr>
        <w:spacing w:after="0" w:line="11" w:lineRule="exact"/>
        <w:rPr>
          <w:sz w:val="20"/>
          <w:szCs w:val="20"/>
          <w:color w:val="auto"/>
        </w:rPr>
      </w:pPr>
    </w:p>
    <w:p>
      <w:pPr>
        <w:ind w:right="200" w:firstLine="637"/>
        <w:spacing w:after="0" w:line="253" w:lineRule="auto"/>
        <w:rPr>
          <w:sz w:val="20"/>
          <w:szCs w:val="20"/>
          <w:color w:val="auto"/>
        </w:rPr>
      </w:pPr>
      <w:r>
        <w:rPr>
          <w:rFonts w:ascii="Arial" w:cs="Arial" w:eastAsia="Arial" w:hAnsi="Arial"/>
          <w:sz w:val="17"/>
          <w:szCs w:val="17"/>
          <w:color w:val="auto"/>
        </w:rPr>
        <w:t>Threat actors are increasingly sophisticated and can operate large-scale complex automated attacks. Similar to most IT systems and companies, there is a consistent threat from cyber-attacks, viruses, malicious software, physical break-ins, theft, ransomware, phishing, social engineering, unintentional employee error or malfeasance, system availability, and other security breaches. Further, third-party hosts or service providers are also a source of security concerns as it relates to failures of their own security systems and infrastructure. Our technology infrastructure may be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subject to increased risk of slowdown or interruption as a result of integration with third-party services, including cloud services, and/or failures by such third parties, which are beyond our control. The costs to eliminate or address evolving security threats and vulnerabilities before or after a cyber-incident could be significant. Our remediation efforts may not be successful and could result in interruptions, delays or cessation of service and loss of existing or potential suppliers or players.</w:t>
      </w:r>
    </w:p>
    <w:p>
      <w:pPr>
        <w:spacing w:after="0" w:line="118" w:lineRule="exact"/>
        <w:rPr>
          <w:sz w:val="20"/>
          <w:szCs w:val="20"/>
          <w:color w:val="auto"/>
        </w:rPr>
      </w:pPr>
    </w:p>
    <w:p>
      <w:pPr>
        <w:ind w:right="200" w:firstLine="637"/>
        <w:spacing w:after="0" w:line="248" w:lineRule="auto"/>
        <w:rPr>
          <w:sz w:val="20"/>
          <w:szCs w:val="20"/>
          <w:color w:val="auto"/>
        </w:rPr>
      </w:pPr>
      <w:r>
        <w:rPr>
          <w:rFonts w:ascii="Arial" w:cs="Arial" w:eastAsia="Arial" w:hAnsi="Arial"/>
          <w:sz w:val="17"/>
          <w:szCs w:val="17"/>
          <w:color w:val="auto"/>
        </w:rPr>
        <w:t>Although we have insurance coverage for losses associated with cyber-attacks, as with all insurance policies, there are coverage exclusions and limitations, and our coverage may not be sufficient to cover all possible claims, and we may still suffer losses that could have a material adverse effect on our business, including reputational damage. We also could be negatively impacted by existing and proposed U.S. laws and regulations, and government policies and practices related to cybersecurity, data privacy, and data localization. In the event that we or our service providers are unable to prevent, detect, and remediate the foregoing security threats and risks, our operations could be disrupted or we could incur financial, legal or reputational losses arising from misappropriation, misuse, leakage, falsification or intentional or accidental release or loss of information maintained in our information systems and networks, including personal information of our employees and our customers.</w:t>
      </w:r>
    </w:p>
    <w:p>
      <w:pPr>
        <w:spacing w:after="0" w:line="200" w:lineRule="exact"/>
        <w:rPr>
          <w:sz w:val="20"/>
          <w:szCs w:val="20"/>
          <w:color w:val="auto"/>
        </w:rPr>
      </w:pPr>
    </w:p>
    <w:p>
      <w:pPr>
        <w:spacing w:after="0" w:line="268" w:lineRule="exact"/>
        <w:rPr>
          <w:sz w:val="20"/>
          <w:szCs w:val="20"/>
          <w:color w:val="auto"/>
        </w:rPr>
      </w:pPr>
    </w:p>
    <w:p>
      <w:pPr>
        <w:ind w:left="2960"/>
        <w:spacing w:after="0"/>
        <w:rPr>
          <w:sz w:val="20"/>
          <w:szCs w:val="20"/>
          <w:color w:val="auto"/>
        </w:rPr>
      </w:pPr>
      <w:r>
        <w:rPr>
          <w:rFonts w:ascii="Arial" w:cs="Arial" w:eastAsia="Arial" w:hAnsi="Arial"/>
          <w:sz w:val="17"/>
          <w:szCs w:val="17"/>
          <w:b w:val="1"/>
          <w:bCs w:val="1"/>
          <w:color w:val="auto"/>
        </w:rPr>
        <w:t>Risks Related to Our Industry and General Economic Conditions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sensitive to changes in the prices of new and used vehicles.</w:t>
      </w:r>
    </w:p>
    <w:p>
      <w:pPr>
        <w:spacing w:after="0" w:line="103" w:lineRule="exact"/>
        <w:rPr>
          <w:sz w:val="20"/>
          <w:szCs w:val="20"/>
          <w:color w:val="auto"/>
        </w:rPr>
      </w:pPr>
    </w:p>
    <w:p>
      <w:pPr>
        <w:ind w:right="100" w:firstLine="637"/>
        <w:spacing w:after="0" w:line="253" w:lineRule="auto"/>
        <w:rPr>
          <w:sz w:val="20"/>
          <w:szCs w:val="20"/>
          <w:color w:val="auto"/>
        </w:rPr>
      </w:pPr>
      <w:r>
        <w:rPr>
          <w:rFonts w:ascii="Arial" w:cs="Arial" w:eastAsia="Arial" w:hAnsi="Arial"/>
          <w:sz w:val="17"/>
          <w:szCs w:val="17"/>
          <w:color w:val="auto"/>
        </w:rPr>
        <w:t>Any significant changes in retail prices for new or used vehicles could have a material adverse effect on our business, financial condition and results of operations. For example, if retail prices for used vehicles rise relative to retail prices for new vehicles, it could make buying a new vehicle more attractive to our customers than buying a used vehicle, which could have a material adverse effect on our business, financial condition and results of operations and could result in reduced vehicle sales and lower revenue. Additionally, manufacturer incentives, including financing, could contribute to narrowing the price gap between new and used vehicles.</w:t>
      </w:r>
    </w:p>
    <w:p>
      <w:pPr>
        <w:spacing w:after="0" w:line="160" w:lineRule="exact"/>
        <w:rPr>
          <w:sz w:val="20"/>
          <w:szCs w:val="20"/>
          <w:color w:val="auto"/>
        </w:rPr>
      </w:pPr>
    </w:p>
    <w:p>
      <w:pPr>
        <w:ind w:right="20" w:firstLine="637"/>
        <w:spacing w:after="0" w:line="249" w:lineRule="auto"/>
        <w:rPr>
          <w:sz w:val="20"/>
          <w:szCs w:val="20"/>
          <w:color w:val="auto"/>
        </w:rPr>
      </w:pPr>
      <w:r>
        <w:rPr>
          <w:rFonts w:ascii="Arial" w:cs="Arial" w:eastAsia="Arial" w:hAnsi="Arial"/>
          <w:sz w:val="17"/>
          <w:szCs w:val="17"/>
          <w:color w:val="auto"/>
        </w:rPr>
        <w:t>Used vehicle prices also may decline due to an increased number of new vehicle lease returns over the next several years. In addition, rental car company bankruptcies may cause a broader disruption in the used vehicle market and adversely impact used vehicle prices. While lower used vehicle prices reduce our cost of acquiring new inventory, lower prices could also lead to reductions in the value of inventory we currently hold, which could have a negative impact on gross profit. Moreover, any significant changes in retail prices due to scarcity or competition for used vehicles could impact our ability to source desirable inventory for our customers, which could have a material adverse effect on our results of operations and could result in fewer used-car sales and lower revenue. Furthermore, any significant changes in wholesale prices for used vehicles could have a negative impact on our results of operations by reducing wholesale margins.</w:t>
      </w:r>
    </w:p>
    <w:p>
      <w:pPr>
        <w:spacing w:after="0" w:line="270" w:lineRule="exact"/>
        <w:rPr>
          <w:sz w:val="20"/>
          <w:szCs w:val="20"/>
          <w:color w:val="auto"/>
        </w:rPr>
      </w:pPr>
    </w:p>
    <w:p>
      <w:pPr>
        <w:jc w:val="both"/>
        <w:ind w:right="40"/>
        <w:spacing w:after="0" w:line="297" w:lineRule="auto"/>
        <w:rPr>
          <w:sz w:val="20"/>
          <w:szCs w:val="20"/>
          <w:color w:val="auto"/>
        </w:rPr>
      </w:pPr>
      <w:r>
        <w:rPr>
          <w:rFonts w:ascii="Arial" w:cs="Arial" w:eastAsia="Arial" w:hAnsi="Arial"/>
          <w:sz w:val="17"/>
          <w:szCs w:val="17"/>
          <w:b w:val="1"/>
          <w:bCs w:val="1"/>
          <w:i w:val="1"/>
          <w:iCs w:val="1"/>
          <w:color w:val="auto"/>
        </w:rPr>
        <w:t>Our business is dependent upon access to desirable vehicle inventory. Obstacles to acquiring attractive inventory, whether because of supply, competition or other factors, may have a material adverse effect on our business, financial condition and results of operations.</w:t>
      </w:r>
    </w:p>
    <w:p>
      <w:pPr>
        <w:spacing w:after="0" w:line="11" w:lineRule="exact"/>
        <w:rPr>
          <w:sz w:val="20"/>
          <w:szCs w:val="20"/>
          <w:color w:val="auto"/>
        </w:rPr>
      </w:pPr>
    </w:p>
    <w:p>
      <w:pPr>
        <w:ind w:right="180" w:firstLine="637"/>
        <w:spacing w:after="0" w:line="249" w:lineRule="auto"/>
        <w:rPr>
          <w:sz w:val="20"/>
          <w:szCs w:val="20"/>
          <w:color w:val="auto"/>
        </w:rPr>
      </w:pPr>
      <w:r>
        <w:rPr>
          <w:rFonts w:ascii="Arial" w:cs="Arial" w:eastAsia="Arial" w:hAnsi="Arial"/>
          <w:sz w:val="17"/>
          <w:szCs w:val="17"/>
          <w:color w:val="auto"/>
        </w:rPr>
        <w:t>We acquire vehicles for sale from auctions, consumers, rental car companies, OEMs and dealers. There can be no assurance that the supply of desirable used vehicles will be sufficient to meet our needs. In addition, we purchase a significant amount of our inventory from one third-party auction source, which accounted for approximately 26% of our inventory sourcing for the year ended December 31, 2020. If this third party is unable to fulfill our inventory needs or if we are unable to source desirable used vehicles from alternative third-party providers, we may lack sufficient inventory and, as a result, may lose potential and existing customers and related revenues. Moreover, we sell consumer-sourced vehicles that do not meet our retail standards to auctions, which may result in lower revenues and also could lead to reductions in our available inventory.</w:t>
      </w:r>
    </w:p>
    <w:p>
      <w:pPr>
        <w:spacing w:after="0" w:line="366" w:lineRule="exact"/>
        <w:rPr>
          <w:sz w:val="20"/>
          <w:szCs w:val="20"/>
          <w:color w:val="auto"/>
        </w:rPr>
      </w:pPr>
    </w:p>
    <w:p>
      <w:pPr>
        <w:ind w:firstLine="637"/>
        <w:spacing w:after="0" w:line="249" w:lineRule="auto"/>
        <w:rPr>
          <w:sz w:val="20"/>
          <w:szCs w:val="20"/>
          <w:color w:val="auto"/>
        </w:rPr>
      </w:pPr>
      <w:r>
        <w:rPr>
          <w:rFonts w:ascii="Arial" w:cs="Arial" w:eastAsia="Arial" w:hAnsi="Arial"/>
          <w:sz w:val="17"/>
          <w:szCs w:val="17"/>
          <w:color w:val="auto"/>
        </w:rPr>
        <w:t>Additionally, we appraise thousands of consumer vehicles daily and evaluate potential purchases based on mechanical soundness, consumer desirability and relative value in relation to retail inventory or wholesale disposition. If we fail to adjust appraisal offers to stay in line with broader market trade-in offer trends or fail to recognize those trends, it could adversely affect our ability to acquire inventory. Our ability to source vehicles through our appraisal process also could be affected by competition, both from new and used vehicle dealers directly and through third-party websites driving appraisal traffic to those dealers. In addition, we remain dependent on third parties to sell us used vehicles, and there can be no assurance of an adequate supply of desirable vehicles on terms that are attractive to us. A reduction in the availability of or access to sources of inventory for any reason could have a material adverse effect on our business, financial condition and results of operations.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ind w:right="420"/>
        <w:spacing w:after="0" w:line="297" w:lineRule="auto"/>
        <w:rPr>
          <w:sz w:val="20"/>
          <w:szCs w:val="20"/>
          <w:color w:val="auto"/>
        </w:rPr>
      </w:pPr>
      <w:r>
        <w:rPr>
          <w:rFonts w:ascii="Arial" w:cs="Arial" w:eastAsia="Arial" w:hAnsi="Arial"/>
          <w:sz w:val="17"/>
          <w:szCs w:val="17"/>
          <w:b w:val="1"/>
          <w:bCs w:val="1"/>
          <w:i w:val="1"/>
          <w:iCs w:val="1"/>
          <w:color w:val="auto"/>
        </w:rPr>
        <w:t>Our business is dependent upon our ability to expeditiously sell inventory. Failure to expeditiously sell our inventory could have a material adverse effect on our business, financial condition and results of operations.</w:t>
      </w:r>
    </w:p>
    <w:p>
      <w:pPr>
        <w:spacing w:after="0" w:line="11" w:lineRule="exact"/>
        <w:rPr>
          <w:sz w:val="20"/>
          <w:szCs w:val="20"/>
          <w:color w:val="auto"/>
        </w:rPr>
      </w:pPr>
    </w:p>
    <w:p>
      <w:pPr>
        <w:ind w:right="80" w:firstLine="637"/>
        <w:spacing w:after="0" w:line="247" w:lineRule="auto"/>
        <w:rPr>
          <w:sz w:val="20"/>
          <w:szCs w:val="20"/>
          <w:color w:val="auto"/>
        </w:rPr>
      </w:pPr>
      <w:r>
        <w:rPr>
          <w:rFonts w:ascii="Arial" w:cs="Arial" w:eastAsia="Arial" w:hAnsi="Arial"/>
          <w:sz w:val="17"/>
          <w:szCs w:val="17"/>
          <w:color w:val="auto"/>
        </w:rPr>
        <w:t>Sourcing of our used vehicle inventory is based in large part on projected demand. If actual sales are materially less than our forecasts, we would experience an over-supply of used vehicle inventory. An over-supply of used vehicle inventory will generally cause downward pressure on our vehicle sales prices and margins and decrease inventory sales velocity. Vehicles depreciate rapidly, so a failure to expeditiously sell our inventory or to efficiently recondition and deliver vehicles to customers could hurt our gross profit per unit and materially and adversely affect our business, financial condition and results of operations. The rate at which customers return vehicles increased in recent periods. In the years ended December 31, 2020 and December 31, 2019, we had approximately 5.1% and 4.8%, respectively, in total vehicle returns and approximately 4.0% and 3.7%, respectively, in vehicle returns net of vehicle swaps. There is no assurance these rates will remain similar to our historical levels. Vehicles returned continue to depreciate in value and if return rates continue to increase, our revenue, business, financial condition and results of operations could be materially and adversely affected.</w:t>
      </w:r>
    </w:p>
    <w:p>
      <w:pPr>
        <w:spacing w:after="0" w:line="165" w:lineRule="exact"/>
        <w:rPr>
          <w:sz w:val="20"/>
          <w:szCs w:val="20"/>
          <w:color w:val="auto"/>
        </w:rPr>
      </w:pPr>
    </w:p>
    <w:p>
      <w:pPr>
        <w:ind w:firstLine="637"/>
        <w:spacing w:after="0" w:line="253" w:lineRule="auto"/>
        <w:rPr>
          <w:sz w:val="20"/>
          <w:szCs w:val="20"/>
          <w:color w:val="auto"/>
        </w:rPr>
      </w:pPr>
      <w:r>
        <w:rPr>
          <w:rFonts w:ascii="Arial" w:cs="Arial" w:eastAsia="Arial" w:hAnsi="Arial"/>
          <w:sz w:val="17"/>
          <w:szCs w:val="17"/>
          <w:color w:val="auto"/>
        </w:rPr>
        <w:t>Used vehicle inventory has typically represented a significant portion of our total assets. Having such a large portion of our total assets in the form of used vehicle inventory for an extended period of time subjects us to write-downs and other risks that affect our results of operations. Accordingly, if we have excess inventory, if we are unable to ship and deliver vehicles efficiently or if our inventory sales velocity decreases, we may be unable to liquidate such inventory at prices that would allow us to meet unit economics targets or to recover our costs, which could have a material adverse effect on our business, financial condition and results of operations.</w:t>
      </w:r>
    </w:p>
    <w:p>
      <w:pPr>
        <w:spacing w:after="0" w:line="267" w:lineRule="exact"/>
        <w:rPr>
          <w:sz w:val="20"/>
          <w:szCs w:val="20"/>
          <w:color w:val="auto"/>
        </w:rPr>
      </w:pPr>
    </w:p>
    <w:p>
      <w:pPr>
        <w:ind w:right="80"/>
        <w:spacing w:after="0" w:line="297" w:lineRule="auto"/>
        <w:rPr>
          <w:sz w:val="20"/>
          <w:szCs w:val="20"/>
          <w:color w:val="auto"/>
        </w:rPr>
      </w:pPr>
      <w:r>
        <w:rPr>
          <w:rFonts w:ascii="Arial" w:cs="Arial" w:eastAsia="Arial" w:hAnsi="Arial"/>
          <w:sz w:val="17"/>
          <w:szCs w:val="17"/>
          <w:b w:val="1"/>
          <w:bCs w:val="1"/>
          <w:i w:val="1"/>
          <w:iCs w:val="1"/>
          <w:color w:val="auto"/>
        </w:rPr>
        <w:t>We participate in a highly competitive industry, and pressure from existing and new companies may adversely affect our business and results of operations.</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current and future competitors may include:</w:t>
      </w:r>
    </w:p>
    <w:p>
      <w:pPr>
        <w:spacing w:after="0" w:line="105" w:lineRule="exact"/>
        <w:rPr>
          <w:sz w:val="20"/>
          <w:szCs w:val="20"/>
          <w:color w:val="auto"/>
        </w:rPr>
      </w:pPr>
    </w:p>
    <w:p>
      <w:pPr>
        <w:ind w:left="1000" w:hanging="367"/>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traditional new and used car dealerships;</w:t>
      </w:r>
    </w:p>
    <w:p>
      <w:pPr>
        <w:spacing w:after="0" w:line="105" w:lineRule="exact"/>
        <w:rPr>
          <w:rFonts w:ascii="Arial" w:cs="Arial" w:eastAsia="Arial" w:hAnsi="Arial"/>
          <w:sz w:val="17"/>
          <w:szCs w:val="17"/>
          <w:color w:val="auto"/>
        </w:rPr>
      </w:pPr>
    </w:p>
    <w:p>
      <w:pPr>
        <w:ind w:left="1000" w:right="620" w:hanging="367"/>
        <w:spacing w:after="0" w:line="290"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large, national car dealers, such as CarMax and AutoNation, which are expanding into online sales, including “omni-channel” offerings;</w:t>
      </w:r>
    </w:p>
    <w:p>
      <w:pPr>
        <w:spacing w:after="0" w:line="24" w:lineRule="exact"/>
        <w:rPr>
          <w:rFonts w:ascii="Arial" w:cs="Arial" w:eastAsia="Arial" w:hAnsi="Arial"/>
          <w:sz w:val="17"/>
          <w:szCs w:val="17"/>
          <w:color w:val="auto"/>
        </w:rPr>
      </w:pPr>
    </w:p>
    <w:p>
      <w:pPr>
        <w:ind w:left="1000" w:hanging="367"/>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used car dealers or marketplaces that currently have existing ecommerce businesses or online platforms, such as Carvana;</w:t>
      </w:r>
    </w:p>
    <w:p>
      <w:pPr>
        <w:spacing w:after="0" w:line="105" w:lineRule="exact"/>
        <w:rPr>
          <w:rFonts w:ascii="Arial" w:cs="Arial" w:eastAsia="Arial" w:hAnsi="Arial"/>
          <w:sz w:val="17"/>
          <w:szCs w:val="17"/>
          <w:color w:val="auto"/>
        </w:rPr>
      </w:pPr>
    </w:p>
    <w:p>
      <w:pPr>
        <w:ind w:left="1000" w:hanging="367"/>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peer-to-peer market, utilizing sites such as Facebook, Craigslist.com, eBay Motors and Nextdoor.com; and</w:t>
      </w:r>
    </w:p>
    <w:p>
      <w:pPr>
        <w:spacing w:after="0" w:line="105" w:lineRule="exact"/>
        <w:rPr>
          <w:rFonts w:ascii="Arial" w:cs="Arial" w:eastAsia="Arial" w:hAnsi="Arial"/>
          <w:sz w:val="17"/>
          <w:szCs w:val="17"/>
          <w:color w:val="auto"/>
        </w:rPr>
      </w:pPr>
    </w:p>
    <w:p>
      <w:pPr>
        <w:ind w:left="1000" w:right="740" w:hanging="367"/>
        <w:spacing w:after="0" w:line="290"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sales by rental car companies directly to consumers of used vehicles which were previously utilized in rental fleets, such as Enterprise Car Sales.</w:t>
      </w:r>
    </w:p>
    <w:p>
      <w:pPr>
        <w:spacing w:after="0" w:line="129" w:lineRule="exact"/>
        <w:rPr>
          <w:sz w:val="20"/>
          <w:szCs w:val="20"/>
          <w:color w:val="auto"/>
        </w:rPr>
      </w:pPr>
    </w:p>
    <w:p>
      <w:pPr>
        <w:ind w:right="20" w:firstLine="637"/>
        <w:spacing w:after="0" w:line="253" w:lineRule="auto"/>
        <w:rPr>
          <w:sz w:val="20"/>
          <w:szCs w:val="20"/>
          <w:color w:val="auto"/>
        </w:rPr>
      </w:pPr>
      <w:r>
        <w:rPr>
          <w:rFonts w:ascii="Arial" w:cs="Arial" w:eastAsia="Arial" w:hAnsi="Arial"/>
          <w:sz w:val="17"/>
          <w:szCs w:val="17"/>
          <w:color w:val="auto"/>
        </w:rPr>
        <w:t>Internet and online automotive sites could change their models to directly compete with us, such as Google, Amazon, AutoTrader.com, Edmunds.com, KBB.com, Autobytel.com, TrueCar.com, CarGurus and Cars.com. In addition, automobile manufacturers such as General Motors, Ford and Volkswagen could change their sales models to better compete with our model through technology and infrastructure investments. While such enterprises may change their business models and endeavor to compete with us, the purchase and sale of used vehicles through ecommerce presents unique challenges.</w:t>
      </w:r>
    </w:p>
    <w:p>
      <w:pPr>
        <w:spacing w:after="0" w:line="160" w:lineRule="exact"/>
        <w:rPr>
          <w:sz w:val="20"/>
          <w:szCs w:val="20"/>
          <w:color w:val="auto"/>
        </w:rPr>
      </w:pPr>
    </w:p>
    <w:p>
      <w:pPr>
        <w:ind w:right="160" w:firstLine="637"/>
        <w:spacing w:after="0" w:line="265" w:lineRule="auto"/>
        <w:rPr>
          <w:sz w:val="20"/>
          <w:szCs w:val="20"/>
          <w:color w:val="auto"/>
        </w:rPr>
      </w:pPr>
      <w:r>
        <w:rPr>
          <w:rFonts w:ascii="Arial" w:cs="Arial" w:eastAsia="Arial" w:hAnsi="Arial"/>
          <w:sz w:val="17"/>
          <w:szCs w:val="17"/>
          <w:color w:val="auto"/>
        </w:rPr>
        <w:t>Our competitors also compete in the online market through companies that provide listings, information, lead generation and car buying services designed to reach customers and enable dealers to reach these customers and providers of offline, membership-based car buying services such as the Costco Auto Program.</w:t>
      </w:r>
    </w:p>
    <w:p>
      <w:pPr>
        <w:spacing w:after="0" w:line="151" w:lineRule="exact"/>
        <w:rPr>
          <w:sz w:val="20"/>
          <w:szCs w:val="20"/>
          <w:color w:val="auto"/>
        </w:rPr>
      </w:pPr>
    </w:p>
    <w:p>
      <w:pPr>
        <w:ind w:right="200" w:firstLine="637"/>
        <w:spacing w:after="0" w:line="257" w:lineRule="auto"/>
        <w:rPr>
          <w:sz w:val="20"/>
          <w:szCs w:val="20"/>
          <w:color w:val="auto"/>
        </w:rPr>
      </w:pPr>
      <w:r>
        <w:rPr>
          <w:rFonts w:ascii="Arial" w:cs="Arial" w:eastAsia="Arial" w:hAnsi="Arial"/>
          <w:sz w:val="17"/>
          <w:szCs w:val="17"/>
          <w:color w:val="auto"/>
        </w:rPr>
        <w:t>We also expect that new competitors will continue to enter the traditional and ecommerce automotive retail industry with competing brands, business models and products and services, which could have an adverse effect on our revenue, business and financial results. For example, traditional car dealers could transition their selling efforts to the internet, allowing them to sell vehicles across state lines and compete directly with our online offering and no-negotiating pricing model.</w:t>
      </w:r>
    </w:p>
    <w:p>
      <w:pPr>
        <w:spacing w:after="0" w:line="157" w:lineRule="exact"/>
        <w:rPr>
          <w:sz w:val="20"/>
          <w:szCs w:val="20"/>
          <w:color w:val="auto"/>
        </w:rPr>
      </w:pPr>
    </w:p>
    <w:p>
      <w:pPr>
        <w:jc w:val="both"/>
        <w:ind w:right="160" w:firstLine="637"/>
        <w:spacing w:after="0" w:line="250" w:lineRule="auto"/>
        <w:rPr>
          <w:sz w:val="20"/>
          <w:szCs w:val="20"/>
          <w:color w:val="auto"/>
        </w:rPr>
      </w:pPr>
      <w:r>
        <w:rPr>
          <w:rFonts w:ascii="Arial" w:cs="Arial" w:eastAsia="Arial" w:hAnsi="Arial"/>
          <w:sz w:val="17"/>
          <w:szCs w:val="17"/>
          <w:color w:val="auto"/>
        </w:rPr>
        <w:t>Our current and potential competitors may have significantly greater financial, technical, marketing and other resources than we have, and the ability to devote greater resources to the development, promotion and support of their businesses, platforms, and related products and services. Additionally, they may have more extensive automotive industry relationships, longer operating histories and greater name recognition than we have. As a result, these competitors may be able to respond more quickly to consumer needs with new technologies and to undertake more extensive marketing or promotional campaigns. If we are unable to compete with these companies, the demand for our used vehicles and value-added products could substantially decline.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ind w:right="320" w:firstLine="637"/>
        <w:spacing w:after="0" w:line="250" w:lineRule="auto"/>
        <w:rPr>
          <w:sz w:val="20"/>
          <w:szCs w:val="20"/>
          <w:color w:val="auto"/>
        </w:rPr>
      </w:pPr>
      <w:r>
        <w:rPr>
          <w:rFonts w:ascii="Arial" w:cs="Arial" w:eastAsia="Arial" w:hAnsi="Arial"/>
          <w:sz w:val="17"/>
          <w:szCs w:val="17"/>
          <w:color w:val="auto"/>
        </w:rPr>
        <w:t>In addition, if one or more of our competitors were to merge or partner with another of our competitors, the change in the competitive landscape could adversely affect our ability to compete effectively. We may not be able to compete successfully against current or future competitors, and competitive pressures may harm our business, financial condition and results of operations. Furthermore, if our competitors develop business models, products or services with similar or superior functionality to our platform, it may adversely affect our business. Additionally, our competitors could use their political influence and increase lobbying efforts to encourage new regulations or interpretations of existing regulations that would prevent us from operating in certain markets.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the auto industry may threaten our business model if we are unable to adapt.</w:t>
      </w:r>
    </w:p>
    <w:p>
      <w:pPr>
        <w:spacing w:after="0" w:line="103" w:lineRule="exact"/>
        <w:rPr>
          <w:sz w:val="20"/>
          <w:szCs w:val="20"/>
          <w:color w:val="auto"/>
        </w:rPr>
      </w:pPr>
    </w:p>
    <w:p>
      <w:pPr>
        <w:ind w:right="20" w:firstLine="637"/>
        <w:spacing w:after="0" w:line="248" w:lineRule="auto"/>
        <w:rPr>
          <w:sz w:val="20"/>
          <w:szCs w:val="20"/>
          <w:color w:val="auto"/>
        </w:rPr>
      </w:pPr>
      <w:r>
        <w:rPr>
          <w:rFonts w:ascii="Arial" w:cs="Arial" w:eastAsia="Arial" w:hAnsi="Arial"/>
          <w:sz w:val="17"/>
          <w:szCs w:val="17"/>
          <w:color w:val="auto"/>
        </w:rPr>
        <w:t>The market for used vehicles may be impacted by the significant, and likely accelerating, changes to the broader automotive industry, which may render our existing or future business model or our ability to sell vehicles, products and services less competitive, unmarketable or obsolete. For example, technology is currently being developed to produce automated, driverless vehicles that could reduce the demand for, or replace, traditional vehicles, including the used vehicles that we acquire and sell. Additionally, ride-hailing and ride-sharing services are becoming increasingly popular as a means of transportation and may decrease consumer demand for the used vehicles we sell, particularly as urbanization increases. Furthermore, new technologies such as autonomous driving software have the potential to change the dynamics of car ownership in the future. If we are unable to or otherwise fail to successfully adapt to such industry changes, our business, financial condition and results of operations could be materially and adversely affected.</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Prospective purchasers of vehicles may choose not to shop online, which would prevent us from growing our business.</w:t>
      </w:r>
    </w:p>
    <w:p>
      <w:pPr>
        <w:spacing w:after="0" w:line="103" w:lineRule="exact"/>
        <w:rPr>
          <w:sz w:val="20"/>
          <w:szCs w:val="20"/>
          <w:color w:val="auto"/>
        </w:rPr>
      </w:pPr>
    </w:p>
    <w:p>
      <w:pPr>
        <w:ind w:firstLine="637"/>
        <w:spacing w:after="0" w:line="250" w:lineRule="auto"/>
        <w:rPr>
          <w:sz w:val="20"/>
          <w:szCs w:val="20"/>
          <w:color w:val="auto"/>
        </w:rPr>
      </w:pPr>
      <w:r>
        <w:rPr>
          <w:rFonts w:ascii="Arial" w:cs="Arial" w:eastAsia="Arial" w:hAnsi="Arial"/>
          <w:sz w:val="17"/>
          <w:szCs w:val="17"/>
          <w:color w:val="auto"/>
        </w:rPr>
        <w:t>Our success will depend, in part, on our ability to attract additional customers who have historically purchased vehicles through traditional dealers. The online market for vehicles is significantly less developed than the online market for other goods and services such as books, music, travel and other consumer products. If this market does not gain widespread acceptance, our business may suffer. Furthermore, we may have to incur significantly higher and more sustained advertising and promotional expenditures or offer more incentives than we currently anticipate in order to attract additional consumers to our platform and convert them into purchasing customers. Specific factors that could prevent consumers from purchasing vehicles through our ecommerce platform include:</w:t>
      </w:r>
    </w:p>
    <w:p>
      <w:pPr>
        <w:spacing w:after="0" w:line="60" w:lineRule="exact"/>
        <w:rPr>
          <w:sz w:val="20"/>
          <w:szCs w:val="20"/>
          <w:color w:val="auto"/>
        </w:rPr>
      </w:pPr>
    </w:p>
    <w:p>
      <w:pPr>
        <w:ind w:left="1000" w:right="500" w:hanging="367"/>
        <w:spacing w:after="0" w:line="290"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concerns about buying vehicles without face-to-face interaction with sales personnel and the ability to physically test-drive and examine vehicles;</w:t>
      </w:r>
    </w:p>
    <w:p>
      <w:pPr>
        <w:spacing w:after="0" w:line="24" w:lineRule="exact"/>
        <w:rPr>
          <w:rFonts w:ascii="Arial" w:cs="Arial" w:eastAsia="Arial" w:hAnsi="Arial"/>
          <w:sz w:val="17"/>
          <w:szCs w:val="17"/>
          <w:color w:val="auto"/>
        </w:rPr>
      </w:pPr>
    </w:p>
    <w:p>
      <w:pPr>
        <w:ind w:left="1000" w:hanging="367"/>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preference for a more personal experience when purchasing vehicles;</w:t>
      </w:r>
    </w:p>
    <w:p>
      <w:pPr>
        <w:spacing w:after="0" w:line="105" w:lineRule="exact"/>
        <w:rPr>
          <w:rFonts w:ascii="Arial" w:cs="Arial" w:eastAsia="Arial" w:hAnsi="Arial"/>
          <w:sz w:val="17"/>
          <w:szCs w:val="17"/>
          <w:color w:val="auto"/>
        </w:rPr>
      </w:pPr>
    </w:p>
    <w:p>
      <w:pPr>
        <w:ind w:left="1000" w:hanging="367"/>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insufficient level of desirable inventory;</w:t>
      </w:r>
    </w:p>
    <w:p>
      <w:pPr>
        <w:spacing w:after="0" w:line="105" w:lineRule="exact"/>
        <w:rPr>
          <w:rFonts w:ascii="Arial" w:cs="Arial" w:eastAsia="Arial" w:hAnsi="Arial"/>
          <w:sz w:val="17"/>
          <w:szCs w:val="17"/>
          <w:color w:val="auto"/>
        </w:rPr>
      </w:pPr>
    </w:p>
    <w:p>
      <w:pPr>
        <w:ind w:left="1000" w:hanging="367"/>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pricing that does not meet consumer expectations;</w:t>
      </w:r>
    </w:p>
    <w:p>
      <w:pPr>
        <w:spacing w:after="0" w:line="105" w:lineRule="exact"/>
        <w:rPr>
          <w:rFonts w:ascii="Arial" w:cs="Arial" w:eastAsia="Arial" w:hAnsi="Arial"/>
          <w:sz w:val="17"/>
          <w:szCs w:val="17"/>
          <w:color w:val="auto"/>
        </w:rPr>
      </w:pPr>
    </w:p>
    <w:p>
      <w:pPr>
        <w:ind w:left="1000" w:hanging="367"/>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delayed deliveries;</w:t>
      </w:r>
    </w:p>
    <w:p>
      <w:pPr>
        <w:spacing w:after="0" w:line="105" w:lineRule="exact"/>
        <w:rPr>
          <w:rFonts w:ascii="Arial" w:cs="Arial" w:eastAsia="Arial" w:hAnsi="Arial"/>
          <w:sz w:val="17"/>
          <w:szCs w:val="17"/>
          <w:color w:val="auto"/>
        </w:rPr>
      </w:pPr>
    </w:p>
    <w:p>
      <w:pPr>
        <w:ind w:left="1000" w:hanging="367"/>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inconvenience with returning or exchanging vehicles purchased online;</w:t>
      </w:r>
    </w:p>
    <w:p>
      <w:pPr>
        <w:spacing w:after="0" w:line="105" w:lineRule="exact"/>
        <w:rPr>
          <w:rFonts w:ascii="Arial" w:cs="Arial" w:eastAsia="Arial" w:hAnsi="Arial"/>
          <w:sz w:val="17"/>
          <w:szCs w:val="17"/>
          <w:color w:val="auto"/>
        </w:rPr>
      </w:pPr>
    </w:p>
    <w:p>
      <w:pPr>
        <w:ind w:left="1000" w:hanging="367"/>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concerns about the security of online transactions and the privacy of personal information; and</w:t>
      </w:r>
    </w:p>
    <w:p>
      <w:pPr>
        <w:spacing w:after="0" w:line="105" w:lineRule="exact"/>
        <w:rPr>
          <w:rFonts w:ascii="Arial" w:cs="Arial" w:eastAsia="Arial" w:hAnsi="Arial"/>
          <w:sz w:val="17"/>
          <w:szCs w:val="17"/>
          <w:color w:val="auto"/>
        </w:rPr>
      </w:pPr>
    </w:p>
    <w:p>
      <w:pPr>
        <w:ind w:left="1000" w:hanging="367"/>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usability, functionality and features of our platform.</w:t>
      </w:r>
    </w:p>
    <w:p>
      <w:pPr>
        <w:spacing w:after="0" w:line="249" w:lineRule="exact"/>
        <w:rPr>
          <w:sz w:val="20"/>
          <w:szCs w:val="20"/>
          <w:color w:val="auto"/>
        </w:rPr>
      </w:pPr>
    </w:p>
    <w:p>
      <w:pPr>
        <w:ind w:right="180" w:firstLine="637"/>
        <w:spacing w:after="0" w:line="290" w:lineRule="auto"/>
        <w:rPr>
          <w:sz w:val="20"/>
          <w:szCs w:val="20"/>
          <w:color w:val="auto"/>
        </w:rPr>
      </w:pPr>
      <w:r>
        <w:rPr>
          <w:rFonts w:ascii="Arial" w:cs="Arial" w:eastAsia="Arial" w:hAnsi="Arial"/>
          <w:sz w:val="17"/>
          <w:szCs w:val="17"/>
          <w:color w:val="auto"/>
        </w:rPr>
        <w:t>If the online market for vehicles does not continue to develop and grow, our business will not grow and our business, financial condition and results of operations could be materially and adversely affected.</w:t>
      </w:r>
    </w:p>
    <w:p>
      <w:pPr>
        <w:spacing w:after="0" w:line="236"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b w:val="1"/>
          <w:bCs w:val="1"/>
          <w:i w:val="1"/>
          <w:iCs w:val="1"/>
          <w:color w:val="auto"/>
        </w:rPr>
        <w:t>General business and economic conditions, and risks related to the larger automotive ecosystem, including consumer demand, could reduce our sales and profitability, which could have a material adverse effect on our business, financial condition and results of operations.</w:t>
      </w:r>
    </w:p>
    <w:p>
      <w:pPr>
        <w:spacing w:after="0" w:line="34" w:lineRule="exact"/>
        <w:rPr>
          <w:sz w:val="20"/>
          <w:szCs w:val="20"/>
          <w:color w:val="auto"/>
        </w:rPr>
      </w:pPr>
    </w:p>
    <w:p>
      <w:pPr>
        <w:ind w:right="100" w:firstLine="637"/>
        <w:spacing w:after="0" w:line="257" w:lineRule="auto"/>
        <w:rPr>
          <w:sz w:val="20"/>
          <w:szCs w:val="20"/>
          <w:color w:val="auto"/>
        </w:rPr>
      </w:pPr>
      <w:r>
        <w:rPr>
          <w:rFonts w:ascii="Arial" w:cs="Arial" w:eastAsia="Arial" w:hAnsi="Arial"/>
          <w:sz w:val="17"/>
          <w:szCs w:val="17"/>
          <w:color w:val="auto"/>
        </w:rPr>
        <w:t>Our business is affected by general business and economic conditions. The global economy often experiences periods of instability, and this volatility may result in reduced demand for our vehicles and value-added products, reduced spending on vehicles, inability of customers to obtain credit to finance purchases of vehicles and decreased consumer confidence to make discretionary purchases. Consumer purchases of new and used vehicles generally decline during recessionary periods and other periods in which disposable income is adversely affected.</w:t>
      </w:r>
    </w:p>
    <w:p>
      <w:pPr>
        <w:spacing w:after="0" w:line="157" w:lineRule="exact"/>
        <w:rPr>
          <w:sz w:val="20"/>
          <w:szCs w:val="20"/>
          <w:color w:val="auto"/>
        </w:rPr>
      </w:pPr>
    </w:p>
    <w:p>
      <w:pPr>
        <w:jc w:val="both"/>
        <w:ind w:right="520" w:firstLine="637"/>
        <w:spacing w:after="0" w:line="265" w:lineRule="auto"/>
        <w:rPr>
          <w:sz w:val="20"/>
          <w:szCs w:val="20"/>
          <w:color w:val="auto"/>
        </w:rPr>
      </w:pPr>
      <w:r>
        <w:rPr>
          <w:rFonts w:ascii="Arial" w:cs="Arial" w:eastAsia="Arial" w:hAnsi="Arial"/>
          <w:sz w:val="17"/>
          <w:szCs w:val="17"/>
          <w:color w:val="auto"/>
        </w:rPr>
        <w:t>Purchases of new and used vehicles are typically discretionary for consumers and have been, and may continue to be, affected by negative trends in the economy and other factors, including rising interest rates, the cost of energy and gasoline, the availability and cost of consumer credit, reductions in consumer confidence and fears of recession, stock</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market volatility, increased regulation and increased unemployment. Increased environmental regulation has made, and may in the future make, used vehicles more expensive and less desirable for consumers.</w:t>
      </w:r>
    </w:p>
    <w:p>
      <w:pPr>
        <w:spacing w:after="0" w:line="129" w:lineRule="exact"/>
        <w:rPr>
          <w:sz w:val="20"/>
          <w:szCs w:val="20"/>
          <w:color w:val="auto"/>
        </w:rPr>
      </w:pPr>
    </w:p>
    <w:p>
      <w:pPr>
        <w:ind w:right="40" w:firstLine="637"/>
        <w:spacing w:after="0" w:line="265" w:lineRule="auto"/>
        <w:rPr>
          <w:sz w:val="20"/>
          <w:szCs w:val="20"/>
          <w:color w:val="auto"/>
        </w:rPr>
      </w:pPr>
      <w:r>
        <w:rPr>
          <w:rFonts w:ascii="Arial" w:cs="Arial" w:eastAsia="Arial" w:hAnsi="Arial"/>
          <w:sz w:val="17"/>
          <w:szCs w:val="17"/>
          <w:color w:val="auto"/>
        </w:rPr>
        <w:t>In addition, changing trends in consumer tastes, negative business and economic conditions and market volatility may make it difficult for us to accurately forecast vehicle demand trends, which could cause us to increase our inventory carrying costs and could materially and adversely affect our business, financial condition and 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sensitive to conditions affecting automotive manufacturers, including manufacturer recalls.</w:t>
      </w:r>
    </w:p>
    <w:p>
      <w:pPr>
        <w:spacing w:after="0" w:line="103" w:lineRule="exact"/>
        <w:rPr>
          <w:sz w:val="20"/>
          <w:szCs w:val="20"/>
          <w:color w:val="auto"/>
        </w:rPr>
      </w:pPr>
    </w:p>
    <w:p>
      <w:pPr>
        <w:ind w:right="40" w:firstLine="637"/>
        <w:spacing w:after="0" w:line="245" w:lineRule="auto"/>
        <w:rPr>
          <w:sz w:val="20"/>
          <w:szCs w:val="20"/>
          <w:color w:val="auto"/>
        </w:rPr>
      </w:pPr>
      <w:r>
        <w:rPr>
          <w:rFonts w:ascii="Arial" w:cs="Arial" w:eastAsia="Arial" w:hAnsi="Arial"/>
          <w:sz w:val="17"/>
          <w:szCs w:val="17"/>
          <w:color w:val="auto"/>
        </w:rPr>
        <w:t>Adverse conditions affecting one or more automotive manufacturers could have a material adverse effect on our business, financial condition and results of operations and could impact our supply of used vehicles. In addition, manufacturer recalls are a common occurrence that have accelerated in frequency and scope in recent years. In the instance of an open recall, we may have to temporarily remove vehicles from inventory and may be unable to liquidate such inventory in a timely manner or at all. Because we do not have manufacturer authorization to complete recall-related repairs, some vehicles we sell may have unrepaired safety recalls. Such recalls, and our lack of authorization to make recall-related repairs or potential unavailability of parts needed to make such repairs, could (i) adversely affect used vehicle sales or valuations,</w:t>
      </w:r>
    </w:p>
    <w:p>
      <w:pPr>
        <w:spacing w:after="0" w:line="2" w:lineRule="exact"/>
        <w:rPr>
          <w:sz w:val="20"/>
          <w:szCs w:val="20"/>
          <w:color w:val="auto"/>
        </w:rPr>
      </w:pPr>
    </w:p>
    <w:p>
      <w:pPr>
        <w:ind w:right="200" w:firstLine="5"/>
        <w:spacing w:after="0" w:line="252" w:lineRule="auto"/>
        <w:tabs>
          <w:tab w:leader="none" w:pos="242" w:val="left"/>
        </w:tabs>
        <w:numPr>
          <w:ilvl w:val="0"/>
          <w:numId w:val="20"/>
        </w:numPr>
        <w:rPr>
          <w:rFonts w:ascii="Arial" w:cs="Arial" w:eastAsia="Arial" w:hAnsi="Arial"/>
          <w:sz w:val="17"/>
          <w:szCs w:val="17"/>
          <w:color w:val="auto"/>
        </w:rPr>
      </w:pPr>
      <w:r>
        <w:rPr>
          <w:rFonts w:ascii="Arial" w:cs="Arial" w:eastAsia="Arial" w:hAnsi="Arial"/>
          <w:sz w:val="17"/>
          <w:szCs w:val="17"/>
          <w:color w:val="auto"/>
        </w:rPr>
        <w:t>cause us to temporarily remove vehicles from inventory, (iii) cause us to sell any affected vehicles at a loss, (iv) force us to incur increased costs and (v) expose us to litigation and adverse publicity related to the sale of recalled vehicles, which could have a material adverse effect on our business, financial condition and results of operations.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Laws and Regulations</w:t>
      </w:r>
    </w:p>
    <w:p>
      <w:pPr>
        <w:spacing w:after="0" w:line="240" w:lineRule="exact"/>
        <w:rPr>
          <w:sz w:val="20"/>
          <w:szCs w:val="20"/>
          <w:color w:val="auto"/>
        </w:rPr>
      </w:pPr>
    </w:p>
    <w:p>
      <w:pPr>
        <w:ind w:right="360"/>
        <w:spacing w:after="0" w:line="269" w:lineRule="auto"/>
        <w:rPr>
          <w:sz w:val="20"/>
          <w:szCs w:val="20"/>
          <w:color w:val="auto"/>
        </w:rPr>
      </w:pPr>
      <w:r>
        <w:rPr>
          <w:rFonts w:ascii="Arial" w:cs="Arial" w:eastAsia="Arial" w:hAnsi="Arial"/>
          <w:sz w:val="17"/>
          <w:szCs w:val="17"/>
          <w:b w:val="1"/>
          <w:bCs w:val="1"/>
          <w:i w:val="1"/>
          <w:iCs w:val="1"/>
          <w:color w:val="auto"/>
        </w:rPr>
        <w:t>We operate in a highly regulated industry and are subject to a wide range of federal, state and local laws and regulations. Failure to comply with these laws and regulations could have a material adverse effect on our business, financial condition and results of operations.</w:t>
      </w:r>
    </w:p>
    <w:p>
      <w:pPr>
        <w:spacing w:after="0" w:line="34" w:lineRule="exact"/>
        <w:rPr>
          <w:sz w:val="20"/>
          <w:szCs w:val="20"/>
          <w:color w:val="auto"/>
        </w:rPr>
      </w:pPr>
    </w:p>
    <w:p>
      <w:pPr>
        <w:ind w:firstLine="637"/>
        <w:spacing w:after="0" w:line="245" w:lineRule="auto"/>
        <w:rPr>
          <w:sz w:val="20"/>
          <w:szCs w:val="20"/>
          <w:color w:val="auto"/>
        </w:rPr>
      </w:pPr>
      <w:r>
        <w:rPr>
          <w:rFonts w:ascii="Arial" w:cs="Arial" w:eastAsia="Arial" w:hAnsi="Arial"/>
          <w:sz w:val="17"/>
          <w:szCs w:val="17"/>
          <w:color w:val="auto"/>
        </w:rPr>
        <w:t>Our business is and will continue to be subject to extensive U.S. federal, state and local laws and regulations. The advertising, sale, purchase, financing and transportation of used vehicles are regulated by every state in which we operate and by the U.S. federal government. The titling and registration of vehicles and the sale of value-added products also are regulated by state laws, and such laws can vary significantly from state to state. Regulations governing the used vehicle industry generally do not contemplate our ecommerce business model. In addition, we are subject to regulations and laws specifically governing the internet and ecommerce and the collection, storage and use of personal information and other customer data. We are also subject to federal and state consumer protection laws, including the Equal Credit Opportunity Act and prohibitions against unfair or deceptive acts or practices. The federal governmental agencies that regulate our business and have the authority to enforce such regulations and laws against us include the U.S. Federal Trade Commission, the U.S. Department of Transportation (“DOT”), the U.S. Occupational Health and Safety Administration, the U.S. Department of Justice and the U.S. Federal Communications Commission. Additionally, we are subject to regulation by individual state dealer licensing authorities, state consumer protection agencies and state financial regulatory agencies. We also are subject to audit by such state regulatory authorities.</w:t>
      </w:r>
    </w:p>
    <w:p>
      <w:pPr>
        <w:spacing w:after="0" w:line="173" w:lineRule="exact"/>
        <w:rPr>
          <w:sz w:val="20"/>
          <w:szCs w:val="20"/>
          <w:color w:val="auto"/>
        </w:rPr>
      </w:pPr>
    </w:p>
    <w:p>
      <w:pPr>
        <w:ind w:right="80" w:firstLine="637"/>
        <w:spacing w:after="0" w:line="250" w:lineRule="auto"/>
        <w:rPr>
          <w:sz w:val="20"/>
          <w:szCs w:val="20"/>
          <w:color w:val="auto"/>
        </w:rPr>
      </w:pPr>
      <w:r>
        <w:rPr>
          <w:rFonts w:ascii="Arial" w:cs="Arial" w:eastAsia="Arial" w:hAnsi="Arial"/>
          <w:sz w:val="17"/>
          <w:szCs w:val="17"/>
          <w:color w:val="auto"/>
        </w:rPr>
        <w:t>State dealer licensing authorities regulate the purchase and sale of used vehicles by dealers within their respective states. The applicability of these regulatory and legal compliance obligations to our ecommerce business is dependent on evolving interpretations of these laws and regulations and how our operations are, or are not, subject to them. We are licensed as a dealer in the States of Texas and Florida and all of our vehicle transactions are conducted under our Texas and Florida licenses. We believe that our activities in other states are not subject to their vehicle dealer licensing laws; however, regulators in such states could seek to require us to maintain a used vehicle dealer license in order to engage in activities in that state.</w:t>
      </w:r>
    </w:p>
    <w:p>
      <w:pPr>
        <w:spacing w:after="0" w:line="165" w:lineRule="exact"/>
        <w:rPr>
          <w:sz w:val="20"/>
          <w:szCs w:val="20"/>
          <w:color w:val="auto"/>
        </w:rPr>
      </w:pPr>
    </w:p>
    <w:p>
      <w:pPr>
        <w:ind w:firstLine="637"/>
        <w:spacing w:after="0" w:line="248" w:lineRule="auto"/>
        <w:rPr>
          <w:sz w:val="20"/>
          <w:szCs w:val="20"/>
          <w:color w:val="auto"/>
        </w:rPr>
      </w:pPr>
      <w:r>
        <w:rPr>
          <w:rFonts w:ascii="Arial" w:cs="Arial" w:eastAsia="Arial" w:hAnsi="Arial"/>
          <w:sz w:val="17"/>
          <w:szCs w:val="17"/>
          <w:color w:val="auto"/>
        </w:rPr>
        <w:t>Most states regulate retail installment sales, including setting a maximum interest rate, caps on certain fees or maximum amounts financed. In addition, certain states require that retail installment sellers file a notice or registration document or have a sales finance license or an installment sellers license in order to solicit or originate installment sales in that state. We have obtained a motor vehicle sales finance license in Texas in connection with our Texas dealer license, and we have obtained a retail installment seller license in Florida in connection with our Florida dealer license. The financial regulatory agency in Pennsylvania determined that we need to obtain an installment seller license in order to enter into retail installment sales with residents of Pennsylvania. As a result, we are not currently offering third-party financing to our customers in Pennsylvania, who must obtain independent financing to the extent needed to fund any vehicle purchases on our platform. We recently obtained a Pennsylvania installment seller license and expect to resume offering financing to Pennsylvania customers in the future.</w:t>
      </w:r>
    </w:p>
    <w:p>
      <w:pPr>
        <w:spacing w:after="0" w:line="163" w:lineRule="exact"/>
        <w:rPr>
          <w:sz w:val="20"/>
          <w:szCs w:val="20"/>
          <w:color w:val="auto"/>
        </w:rPr>
      </w:pPr>
    </w:p>
    <w:p>
      <w:pPr>
        <w:ind w:right="100" w:firstLine="637"/>
        <w:spacing w:after="0" w:line="265" w:lineRule="auto"/>
        <w:rPr>
          <w:sz w:val="20"/>
          <w:szCs w:val="20"/>
          <w:color w:val="auto"/>
        </w:rPr>
      </w:pPr>
      <w:r>
        <w:rPr>
          <w:rFonts w:ascii="Arial" w:cs="Arial" w:eastAsia="Arial" w:hAnsi="Arial"/>
          <w:sz w:val="17"/>
          <w:szCs w:val="17"/>
          <w:color w:val="auto"/>
        </w:rPr>
        <w:t>Any failure to renew or maintain any of the foregoing licenses would materially and adversely affect our business, financial condition and results of operations. Many aspects of our business are subject to regulatory regimes at the state and local level, and we may not have all licenses required to conduct business in every jurisdiction in which we operate.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Despite our belief that we are not subject to certain licensing requirements of those state and local jurisdictions, regulators may seek to impose punitive fines for operating without a license or demand we seek a license in those state and local jurisdictions, any of which may inhibit our ability to do business in those state and local jurisdictions, increase our operating expenses and adversely affect our business, financial condition and results of operations.</w:t>
      </w:r>
    </w:p>
    <w:p>
      <w:pPr>
        <w:spacing w:after="0" w:line="157" w:lineRule="exact"/>
        <w:rPr>
          <w:sz w:val="20"/>
          <w:szCs w:val="20"/>
          <w:color w:val="auto"/>
        </w:rPr>
      </w:pPr>
    </w:p>
    <w:p>
      <w:pPr>
        <w:ind w:right="120" w:firstLine="637"/>
        <w:spacing w:after="0" w:line="248" w:lineRule="auto"/>
        <w:rPr>
          <w:sz w:val="20"/>
          <w:szCs w:val="20"/>
          <w:color w:val="auto"/>
        </w:rPr>
      </w:pPr>
      <w:r>
        <w:rPr>
          <w:rFonts w:ascii="Arial" w:cs="Arial" w:eastAsia="Arial" w:hAnsi="Arial"/>
          <w:sz w:val="17"/>
          <w:szCs w:val="17"/>
          <w:color w:val="auto"/>
        </w:rPr>
        <w:t>Our proprietary logistics operations are subject to regulation by the DOT and by the states through which our vehicles travel. Transport vehicle dimensions, transport vehicle conditions, driver motor vehicle record history, driver alcohol and drug testing, and driver hours of service are also subject to both federal and state regulation. More restrictive limitations on vehicle weight and size, condition, trailer length and configuration, methods of measurement, driver qualifications, or driver hours of service would increase our operating expenses and may adversely affect our financial condition, operating results, and cash flows. If we fail to comply with the DOT regulations or if those regulations become more stringent, we could be subject to increased inspections, audits, or compliance burdens. Regulatory authorities could take remedial action including imposing fines, suspending, or shutting down our transportation operations. If any of these events occur, our business, financial condition and results of operations would be adversely affected.</w:t>
      </w:r>
    </w:p>
    <w:p>
      <w:pPr>
        <w:spacing w:after="0" w:line="203" w:lineRule="exact"/>
        <w:rPr>
          <w:sz w:val="20"/>
          <w:szCs w:val="20"/>
          <w:color w:val="auto"/>
        </w:rPr>
      </w:pPr>
    </w:p>
    <w:p>
      <w:pPr>
        <w:ind w:right="100" w:firstLine="637"/>
        <w:spacing w:after="0" w:line="253" w:lineRule="auto"/>
        <w:rPr>
          <w:sz w:val="20"/>
          <w:szCs w:val="20"/>
          <w:color w:val="auto"/>
        </w:rPr>
      </w:pPr>
      <w:r>
        <w:rPr>
          <w:rFonts w:ascii="Arial" w:cs="Arial" w:eastAsia="Arial" w:hAnsi="Arial"/>
          <w:sz w:val="17"/>
          <w:szCs w:val="17"/>
          <w:color w:val="auto"/>
        </w:rPr>
        <w:t>In addition to these laws and regulations that apply specifically to the sale and financing of used vehicles and logistics, our facilities and business operations are subject to laws and regulations relating to environmental protection, occupational health and safety, and other broadly applicable business regulations. We also are subject to laws and regulations involving taxes, tariffs, privacy and data security, anti-spam, pricing, content protection, electronic contracts and communications, mobile communications, consumer protection, information reporting requirements, unencumbered internet access to our platform, the design and operation of websites and internet neutrality.</w:t>
      </w:r>
    </w:p>
    <w:p>
      <w:pPr>
        <w:spacing w:after="0" w:line="160" w:lineRule="exact"/>
        <w:rPr>
          <w:sz w:val="20"/>
          <w:szCs w:val="20"/>
          <w:color w:val="auto"/>
        </w:rPr>
      </w:pPr>
    </w:p>
    <w:p>
      <w:pPr>
        <w:ind w:right="180" w:firstLine="637"/>
        <w:spacing w:after="0" w:line="254" w:lineRule="auto"/>
        <w:rPr>
          <w:sz w:val="20"/>
          <w:szCs w:val="20"/>
          <w:color w:val="auto"/>
        </w:rPr>
      </w:pPr>
      <w:r>
        <w:rPr>
          <w:rFonts w:ascii="Arial" w:cs="Arial" w:eastAsia="Arial" w:hAnsi="Arial"/>
          <w:sz w:val="17"/>
          <w:szCs w:val="17"/>
          <w:color w:val="auto"/>
        </w:rPr>
        <w:t>We are also subject to laws and regulations affecting public companies, including securities laws and Nasdaq listing rules. The violation of any of these laws or regulations could result in administrative, civil or criminal penalties or in a cease-and-desist order against our business operations, any of which could damage our reputation and have a material adverse effect on our business, financial condition and results of operations. We have incurred and will continue to incur capital and operating expenses and other costs to comply with these laws and regulations.</w:t>
      </w:r>
    </w:p>
    <w:p>
      <w:pPr>
        <w:spacing w:after="0" w:line="363" w:lineRule="exact"/>
        <w:rPr>
          <w:sz w:val="20"/>
          <w:szCs w:val="20"/>
          <w:color w:val="auto"/>
        </w:rPr>
      </w:pPr>
    </w:p>
    <w:p>
      <w:pPr>
        <w:ind w:right="500" w:firstLine="637"/>
        <w:spacing w:after="0" w:line="290" w:lineRule="auto"/>
        <w:rPr>
          <w:sz w:val="20"/>
          <w:szCs w:val="20"/>
          <w:color w:val="auto"/>
        </w:rPr>
      </w:pPr>
      <w:r>
        <w:rPr>
          <w:rFonts w:ascii="Arial" w:cs="Arial" w:eastAsia="Arial" w:hAnsi="Arial"/>
          <w:sz w:val="17"/>
          <w:szCs w:val="17"/>
          <w:color w:val="auto"/>
        </w:rPr>
        <w:t>Additionally, we are subject to Federal, State and local laws and regulations and other government actions related to the COVID-19 pandemic.</w:t>
      </w:r>
    </w:p>
    <w:p>
      <w:pPr>
        <w:spacing w:after="0" w:line="129" w:lineRule="exact"/>
        <w:rPr>
          <w:sz w:val="20"/>
          <w:szCs w:val="20"/>
          <w:color w:val="auto"/>
        </w:rPr>
      </w:pPr>
    </w:p>
    <w:p>
      <w:pPr>
        <w:ind w:right="100" w:firstLine="637"/>
        <w:spacing w:after="0" w:line="253" w:lineRule="auto"/>
        <w:rPr>
          <w:sz w:val="20"/>
          <w:szCs w:val="20"/>
          <w:color w:val="auto"/>
        </w:rPr>
      </w:pPr>
      <w:r>
        <w:rPr>
          <w:rFonts w:ascii="Arial" w:cs="Arial" w:eastAsia="Arial" w:hAnsi="Arial"/>
          <w:sz w:val="17"/>
          <w:szCs w:val="17"/>
          <w:color w:val="auto"/>
        </w:rPr>
        <w:t>The foregoing description of laws and regulations to which we are or may be subject is not exhaustive, and the regulatory framework governing our operations is subject to evolving interpretations and continuous change. The enactment of new laws and regulations or the interpretation of existing laws and regulations in an unfavorable way may affect the operation of our business, directly or indirectly, which could result in substantial regulatory compliance costs, civil or criminal penalties, including fines, adverse publicity, decreased revenues, and increased expenses.</w:t>
      </w:r>
    </w:p>
    <w:p>
      <w:pPr>
        <w:spacing w:after="0" w:line="162"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b w:val="1"/>
          <w:bCs w:val="1"/>
          <w:i w:val="1"/>
          <w:iCs w:val="1"/>
          <w:color w:val="auto"/>
        </w:rPr>
        <w:t>Failure to comply with federal, state and local laws and regulations relating to privacy, data protection and consumer protection, or the expansion of current or the enactment of new laws or regulations relating to privacy, data protection and consumer protection, as well as our actual or perceived failure to protect such information could harm our reputation and could adversely affect our business, financial condition and results of operations.</w:t>
      </w:r>
    </w:p>
    <w:p>
      <w:pPr>
        <w:spacing w:after="0" w:line="44" w:lineRule="exact"/>
        <w:rPr>
          <w:sz w:val="20"/>
          <w:szCs w:val="20"/>
          <w:color w:val="auto"/>
        </w:rPr>
      </w:pPr>
    </w:p>
    <w:p>
      <w:pPr>
        <w:ind w:firstLine="637"/>
        <w:spacing w:after="0" w:line="244" w:lineRule="auto"/>
        <w:rPr>
          <w:sz w:val="20"/>
          <w:szCs w:val="20"/>
          <w:color w:val="auto"/>
        </w:rPr>
      </w:pPr>
      <w:r>
        <w:rPr>
          <w:rFonts w:ascii="Arial" w:cs="Arial" w:eastAsia="Arial" w:hAnsi="Arial"/>
          <w:sz w:val="17"/>
          <w:szCs w:val="17"/>
          <w:color w:val="auto"/>
        </w:rPr>
        <w:t>There are numerous federal, state and local laws regarding privacy and the collection, processing, storing, sharing, disclosing, using and protecting of personal information and other data, the scope of which are changing, subject to differing interpretations, and which may be costly to comply with, inconsistent between jurisdictions or conflicting with other rules. We are also subject to specific contractual requirements contained in third-party agreements governing our use and protection of personal information and other data. We generally comply with industry standards and are subject to the terms of our privacy policies and the privacy- and security-related obligations to third parties. We strive to comply with applicable laws, policies, legal obligations and industry codes of conduct relating to privacy and data protection, to the extent possible. However, it is possible that these obligations may be interpreted and applied in new ways or in a manner that is inconsistent from one jurisdiction to another and may conflict with other rules or our practices. Additionally, new regulations could be enacted with which we are not familiar. Any failure or perceived failure by us to comply with our privacy policies, our privacy-related obligations to customers or other third parties, or our privacy-related legal obligations or any compromise of security that results in the unauthorized release or transfer of sensitive information, which may include personally identifiable information or other customer data, may result in governmental enforcement actions, litigation or public statements against us by consumer advocacy groups or others and could cause customers, vendors and third-party business partners to lose trust in us, which could have a material adverse effect on our business, financial condition and results of operations. Additionally, if vendors, developers or other third parties that we work with violate applicable laws or our policies, such violations may also put customers’, vendors’ or receivables-purchasers’ information at risk and could in turn harm our business, financial condition and results of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ind w:right="80" w:firstLine="637"/>
        <w:spacing w:after="0" w:line="246" w:lineRule="auto"/>
        <w:rPr>
          <w:sz w:val="20"/>
          <w:szCs w:val="20"/>
          <w:color w:val="auto"/>
        </w:rPr>
      </w:pPr>
      <w:r>
        <w:rPr>
          <w:rFonts w:ascii="Arial" w:cs="Arial" w:eastAsia="Arial" w:hAnsi="Arial"/>
          <w:sz w:val="17"/>
          <w:szCs w:val="17"/>
          <w:color w:val="auto"/>
        </w:rPr>
        <w:t>We expect that new industry standards, laws and regulations will continue to be proposed regarding privacy, data protection and information security in many jurisdictions, including the California Consumer Privacy Act (the “CCPA”), which went into effect on January 1, 2020. We cannot yet determine the impact of the CCPA or such future laws, regulations and standards may have on our business. Complying with these evolving obligations is costly. For instance, expanding definitions and interpretations of what constitutes “personal data” (or the equivalent) within the United States may increase our compliance costs and legal liability. Additionally, the California Privacy Rights Act (“CPRA”), recently passed in California. The CPRA significantly amends the CCPA, and imposes additional data protection obligations on covered companies doing business in California, including additional consumer rights processes and opt outs for certain uses of sensitive data. It also creates a new California data protection agency specifically tasked to enforce the law, which would likely result in increased regulatory scrutiny of California businesses in the areas of data protection and security. The substantive requirements for businesses subject to the CPRA will go into effect on January 1, 2023, and become enforceable on July 1, 2023.</w:t>
      </w:r>
    </w:p>
    <w:p>
      <w:pPr>
        <w:spacing w:after="0" w:line="168" w:lineRule="exact"/>
        <w:rPr>
          <w:sz w:val="20"/>
          <w:szCs w:val="20"/>
          <w:color w:val="auto"/>
        </w:rPr>
      </w:pPr>
    </w:p>
    <w:p>
      <w:pPr>
        <w:ind w:right="200" w:firstLine="637"/>
        <w:spacing w:after="0" w:line="250" w:lineRule="auto"/>
        <w:rPr>
          <w:sz w:val="20"/>
          <w:szCs w:val="20"/>
          <w:color w:val="auto"/>
        </w:rPr>
      </w:pPr>
      <w:r>
        <w:rPr>
          <w:rFonts w:ascii="Arial" w:cs="Arial" w:eastAsia="Arial" w:hAnsi="Arial"/>
          <w:sz w:val="17"/>
          <w:szCs w:val="17"/>
          <w:color w:val="auto"/>
        </w:rPr>
        <w:t>A significant data breach or any failure, or perceived failure, by us to comply with any federal, state or local privacy or consumer protection-related laws, regulations or other principles or orders to which we may be subject or other legal obligations relating to privacy or consumer protection could adversely affect our reputation, brand and business, and may result in claims, investigations, proceedings or actions against us by governmental entities or others or other penalties or liabilities or require us to change our operations and/or cease using certain data sets. Depending on the nature of the information compromised, we may also have obligations to notify users, law enforcement or payment companies about the incident and may need to provide some form of remedy, such as refunds, for the individuals affected by the incident.</w:t>
      </w:r>
    </w:p>
    <w:p>
      <w:pPr>
        <w:spacing w:after="0" w:line="272" w:lineRule="exact"/>
        <w:rPr>
          <w:sz w:val="20"/>
          <w:szCs w:val="20"/>
          <w:color w:val="auto"/>
        </w:rPr>
      </w:pPr>
    </w:p>
    <w:p>
      <w:pPr>
        <w:ind w:right="300"/>
        <w:spacing w:after="0" w:line="297" w:lineRule="auto"/>
        <w:rPr>
          <w:sz w:val="20"/>
          <w:szCs w:val="20"/>
          <w:color w:val="auto"/>
        </w:rPr>
      </w:pPr>
      <w:r>
        <w:rPr>
          <w:rFonts w:ascii="Arial" w:cs="Arial" w:eastAsia="Arial" w:hAnsi="Arial"/>
          <w:sz w:val="17"/>
          <w:szCs w:val="17"/>
          <w:b w:val="1"/>
          <w:bCs w:val="1"/>
          <w:i w:val="1"/>
          <w:iCs w:val="1"/>
          <w:color w:val="auto"/>
        </w:rPr>
        <w:t>If we fail to comply with the Telephone Consumer Protection Act, we may face significant damages, which could harm our business, financial condition and results of operations.</w:t>
      </w:r>
    </w:p>
    <w:p>
      <w:pPr>
        <w:spacing w:after="0" w:line="11" w:lineRule="exact"/>
        <w:rPr>
          <w:sz w:val="20"/>
          <w:szCs w:val="20"/>
          <w:color w:val="auto"/>
        </w:rPr>
      </w:pPr>
    </w:p>
    <w:p>
      <w:pPr>
        <w:ind w:right="140" w:firstLine="637"/>
        <w:spacing w:after="0" w:line="250" w:lineRule="auto"/>
        <w:rPr>
          <w:sz w:val="20"/>
          <w:szCs w:val="20"/>
          <w:color w:val="auto"/>
        </w:rPr>
      </w:pPr>
      <w:r>
        <w:rPr>
          <w:rFonts w:ascii="Arial" w:cs="Arial" w:eastAsia="Arial" w:hAnsi="Arial"/>
          <w:sz w:val="17"/>
          <w:szCs w:val="17"/>
          <w:color w:val="auto"/>
        </w:rPr>
        <w:t>We utilize telephone calls as a means of responding to and marketing to customers interested in purchasing, trading in and/or selling vehicles and value-added products, and intend to implement the use of texting as a means of communication with our customers. We generate leads from our website and online advertising by prompting potential customers to provide their phone numbers so that we can contact them in response to their interest in selling a vehicle, purchasing a vehicle, trading in a vehicle or obtaining financing terms. We currently engage a third-party customer experience center to facilitate substantially all telephone inquiries, sales, purchases and financings of our vehicles through our platform.</w:t>
      </w:r>
    </w:p>
    <w:p>
      <w:pPr>
        <w:spacing w:after="0" w:line="204" w:lineRule="exact"/>
        <w:rPr>
          <w:sz w:val="20"/>
          <w:szCs w:val="20"/>
          <w:color w:val="auto"/>
        </w:rPr>
      </w:pPr>
    </w:p>
    <w:p>
      <w:pPr>
        <w:ind w:firstLine="637"/>
        <w:spacing w:after="0" w:line="245" w:lineRule="auto"/>
        <w:rPr>
          <w:sz w:val="20"/>
          <w:szCs w:val="20"/>
          <w:color w:val="auto"/>
        </w:rPr>
      </w:pPr>
      <w:r>
        <w:rPr>
          <w:rFonts w:ascii="Arial" w:cs="Arial" w:eastAsia="Arial" w:hAnsi="Arial"/>
          <w:sz w:val="17"/>
          <w:szCs w:val="17"/>
          <w:color w:val="auto"/>
        </w:rPr>
        <w:t>The Telephone Consumer Protection Act (the “TCPA”), as interpreted and implemented by the Federal Communication Commission (the “FCC”) and U.S. courts, imposes significant restrictions on the use of telephone calls to residential and mobile telephone numbers as a means of communication when prior consent of the person being contacted has not been obtained. Currently, our third-party customer experience center utilizes automated telephone dialing systems to dial phone numbers of potential customers who have requested that we contact them by providing their phone number to us through our website and through third-party aggregation websites. Our telephone marketing activities, such as these, must comply with the TCPA and the Telephone Sales Rule (the “TSR”). The TCPA prohibits the use of automatic telephone dialing systems for communications with wireless phone numbers without express consent of the consumer, and the TSR established the Do Not Call Registry. Although it is possible that decisions of other appellate courts could further change the standards of conduct applicable to the use of automated telephone dialing systems, at present obtaining appropriate consent for auto-dialed calls and properly managing revocations of consent must comply with the standard of conduct announced in the ACA Ruling. Violations of the TCPA may be enforced by the FCC or by individuals through litigation, including class actions. Statutory penalties for TCPA violations range from $500 to $1,500 per violation, which has been interpreted to mean per phone call.</w:t>
      </w:r>
    </w:p>
    <w:p>
      <w:pPr>
        <w:spacing w:after="0" w:line="369" w:lineRule="exact"/>
        <w:rPr>
          <w:sz w:val="20"/>
          <w:szCs w:val="20"/>
          <w:color w:val="auto"/>
        </w:rPr>
      </w:pPr>
    </w:p>
    <w:p>
      <w:pPr>
        <w:ind w:right="60" w:firstLine="637"/>
        <w:spacing w:after="0" w:line="247" w:lineRule="auto"/>
        <w:rPr>
          <w:sz w:val="20"/>
          <w:szCs w:val="20"/>
          <w:color w:val="auto"/>
        </w:rPr>
      </w:pPr>
      <w:r>
        <w:rPr>
          <w:rFonts w:ascii="Arial" w:cs="Arial" w:eastAsia="Arial" w:hAnsi="Arial"/>
          <w:sz w:val="17"/>
          <w:szCs w:val="17"/>
          <w:color w:val="auto"/>
        </w:rPr>
        <w:t>In September 2016, an individual brought a putative class action against us under the TCPA alleging we violated the TCPA by sending him a single text message expressing interest in purchasing a vehicle he listed for sale online. The court granted summary judgment in our favor and, following the plaintiff’s appeal, the parties resolved the lawsuit. While we have implemented processes and procedures to comply with the TCPA, if we or the third parties on which we rely fail to adhere to or successfully implement appropriate processes and procedures in response to existing or future regulations, it could result in legal and monetary liability, fines, penalties or damage to our reputation in the marketplace, any of which could have a material adverse effect on our business, financial condition and results of operations. Additionally, any changes to the TCPA, its interpretation, or enforcement of it by the government or private parties that further restrict the way we contact and communicate with our potential customers or generate leads could adversely affect our ability to attract customers and could harm our business, financial condition and results of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ind w:right="460"/>
        <w:spacing w:after="0" w:line="297" w:lineRule="auto"/>
        <w:rPr>
          <w:sz w:val="20"/>
          <w:szCs w:val="20"/>
          <w:color w:val="auto"/>
        </w:rPr>
      </w:pPr>
      <w:r>
        <w:rPr>
          <w:rFonts w:ascii="Arial" w:cs="Arial" w:eastAsia="Arial" w:hAnsi="Arial"/>
          <w:sz w:val="17"/>
          <w:szCs w:val="17"/>
          <w:b w:val="1"/>
          <w:bCs w:val="1"/>
          <w:i w:val="1"/>
          <w:iCs w:val="1"/>
          <w:color w:val="auto"/>
        </w:rPr>
        <w:t>Government regulation of the internet and ecommerce is evolving, and unfavorable changes or failure by us to comply with these regulations could substantially harm our business, financial condition and results of operations.</w:t>
      </w:r>
    </w:p>
    <w:p>
      <w:pPr>
        <w:spacing w:after="0" w:line="11" w:lineRule="exact"/>
        <w:rPr>
          <w:sz w:val="20"/>
          <w:szCs w:val="20"/>
          <w:color w:val="auto"/>
        </w:rPr>
      </w:pPr>
    </w:p>
    <w:p>
      <w:pPr>
        <w:ind w:firstLine="637"/>
        <w:spacing w:after="0" w:line="244" w:lineRule="auto"/>
        <w:rPr>
          <w:sz w:val="20"/>
          <w:szCs w:val="20"/>
          <w:color w:val="auto"/>
        </w:rPr>
      </w:pPr>
      <w:r>
        <w:rPr>
          <w:rFonts w:ascii="Arial" w:cs="Arial" w:eastAsia="Arial" w:hAnsi="Arial"/>
          <w:sz w:val="17"/>
          <w:szCs w:val="17"/>
          <w:color w:val="auto"/>
        </w:rPr>
        <w:t>We are subject to general business regulations and laws, as well as regulations and laws specifically governing the internet and ecommerce. Existing and future regulations and laws could impede the growth of the internet, ecommerce or mobile commerce. These regulations and laws may involve taxes, tariffs, privacy and data security, anti-spam, pricing, content protection, electronic contracts and communications, mobile communications, consumer protection, information reporting requirements, unencumbered internet access to our platform, the design and operation of websites and internet neutrality. It is not clear how existing laws governing issues such as property ownership, sales and other taxes and consumer privacy apply to the internet as the vast majority of these laws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market segment to another and may conflict with other rules or our practices. For example, federal, state and local regulation regarding privacy, data protection and information security has become more significant, and proposed regulations such as the CCPA may increase our costs of compliance. We cannot be sure that our practices have complied, comply or will comply fully with all such laws and regulations. The enactment of new laws and regulations or the interpretation of existing laws and regulations in an unfavorable way may affect the operation of our business, directly or indirectly, which could result in substantial regulatory compliance costs, civil or criminal penalties, including fines, adverse publicity, decreased revenues and increased expenses.</w:t>
      </w:r>
    </w:p>
    <w:p>
      <w:pPr>
        <w:spacing w:after="0" w:line="373" w:lineRule="exact"/>
        <w:rPr>
          <w:sz w:val="20"/>
          <w:szCs w:val="20"/>
          <w:color w:val="auto"/>
        </w:rPr>
      </w:pPr>
    </w:p>
    <w:p>
      <w:pPr>
        <w:ind w:firstLine="637"/>
        <w:spacing w:after="0" w:line="247" w:lineRule="auto"/>
        <w:rPr>
          <w:sz w:val="20"/>
          <w:szCs w:val="20"/>
          <w:color w:val="auto"/>
        </w:rPr>
      </w:pPr>
      <w:r>
        <w:rPr>
          <w:rFonts w:ascii="Arial" w:cs="Arial" w:eastAsia="Arial" w:hAnsi="Arial"/>
          <w:sz w:val="17"/>
          <w:szCs w:val="17"/>
          <w:color w:val="auto"/>
        </w:rPr>
        <w:t>We actively use anonymous online data for targeting ads online and if ad networks are compelled by regulatory bodies to limit use of this data, it could materially affect our ability to do effective performance marketing.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decrease the use of our sites by customers and suppliers and result in the imposition of monetary liability. We also may be contractually liable to indemnify and hold harmless third parties from the costs or consequences of non-compliance with any such laws or regulations. Adverse legal or regulatory developments could substantially harm our business, our ability to attract new customers may be adversely affected, and we may not be able to maintain or grow our revenue and expand our business as anticipated.</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Risks Related to Our Use of Data and Technology</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and inventory is dependent on our ability to correctly appraise and price vehicles we buy and sell.</w:t>
      </w:r>
    </w:p>
    <w:p>
      <w:pPr>
        <w:spacing w:after="0" w:line="103" w:lineRule="exact"/>
        <w:rPr>
          <w:sz w:val="20"/>
          <w:szCs w:val="20"/>
          <w:color w:val="auto"/>
        </w:rPr>
      </w:pPr>
    </w:p>
    <w:p>
      <w:pPr>
        <w:ind w:right="100" w:firstLine="637"/>
        <w:spacing w:after="0" w:line="249" w:lineRule="auto"/>
        <w:rPr>
          <w:sz w:val="20"/>
          <w:szCs w:val="20"/>
          <w:color w:val="auto"/>
        </w:rPr>
      </w:pPr>
      <w:r>
        <w:rPr>
          <w:rFonts w:ascii="Arial" w:cs="Arial" w:eastAsia="Arial" w:hAnsi="Arial"/>
          <w:sz w:val="17"/>
          <w:szCs w:val="17"/>
          <w:color w:val="auto"/>
        </w:rPr>
        <w:t>When purchasing a vehicle from us, our customers sometimes trade in their current vehicle and apply the trade-in value towards their purchase. We also acquire vehicles from consumers independent of any purchase of a vehicle from us and purchase vehicles from auctions, rental car companies, OEMs and dealers. We appraise and price vehicles we buy and sell using data science and proprietary algorithms based on a number of factors, including mechanical soundness, consumer desirability, vehicle history, market prices and relative value as prospective inventory. If we are unable to correctly appraise and price both the vehicles we buy and the vehicles we sell, we may be unable to acquire or sell inventory at attractive prices or to manage inventory effectively, and accordingly our revenue, gross margins and results of operations would be affected, which could have a material adverse effect on our business, financial condition and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risks related to online payment methods.</w:t>
      </w:r>
    </w:p>
    <w:p>
      <w:pPr>
        <w:spacing w:after="0" w:line="103" w:lineRule="exact"/>
        <w:rPr>
          <w:sz w:val="20"/>
          <w:szCs w:val="20"/>
          <w:color w:val="auto"/>
        </w:rPr>
      </w:pPr>
    </w:p>
    <w:p>
      <w:pPr>
        <w:ind w:right="20" w:firstLine="637"/>
        <w:spacing w:after="0" w:line="245" w:lineRule="auto"/>
        <w:rPr>
          <w:sz w:val="20"/>
          <w:szCs w:val="20"/>
          <w:color w:val="auto"/>
        </w:rPr>
      </w:pPr>
      <w:r>
        <w:rPr>
          <w:rFonts w:ascii="Arial" w:cs="Arial" w:eastAsia="Arial" w:hAnsi="Arial"/>
          <w:sz w:val="17"/>
          <w:szCs w:val="17"/>
          <w:color w:val="auto"/>
        </w:rPr>
        <w:t>We accept payments for deposits on our vehicles through a variety of methods, including credit card and debit card. As we offer new payment options to customers, we may be subject to additional regulations, compliance requirements and fraud. For certain payment methods, including credit and debit cards, we pay interchange and other fees, which may increase over time and raise our operating costs. We are also subject to payment card association operating rules and certification requirements, including the Payment Card Industry Data Security Standard and rules governing electronic funds transfers, which could change or be reinterpreted to make it difficult or impossible for us to comply. As our business changes, we also may be subject to different rules under existing standards, which may require new assessments that involve costs above what we currently pay for compliance.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and debit card payments from customers or facilitate other types of online payments. If any of these events were to occur, our business, financial condition and results of operations could be materially adversely affected.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ind w:right="60" w:firstLine="637"/>
        <w:spacing w:after="0" w:line="253" w:lineRule="auto"/>
        <w:rPr>
          <w:sz w:val="20"/>
          <w:szCs w:val="20"/>
          <w:color w:val="auto"/>
        </w:rPr>
      </w:pPr>
      <w:r>
        <w:rPr>
          <w:rFonts w:ascii="Arial" w:cs="Arial" w:eastAsia="Arial" w:hAnsi="Arial"/>
          <w:sz w:val="17"/>
          <w:szCs w:val="17"/>
          <w:color w:val="auto"/>
        </w:rPr>
        <w:t>We occasionally receive orders placed with fraudulent credit card data, including stolen credit card numbers, or from clients who have closed bank accounts or have insufficient funds in open bank accounts to satisfy payment obligations. We may suffer losses as a result of orders placed with fraudulent credit card data even if the associated financial institution approved payment of the orders. Under current credit card practices, we may be liable for fraudulent credit card transactions. If we are unable to detect or control credit card or other fraud, our liability for these transactions could harm our business, financial condition and results of operations.</w:t>
      </w:r>
    </w:p>
    <w:p>
      <w:pPr>
        <w:spacing w:after="0" w:line="267" w:lineRule="exact"/>
        <w:rPr>
          <w:sz w:val="20"/>
          <w:szCs w:val="20"/>
          <w:color w:val="auto"/>
        </w:rPr>
      </w:pPr>
    </w:p>
    <w:p>
      <w:pPr>
        <w:ind w:right="140"/>
        <w:spacing w:after="0" w:line="297" w:lineRule="auto"/>
        <w:rPr>
          <w:sz w:val="20"/>
          <w:szCs w:val="20"/>
          <w:color w:val="auto"/>
        </w:rPr>
      </w:pPr>
      <w:r>
        <w:rPr>
          <w:rFonts w:ascii="Arial" w:cs="Arial" w:eastAsia="Arial" w:hAnsi="Arial"/>
          <w:sz w:val="17"/>
          <w:szCs w:val="17"/>
          <w:b w:val="1"/>
          <w:bCs w:val="1"/>
          <w:i w:val="1"/>
          <w:iCs w:val="1"/>
          <w:color w:val="auto"/>
        </w:rPr>
        <w:t>If we do not adequately address our customers’ reliance on mobile device technology, our results of operations could be harmed and our growth could be negatively affected.</w:t>
      </w:r>
    </w:p>
    <w:p>
      <w:pPr>
        <w:spacing w:after="0" w:line="11" w:lineRule="exact"/>
        <w:rPr>
          <w:sz w:val="20"/>
          <w:szCs w:val="20"/>
          <w:color w:val="auto"/>
        </w:rPr>
      </w:pPr>
    </w:p>
    <w:p>
      <w:pPr>
        <w:ind w:right="220" w:firstLine="637"/>
        <w:spacing w:after="0" w:line="253" w:lineRule="auto"/>
        <w:rPr>
          <w:sz w:val="20"/>
          <w:szCs w:val="20"/>
          <w:color w:val="auto"/>
        </w:rPr>
      </w:pPr>
      <w:r>
        <w:rPr>
          <w:rFonts w:ascii="Arial" w:cs="Arial" w:eastAsia="Arial" w:hAnsi="Arial"/>
          <w:sz w:val="17"/>
          <w:szCs w:val="17"/>
          <w:color w:val="auto"/>
        </w:rPr>
        <w:t>Vroom.com is a mobile website that consumers can access and utilize from their mobile devices. In addition, we have designed and launched mobile apps (iOS and android) to enhance customers’ mobile experience. In light of consumers’ shift to mobile technology, our future success depends in part on our ability to provide enhanced functionality for customers who use mobile devices to shop for used vehicles and increase the number of transactions with us that are completed by those users. The shift to mobile technology by our users may harm our business in the following ways:</w:t>
      </w:r>
    </w:p>
    <w:p>
      <w:pPr>
        <w:spacing w:after="0" w:line="56" w:lineRule="exact"/>
        <w:rPr>
          <w:sz w:val="20"/>
          <w:szCs w:val="20"/>
          <w:color w:val="auto"/>
        </w:rPr>
      </w:pPr>
    </w:p>
    <w:p>
      <w:pPr>
        <w:ind w:left="1000" w:hanging="367"/>
        <w:spacing w:after="0" w:line="257"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customers visiting our website from a mobile device may not accept mobile technology as a viable long-term platform to buy or sell a vehicle. This may occur for a number of reasons, including our ability to provide the same level of website functionality to a mobile device that we provide on a desktop computer, the actual or perceived lack of security of information on a mobile device and possible disruptions of service or connectivity;</w:t>
      </w:r>
    </w:p>
    <w:p>
      <w:pPr>
        <w:spacing w:after="0" w:line="52" w:lineRule="exact"/>
        <w:rPr>
          <w:rFonts w:ascii="Arial" w:cs="Arial" w:eastAsia="Arial" w:hAnsi="Arial"/>
          <w:sz w:val="17"/>
          <w:szCs w:val="17"/>
          <w:color w:val="auto"/>
        </w:rPr>
      </w:pPr>
    </w:p>
    <w:p>
      <w:pPr>
        <w:ind w:left="1000" w:right="540" w:hanging="367"/>
        <w:spacing w:after="0" w:line="290"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unable to provide sufficient website functionality to mobile device users, which may cause customers using mobile devices to believe that our competitors offer superior products and features;</w:t>
      </w:r>
    </w:p>
    <w:p>
      <w:pPr>
        <w:spacing w:after="0" w:line="24" w:lineRule="exact"/>
        <w:rPr>
          <w:rFonts w:ascii="Arial" w:cs="Arial" w:eastAsia="Arial" w:hAnsi="Arial"/>
          <w:sz w:val="17"/>
          <w:szCs w:val="17"/>
          <w:color w:val="auto"/>
        </w:rPr>
      </w:pPr>
    </w:p>
    <w:p>
      <w:pPr>
        <w:ind w:left="1000" w:right="120" w:hanging="367"/>
        <w:spacing w:after="0" w:line="290"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problems may arise in developing applications for alternative devices and platforms and the need to devote significant resources to the creation, support and maintenance of such applications; or</w:t>
      </w:r>
    </w:p>
    <w:p>
      <w:pPr>
        <w:spacing w:after="0" w:line="24" w:lineRule="exact"/>
        <w:rPr>
          <w:rFonts w:ascii="Arial" w:cs="Arial" w:eastAsia="Arial" w:hAnsi="Arial"/>
          <w:sz w:val="17"/>
          <w:szCs w:val="17"/>
          <w:color w:val="auto"/>
        </w:rPr>
      </w:pPr>
    </w:p>
    <w:p>
      <w:pPr>
        <w:ind w:left="1000" w:right="120" w:hanging="367"/>
        <w:spacing w:after="0" w:line="259"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regulations related to consumer protection, such as the Federal Trade Commission Act and similar state regulations, and related to consumer finance disclosures, including the Truth in Lending Act and the Fair Credit Reporting Act, may be interpreted, in the context of mobile devices, in a manner which could expose us to legal liability in the event we are found to have violated applicable laws.</w:t>
      </w:r>
    </w:p>
    <w:p>
      <w:pPr>
        <w:spacing w:after="0" w:line="361" w:lineRule="exact"/>
        <w:rPr>
          <w:sz w:val="20"/>
          <w:szCs w:val="20"/>
          <w:color w:val="auto"/>
        </w:rPr>
      </w:pPr>
    </w:p>
    <w:p>
      <w:pPr>
        <w:ind w:right="360" w:firstLine="637"/>
        <w:spacing w:after="0" w:line="290" w:lineRule="auto"/>
        <w:rPr>
          <w:sz w:val="20"/>
          <w:szCs w:val="20"/>
          <w:color w:val="auto"/>
        </w:rPr>
      </w:pPr>
      <w:r>
        <w:rPr>
          <w:rFonts w:ascii="Arial" w:cs="Arial" w:eastAsia="Arial" w:hAnsi="Arial"/>
          <w:sz w:val="17"/>
          <w:szCs w:val="17"/>
          <w:color w:val="auto"/>
        </w:rPr>
        <w:t>If we do not develop suitable functionality for users who visit our website using a mobile device, our business, financial condition and results of operations could be harmed.</w:t>
      </w:r>
    </w:p>
    <w:p>
      <w:pPr>
        <w:spacing w:after="0" w:line="23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i w:val="1"/>
          <w:iCs w:val="1"/>
          <w:color w:val="auto"/>
        </w:rPr>
        <w:t>We rely on internet search engines, vehicle listing sites and social networking sites to help drive traffic to our website, and if we fail to appear prominently in the search results or fail to drive traffic through paid advertising, our traffic would decline and our business, financial condition and results of operations could be materially and adversely affected.</w:t>
      </w:r>
    </w:p>
    <w:p>
      <w:pPr>
        <w:spacing w:after="0" w:line="34" w:lineRule="exact"/>
        <w:rPr>
          <w:sz w:val="20"/>
          <w:szCs w:val="20"/>
          <w:color w:val="auto"/>
        </w:rPr>
      </w:pPr>
    </w:p>
    <w:p>
      <w:pPr>
        <w:ind w:right="20" w:firstLine="637"/>
        <w:spacing w:after="0" w:line="245" w:lineRule="auto"/>
        <w:rPr>
          <w:sz w:val="20"/>
          <w:szCs w:val="20"/>
          <w:color w:val="auto"/>
        </w:rPr>
      </w:pPr>
      <w:r>
        <w:rPr>
          <w:rFonts w:ascii="Arial" w:cs="Arial" w:eastAsia="Arial" w:hAnsi="Arial"/>
          <w:sz w:val="17"/>
          <w:szCs w:val="17"/>
          <w:color w:val="auto"/>
        </w:rPr>
        <w:t>We depend in part on internet search engines, such as Google, Bing and Yahoo!, vehicle listing sites and social networking sites such as Facebook and Instagram to drive traffic to our platform. Our ability to maintain and increase the number of visitors directed to our platform is not entirely within our control. Our competitors may increase their search engine marketing efforts and outbid us for placement on various vehicle listing sites or for search terms on various search engines, resulting in their websites receiving a higher search result page ranking than ours. Additionally, internet search engines could revise their methodologies in a way that would adversely affect our search result rankings. If internet search engines modify their search algorithms in ways that are detrimental to us, if vehicle listing sites refuse to display any or all of our inventory in certain geographic locations, or if our competitors’ efforts are more successful than ours, overall growth in our customer base could slow or our customer base could decline. Internet search engine providers could provide automotive dealer and pricing information directly in search results, align with our competitors or choose to develop competing services. Our platform has experienced fluctuations in search result rankings in the past, and we anticipate similar fluctuations in the future. We could reach a point of inventory saturation at third-party aggregation websites whereby we will exceed the maximum allowable inventory that will require us to spend greater than market rates to list our inventory. Any reduction in the number of users directed to our platform through internet search engines, vehicle listings sites or social networking sites could harm our business, financial condition and results of operations.</w:t>
      </w:r>
    </w:p>
    <w:p>
      <w:pPr>
        <w:spacing w:after="0" w:line="27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Our business relies on email and other messaging services, and any restrictions on the sending of emails or messages or an inability to timely deliver such communications could materially and adversely affect our business, financial condition and results of operations.</w:t>
      </w:r>
    </w:p>
    <w:p>
      <w:pPr>
        <w:spacing w:after="0" w:line="237" w:lineRule="exact"/>
        <w:rPr>
          <w:sz w:val="20"/>
          <w:szCs w:val="20"/>
          <w:color w:val="auto"/>
        </w:rPr>
      </w:pPr>
    </w:p>
    <w:p>
      <w:pPr>
        <w:ind w:right="340" w:firstLine="637"/>
        <w:spacing w:after="0" w:line="265" w:lineRule="auto"/>
        <w:rPr>
          <w:sz w:val="20"/>
          <w:szCs w:val="20"/>
          <w:color w:val="auto"/>
        </w:rPr>
      </w:pPr>
      <w:r>
        <w:rPr>
          <w:rFonts w:ascii="Arial" w:cs="Arial" w:eastAsia="Arial" w:hAnsi="Arial"/>
          <w:sz w:val="17"/>
          <w:szCs w:val="17"/>
          <w:color w:val="auto"/>
        </w:rPr>
        <w:t>Our business is dependent upon email and other messaging services for promoting our platform and vehicles available for purchase. Promotions offered through email and other messages sent by us are an important part of our marketing strategy. We provide emails to customers and other visitors informing them of the convenience and value of</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5"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using our platform, as well as updates on new inventory and price updates on listed inventory, and we believe these emails, coupled with our general marketing efforts, are an important part of our customer experience and help generate revenue. If we are unable to successfully deliver emails or other messages to our subscribers, or if subscribers decline to open our emails or other messages, our revenues could be materially and adversely affected. Any changes in how webmail applications organize and prioritize email may reduce the number of subscribers opening our emails. For example, Google’s Gmail service has a feature that organizes incoming emails into categories (such as primary, social and promotions). Such categorization or similar inbox organizational features may result in our emails being delivered in a less prominent location in a subscriber’s inbox or viewed as “spam” by our subscribers and may reduce the likelihood of that subscriber opening our emails.</w:t>
      </w:r>
    </w:p>
    <w:p>
      <w:pPr>
        <w:spacing w:after="0" w:line="163" w:lineRule="exact"/>
        <w:rPr>
          <w:sz w:val="20"/>
          <w:szCs w:val="20"/>
          <w:color w:val="auto"/>
        </w:rPr>
      </w:pPr>
    </w:p>
    <w:p>
      <w:pPr>
        <w:ind w:firstLine="637"/>
        <w:spacing w:after="0" w:line="245" w:lineRule="auto"/>
        <w:rPr>
          <w:sz w:val="20"/>
          <w:szCs w:val="20"/>
          <w:color w:val="auto"/>
        </w:rPr>
      </w:pPr>
      <w:r>
        <w:rPr>
          <w:rFonts w:ascii="Arial" w:cs="Arial" w:eastAsia="Arial" w:hAnsi="Arial"/>
          <w:sz w:val="17"/>
          <w:szCs w:val="17"/>
          <w:color w:val="auto"/>
        </w:rPr>
        <w:t>In addition, actions by third parties to block, impose restrictions on or charge for the delivery of emails or other messages could also adversely impact our business. From time to time, internet service providers or other third parties may block bulk email transmissions or otherwise experience technical difficulties that result in our inability to successfully deliver email or other messages to third parties. Changes in the laws or regulations that limit our ability to send such communications or impose additional requirements upon us in connection with sending such communications could also materially and adversely affect our business, financial condition and results of operations. Our use of email and other messaging services to send communications about our sites or other matters may also result in legal claims against us, which may cause us to incur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customers to send communications. Changes to the terms of these social networking services to limit promotional communications, any restrictions that would limit our ability or our customers’ ability to send communications through their services, disruptions or downtime experienced by these social networking services or decline in the use of or engagement with social networking services by customers and potential customers could materially and adversely affect our business, financial condition and results of operations.</w:t>
      </w:r>
    </w:p>
    <w:p>
      <w:pPr>
        <w:spacing w:after="0" w:line="27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We rely on third-party technology and information systems to complete critical business functions. If that technology fails to adequately serve our needs, and we cannot find alternatives, it may negatively impact our business, financial condition and results of operations.</w:t>
      </w:r>
    </w:p>
    <w:p>
      <w:pPr>
        <w:spacing w:after="0" w:line="237" w:lineRule="exact"/>
        <w:rPr>
          <w:sz w:val="20"/>
          <w:szCs w:val="20"/>
          <w:color w:val="auto"/>
        </w:rPr>
      </w:pPr>
    </w:p>
    <w:p>
      <w:pPr>
        <w:ind w:right="40" w:firstLine="637"/>
        <w:spacing w:after="0" w:line="246" w:lineRule="auto"/>
        <w:rPr>
          <w:sz w:val="20"/>
          <w:szCs w:val="20"/>
          <w:color w:val="auto"/>
        </w:rPr>
      </w:pPr>
      <w:r>
        <w:rPr>
          <w:rFonts w:ascii="Arial" w:cs="Arial" w:eastAsia="Arial" w:hAnsi="Arial"/>
          <w:sz w:val="17"/>
          <w:szCs w:val="17"/>
          <w:color w:val="auto"/>
        </w:rPr>
        <w:t>We rely on third-party technology for certain of our critical business functions, including customer identity verification for financing, transportation fleet telemetry, network infrastructure for hosting our website and inventory data, software libraries, development environments and tools, services to calculate state taxes and fees associated with our vehicle sales and acquisitions, services to allow customers to digitally sign contracts and customer experience center management. Our business is dependent on the integrity, security and efficient operation of these systems and technologies. Our systems and operations or those of our third-party vendors and partners could be exposed to damage or interruption from, among other things, fire, natural disaster, power loss, telecommunications failure, unauthorized entry, computer viruses, denial-of-service attacks, acts of terrorism, human error, vandalism or sabotage, financial insolvency, bankruptcy and similar events. The failure of these systems to perform as designed, the failure to maintain or update these systems as necessary, the vulnerability of these systems to security breaches or attacks or the inability to enhance our information technology capabilities, and our inability to find suitable alternatives could disrupt our operations and have a material adverse effect on our business, financial condition and results of operations.</w:t>
      </w:r>
    </w:p>
    <w:p>
      <w:pPr>
        <w:spacing w:after="0" w:line="314" w:lineRule="exact"/>
        <w:rPr>
          <w:sz w:val="20"/>
          <w:szCs w:val="20"/>
          <w:color w:val="auto"/>
        </w:rPr>
      </w:pPr>
    </w:p>
    <w:p>
      <w:pPr>
        <w:ind w:right="320"/>
        <w:spacing w:after="0" w:line="297" w:lineRule="auto"/>
        <w:rPr>
          <w:sz w:val="20"/>
          <w:szCs w:val="20"/>
          <w:color w:val="auto"/>
        </w:rPr>
      </w:pPr>
      <w:r>
        <w:rPr>
          <w:rFonts w:ascii="Arial" w:cs="Arial" w:eastAsia="Arial" w:hAnsi="Arial"/>
          <w:sz w:val="17"/>
          <w:szCs w:val="17"/>
          <w:b w:val="1"/>
          <w:bCs w:val="1"/>
          <w:i w:val="1"/>
          <w:iCs w:val="1"/>
          <w:color w:val="auto"/>
        </w:rPr>
        <w:t>Our platform utilizes open-source software, and any defects or security vulnerabilities in the open-source software could negatively affect our business.</w:t>
      </w:r>
    </w:p>
    <w:p>
      <w:pPr>
        <w:spacing w:after="0" w:line="11" w:lineRule="exact"/>
        <w:rPr>
          <w:sz w:val="20"/>
          <w:szCs w:val="20"/>
          <w:color w:val="auto"/>
        </w:rPr>
      </w:pPr>
    </w:p>
    <w:p>
      <w:pPr>
        <w:ind w:right="60" w:firstLine="644"/>
        <w:spacing w:after="0" w:line="253" w:lineRule="auto"/>
        <w:rPr>
          <w:sz w:val="20"/>
          <w:szCs w:val="20"/>
          <w:color w:val="auto"/>
        </w:rPr>
      </w:pPr>
      <w:r>
        <w:rPr>
          <w:rFonts w:ascii="Arial" w:cs="Arial" w:eastAsia="Arial" w:hAnsi="Arial"/>
          <w:sz w:val="17"/>
          <w:szCs w:val="17"/>
          <w:color w:val="auto"/>
        </w:rPr>
        <w:t>Our platform employs open-source software, and we expect to use open-source software in the future. To the extent that our platform depends upon the successful operation of open-source software, any undetected errors or defects in this open-source software could prevent the deployment or impair the functionality of our platform, delay the introduction of new solutions, result in a failure of our platform and injure our reputation. For example, undetected errors or defects in open-source software could render it vulnerable to breaches or security attacks, and, in conjunction, make our systems more vulnerable to data breaches.</w:t>
      </w:r>
    </w:p>
    <w:p>
      <w:pPr>
        <w:spacing w:after="0" w:line="160" w:lineRule="exact"/>
        <w:rPr>
          <w:sz w:val="20"/>
          <w:szCs w:val="20"/>
          <w:color w:val="auto"/>
        </w:rPr>
      </w:pPr>
    </w:p>
    <w:p>
      <w:pPr>
        <w:ind w:right="160" w:firstLine="644"/>
        <w:spacing w:after="0" w:line="248" w:lineRule="auto"/>
        <w:rPr>
          <w:sz w:val="20"/>
          <w:szCs w:val="20"/>
          <w:color w:val="auto"/>
        </w:rPr>
      </w:pPr>
      <w:r>
        <w:rPr>
          <w:rFonts w:ascii="Arial" w:cs="Arial" w:eastAsia="Arial" w:hAnsi="Arial"/>
          <w:sz w:val="17"/>
          <w:szCs w:val="17"/>
          <w:color w:val="auto"/>
        </w:rPr>
        <w:t>In addition, the terms of various open-source licenses have not been interpreted by United States courts, and there is a risk that such licenses could be construed in a manner that imposes unanticipated conditions or restrictions on our ability to market our platform. Some open-source licenses might require us to make our source code available at no cost or require us to make our source code publicly available for modifications or derivative works if our source code is based upon, incorporates, or was created using the open-source software to license such source code under the terms of the particular open-source license. While we try to insulate our proprietary code from the effects of such open-source license provisions, we cannot guarantee we will be successful. In addition to risks related to open-source license requirements, usage of open-source software can lead to greater risks than use of third-party commercial software, as open-source licensors generally do not provide warranties or controls on the origin of the software. Many of the risks associated with</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color w:val="auto"/>
        </w:rPr>
        <w:t>usage of open-source software cannot be eliminated and could materially and adversely affect our business, financial condition and results of operations.</w:t>
      </w:r>
    </w:p>
    <w:p>
      <w:pPr>
        <w:spacing w:after="0" w:line="275" w:lineRule="exact"/>
        <w:rPr>
          <w:sz w:val="20"/>
          <w:szCs w:val="20"/>
          <w:color w:val="auto"/>
        </w:rPr>
      </w:pPr>
    </w:p>
    <w:p>
      <w:pPr>
        <w:ind w:right="300"/>
        <w:spacing w:after="0" w:line="297" w:lineRule="auto"/>
        <w:rPr>
          <w:sz w:val="20"/>
          <w:szCs w:val="20"/>
          <w:color w:val="auto"/>
        </w:rPr>
      </w:pPr>
      <w:r>
        <w:rPr>
          <w:rFonts w:ascii="Arial" w:cs="Arial" w:eastAsia="Arial" w:hAnsi="Arial"/>
          <w:sz w:val="17"/>
          <w:szCs w:val="17"/>
          <w:b w:val="1"/>
          <w:bCs w:val="1"/>
          <w:i w:val="1"/>
          <w:iCs w:val="1"/>
          <w:color w:val="auto"/>
        </w:rPr>
        <w:t>A significant disruption in service on our platform could damage our reputation and result in a loss of customers, which could harm our brand or our business, financial condition and results of operations.</w:t>
      </w:r>
    </w:p>
    <w:p>
      <w:pPr>
        <w:spacing w:after="0" w:line="11" w:lineRule="exact"/>
        <w:rPr>
          <w:sz w:val="20"/>
          <w:szCs w:val="20"/>
          <w:color w:val="auto"/>
        </w:rPr>
      </w:pPr>
    </w:p>
    <w:p>
      <w:pPr>
        <w:jc w:val="both"/>
        <w:ind w:right="180" w:firstLine="637"/>
        <w:spacing w:after="0" w:line="253" w:lineRule="auto"/>
        <w:rPr>
          <w:sz w:val="20"/>
          <w:szCs w:val="20"/>
          <w:color w:val="auto"/>
        </w:rPr>
      </w:pPr>
      <w:r>
        <w:rPr>
          <w:rFonts w:ascii="Arial" w:cs="Arial" w:eastAsia="Arial" w:hAnsi="Arial"/>
          <w:sz w:val="17"/>
          <w:szCs w:val="17"/>
          <w:color w:val="auto"/>
        </w:rPr>
        <w:t>Our brand, reputation and ability to attract customers depend on the reliable performance of our platform and the supporting systems, technology and infrastructure. We may experience significant interruptions to our systems in the future. Interruptions in these systems, whether due to system failures, programming or configuration errors, computer viruses or physical or electronic break-ins, could affect the availability of our inventory on our platform and prevent or inhibit the ability of customers to access our platform. Problems with the reliability or security of our systems could harm our reputation, result in a loss of customers and result in additional costs.</w:t>
      </w:r>
    </w:p>
    <w:p>
      <w:pPr>
        <w:spacing w:after="0" w:line="160" w:lineRule="exact"/>
        <w:rPr>
          <w:sz w:val="20"/>
          <w:szCs w:val="20"/>
          <w:color w:val="auto"/>
        </w:rPr>
      </w:pPr>
    </w:p>
    <w:p>
      <w:pPr>
        <w:ind w:right="100" w:firstLine="637"/>
        <w:spacing w:after="0" w:line="257" w:lineRule="auto"/>
        <w:rPr>
          <w:sz w:val="20"/>
          <w:szCs w:val="20"/>
          <w:color w:val="auto"/>
        </w:rPr>
      </w:pPr>
      <w:r>
        <w:rPr>
          <w:rFonts w:ascii="Arial" w:cs="Arial" w:eastAsia="Arial" w:hAnsi="Arial"/>
          <w:sz w:val="17"/>
          <w:szCs w:val="17"/>
          <w:color w:val="auto"/>
        </w:rPr>
        <w:t>Our data center is located at a facility in Houston, Texas, which connects all of our offices and our Vroom VRC. Our data center is vulnerable to damage or interruption from fire, flood, power loss, telecommunications failure, terrorist attacks, acts of war, electronic and physical break-ins, computer viruses, earthquakes and similar events. The occurrence of any of these events could render communications between Vroom offices inoperable and impact our ability to list and sell vehicles through our platform.</w:t>
      </w:r>
    </w:p>
    <w:p>
      <w:pPr>
        <w:spacing w:after="0" w:line="157" w:lineRule="exact"/>
        <w:rPr>
          <w:sz w:val="20"/>
          <w:szCs w:val="20"/>
          <w:color w:val="auto"/>
        </w:rPr>
      </w:pPr>
    </w:p>
    <w:p>
      <w:pPr>
        <w:ind w:right="80" w:firstLine="637"/>
        <w:spacing w:after="0" w:line="249" w:lineRule="auto"/>
        <w:rPr>
          <w:sz w:val="20"/>
          <w:szCs w:val="20"/>
          <w:color w:val="auto"/>
        </w:rPr>
      </w:pPr>
      <w:r>
        <w:rPr>
          <w:rFonts w:ascii="Arial" w:cs="Arial" w:eastAsia="Arial" w:hAnsi="Arial"/>
          <w:sz w:val="17"/>
          <w:szCs w:val="17"/>
          <w:color w:val="auto"/>
        </w:rPr>
        <w:t>Problems faced by our third-party web-hosting providers, including AWS and Google Cloud, could inhibit the functionality of our platform. For example, our third-party web-hosting providers could close their facilities without adequate notice or suffer interruptions in service caused by cyber-attacks, natural disasters or other phenomena. Disruption of their services could cause our website to be inoperable and could have a material adverse effect on our business, financial condition and results of operations. Any financial difficulties, up to and including bankruptcy, faced by our third-party web-hosting providers or any of the service providers with whom they contract may have negative effects on our business, the nature and extent of which are difficult to predict. In addition, if our third-party web-hosting providers are unable to keep up with our growing capacity needs, our business, financial condition and results of operations could be harmed.</w:t>
      </w:r>
    </w:p>
    <w:p>
      <w:pPr>
        <w:spacing w:after="0" w:line="163" w:lineRule="exact"/>
        <w:rPr>
          <w:sz w:val="20"/>
          <w:szCs w:val="20"/>
          <w:color w:val="auto"/>
        </w:rPr>
      </w:pPr>
    </w:p>
    <w:p>
      <w:pPr>
        <w:ind w:firstLine="637"/>
        <w:spacing w:after="0" w:line="265" w:lineRule="auto"/>
        <w:rPr>
          <w:sz w:val="20"/>
          <w:szCs w:val="20"/>
          <w:color w:val="auto"/>
        </w:rPr>
      </w:pPr>
      <w:r>
        <w:rPr>
          <w:rFonts w:ascii="Arial" w:cs="Arial" w:eastAsia="Arial" w:hAnsi="Arial"/>
          <w:sz w:val="17"/>
          <w:szCs w:val="17"/>
          <w:color w:val="auto"/>
        </w:rPr>
        <w:t>Any errors, defects, disruptions, or other performance or reliability problems with our platform could interrupt our customers’ access to our inventory and our access to data that drives our inventory purchase operations, which could harm our reputation or our business, financial condition and results of operations.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319" w:lineRule="exact"/>
        <w:rPr>
          <w:sz w:val="20"/>
          <w:szCs w:val="20"/>
          <w:color w:val="auto"/>
        </w:rPr>
      </w:pPr>
    </w:p>
    <w:p>
      <w:pPr>
        <w:ind w:right="460"/>
        <w:spacing w:after="0" w:line="297" w:lineRule="auto"/>
        <w:rPr>
          <w:sz w:val="20"/>
          <w:szCs w:val="20"/>
          <w:color w:val="auto"/>
        </w:rPr>
      </w:pPr>
      <w:r>
        <w:rPr>
          <w:rFonts w:ascii="Arial" w:cs="Arial" w:eastAsia="Arial" w:hAnsi="Arial"/>
          <w:sz w:val="17"/>
          <w:szCs w:val="17"/>
          <w:b w:val="1"/>
          <w:bCs w:val="1"/>
          <w:i w:val="1"/>
          <w:iCs w:val="1"/>
          <w:color w:val="auto"/>
        </w:rPr>
        <w:t>Failure to adequately protect our intellectual property, technology and confidential information could harm our business, financial condition and results of operations.</w:t>
      </w:r>
    </w:p>
    <w:p>
      <w:pPr>
        <w:spacing w:after="0" w:line="11" w:lineRule="exact"/>
        <w:rPr>
          <w:sz w:val="20"/>
          <w:szCs w:val="20"/>
          <w:color w:val="auto"/>
        </w:rPr>
      </w:pPr>
    </w:p>
    <w:p>
      <w:pPr>
        <w:ind w:right="80" w:firstLine="637"/>
        <w:spacing w:after="0" w:line="245" w:lineRule="auto"/>
        <w:rPr>
          <w:sz w:val="20"/>
          <w:szCs w:val="20"/>
          <w:color w:val="auto"/>
        </w:rPr>
      </w:pPr>
      <w:r>
        <w:rPr>
          <w:rFonts w:ascii="Arial" w:cs="Arial" w:eastAsia="Arial" w:hAnsi="Arial"/>
          <w:sz w:val="17"/>
          <w:szCs w:val="17"/>
          <w:color w:val="auto"/>
        </w:rPr>
        <w:t>The protection of intellectual property, technology and confidential information is crucial to the success of our business. We rely on a combination of trademark, trade secret, patent and copyright law, as well as contractual restrictions, to protect our intellectual property (including our brand, technology and confidential information). While it is our policy to protect and defend our rights to our intellectual property, we cannot predict whether steps taken by us to protect our intellectual property will be adequate to prevent infringement, misappropriation, dilution or other violations of our intellectual property rights. We also cannot guarantee that others will not independently develop technology that has the same or similar functionality as our technology. Unauthorized parties may also attempt to copy or obtain and use our technology to develop competing solutions, and policing unauthorized use of our technology and intellectual property rights may be difficult and may not be effective. Furthermore, we may face claims of infringement of third-party intellectual property that could interfere with our ability to market, promote and sell our brands, products and services. Any litigation to enforce our intellectual property rights or defend ourselves against claims of infringement of third-party intellectual property rights could be costly, divert attention of management and may not ultimately be resolved in our favor.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366" w:lineRule="exact"/>
        <w:rPr>
          <w:sz w:val="20"/>
          <w:szCs w:val="20"/>
          <w:color w:val="auto"/>
        </w:rPr>
      </w:pPr>
    </w:p>
    <w:p>
      <w:pPr>
        <w:ind w:right="60" w:firstLine="637"/>
        <w:spacing w:after="0" w:line="249" w:lineRule="auto"/>
        <w:rPr>
          <w:sz w:val="20"/>
          <w:szCs w:val="20"/>
          <w:color w:val="auto"/>
        </w:rPr>
      </w:pPr>
      <w:r>
        <w:rPr>
          <w:rFonts w:ascii="Arial" w:cs="Arial" w:eastAsia="Arial" w:hAnsi="Arial"/>
          <w:sz w:val="17"/>
          <w:szCs w:val="17"/>
          <w:color w:val="auto"/>
        </w:rPr>
        <w:t>As part of our efforts to protect our intellectual property, technology and confidential information, we require certain of our employees and consultants to enter into confidentiality and assignment of inventions agreements, and we also require certain third parties to enter into nondisclosure agreements. These agreements may not effectively grant all necessary rights to any inventions that may have been developed by our employees and consultants.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proprietary rights, unauthorized parties may attempt to copy aspects of our website features, software and functionality or obtain and use information that we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ind w:right="840"/>
        <w:spacing w:after="0" w:line="290" w:lineRule="auto"/>
        <w:rPr>
          <w:sz w:val="20"/>
          <w:szCs w:val="20"/>
          <w:color w:val="auto"/>
        </w:rPr>
      </w:pPr>
      <w:r>
        <w:rPr>
          <w:rFonts w:ascii="Arial" w:cs="Arial" w:eastAsia="Arial" w:hAnsi="Arial"/>
          <w:sz w:val="17"/>
          <w:szCs w:val="17"/>
          <w:color w:val="auto"/>
        </w:rPr>
        <w:t>consider proprietary. Changes in the law or adverse court rulings may also negatively affect our ability to prevent others from using our technology.</w:t>
      </w:r>
    </w:p>
    <w:p>
      <w:pPr>
        <w:spacing w:after="0" w:line="129" w:lineRule="exact"/>
        <w:rPr>
          <w:sz w:val="20"/>
          <w:szCs w:val="20"/>
          <w:color w:val="auto"/>
        </w:rPr>
      </w:pPr>
    </w:p>
    <w:p>
      <w:pPr>
        <w:ind w:right="280" w:firstLine="637"/>
        <w:spacing w:after="0" w:line="257" w:lineRule="auto"/>
        <w:rPr>
          <w:sz w:val="20"/>
          <w:szCs w:val="20"/>
          <w:color w:val="auto"/>
        </w:rPr>
      </w:pPr>
      <w:r>
        <w:rPr>
          <w:rFonts w:ascii="Arial" w:cs="Arial" w:eastAsia="Arial" w:hAnsi="Arial"/>
          <w:sz w:val="17"/>
          <w:szCs w:val="17"/>
          <w:color w:val="auto"/>
        </w:rPr>
        <w:t>We are currently the registrant of the vroom.com and texasdirectauto.com internet domain names and various other related domain names. The regulation of domain names in the United States is subject to change. Regulatory bodies could establish additional top-level domains, appoint additional domain name registrars or modify the requirements for holding domain names. As a result, we may not be able to acquire or maintain domain names that are important for our business.</w:t>
      </w:r>
    </w:p>
    <w:p>
      <w:pPr>
        <w:spacing w:after="0" w:line="157" w:lineRule="exact"/>
        <w:rPr>
          <w:sz w:val="20"/>
          <w:szCs w:val="20"/>
          <w:color w:val="auto"/>
        </w:rPr>
      </w:pPr>
    </w:p>
    <w:p>
      <w:pPr>
        <w:ind w:firstLine="637"/>
        <w:spacing w:after="0" w:line="249" w:lineRule="auto"/>
        <w:rPr>
          <w:sz w:val="20"/>
          <w:szCs w:val="20"/>
          <w:color w:val="auto"/>
        </w:rPr>
      </w:pPr>
      <w:r>
        <w:rPr>
          <w:rFonts w:ascii="Arial" w:cs="Arial" w:eastAsia="Arial" w:hAnsi="Arial"/>
          <w:sz w:val="17"/>
          <w:szCs w:val="17"/>
          <w:color w:val="auto"/>
        </w:rPr>
        <w:t>In addition, we have certain trademarks that are important to our business, such as the Vroom</w:t>
      </w:r>
      <w:r>
        <w:rPr>
          <w:rFonts w:ascii="Arial" w:cs="Arial" w:eastAsia="Arial" w:hAnsi="Arial"/>
          <w:sz w:val="14"/>
          <w:szCs w:val="14"/>
          <w:color w:val="auto"/>
        </w:rPr>
        <w:t>®</w:t>
      </w:r>
      <w:r>
        <w:rPr>
          <w:rFonts w:ascii="Arial" w:cs="Arial" w:eastAsia="Arial" w:hAnsi="Arial"/>
          <w:sz w:val="17"/>
          <w:szCs w:val="17"/>
          <w:color w:val="auto"/>
        </w:rPr>
        <w:t>, Sell Us Your Car</w:t>
      </w:r>
      <w:r>
        <w:rPr>
          <w:rFonts w:ascii="Arial" w:cs="Arial" w:eastAsia="Arial" w:hAnsi="Arial"/>
          <w:sz w:val="14"/>
          <w:szCs w:val="14"/>
          <w:color w:val="auto"/>
        </w:rPr>
        <w:t>®</w:t>
      </w:r>
      <w:r>
        <w:rPr>
          <w:rFonts w:ascii="Arial" w:cs="Arial" w:eastAsia="Arial" w:hAnsi="Arial"/>
          <w:sz w:val="17"/>
          <w:szCs w:val="17"/>
          <w:color w:val="auto"/>
        </w:rPr>
        <w:t>, CarStory</w:t>
      </w:r>
      <w:r>
        <w:rPr>
          <w:rFonts w:ascii="Arial" w:cs="Arial" w:eastAsia="Arial" w:hAnsi="Arial"/>
          <w:sz w:val="14"/>
          <w:szCs w:val="14"/>
          <w:color w:val="auto"/>
        </w:rPr>
        <w:t>®</w:t>
      </w:r>
      <w:r>
        <w:rPr>
          <w:rFonts w:ascii="Arial" w:cs="Arial" w:eastAsia="Arial" w:hAnsi="Arial"/>
          <w:sz w:val="17"/>
          <w:szCs w:val="17"/>
          <w:color w:val="auto"/>
        </w:rPr>
        <w:t>, and Vast</w:t>
      </w:r>
      <w:r>
        <w:rPr>
          <w:rFonts w:ascii="Arial" w:cs="Arial" w:eastAsia="Arial" w:hAnsi="Arial"/>
          <w:sz w:val="14"/>
          <w:szCs w:val="14"/>
          <w:color w:val="auto"/>
        </w:rPr>
        <w:t>®</w:t>
      </w:r>
      <w:r>
        <w:rPr>
          <w:rFonts w:ascii="Arial" w:cs="Arial" w:eastAsia="Arial" w:hAnsi="Arial"/>
          <w:sz w:val="17"/>
          <w:szCs w:val="17"/>
          <w:color w:val="auto"/>
        </w:rPr>
        <w:t xml:space="preserve"> trademarks. If we fail to adequately protect or enforce our rights under these trademarks, we may lose the ability to use those trademarks or to prevent others from using them, which could adversely harm our reputation and our business, financial condition and results of operations. While we are actively seeking, and have secured registration of several of our trademarks in the U.S. and other jurisdictions (including Canada and Europe), it is possible that others may assert senior rights to similar trademarks, in the U.S. and internationally, and seek to prevent our use and registration of our trademarks in certain jurisdictions. Our pending trademark or service mark applications may not result in such marks being registered.</w:t>
      </w:r>
    </w:p>
    <w:p>
      <w:pPr>
        <w:spacing w:after="0" w:line="366" w:lineRule="exact"/>
        <w:rPr>
          <w:sz w:val="20"/>
          <w:szCs w:val="20"/>
          <w:color w:val="auto"/>
        </w:rPr>
      </w:pPr>
    </w:p>
    <w:p>
      <w:pPr>
        <w:ind w:right="40" w:firstLine="637"/>
        <w:spacing w:after="0" w:line="249" w:lineRule="auto"/>
        <w:rPr>
          <w:sz w:val="20"/>
          <w:szCs w:val="20"/>
          <w:color w:val="auto"/>
        </w:rPr>
      </w:pPr>
      <w:r>
        <w:rPr>
          <w:rFonts w:ascii="Arial" w:cs="Arial" w:eastAsia="Arial" w:hAnsi="Arial"/>
          <w:sz w:val="17"/>
          <w:szCs w:val="17"/>
          <w:color w:val="auto"/>
        </w:rPr>
        <w:t>While software can be protected under copyright law, we have chosen not to register any copyrights in these works, and instead, primarily rely on trade secret law to protect our proprietary software. In order to bring a copyright infringement lawsuit in the United States, the copyright must be registered. Accordingly, the remedies and damages available to us for unauthorized use of our software may be limited. Our trade secrets, know-how and other proprietary materials may be revealed to the public or our competitors or independently developed by our competitors and no longer provide protection for the related intellectual property. Furthermore, our trade secrets, know-how and other proprietary materials may be revealed to the public or our competitors or independently developed by our competitors and no longer provide protection for the related intellectual property.</w:t>
      </w:r>
    </w:p>
    <w:p>
      <w:pPr>
        <w:spacing w:after="0" w:line="366" w:lineRule="exact"/>
        <w:rPr>
          <w:sz w:val="20"/>
          <w:szCs w:val="20"/>
          <w:color w:val="auto"/>
        </w:rPr>
      </w:pPr>
    </w:p>
    <w:p>
      <w:pPr>
        <w:ind w:right="20" w:firstLine="637"/>
        <w:spacing w:after="0" w:line="253" w:lineRule="auto"/>
        <w:rPr>
          <w:sz w:val="20"/>
          <w:szCs w:val="20"/>
          <w:color w:val="auto"/>
        </w:rPr>
      </w:pPr>
      <w:r>
        <w:rPr>
          <w:rFonts w:ascii="Arial" w:cs="Arial" w:eastAsia="Arial" w:hAnsi="Arial"/>
          <w:sz w:val="17"/>
          <w:szCs w:val="17"/>
          <w:color w:val="auto"/>
        </w:rPr>
        <w:t>As part of the CarStory acquisition, we acquired 19 U.S. patents and ten pending U.S. patent applications. Effective protection of patents is expensive and difficult to maintain, both in terms of application and registration costs as well as the costs of defending and enforcing those rights.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w:t>
      </w:r>
    </w:p>
    <w:p>
      <w:pPr>
        <w:spacing w:after="0" w:line="267" w:lineRule="exact"/>
        <w:rPr>
          <w:sz w:val="20"/>
          <w:szCs w:val="20"/>
          <w:color w:val="auto"/>
        </w:rPr>
      </w:pPr>
    </w:p>
    <w:p>
      <w:pPr>
        <w:ind w:right="240"/>
        <w:spacing w:after="0" w:line="297"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1" w:lineRule="exact"/>
        <w:rPr>
          <w:sz w:val="20"/>
          <w:szCs w:val="20"/>
          <w:color w:val="auto"/>
        </w:rPr>
      </w:pPr>
    </w:p>
    <w:p>
      <w:pPr>
        <w:ind w:right="80" w:firstLine="637"/>
        <w:spacing w:after="0" w:line="253" w:lineRule="auto"/>
        <w:rPr>
          <w:sz w:val="20"/>
          <w:szCs w:val="20"/>
          <w:color w:val="auto"/>
        </w:rPr>
      </w:pPr>
      <w:r>
        <w:rPr>
          <w:rFonts w:ascii="Arial" w:cs="Arial" w:eastAsia="Arial" w:hAnsi="Arial"/>
          <w:sz w:val="17"/>
          <w:szCs w:val="17"/>
          <w:color w:val="auto"/>
        </w:rPr>
        <w:t>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60" w:lineRule="exact"/>
        <w:rPr>
          <w:sz w:val="20"/>
          <w:szCs w:val="20"/>
          <w:color w:val="auto"/>
        </w:rPr>
      </w:pPr>
    </w:p>
    <w:p>
      <w:pPr>
        <w:ind w:right="200" w:firstLine="637"/>
        <w:spacing w:after="0" w:line="253"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creation or development of intellectual property on our behalf to execute agreements assigning such intellectual property to us, we may be unsuccessful in having all such employees and contractors execute such an agreement. The assignment of intellectual property may not be self-executing or the assignment agreement may be breached, and we may be forced to bring claims against third parties or defend claims that they may bring against us to determine the ownership of what we regard as our intellectual property.</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214" w:lineRule="exact"/>
        <w:rPr>
          <w:sz w:val="20"/>
          <w:szCs w:val="20"/>
          <w:color w:val="auto"/>
        </w:rPr>
      </w:pPr>
    </w:p>
    <w:p>
      <w:pPr>
        <w:spacing w:after="0" w:line="297" w:lineRule="auto"/>
        <w:rPr>
          <w:sz w:val="20"/>
          <w:szCs w:val="20"/>
          <w:color w:val="auto"/>
        </w:rPr>
      </w:pPr>
      <w:r>
        <w:rPr>
          <w:rFonts w:ascii="Arial" w:cs="Arial" w:eastAsia="Arial" w:hAnsi="Arial"/>
          <w:sz w:val="17"/>
          <w:szCs w:val="17"/>
          <w:b w:val="1"/>
          <w:bCs w:val="1"/>
          <w:i w:val="1"/>
          <w:iCs w:val="1"/>
          <w:color w:val="auto"/>
        </w:rPr>
        <w:t>Our common stock price may be volatile and the value of our common stock may decline regardless of our operating performance, and you may not be able to resell your shares at or above the price which you paid for them.</w:t>
      </w:r>
    </w:p>
    <w:p>
      <w:pPr>
        <w:spacing w:after="0" w:line="11" w:lineRule="exact"/>
        <w:rPr>
          <w:sz w:val="20"/>
          <w:szCs w:val="20"/>
          <w:color w:val="auto"/>
        </w:rPr>
      </w:pPr>
    </w:p>
    <w:p>
      <w:pPr>
        <w:ind w:right="280" w:firstLine="637"/>
        <w:spacing w:after="0" w:line="290" w:lineRule="auto"/>
        <w:rPr>
          <w:sz w:val="20"/>
          <w:szCs w:val="20"/>
          <w:color w:val="auto"/>
        </w:rPr>
      </w:pPr>
      <w:r>
        <w:rPr>
          <w:rFonts w:ascii="Arial" w:cs="Arial" w:eastAsia="Arial" w:hAnsi="Arial"/>
          <w:sz w:val="17"/>
          <w:szCs w:val="17"/>
          <w:color w:val="auto"/>
        </w:rPr>
        <w:t>It is possible that an active trading market for shares of our common stock will not be sustained, which could make it difficult for you to sell your shares of common stock at an attractive price or at all.</w:t>
      </w:r>
    </w:p>
    <w:p>
      <w:pPr>
        <w:spacing w:after="0" w:line="129" w:lineRule="exact"/>
        <w:rPr>
          <w:sz w:val="20"/>
          <w:szCs w:val="20"/>
          <w:color w:val="auto"/>
        </w:rPr>
      </w:pPr>
    </w:p>
    <w:p>
      <w:pPr>
        <w:ind w:right="60" w:firstLine="637"/>
        <w:spacing w:after="0" w:line="290" w:lineRule="auto"/>
        <w:rPr>
          <w:sz w:val="20"/>
          <w:szCs w:val="20"/>
          <w:color w:val="auto"/>
        </w:rPr>
      </w:pPr>
      <w:r>
        <w:rPr>
          <w:rFonts w:ascii="Arial" w:cs="Arial" w:eastAsia="Arial" w:hAnsi="Arial"/>
          <w:sz w:val="17"/>
          <w:szCs w:val="17"/>
          <w:color w:val="auto"/>
        </w:rPr>
        <w:t>Many factors, some of which are outside our control, may cause the market price of our common stock to fluctuate significantly, including those described in this “Risk Factors” section and elsewhere in this Annual Report on Form 10-K, as well as the following:</w:t>
      </w:r>
    </w:p>
    <w:p>
      <w:pPr>
        <w:spacing w:after="0" w:line="25" w:lineRule="exact"/>
        <w:rPr>
          <w:sz w:val="20"/>
          <w:szCs w:val="20"/>
          <w:color w:val="auto"/>
        </w:rPr>
      </w:pPr>
    </w:p>
    <w:p>
      <w:pPr>
        <w:ind w:left="1000" w:hanging="367"/>
        <w:spacing w:after="0"/>
        <w:tabs>
          <w:tab w:leader="none" w:pos="100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our operating and financial performance and prospects;</w:t>
      </w:r>
    </w:p>
    <w:p>
      <w:pPr>
        <w:spacing w:after="0" w:line="130" w:lineRule="exact"/>
        <w:rPr>
          <w:rFonts w:ascii="Times New Roman" w:cs="Times New Roman" w:eastAsia="Times New Roman" w:hAnsi="Times New Roman"/>
          <w:sz w:val="17"/>
          <w:szCs w:val="17"/>
          <w:color w:val="auto"/>
        </w:rPr>
      </w:pPr>
    </w:p>
    <w:p>
      <w:pPr>
        <w:ind w:left="1000" w:hanging="367"/>
        <w:spacing w:after="0"/>
        <w:tabs>
          <w:tab w:leader="none" w:pos="100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our quarterly or annual earnings or those of other companies in our industry compared to market expectations;</w:t>
      </w:r>
    </w:p>
    <w:p>
      <w:pPr>
        <w:spacing w:after="0" w:line="130" w:lineRule="exact"/>
        <w:rPr>
          <w:rFonts w:ascii="Times New Roman" w:cs="Times New Roman" w:eastAsia="Times New Roman" w:hAnsi="Times New Roman"/>
          <w:sz w:val="17"/>
          <w:szCs w:val="17"/>
          <w:color w:val="auto"/>
        </w:rPr>
      </w:pPr>
    </w:p>
    <w:p>
      <w:pPr>
        <w:ind w:left="1000" w:hanging="367"/>
        <w:spacing w:after="0"/>
        <w:tabs>
          <w:tab w:leader="none" w:pos="100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our guidance regarding future quarterly or annual earnings;</w:t>
      </w:r>
    </w:p>
    <w:p>
      <w:pPr>
        <w:spacing w:after="0" w:line="130" w:lineRule="exact"/>
        <w:rPr>
          <w:rFonts w:ascii="Times New Roman" w:cs="Times New Roman" w:eastAsia="Times New Roman" w:hAnsi="Times New Roman"/>
          <w:sz w:val="17"/>
          <w:szCs w:val="17"/>
          <w:color w:val="auto"/>
        </w:rPr>
      </w:pPr>
    </w:p>
    <w:p>
      <w:pPr>
        <w:ind w:left="1000" w:right="680" w:hanging="367"/>
        <w:spacing w:after="0" w:line="289" w:lineRule="auto"/>
        <w:tabs>
          <w:tab w:leader="none" w:pos="100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conditions that impact demand for our offerings and platform, including demand in the automotive industry generally and the performance of the third parties through whom we conduct significant parts of our business;</w:t>
      </w:r>
    </w:p>
    <w:p>
      <w:pPr>
        <w:spacing w:after="0" w:line="25" w:lineRule="exact"/>
        <w:rPr>
          <w:rFonts w:ascii="Times New Roman" w:cs="Times New Roman" w:eastAsia="Times New Roman" w:hAnsi="Times New Roman"/>
          <w:sz w:val="17"/>
          <w:szCs w:val="17"/>
          <w:color w:val="auto"/>
        </w:rPr>
      </w:pPr>
    </w:p>
    <w:p>
      <w:pPr>
        <w:ind w:left="1000" w:hanging="367"/>
        <w:spacing w:after="0"/>
        <w:tabs>
          <w:tab w:leader="none" w:pos="100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future announcements concerning our business or our competitors’ businesses;</w:t>
      </w:r>
    </w:p>
    <w:p>
      <w:pPr>
        <w:spacing w:after="0" w:line="130" w:lineRule="exact"/>
        <w:rPr>
          <w:rFonts w:ascii="Times New Roman" w:cs="Times New Roman" w:eastAsia="Times New Roman" w:hAnsi="Times New Roman"/>
          <w:sz w:val="17"/>
          <w:szCs w:val="17"/>
          <w:color w:val="auto"/>
        </w:rPr>
      </w:pPr>
    </w:p>
    <w:p>
      <w:pPr>
        <w:ind w:left="1000" w:hanging="367"/>
        <w:spacing w:after="0"/>
        <w:tabs>
          <w:tab w:leader="none" w:pos="100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130" w:lineRule="exact"/>
        <w:rPr>
          <w:rFonts w:ascii="Times New Roman" w:cs="Times New Roman" w:eastAsia="Times New Roman" w:hAnsi="Times New Roman"/>
          <w:sz w:val="17"/>
          <w:szCs w:val="17"/>
          <w:color w:val="auto"/>
        </w:rPr>
      </w:pPr>
    </w:p>
    <w:p>
      <w:pPr>
        <w:ind w:left="1000" w:hanging="367"/>
        <w:spacing w:after="0"/>
        <w:tabs>
          <w:tab w:leader="none" w:pos="100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coverage by or changes in financial estimates by securities analysts or failure to meet their expectations;</w:t>
      </w:r>
    </w:p>
    <w:p>
      <w:pPr>
        <w:spacing w:after="0" w:line="130" w:lineRule="exact"/>
        <w:rPr>
          <w:rFonts w:ascii="Times New Roman" w:cs="Times New Roman" w:eastAsia="Times New Roman" w:hAnsi="Times New Roman"/>
          <w:sz w:val="17"/>
          <w:szCs w:val="17"/>
          <w:color w:val="auto"/>
        </w:rPr>
      </w:pPr>
    </w:p>
    <w:p>
      <w:pPr>
        <w:ind w:left="1000" w:hanging="367"/>
        <w:spacing w:after="0"/>
        <w:tabs>
          <w:tab w:leader="none" w:pos="100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market and industry perception of our success, or lack thereof, in pursuing our growth strategy;</w:t>
      </w:r>
    </w:p>
    <w:p>
      <w:pPr>
        <w:spacing w:after="0" w:line="130" w:lineRule="exact"/>
        <w:rPr>
          <w:rFonts w:ascii="Times New Roman" w:cs="Times New Roman" w:eastAsia="Times New Roman" w:hAnsi="Times New Roman"/>
          <w:sz w:val="17"/>
          <w:szCs w:val="17"/>
          <w:color w:val="auto"/>
        </w:rPr>
      </w:pPr>
    </w:p>
    <w:p>
      <w:pPr>
        <w:ind w:left="1000" w:hanging="367"/>
        <w:spacing w:after="0"/>
        <w:tabs>
          <w:tab w:leader="none" w:pos="100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strategic actions by us or our competitors, such as acquisitions or restructurings;</w:t>
      </w:r>
    </w:p>
    <w:p>
      <w:pPr>
        <w:spacing w:after="0" w:line="130" w:lineRule="exact"/>
        <w:rPr>
          <w:rFonts w:ascii="Times New Roman" w:cs="Times New Roman" w:eastAsia="Times New Roman" w:hAnsi="Times New Roman"/>
          <w:sz w:val="17"/>
          <w:szCs w:val="17"/>
          <w:color w:val="auto"/>
        </w:rPr>
      </w:pPr>
    </w:p>
    <w:p>
      <w:pPr>
        <w:ind w:left="1000" w:hanging="367"/>
        <w:spacing w:after="0"/>
        <w:tabs>
          <w:tab w:leader="none" w:pos="100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laws or regulations which adversely affect our industry or us;</w:t>
      </w:r>
    </w:p>
    <w:p>
      <w:pPr>
        <w:spacing w:after="0" w:line="130" w:lineRule="exact"/>
        <w:rPr>
          <w:rFonts w:ascii="Times New Roman" w:cs="Times New Roman" w:eastAsia="Times New Roman" w:hAnsi="Times New Roman"/>
          <w:sz w:val="17"/>
          <w:szCs w:val="17"/>
          <w:color w:val="auto"/>
        </w:rPr>
      </w:pPr>
    </w:p>
    <w:p>
      <w:pPr>
        <w:ind w:left="1000" w:hanging="367"/>
        <w:spacing w:after="0"/>
        <w:tabs>
          <w:tab w:leader="none" w:pos="100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accounting standards, policies, guidance, interpretations or principles;</w:t>
      </w:r>
    </w:p>
    <w:p>
      <w:pPr>
        <w:spacing w:after="0" w:line="130" w:lineRule="exact"/>
        <w:rPr>
          <w:rFonts w:ascii="Times New Roman" w:cs="Times New Roman" w:eastAsia="Times New Roman" w:hAnsi="Times New Roman"/>
          <w:sz w:val="17"/>
          <w:szCs w:val="17"/>
          <w:color w:val="auto"/>
        </w:rPr>
      </w:pPr>
    </w:p>
    <w:p>
      <w:pPr>
        <w:ind w:left="1000" w:hanging="367"/>
        <w:spacing w:after="0"/>
        <w:tabs>
          <w:tab w:leader="none" w:pos="100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senior management or key personnel;</w:t>
      </w:r>
    </w:p>
    <w:p>
      <w:pPr>
        <w:spacing w:after="0" w:line="130" w:lineRule="exact"/>
        <w:rPr>
          <w:rFonts w:ascii="Times New Roman" w:cs="Times New Roman" w:eastAsia="Times New Roman" w:hAnsi="Times New Roman"/>
          <w:sz w:val="17"/>
          <w:szCs w:val="17"/>
          <w:color w:val="auto"/>
        </w:rPr>
      </w:pPr>
    </w:p>
    <w:p>
      <w:pPr>
        <w:ind w:left="1000" w:hanging="367"/>
        <w:spacing w:after="0"/>
        <w:tabs>
          <w:tab w:leader="none" w:pos="100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issuances, exchanges or sales, or expected issuances, exchanges or sales of our capital stock;</w:t>
      </w:r>
    </w:p>
    <w:p>
      <w:pPr>
        <w:spacing w:after="0" w:line="130" w:lineRule="exact"/>
        <w:rPr>
          <w:rFonts w:ascii="Times New Roman" w:cs="Times New Roman" w:eastAsia="Times New Roman" w:hAnsi="Times New Roman"/>
          <w:sz w:val="17"/>
          <w:szCs w:val="17"/>
          <w:color w:val="auto"/>
        </w:rPr>
      </w:pPr>
    </w:p>
    <w:p>
      <w:pPr>
        <w:ind w:left="1000" w:hanging="367"/>
        <w:spacing w:after="0"/>
        <w:tabs>
          <w:tab w:leader="none" w:pos="100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our dividend policy;</w:t>
      </w:r>
    </w:p>
    <w:p>
      <w:pPr>
        <w:spacing w:after="0" w:line="130" w:lineRule="exact"/>
        <w:rPr>
          <w:rFonts w:ascii="Times New Roman" w:cs="Times New Roman" w:eastAsia="Times New Roman" w:hAnsi="Times New Roman"/>
          <w:sz w:val="17"/>
          <w:szCs w:val="17"/>
          <w:color w:val="auto"/>
        </w:rPr>
      </w:pPr>
    </w:p>
    <w:p>
      <w:pPr>
        <w:ind w:left="1000" w:hanging="367"/>
        <w:spacing w:after="0"/>
        <w:tabs>
          <w:tab w:leader="none" w:pos="100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adverse resolution of new or pending litigation or other claims against us; and</w:t>
      </w:r>
    </w:p>
    <w:p>
      <w:pPr>
        <w:spacing w:after="0" w:line="130" w:lineRule="exact"/>
        <w:rPr>
          <w:rFonts w:ascii="Times New Roman" w:cs="Times New Roman" w:eastAsia="Times New Roman" w:hAnsi="Times New Roman"/>
          <w:sz w:val="17"/>
          <w:szCs w:val="17"/>
          <w:color w:val="auto"/>
        </w:rPr>
      </w:pPr>
    </w:p>
    <w:p>
      <w:pPr>
        <w:ind w:left="1000" w:right="520" w:hanging="367"/>
        <w:spacing w:after="0" w:line="289" w:lineRule="auto"/>
        <w:tabs>
          <w:tab w:leader="none" w:pos="100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general market, economic and political conditions in the United States and global economies or financial markets, including those resulting from natural disasters, terrorist attacks, global pandemics, acts of war and responses to such events.</w:t>
      </w:r>
    </w:p>
    <w:p>
      <w:pPr>
        <w:spacing w:after="0" w:line="130" w:lineRule="exact"/>
        <w:rPr>
          <w:sz w:val="20"/>
          <w:szCs w:val="20"/>
          <w:color w:val="auto"/>
        </w:rPr>
      </w:pPr>
    </w:p>
    <w:p>
      <w:pPr>
        <w:ind w:right="80" w:firstLine="637"/>
        <w:spacing w:after="0" w:line="249" w:lineRule="auto"/>
        <w:rPr>
          <w:sz w:val="20"/>
          <w:szCs w:val="20"/>
          <w:color w:val="auto"/>
        </w:rPr>
      </w:pPr>
      <w:r>
        <w:rPr>
          <w:rFonts w:ascii="Arial" w:cs="Arial" w:eastAsia="Arial" w:hAnsi="Arial"/>
          <w:sz w:val="17"/>
          <w:szCs w:val="17"/>
          <w:color w:val="auto"/>
        </w:rPr>
        <w:t>As a result, volatility in the market price of our common stock may prevent investors from being able to sell their common stock at or above the price which they paid for them. 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 Broad market and industry fluctuations, as well as general economic, political, regulatory, and market conditions, may negatively impact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 for the foreseeable future.</w:t>
      </w:r>
    </w:p>
    <w:p>
      <w:pPr>
        <w:spacing w:after="0" w:line="103" w:lineRule="exact"/>
        <w:rPr>
          <w:sz w:val="20"/>
          <w:szCs w:val="20"/>
          <w:color w:val="auto"/>
        </w:rPr>
      </w:pPr>
    </w:p>
    <w:p>
      <w:pPr>
        <w:ind w:right="60" w:firstLine="637"/>
        <w:spacing w:after="0" w:line="247" w:lineRule="auto"/>
        <w:rPr>
          <w:sz w:val="20"/>
          <w:szCs w:val="20"/>
          <w:color w:val="auto"/>
        </w:rPr>
      </w:pPr>
      <w:r>
        <w:rPr>
          <w:rFonts w:ascii="Arial" w:cs="Arial" w:eastAsia="Arial" w:hAnsi="Arial"/>
          <w:sz w:val="17"/>
          <w:szCs w:val="17"/>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industry trends and other factors that our board of directors may deem relevant. Any such decision also will be subject to compliance with contractual restrictions and covenants in the agreements governing our current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could also adversely affect the market price of our common stock.</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ind w:right="780"/>
        <w:spacing w:after="0" w:line="297" w:lineRule="auto"/>
        <w:rPr>
          <w:sz w:val="20"/>
          <w:szCs w:val="20"/>
          <w:color w:val="auto"/>
        </w:rPr>
      </w:pPr>
      <w:r>
        <w:rPr>
          <w:rFonts w:ascii="Arial" w:cs="Arial" w:eastAsia="Arial" w:hAnsi="Arial"/>
          <w:sz w:val="17"/>
          <w:szCs w:val="17"/>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1" w:lineRule="exact"/>
        <w:rPr>
          <w:sz w:val="20"/>
          <w:szCs w:val="20"/>
          <w:color w:val="auto"/>
        </w:rPr>
      </w:pPr>
    </w:p>
    <w:p>
      <w:pPr>
        <w:ind w:right="20" w:firstLine="637"/>
        <w:spacing w:after="0" w:line="250" w:lineRule="auto"/>
        <w:rPr>
          <w:sz w:val="20"/>
          <w:szCs w:val="20"/>
          <w:color w:val="auto"/>
        </w:rPr>
      </w:pPr>
      <w:r>
        <w:rPr>
          <w:rFonts w:ascii="Arial" w:cs="Arial" w:eastAsia="Arial" w:hAnsi="Arial"/>
          <w:sz w:val="17"/>
          <w:szCs w:val="17"/>
          <w:color w:val="auto"/>
        </w:rPr>
        <w:t>Our amended and restated certificate of incorporation authorizes us to issue one or more series of preferred stock. Our board of directors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and adversely affect the market price and the voting and other rights of the holders of our common stock.</w:t>
      </w:r>
    </w:p>
    <w:p>
      <w:pPr>
        <w:spacing w:after="0" w:line="272" w:lineRule="exact"/>
        <w:rPr>
          <w:sz w:val="20"/>
          <w:szCs w:val="20"/>
          <w:color w:val="auto"/>
        </w:rPr>
      </w:pPr>
    </w:p>
    <w:p>
      <w:pPr>
        <w:ind w:right="760"/>
        <w:spacing w:after="0" w:line="297" w:lineRule="auto"/>
        <w:rPr>
          <w:sz w:val="20"/>
          <w:szCs w:val="20"/>
          <w:color w:val="auto"/>
        </w:rPr>
      </w:pPr>
      <w:r>
        <w:rPr>
          <w:rFonts w:ascii="Arial" w:cs="Arial" w:eastAsia="Arial" w:hAnsi="Arial"/>
          <w:sz w:val="17"/>
          <w:szCs w:val="17"/>
          <w:b w:val="1"/>
          <w:bCs w:val="1"/>
          <w:i w:val="1"/>
          <w:iCs w:val="1"/>
          <w:color w:val="auto"/>
        </w:rPr>
        <w:t>The issuance by us of additional shares of common stock or convertible securities may dilute your ownership of us and could adversely affect our stock price.</w:t>
      </w:r>
    </w:p>
    <w:p>
      <w:pPr>
        <w:spacing w:after="0" w:line="11" w:lineRule="exact"/>
        <w:rPr>
          <w:sz w:val="20"/>
          <w:szCs w:val="20"/>
          <w:color w:val="auto"/>
        </w:rPr>
      </w:pPr>
    </w:p>
    <w:p>
      <w:pPr>
        <w:ind w:right="100" w:firstLine="637"/>
        <w:spacing w:after="0" w:line="253" w:lineRule="auto"/>
        <w:rPr>
          <w:sz w:val="20"/>
          <w:szCs w:val="20"/>
          <w:color w:val="auto"/>
        </w:rPr>
      </w:pPr>
      <w:r>
        <w:rPr>
          <w:rFonts w:ascii="Arial" w:cs="Arial" w:eastAsia="Arial" w:hAnsi="Arial"/>
          <w:sz w:val="17"/>
          <w:szCs w:val="17"/>
          <w:color w:val="auto"/>
        </w:rPr>
        <w:t>We may issue additional capital stock in the future that will result in dilution to all other stockholders. We also expect to continue to grant equity awards to employees, directors and consultants under our equity incentive plans. From time to time in the future, we may also issue additional shares of our common stock or securities convertible into common stock pursuant to a variety of transactions, including acquisitions.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267" w:lineRule="exact"/>
        <w:rPr>
          <w:sz w:val="20"/>
          <w:szCs w:val="20"/>
          <w:color w:val="auto"/>
        </w:rPr>
      </w:pPr>
    </w:p>
    <w:p>
      <w:pPr>
        <w:ind w:right="60"/>
        <w:spacing w:after="0" w:line="297" w:lineRule="auto"/>
        <w:rPr>
          <w:sz w:val="20"/>
          <w:szCs w:val="20"/>
          <w:color w:val="auto"/>
        </w:rPr>
      </w:pPr>
      <w:r>
        <w:rPr>
          <w:rFonts w:ascii="Arial" w:cs="Arial" w:eastAsia="Arial" w:hAnsi="Arial"/>
          <w:sz w:val="17"/>
          <w:szCs w:val="17"/>
          <w:b w:val="1"/>
          <w:bCs w:val="1"/>
          <w:i w:val="1"/>
          <w:iCs w:val="1"/>
          <w:color w:val="auto"/>
        </w:rPr>
        <w:t>Future sales, or the perception of future sales, by us or our existing stockholders in the public market could cause the market price for our common stock to decline.</w:t>
      </w:r>
    </w:p>
    <w:p>
      <w:pPr>
        <w:spacing w:after="0" w:line="11" w:lineRule="exact"/>
        <w:rPr>
          <w:sz w:val="20"/>
          <w:szCs w:val="20"/>
          <w:color w:val="auto"/>
        </w:rPr>
      </w:pPr>
    </w:p>
    <w:p>
      <w:pPr>
        <w:ind w:right="40" w:firstLine="637"/>
        <w:spacing w:after="0" w:line="250" w:lineRule="auto"/>
        <w:rPr>
          <w:sz w:val="20"/>
          <w:szCs w:val="20"/>
          <w:color w:val="auto"/>
        </w:rPr>
      </w:pPr>
      <w:r>
        <w:rPr>
          <w:rFonts w:ascii="Arial" w:cs="Arial" w:eastAsia="Arial" w:hAnsi="Arial"/>
          <w:sz w:val="17"/>
          <w:szCs w:val="17"/>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We are unable to predict the timing of or the effect that such sales may have on the prevailing market price of our common stock.</w:t>
      </w:r>
    </w:p>
    <w:p>
      <w:pPr>
        <w:spacing w:after="0" w:line="204" w:lineRule="exact"/>
        <w:rPr>
          <w:sz w:val="20"/>
          <w:szCs w:val="20"/>
          <w:color w:val="auto"/>
        </w:rPr>
      </w:pPr>
    </w:p>
    <w:p>
      <w:pPr>
        <w:ind w:firstLine="637"/>
        <w:spacing w:after="0" w:line="257" w:lineRule="auto"/>
        <w:rPr>
          <w:sz w:val="20"/>
          <w:szCs w:val="20"/>
          <w:color w:val="auto"/>
        </w:rPr>
      </w:pPr>
      <w:r>
        <w:rPr>
          <w:rFonts w:ascii="Arial" w:cs="Arial" w:eastAsia="Arial" w:hAnsi="Arial"/>
          <w:sz w:val="17"/>
          <w:szCs w:val="17"/>
          <w:color w:val="auto"/>
        </w:rPr>
        <w:t>In connection with our IPO, we registered shares of our common stock issued or reserved for issuance under our 2020 Incentive Award Plan and Second Amended and Restated 2014 Equity Incentive Plan. Subject to the satisfaction of vesting conditions and the expiration of lockup agreements, shares registered under the registration statement on Form S-8 will be available for resale immediately in the public market without restriction.</w:t>
      </w:r>
    </w:p>
    <w:p>
      <w:pPr>
        <w:spacing w:after="0" w:line="157" w:lineRule="exact"/>
        <w:rPr>
          <w:sz w:val="20"/>
          <w:szCs w:val="20"/>
          <w:color w:val="auto"/>
        </w:rPr>
      </w:pPr>
    </w:p>
    <w:p>
      <w:pPr>
        <w:ind w:right="20" w:firstLine="637"/>
        <w:spacing w:after="0" w:line="290" w:lineRule="auto"/>
        <w:rPr>
          <w:sz w:val="20"/>
          <w:szCs w:val="20"/>
          <w:color w:val="auto"/>
        </w:rPr>
      </w:pPr>
      <w:r>
        <w:rPr>
          <w:rFonts w:ascii="Arial" w:cs="Arial" w:eastAsia="Arial" w:hAnsi="Arial"/>
          <w:sz w:val="17"/>
          <w:szCs w:val="17"/>
          <w:color w:val="auto"/>
        </w:rPr>
        <w:t>Further, certain holders of our common stock have rights, subject to some conditions, to require us to file registration statements covering the sale of their shares or to include their shares in registration statements that we may file on our behalf or for other stockholders.</w:t>
      </w:r>
    </w:p>
    <w:p>
      <w:pPr>
        <w:spacing w:after="0" w:line="236" w:lineRule="exact"/>
        <w:rPr>
          <w:sz w:val="20"/>
          <w:szCs w:val="20"/>
          <w:color w:val="auto"/>
        </w:rPr>
      </w:pPr>
    </w:p>
    <w:p>
      <w:pPr>
        <w:ind w:right="20"/>
        <w:spacing w:after="0" w:line="297" w:lineRule="auto"/>
        <w:rPr>
          <w:sz w:val="20"/>
          <w:szCs w:val="20"/>
          <w:color w:val="auto"/>
        </w:rPr>
      </w:pPr>
      <w:r>
        <w:rPr>
          <w:rFonts w:ascii="Arial" w:cs="Arial" w:eastAsia="Arial" w:hAnsi="Arial"/>
          <w:sz w:val="17"/>
          <w:szCs w:val="17"/>
          <w:b w:val="1"/>
          <w:bCs w:val="1"/>
          <w:i w:val="1"/>
          <w:iCs w:val="1"/>
          <w:color w:val="auto"/>
        </w:rPr>
        <w:t>The obligations associated with being a public company require significant resources and management attention, and we have and will continue to incur increased costs as a result of becoming a public company.</w:t>
      </w:r>
    </w:p>
    <w:p>
      <w:pPr>
        <w:spacing w:after="0" w:line="11" w:lineRule="exact"/>
        <w:rPr>
          <w:sz w:val="20"/>
          <w:szCs w:val="20"/>
          <w:color w:val="auto"/>
        </w:rPr>
      </w:pPr>
    </w:p>
    <w:p>
      <w:pPr>
        <w:ind w:firstLine="637"/>
        <w:spacing w:after="0" w:line="253" w:lineRule="auto"/>
        <w:rPr>
          <w:sz w:val="20"/>
          <w:szCs w:val="20"/>
          <w:color w:val="auto"/>
        </w:rPr>
      </w:pPr>
      <w:r>
        <w:rPr>
          <w:rFonts w:ascii="Arial" w:cs="Arial" w:eastAsia="Arial" w:hAnsi="Arial"/>
          <w:sz w:val="17"/>
          <w:szCs w:val="17"/>
          <w:color w:val="auto"/>
        </w:rPr>
        <w:t>As a public company, we face increased legal, accounting, administrative and other costs and expenses that we did not incur as a private company. We expect to continue to incur significant costs related to operating as a public company. We are subject to the Exchange Act, the rules and regulations implemented by the SEC, the Sarbanes-Oxley Act, the Wall Street Reform and Consumer Protection Act of 2020 (the “Dodd-Frank Act”), the Public Company Accounting Oversight Board (“PCAOB”) and Nasdaq rules and standards, each of which imposes additional reporting and other obligations on public companies. As a public company, we are required to, among other things:</w:t>
      </w:r>
    </w:p>
    <w:p>
      <w:pPr>
        <w:spacing w:after="0" w:line="56" w:lineRule="exact"/>
        <w:rPr>
          <w:sz w:val="20"/>
          <w:szCs w:val="20"/>
          <w:color w:val="auto"/>
        </w:rPr>
      </w:pPr>
    </w:p>
    <w:p>
      <w:pPr>
        <w:ind w:left="1000" w:hanging="367"/>
        <w:spacing w:after="0"/>
        <w:tabs>
          <w:tab w:leader="none" w:pos="100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prepare, file and distribute annual, quarterly and current reports with respect to our business and financial condition;</w:t>
      </w:r>
    </w:p>
    <w:p>
      <w:pPr>
        <w:spacing w:after="0" w:line="130" w:lineRule="exact"/>
        <w:rPr>
          <w:rFonts w:ascii="Times New Roman" w:cs="Times New Roman" w:eastAsia="Times New Roman" w:hAnsi="Times New Roman"/>
          <w:sz w:val="17"/>
          <w:szCs w:val="17"/>
          <w:color w:val="auto"/>
        </w:rPr>
      </w:pPr>
    </w:p>
    <w:p>
      <w:pPr>
        <w:ind w:left="1000" w:hanging="367"/>
        <w:spacing w:after="0"/>
        <w:tabs>
          <w:tab w:leader="none" w:pos="100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prepare, file and distribute proxy statements and other stockholder communications;</w:t>
      </w:r>
    </w:p>
    <w:p>
      <w:pPr>
        <w:spacing w:after="0" w:line="130" w:lineRule="exact"/>
        <w:rPr>
          <w:rFonts w:ascii="Times New Roman" w:cs="Times New Roman" w:eastAsia="Times New Roman" w:hAnsi="Times New Roman"/>
          <w:sz w:val="17"/>
          <w:szCs w:val="17"/>
          <w:color w:val="auto"/>
        </w:rPr>
      </w:pPr>
    </w:p>
    <w:p>
      <w:pPr>
        <w:ind w:left="1000" w:right="140" w:hanging="367"/>
        <w:spacing w:after="0" w:line="289" w:lineRule="auto"/>
        <w:tabs>
          <w:tab w:leader="none" w:pos="100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hire additional financial and accounting personnel and other experienced accounting and finance staff with the expertise to address complex accounting matters applicable to public companies;</w:t>
      </w:r>
    </w:p>
    <w:p>
      <w:pPr>
        <w:spacing w:after="0" w:line="25" w:lineRule="exact"/>
        <w:rPr>
          <w:rFonts w:ascii="Times New Roman" w:cs="Times New Roman" w:eastAsia="Times New Roman" w:hAnsi="Times New Roman"/>
          <w:sz w:val="17"/>
          <w:szCs w:val="17"/>
          <w:color w:val="auto"/>
        </w:rPr>
      </w:pPr>
    </w:p>
    <w:p>
      <w:pPr>
        <w:ind w:left="1000" w:hanging="367"/>
        <w:spacing w:after="0"/>
        <w:tabs>
          <w:tab w:leader="none" w:pos="100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institute more comprehensive financial reporting and disclosure compliance procedures;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2" w:lineRule="exact"/>
        <w:rPr>
          <w:sz w:val="20"/>
          <w:szCs w:val="20"/>
          <w:color w:val="auto"/>
        </w:rPr>
      </w:pPr>
    </w:p>
    <w:p>
      <w:pPr>
        <w:ind w:left="1000" w:hanging="367"/>
        <w:spacing w:after="0"/>
        <w:tabs>
          <w:tab w:leader="none" w:pos="100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involve and retain to a greater degree outside counsel and accountants to assist us with the activities listed above;</w:t>
      </w:r>
    </w:p>
    <w:p>
      <w:pPr>
        <w:spacing w:after="0" w:line="130" w:lineRule="exact"/>
        <w:rPr>
          <w:rFonts w:ascii="Times New Roman" w:cs="Times New Roman" w:eastAsia="Times New Roman" w:hAnsi="Times New Roman"/>
          <w:sz w:val="17"/>
          <w:szCs w:val="17"/>
          <w:color w:val="auto"/>
        </w:rPr>
      </w:pPr>
    </w:p>
    <w:p>
      <w:pPr>
        <w:ind w:left="1000" w:hanging="367"/>
        <w:spacing w:after="0"/>
        <w:tabs>
          <w:tab w:leader="none" w:pos="100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enhance our investor relations function;</w:t>
      </w:r>
    </w:p>
    <w:p>
      <w:pPr>
        <w:spacing w:after="0" w:line="130" w:lineRule="exact"/>
        <w:rPr>
          <w:rFonts w:ascii="Times New Roman" w:cs="Times New Roman" w:eastAsia="Times New Roman" w:hAnsi="Times New Roman"/>
          <w:sz w:val="17"/>
          <w:szCs w:val="17"/>
          <w:color w:val="auto"/>
        </w:rPr>
      </w:pPr>
    </w:p>
    <w:p>
      <w:pPr>
        <w:ind w:left="1000" w:hanging="367"/>
        <w:spacing w:after="0"/>
        <w:tabs>
          <w:tab w:leader="none" w:pos="100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establish new internal policies, including those relating to trading in our securities and disclosure controls and procedures;</w:t>
      </w:r>
    </w:p>
    <w:p>
      <w:pPr>
        <w:spacing w:after="0" w:line="130" w:lineRule="exact"/>
        <w:rPr>
          <w:rFonts w:ascii="Times New Roman" w:cs="Times New Roman" w:eastAsia="Times New Roman" w:hAnsi="Times New Roman"/>
          <w:sz w:val="17"/>
          <w:szCs w:val="17"/>
          <w:color w:val="auto"/>
        </w:rPr>
      </w:pPr>
    </w:p>
    <w:p>
      <w:pPr>
        <w:ind w:left="1000" w:hanging="367"/>
        <w:spacing w:after="0"/>
        <w:tabs>
          <w:tab w:leader="none" w:pos="100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comply with Nasdaq’s listing standards; and</w:t>
      </w:r>
    </w:p>
    <w:p>
      <w:pPr>
        <w:spacing w:after="0" w:line="130" w:lineRule="exact"/>
        <w:rPr>
          <w:rFonts w:ascii="Times New Roman" w:cs="Times New Roman" w:eastAsia="Times New Roman" w:hAnsi="Times New Roman"/>
          <w:sz w:val="17"/>
          <w:szCs w:val="17"/>
          <w:color w:val="auto"/>
        </w:rPr>
      </w:pPr>
    </w:p>
    <w:p>
      <w:pPr>
        <w:ind w:left="1000" w:hanging="367"/>
        <w:spacing w:after="0"/>
        <w:tabs>
          <w:tab w:leader="none" w:pos="100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comply with the Sarbanes-Oxley Act.</w:t>
      </w:r>
    </w:p>
    <w:p>
      <w:pPr>
        <w:spacing w:after="0" w:line="236" w:lineRule="exact"/>
        <w:rPr>
          <w:sz w:val="20"/>
          <w:szCs w:val="20"/>
          <w:color w:val="auto"/>
        </w:rPr>
      </w:pPr>
    </w:p>
    <w:p>
      <w:pPr>
        <w:ind w:right="20" w:firstLine="637"/>
        <w:spacing w:after="0" w:line="248" w:lineRule="auto"/>
        <w:rPr>
          <w:sz w:val="20"/>
          <w:szCs w:val="20"/>
          <w:color w:val="auto"/>
        </w:rPr>
      </w:pPr>
      <w:r>
        <w:rPr>
          <w:rFonts w:ascii="Arial" w:cs="Arial" w:eastAsia="Arial" w:hAnsi="Arial"/>
          <w:sz w:val="17"/>
          <w:szCs w:val="17"/>
          <w:color w:val="auto"/>
        </w:rPr>
        <w:t>These rules and regulations and changes in laws, regulations and standards relating to corporate governance and public disclosure, which have created uncertainty for public companies, have and will continue to increase our legal and financial compliance costs and make some activities more time consuming and costly.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Our investment in compliance with existing and evolving regulatory requirements has and will continue to result in increased administrative expenses and a diversion of management’s time and attention from revenue-generating activities to compliance activities, which could have a material adverse effect on our business, financial condition and results of operations.</w:t>
      </w:r>
    </w:p>
    <w:p>
      <w:pPr>
        <w:spacing w:after="0" w:line="163" w:lineRule="exact"/>
        <w:rPr>
          <w:sz w:val="20"/>
          <w:szCs w:val="20"/>
          <w:color w:val="auto"/>
        </w:rPr>
      </w:pPr>
    </w:p>
    <w:p>
      <w:pPr>
        <w:ind w:firstLine="637"/>
        <w:spacing w:after="0" w:line="250" w:lineRule="auto"/>
        <w:rPr>
          <w:sz w:val="20"/>
          <w:szCs w:val="20"/>
          <w:color w:val="auto"/>
        </w:rPr>
      </w:pPr>
      <w:r>
        <w:rPr>
          <w:rFonts w:ascii="Arial" w:cs="Arial" w:eastAsia="Arial" w:hAnsi="Arial"/>
          <w:sz w:val="17"/>
          <w:szCs w:val="17"/>
          <w:color w:val="auto"/>
        </w:rPr>
        <w:t>In addition, the need to continue to develop the corporate infrastructure demanded of a public company may also divert management’s attention from implementing our business strategy, which could prevent us from improving our business, financial condition and results of operations. If we do not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 In addition, we cannot predict or estimate the amount of additional costs we may incur to comply with these requirements. We anticipate that these costs will materially increase our general and administrative expenses.</w:t>
      </w:r>
    </w:p>
    <w:p>
      <w:pPr>
        <w:spacing w:after="0" w:line="165" w:lineRule="exact"/>
        <w:rPr>
          <w:sz w:val="20"/>
          <w:szCs w:val="20"/>
          <w:color w:val="auto"/>
        </w:rPr>
      </w:pPr>
    </w:p>
    <w:p>
      <w:pPr>
        <w:jc w:val="both"/>
        <w:ind w:right="40" w:firstLine="637"/>
        <w:spacing w:after="0" w:line="257" w:lineRule="auto"/>
        <w:rPr>
          <w:sz w:val="20"/>
          <w:szCs w:val="20"/>
          <w:color w:val="auto"/>
        </w:rPr>
      </w:pPr>
      <w:r>
        <w:rPr>
          <w:rFonts w:ascii="Arial" w:cs="Arial" w:eastAsia="Arial" w:hAnsi="Arial"/>
          <w:sz w:val="17"/>
          <w:szCs w:val="17"/>
          <w:color w:val="auto"/>
        </w:rPr>
        <w:t>Being a public company and complying with applicable rules and regulations could also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264" w:lineRule="exact"/>
        <w:rPr>
          <w:sz w:val="20"/>
          <w:szCs w:val="20"/>
          <w:color w:val="auto"/>
        </w:rPr>
      </w:pPr>
    </w:p>
    <w:p>
      <w:pPr>
        <w:spacing w:after="0" w:line="252" w:lineRule="auto"/>
        <w:rPr>
          <w:sz w:val="20"/>
          <w:szCs w:val="20"/>
          <w:color w:val="auto"/>
        </w:rPr>
      </w:pPr>
      <w:r>
        <w:rPr>
          <w:rFonts w:ascii="Arial" w:cs="Arial" w:eastAsia="Arial" w:hAnsi="Arial"/>
          <w:sz w:val="17"/>
          <w:szCs w:val="17"/>
          <w:b w:val="1"/>
          <w:bCs w:val="1"/>
          <w:i w:val="1"/>
          <w:iCs w:val="1"/>
          <w:color w:val="auto"/>
        </w:rPr>
        <w:t>As a public reporting company, we are subject to rules and regulations established from time to time by the SEC and Nasdaq regarding our internal control over financial reporting. We have identified material weaknesses in our internal control over financial reporting. If our remediation of such material weaknesses is not effective, or if we experience additional material weaknesses or otherwise fail to establish and maintain effective internal control over financial reporting and disclosure controls and procedures, we may not be able to accurately report our financial results or report them in a timely manner which may adversely affect investor confidence in us and, as a result, the value of our common stock.</w:t>
      </w:r>
    </w:p>
    <w:p>
      <w:pPr>
        <w:spacing w:after="0" w:line="49" w:lineRule="exact"/>
        <w:rPr>
          <w:sz w:val="20"/>
          <w:szCs w:val="20"/>
          <w:color w:val="auto"/>
        </w:rPr>
      </w:pPr>
    </w:p>
    <w:p>
      <w:pPr>
        <w:ind w:right="160" w:firstLine="762"/>
        <w:spacing w:after="0" w:line="257" w:lineRule="auto"/>
        <w:rPr>
          <w:sz w:val="20"/>
          <w:szCs w:val="20"/>
          <w:color w:val="auto"/>
        </w:rPr>
      </w:pPr>
      <w:r>
        <w:rPr>
          <w:rFonts w:ascii="Arial" w:cs="Arial" w:eastAsia="Arial" w:hAnsi="Arial"/>
          <w:sz w:val="17"/>
          <w:szCs w:val="17"/>
          <w:color w:val="auto"/>
        </w:rPr>
        <w:t>We are a public reporting company subject to the rules and regulations established from time to time by the SEC and Nasdaq. These rules and regulations require, among other things, that we establish and periodically evaluate procedures with respect to our disclosure controls and procedures and our internal control over financial reporting. Reporting obligations as a public company place a considerable strain on our financial and management systems, processes and controls, as well as on our personnel.</w:t>
      </w:r>
    </w:p>
    <w:p>
      <w:pPr>
        <w:spacing w:after="0" w:line="157" w:lineRule="exact"/>
        <w:rPr>
          <w:sz w:val="20"/>
          <w:szCs w:val="20"/>
          <w:color w:val="auto"/>
        </w:rPr>
      </w:pPr>
    </w:p>
    <w:p>
      <w:pPr>
        <w:ind w:firstLine="762"/>
        <w:spacing w:after="0" w:line="246" w:lineRule="auto"/>
        <w:rPr>
          <w:sz w:val="20"/>
          <w:szCs w:val="20"/>
          <w:color w:val="auto"/>
        </w:rPr>
      </w:pPr>
      <w:r>
        <w:rPr>
          <w:rFonts w:ascii="Arial" w:cs="Arial" w:eastAsia="Arial" w:hAnsi="Arial"/>
          <w:sz w:val="17"/>
          <w:szCs w:val="17"/>
          <w:color w:val="auto"/>
        </w:rPr>
        <w:t>In addition, as a public company, we will be required to document and test our internal control over financial reporting pursuant to Section 404 of the Sarbanes-Oxley Act so that our management can certify as to the effectiveness of our internal control over financial reporting. Section 404(a) of the Sarbanes-Oxley Act (“Section 404(a)”) requires that management assess and report annually on the effectiveness of our internal control over financial reporting and identify any material weaknesses in our internal control over financial reporting. Additionally, Section 404(b) requires our independent registered public accounting firm to issue an annual report that addresses the effectiveness of our internal control over financial reporting. Our first Section 404(a) assessment will take place for our annual report for the year ending December 31, 2021. We also expect to comply with Section 404(b) at that time. Although we started the costly and challenging process of compiling the system and process documentation necessary to perform the evaluation needed to comply with Section 404(a), we may not be able to complete our evaluation, testing and any required remediation in a timely fashion. Our compliance with Section 404(a) will require that we incur substantial expenses and expend significant management efforts.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70" w:lineRule="exact"/>
        <w:rPr>
          <w:sz w:val="20"/>
          <w:szCs w:val="20"/>
          <w:color w:val="auto"/>
        </w:rPr>
      </w:pPr>
    </w:p>
    <w:p>
      <w:pPr>
        <w:ind w:firstLine="750"/>
        <w:spacing w:after="0" w:line="247" w:lineRule="auto"/>
        <w:rPr>
          <w:sz w:val="20"/>
          <w:szCs w:val="20"/>
          <w:color w:val="auto"/>
        </w:rPr>
      </w:pPr>
      <w:r>
        <w:rPr>
          <w:rFonts w:ascii="Arial" w:cs="Arial" w:eastAsia="Arial" w:hAnsi="Arial"/>
          <w:sz w:val="17"/>
          <w:szCs w:val="17"/>
          <w:color w:val="auto"/>
        </w:rPr>
        <w:t>As of December 31, 2020, we did not design or maintain effective internal control over financial reporting due to certain identified material weaknesses. We describe these material weaknesses in Part II, Item 9A. “Controls and Procedures” in this Annual Report. The material weaknesses did not result in a misstatement to our annual or interim consolidated financial statements. However, each of these control deficiencies, if not remediated, could result in a misstatement of one or more account balances or disclosures that would result in a material misstatement to the annual or interim consolidated financial statements that would not be prevented or detected, and, accordingly, we determined that these control deficiencies constitute material weaknesses. We intend to continue to take steps to remediate the material weaknesses through hiring additional qualified accounting personnel and further evolving our business processes and related internal controls. However, we will not be able to fully remediate these material weaknesses until these steps have been completed and the related internal controls have been operating effectively for a sufficient period of time.</w:t>
      </w:r>
    </w:p>
    <w:p>
      <w:pPr>
        <w:spacing w:after="0" w:line="165" w:lineRule="exact"/>
        <w:rPr>
          <w:sz w:val="20"/>
          <w:szCs w:val="20"/>
          <w:color w:val="auto"/>
        </w:rPr>
      </w:pPr>
    </w:p>
    <w:p>
      <w:pPr>
        <w:ind w:right="60" w:firstLine="637"/>
        <w:spacing w:after="0" w:line="249" w:lineRule="auto"/>
        <w:rPr>
          <w:sz w:val="20"/>
          <w:szCs w:val="20"/>
          <w:color w:val="auto"/>
        </w:rPr>
      </w:pPr>
      <w:r>
        <w:rPr>
          <w:rFonts w:ascii="Arial" w:cs="Arial" w:eastAsia="Arial" w:hAnsi="Arial"/>
          <w:sz w:val="17"/>
          <w:szCs w:val="17"/>
          <w:color w:val="auto"/>
        </w:rPr>
        <w:t>If we identify additional material weaknesses in our internal control over financial reporting or determine that existing material weaknesses have not been remediated, our management will be unable to assert that our disclosure controls and procedures and our internal control over financial reporting is effective.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270" w:lineRule="exact"/>
        <w:rPr>
          <w:sz w:val="20"/>
          <w:szCs w:val="20"/>
          <w:color w:val="auto"/>
        </w:rPr>
      </w:pPr>
    </w:p>
    <w:p>
      <w:pPr>
        <w:jc w:val="both"/>
        <w:ind w:right="680"/>
        <w:spacing w:after="0" w:line="269" w:lineRule="auto"/>
        <w:rPr>
          <w:sz w:val="20"/>
          <w:szCs w:val="20"/>
          <w:color w:val="auto"/>
        </w:rPr>
      </w:pPr>
      <w:r>
        <w:rPr>
          <w:rFonts w:ascii="Arial" w:cs="Arial" w:eastAsia="Arial" w:hAnsi="Arial"/>
          <w:sz w:val="17"/>
          <w:szCs w:val="17"/>
          <w:b w:val="1"/>
          <w:bCs w:val="1"/>
          <w:i w:val="1"/>
          <w:iCs w:val="1"/>
          <w:color w:val="auto"/>
        </w:rPr>
        <w:t>Anti-takeover provisions in our governing documents and under Delaware law could make an acquisition of our company more difficult, limit attempts by our stockholders to replace or remove our current management, and depress the market price of our common stock.</w:t>
      </w:r>
    </w:p>
    <w:p>
      <w:pPr>
        <w:spacing w:after="0" w:line="34" w:lineRule="exact"/>
        <w:rPr>
          <w:sz w:val="20"/>
          <w:szCs w:val="20"/>
          <w:color w:val="auto"/>
        </w:rPr>
      </w:pPr>
    </w:p>
    <w:p>
      <w:pPr>
        <w:ind w:right="40" w:firstLine="762"/>
        <w:spacing w:after="0" w:line="265" w:lineRule="auto"/>
        <w:rPr>
          <w:sz w:val="20"/>
          <w:szCs w:val="20"/>
          <w:color w:val="auto"/>
        </w:rPr>
      </w:pPr>
      <w:r>
        <w:rPr>
          <w:rFonts w:ascii="Arial" w:cs="Arial" w:eastAsia="Arial" w:hAnsi="Arial"/>
          <w:sz w:val="17"/>
          <w:szCs w:val="17"/>
          <w:color w:val="auto"/>
        </w:rPr>
        <w:t>Our amended and restated certificate of incorporation, amended and restated bylaws and Delaware law contain provisions that could have the effect of rendering more difficult, delaying or preventing an acquisition deemed undesirable by our board of directors. Among others, our amended and restated certificate of incorporation and amended and restated bylaws include the following provisions:</w:t>
      </w:r>
    </w:p>
    <w:p>
      <w:pPr>
        <w:spacing w:after="0" w:line="46" w:lineRule="exact"/>
        <w:rPr>
          <w:sz w:val="20"/>
          <w:szCs w:val="20"/>
          <w:color w:val="auto"/>
        </w:rPr>
      </w:pPr>
    </w:p>
    <w:p>
      <w:pPr>
        <w:ind w:left="1000" w:right="20" w:hanging="367"/>
        <w:spacing w:after="0" w:line="289" w:lineRule="auto"/>
        <w:tabs>
          <w:tab w:leader="none" w:pos="100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limitations on convening special stockholder meetings, which could make it difficult for our stockholders to adopt desired governance changes;</w:t>
      </w:r>
    </w:p>
    <w:p>
      <w:pPr>
        <w:spacing w:after="0" w:line="25" w:lineRule="exact"/>
        <w:rPr>
          <w:rFonts w:ascii="Times New Roman" w:cs="Times New Roman" w:eastAsia="Times New Roman" w:hAnsi="Times New Roman"/>
          <w:sz w:val="17"/>
          <w:szCs w:val="17"/>
          <w:color w:val="auto"/>
        </w:rPr>
      </w:pPr>
    </w:p>
    <w:p>
      <w:pPr>
        <w:ind w:left="1000" w:right="140" w:hanging="367"/>
        <w:spacing w:after="0" w:line="289" w:lineRule="auto"/>
        <w:tabs>
          <w:tab w:leader="none" w:pos="100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advance notice procedures, which apply for stockholders to nominate candidates for election as directors or to bring matters before an annual meeting of stockholders;</w:t>
      </w:r>
    </w:p>
    <w:p>
      <w:pPr>
        <w:spacing w:after="0" w:line="25" w:lineRule="exact"/>
        <w:rPr>
          <w:rFonts w:ascii="Times New Roman" w:cs="Times New Roman" w:eastAsia="Times New Roman" w:hAnsi="Times New Roman"/>
          <w:sz w:val="17"/>
          <w:szCs w:val="17"/>
          <w:color w:val="auto"/>
        </w:rPr>
      </w:pPr>
    </w:p>
    <w:p>
      <w:pPr>
        <w:ind w:left="1000" w:right="640" w:hanging="367"/>
        <w:spacing w:after="0" w:line="289" w:lineRule="auto"/>
        <w:tabs>
          <w:tab w:leader="none" w:pos="100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a prohibition on stockholder action by written consent, which means that our stockholders will only be able to take action at a meeting of stockholders;</w:t>
      </w:r>
    </w:p>
    <w:p>
      <w:pPr>
        <w:spacing w:after="0" w:line="25" w:lineRule="exact"/>
        <w:rPr>
          <w:rFonts w:ascii="Times New Roman" w:cs="Times New Roman" w:eastAsia="Times New Roman" w:hAnsi="Times New Roman"/>
          <w:sz w:val="17"/>
          <w:szCs w:val="17"/>
          <w:color w:val="auto"/>
        </w:rPr>
      </w:pPr>
    </w:p>
    <w:p>
      <w:pPr>
        <w:ind w:left="1000" w:hanging="367"/>
        <w:spacing w:after="0"/>
        <w:tabs>
          <w:tab w:leader="none" w:pos="100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a forum selection clause, which means certain litigation against us can only be brought in Delaware;</w:t>
      </w:r>
    </w:p>
    <w:p>
      <w:pPr>
        <w:spacing w:after="0" w:line="130" w:lineRule="exact"/>
        <w:rPr>
          <w:rFonts w:ascii="Times New Roman" w:cs="Times New Roman" w:eastAsia="Times New Roman" w:hAnsi="Times New Roman"/>
          <w:sz w:val="17"/>
          <w:szCs w:val="17"/>
          <w:color w:val="auto"/>
        </w:rPr>
      </w:pPr>
    </w:p>
    <w:p>
      <w:pPr>
        <w:ind w:left="1000" w:hanging="367"/>
        <w:spacing w:after="0"/>
        <w:tabs>
          <w:tab w:leader="none" w:pos="100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no authorization of cumulative voting, which limits the ability of minority stockholders to elect director candidates;</w:t>
      </w:r>
    </w:p>
    <w:p>
      <w:pPr>
        <w:spacing w:after="0" w:line="130" w:lineRule="exact"/>
        <w:rPr>
          <w:rFonts w:ascii="Times New Roman" w:cs="Times New Roman" w:eastAsia="Times New Roman" w:hAnsi="Times New Roman"/>
          <w:sz w:val="17"/>
          <w:szCs w:val="17"/>
          <w:color w:val="auto"/>
        </w:rPr>
      </w:pPr>
    </w:p>
    <w:p>
      <w:pPr>
        <w:ind w:left="1000" w:right="140" w:hanging="367"/>
        <w:spacing w:after="0" w:line="289" w:lineRule="auto"/>
        <w:tabs>
          <w:tab w:leader="none" w:pos="100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certain amendments to our certificate of incorporation require the approval of two-thirds of the then outstanding voting power of our capital stock;</w:t>
      </w:r>
    </w:p>
    <w:p>
      <w:pPr>
        <w:spacing w:after="0" w:line="25" w:lineRule="exact"/>
        <w:rPr>
          <w:rFonts w:ascii="Times New Roman" w:cs="Times New Roman" w:eastAsia="Times New Roman" w:hAnsi="Times New Roman"/>
          <w:sz w:val="17"/>
          <w:szCs w:val="17"/>
          <w:color w:val="auto"/>
        </w:rPr>
      </w:pPr>
    </w:p>
    <w:p>
      <w:pPr>
        <w:ind w:left="1000" w:right="100" w:hanging="367"/>
        <w:spacing w:after="0" w:line="289" w:lineRule="auto"/>
        <w:tabs>
          <w:tab w:leader="none" w:pos="100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our bylaws provide that the affirmative vote of two-thirds of the then-outstanding voting power of our capital stock, voting as a single class, is required for stockholders to amend or adopt any provision of our bylaws; and</w:t>
      </w:r>
    </w:p>
    <w:p>
      <w:pPr>
        <w:spacing w:after="0" w:line="25" w:lineRule="exact"/>
        <w:rPr>
          <w:rFonts w:ascii="Times New Roman" w:cs="Times New Roman" w:eastAsia="Times New Roman" w:hAnsi="Times New Roman"/>
          <w:sz w:val="17"/>
          <w:szCs w:val="17"/>
          <w:color w:val="auto"/>
        </w:rPr>
      </w:pPr>
    </w:p>
    <w:p>
      <w:pPr>
        <w:ind w:left="1000" w:right="100" w:hanging="367"/>
        <w:spacing w:after="0" w:line="289" w:lineRule="auto"/>
        <w:tabs>
          <w:tab w:leader="none" w:pos="100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authorization of undesignated or “blank check” preferred stock, the terms of which may be established and shares of which may be issued without further action by our stockholders.</w:t>
      </w:r>
    </w:p>
    <w:p>
      <w:pPr>
        <w:spacing w:after="0" w:line="130" w:lineRule="exact"/>
        <w:rPr>
          <w:sz w:val="20"/>
          <w:szCs w:val="20"/>
          <w:color w:val="auto"/>
        </w:rPr>
      </w:pPr>
    </w:p>
    <w:p>
      <w:pPr>
        <w:ind w:firstLine="637"/>
        <w:spacing w:after="0" w:line="248" w:lineRule="auto"/>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 As a Delaware corporation, we are also subject to provisions of Delaware law, including Section 203 of the Delaware General Corporation Law (the “DGCL”), which prevents interested stockholders, such as certain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85% of the common stock or (iii) following board approval, the business combination receives the approval of the holders of at least two-thirds of our outstanding common stock not held by such interested stockholder.</w:t>
      </w:r>
    </w:p>
    <w:p>
      <w:pPr>
        <w:spacing w:after="0" w:line="163" w:lineRule="exact"/>
        <w:rPr>
          <w:sz w:val="20"/>
          <w:szCs w:val="20"/>
          <w:color w:val="auto"/>
        </w:rPr>
      </w:pPr>
    </w:p>
    <w:p>
      <w:pPr>
        <w:jc w:val="both"/>
        <w:ind w:right="20" w:firstLine="637"/>
        <w:spacing w:after="0" w:line="265" w:lineRule="auto"/>
        <w:rPr>
          <w:sz w:val="20"/>
          <w:szCs w:val="20"/>
          <w:color w:val="auto"/>
        </w:rPr>
      </w:pPr>
      <w:r>
        <w:rPr>
          <w:rFonts w:ascii="Arial" w:cs="Arial" w:eastAsia="Arial" w:hAnsi="Arial"/>
          <w:sz w:val="17"/>
          <w:szCs w:val="17"/>
          <w:color w:val="auto"/>
        </w:rPr>
        <w:t>Any provision of our amended and restated certificate of incorporation,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will be the sole and exclusive forum for substantially all disputes between us and our stockholders, and federal district courts will be the sole and exclusive forum for Securities Act claims, which could limit our stockholders’ ability to obtain a favorable judicial forum for disputes with us or our directors, officers or employees.</w:t>
      </w:r>
    </w:p>
    <w:p>
      <w:pPr>
        <w:spacing w:after="0" w:line="44" w:lineRule="exact"/>
        <w:rPr>
          <w:sz w:val="20"/>
          <w:szCs w:val="20"/>
          <w:color w:val="auto"/>
        </w:rPr>
      </w:pPr>
    </w:p>
    <w:p>
      <w:pPr>
        <w:ind w:firstLine="637"/>
        <w:spacing w:after="0" w:line="244" w:lineRule="auto"/>
        <w:rPr>
          <w:sz w:val="20"/>
          <w:szCs w:val="20"/>
          <w:color w:val="auto"/>
        </w:rPr>
      </w:pPr>
      <w:r>
        <w:rPr>
          <w:rFonts w:ascii="Arial" w:cs="Arial" w:eastAsia="Arial" w:hAnsi="Arial"/>
          <w:sz w:val="17"/>
          <w:szCs w:val="17"/>
          <w:color w:val="auto"/>
        </w:rPr>
        <w:t>Our amended and restated certificate of incorporation provides that, unless we consent to the selection of an alternative forum, the Court of Chancery of the State of Delaware is the sole and exclusive forum for: (a) any derivative action or proceeding brought on our behalf; (b) any action asserting a claim of breach of fiduciary duty owed by any of our directors, officers or other employees to us or to our stockholders; (c) any action asserting a claim arising pursuant to the DGCL, our amended and restated certificate of incorporation or amended bylaws, or as to which the DGCL confers exclusive jurisdiction on the Court of Chancery of the State of Delaware; or (d) any action asserting a claim governed by the internal affairs doctrine; provided that the exclusive forum provisions will not apply to suits brought to enforce any liability or duty created by Exchange Act or to any claim for which the federal courts have exclusive jurisdiction. Our amended and restated certificate of incorporation further provides that, unless we consent in writing to the selection of an alternative forum, the federal district courts are the sole and exclusive forum for the resolution of any complaint asserting a cause of action arising under the Securities Act. 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w:t>
      </w:r>
    </w:p>
    <w:p>
      <w:pPr>
        <w:spacing w:after="0" w:line="200" w:lineRule="exact"/>
        <w:rPr>
          <w:sz w:val="20"/>
          <w:szCs w:val="20"/>
          <w:color w:val="auto"/>
        </w:rPr>
      </w:pPr>
    </w:p>
    <w:p>
      <w:pPr>
        <w:spacing w:after="0" w:line="280" w:lineRule="exact"/>
        <w:rPr>
          <w:sz w:val="20"/>
          <w:szCs w:val="20"/>
          <w:color w:val="auto"/>
        </w:rPr>
      </w:pPr>
    </w:p>
    <w:p>
      <w:pPr>
        <w:ind w:right="180"/>
        <w:spacing w:after="0" w:line="297"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company, or if they issue unfavorable commentary about us or our industry or downgrade our common stock, the price of our common stock could decline.</w:t>
      </w:r>
    </w:p>
    <w:p>
      <w:pPr>
        <w:spacing w:after="0" w:line="11" w:lineRule="exact"/>
        <w:rPr>
          <w:sz w:val="20"/>
          <w:szCs w:val="20"/>
          <w:color w:val="auto"/>
        </w:rPr>
      </w:pPr>
    </w:p>
    <w:p>
      <w:pPr>
        <w:jc w:val="both"/>
        <w:ind w:right="120" w:firstLine="637"/>
        <w:spacing w:after="0" w:line="265" w:lineRule="auto"/>
        <w:rPr>
          <w:sz w:val="20"/>
          <w:szCs w:val="20"/>
          <w:color w:val="auto"/>
        </w:rPr>
      </w:pPr>
      <w:r>
        <w:rPr>
          <w:rFonts w:ascii="Arial" w:cs="Arial" w:eastAsia="Arial" w:hAnsi="Arial"/>
          <w:sz w:val="17"/>
          <w:szCs w:val="17"/>
          <w:color w:val="auto"/>
        </w:rPr>
        <w:t>Our stock price and trading volume are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190" w:lineRule="exact"/>
        <w:rPr>
          <w:sz w:val="20"/>
          <w:szCs w:val="20"/>
          <w:color w:val="auto"/>
        </w:rPr>
      </w:pPr>
    </w:p>
    <w:p>
      <w:pPr>
        <w:jc w:val="both"/>
        <w:ind w:right="40" w:firstLine="637"/>
        <w:spacing w:after="0" w:line="265"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We do not have any control over these analysts. Currently, [fifteen] analysts cover our company. If the number of analysts that cover us declines, demand for our common stock could decrease and our common stock price and trading volume may decline.</w:t>
      </w:r>
    </w:p>
    <w:p>
      <w:pPr>
        <w:spacing w:after="0" w:line="151" w:lineRule="exact"/>
        <w:rPr>
          <w:sz w:val="20"/>
          <w:szCs w:val="20"/>
          <w:color w:val="auto"/>
        </w:rPr>
      </w:pPr>
    </w:p>
    <w:p>
      <w:pPr>
        <w:jc w:val="both"/>
        <w:ind w:right="80" w:firstLine="637"/>
        <w:spacing w:after="0" w:line="265" w:lineRule="auto"/>
        <w:rPr>
          <w:sz w:val="20"/>
          <w:szCs w:val="20"/>
          <w:color w:val="auto"/>
        </w:rPr>
      </w:pPr>
      <w:r>
        <w:rPr>
          <w:rFonts w:ascii="Arial" w:cs="Arial" w:eastAsia="Arial" w:hAnsi="Arial"/>
          <w:sz w:val="17"/>
          <w:szCs w:val="17"/>
          <w:color w:val="auto"/>
        </w:rPr>
        <w:t>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77" w:lineRule="exact"/>
        <w:rPr>
          <w:sz w:val="20"/>
          <w:szCs w:val="20"/>
          <w:color w:val="auto"/>
        </w:rPr>
      </w:pPr>
    </w:p>
    <w:p>
      <w:pPr>
        <w:ind w:right="20" w:firstLine="637"/>
        <w:spacing w:after="0" w:line="259" w:lineRule="auto"/>
        <w:rPr>
          <w:sz w:val="20"/>
          <w:szCs w:val="20"/>
          <w:color w:val="auto"/>
        </w:rPr>
      </w:pPr>
      <w:r>
        <w:rPr>
          <w:rFonts w:ascii="Arial" w:cs="Arial" w:eastAsia="Arial" w:hAnsi="Arial"/>
          <w:sz w:val="17"/>
          <w:szCs w:val="17"/>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Tax Matters</w:t>
      </w:r>
    </w:p>
    <w:p>
      <w:pPr>
        <w:spacing w:after="0" w:line="214" w:lineRule="exact"/>
        <w:rPr>
          <w:sz w:val="20"/>
          <w:szCs w:val="20"/>
          <w:color w:val="auto"/>
        </w:rPr>
      </w:pPr>
    </w:p>
    <w:p>
      <w:pPr>
        <w:ind w:right="660"/>
        <w:spacing w:after="0" w:line="297" w:lineRule="auto"/>
        <w:rPr>
          <w:sz w:val="20"/>
          <w:szCs w:val="20"/>
          <w:color w:val="auto"/>
        </w:rPr>
      </w:pPr>
      <w:r>
        <w:rPr>
          <w:rFonts w:ascii="Arial" w:cs="Arial" w:eastAsia="Arial" w:hAnsi="Arial"/>
          <w:sz w:val="17"/>
          <w:szCs w:val="17"/>
          <w:b w:val="1"/>
          <w:bCs w:val="1"/>
          <w:i w:val="1"/>
          <w:iCs w:val="1"/>
          <w:color w:val="auto"/>
        </w:rPr>
        <w:t>We may be limited in our ability to utilize, or may not be able to utilize, net operating loss carryforwards to reduce our future tax liability.</w:t>
      </w:r>
    </w:p>
    <w:p>
      <w:pPr>
        <w:spacing w:after="0" w:line="11" w:lineRule="exact"/>
        <w:rPr>
          <w:sz w:val="20"/>
          <w:szCs w:val="20"/>
          <w:color w:val="auto"/>
        </w:rPr>
      </w:pPr>
    </w:p>
    <w:p>
      <w:pPr>
        <w:ind w:right="140" w:firstLine="637"/>
        <w:spacing w:after="0" w:line="253" w:lineRule="auto"/>
        <w:rPr>
          <w:sz w:val="20"/>
          <w:szCs w:val="20"/>
          <w:color w:val="auto"/>
        </w:rPr>
      </w:pPr>
      <w:r>
        <w:rPr>
          <w:rFonts w:ascii="Arial" w:cs="Arial" w:eastAsia="Arial" w:hAnsi="Arial"/>
          <w:sz w:val="17"/>
          <w:szCs w:val="17"/>
          <w:color w:val="auto"/>
        </w:rPr>
        <w:t>As of December 31, 2020 we had U.S. federal net operating loss (“NOL”) carryforwards of $462.1 million, the utilization of which may be limited annually due to certain change in ownership provisions of Section 382 of the Internal Revenue Code of 1986, as amended (the “Code”). Some of our U.S. federal NOL carryforwards will begin to expire in 2034, with the remaining losses having no expiration. Please refer to Note 15 to our consolidated financial statements appearing elsewhere in this Annual Report on Form 10-K for a further discussion of the carryforward of our NOLs. As of December 31, 2020, we maintain a full valuation allowance of $121.9 million for our net deferred tax assets.</w:t>
      </w:r>
    </w:p>
    <w:p>
      <w:pPr>
        <w:spacing w:after="0" w:line="186" w:lineRule="exact"/>
        <w:rPr>
          <w:sz w:val="20"/>
          <w:szCs w:val="20"/>
          <w:color w:val="auto"/>
        </w:rPr>
      </w:pPr>
    </w:p>
    <w:p>
      <w:pPr>
        <w:ind w:right="40" w:firstLine="637"/>
        <w:spacing w:after="0" w:line="251" w:lineRule="auto"/>
        <w:rPr>
          <w:sz w:val="20"/>
          <w:szCs w:val="20"/>
          <w:color w:val="auto"/>
        </w:rPr>
      </w:pPr>
      <w:r>
        <w:rPr>
          <w:rFonts w:ascii="Arial" w:cs="Arial" w:eastAsia="Arial" w:hAnsi="Arial"/>
          <w:sz w:val="17"/>
          <w:szCs w:val="17"/>
          <w:color w:val="auto"/>
        </w:rPr>
        <w:t>An “ownership change” (generally defined as greater than 50-percentage-point cumulative changes in the equity ownership of certain stockholders over a rolling three-year period) under Section 382 of the Code may limit our ability to utilize fully our pre-change NOL carryforwards to reduce our taxable income in periods following the ownership change. In general, an ownership change would limit our ability to utilize U.S. federal NOL carryforwards to an amount equal to the aggregate value of our equity at the time of the ownership change multiplied by a specified tax-exempt interest rate, subject to increase by certain built-in gains. Similar provisions of state tax law may also apply to our state NOL carryforwards. We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30" w:lineRule="exact"/>
        <w:rPr>
          <w:sz w:val="20"/>
          <w:szCs w:val="20"/>
          <w:color w:val="auto"/>
        </w:rPr>
      </w:pPr>
    </w:p>
    <w:p>
      <w:pPr>
        <w:jc w:val="both"/>
        <w:ind w:right="180"/>
        <w:spacing w:after="0" w:line="265" w:lineRule="auto"/>
        <w:rPr>
          <w:sz w:val="20"/>
          <w:szCs w:val="20"/>
          <w:color w:val="auto"/>
        </w:rPr>
      </w:pPr>
      <w:r>
        <w:rPr>
          <w:rFonts w:ascii="Arial" w:cs="Arial" w:eastAsia="Arial" w:hAnsi="Arial"/>
          <w:sz w:val="17"/>
          <w:szCs w:val="17"/>
          <w:color w:val="auto"/>
        </w:rPr>
        <w:t>believe we have undergone an ownership change for purposes of Section 382 of the Code in each of 2013, 2014 and 2015, which substantially limits our ability to use U.S. federal NOL carryforwards generated prior to each such ownership change. In addition, future changes in our stock ownership, some of which may be beyond our control, could result in additional ownership changes under Section 382 of the Code.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matters could impact our results of operations and financial condition.</w:t>
      </w:r>
    </w:p>
    <w:p>
      <w:pPr>
        <w:spacing w:after="0" w:line="103" w:lineRule="exact"/>
        <w:rPr>
          <w:sz w:val="20"/>
          <w:szCs w:val="20"/>
          <w:color w:val="auto"/>
        </w:rPr>
      </w:pPr>
    </w:p>
    <w:p>
      <w:pPr>
        <w:ind w:firstLine="637"/>
        <w:spacing w:after="0" w:line="244" w:lineRule="auto"/>
        <w:rPr>
          <w:sz w:val="20"/>
          <w:szCs w:val="20"/>
          <w:color w:val="auto"/>
        </w:rPr>
      </w:pPr>
      <w:r>
        <w:rPr>
          <w:rFonts w:ascii="Arial" w:cs="Arial" w:eastAsia="Arial" w:hAnsi="Arial"/>
          <w:sz w:val="17"/>
          <w:szCs w:val="17"/>
          <w:color w:val="auto"/>
        </w:rPr>
        <w:t>We are subject to U.S. federal income tax, as well as income tax in certain states. Our provision for income taxes and cash tax liability in the future could be adversely affected by numerous factors including, changes in tax laws, regulations, accounting principles or interpretations thereof, which could materially and adversely impact our cash flows and our business, financial condition and results of operations in future periods. Increases in our effective tax rate could also materially affect our net results. The Tax Cuts and Jobs Act (the “TCJA”), which was enacted in 2017, significantly reformed the Code. The TCJA, among other things, contained significant changes to corporate taxation, including a reduction of the corporate tax rate from a top marginal rate of 35% to a flat rate of 21%, limitations on the deduction for NOL carryforwards and the elimination of NOL carrybacks, in each case, for losses generated after December 31, 2017 (though any such NOLs may be carried forward indefinitely), and limitations on deductions for interest expense. The consolidated financial statements contained herein reflect the effects of the TCJA based on current guidance. However, there remain uncertainties and ambiguities in the application of certain provisions of the TCJA, and, as a result, we made certain judgments and assumptions in the interpretation thereof. The U.S. Treasury Department and the Internal Revenue Service (the “IRS”) may issue further guidance on how the provisions of the TCJA will be applied or otherwise administered that differs from our current interpretation. In addition, the TCJA could be subject to potential amendments and technical corrections, any of which could materially lessen or increase certain adverse impacts of the legislation on us. Further, we are subject to the examination of our income and other tax returns by the IRS and state and local tax authorities, which could have an impact on our business, financial condition and results of operations.</w:t>
      </w: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General Risk Factors</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to recognize impairment charges related to goodwill, identified intangible assets and fixed assets.</w:t>
      </w:r>
    </w:p>
    <w:p>
      <w:pPr>
        <w:spacing w:after="0" w:line="103" w:lineRule="exact"/>
        <w:rPr>
          <w:sz w:val="20"/>
          <w:szCs w:val="20"/>
          <w:color w:val="auto"/>
        </w:rPr>
      </w:pPr>
    </w:p>
    <w:p>
      <w:pPr>
        <w:ind w:right="20" w:firstLine="637"/>
        <w:spacing w:after="0" w:line="249" w:lineRule="auto"/>
        <w:rPr>
          <w:sz w:val="20"/>
          <w:szCs w:val="20"/>
          <w:color w:val="auto"/>
        </w:rPr>
      </w:pPr>
      <w:r>
        <w:rPr>
          <w:rFonts w:ascii="Arial" w:cs="Arial" w:eastAsia="Arial" w:hAnsi="Arial"/>
          <w:sz w:val="17"/>
          <w:szCs w:val="17"/>
          <w:color w:val="auto"/>
        </w:rPr>
        <w:t>We are required to test goodwill and any other intangible asset with an indefinite life for possible impairment on the same date each year and on an interim basis if there are indicators of a possible impairment. There is significant judgment required in the analysis of a potential impairment of goodwill, identified intangible assets and other long-lived assets. If, as a result of a general economic slowdown or deterioration in one or more of the markets in which we operate or in our financial performance or future outlook, or if the estimated fair value of our long-lived assets decreases, we may determine that one or more of our long-lived assets is impaired. An impairment charge would be determined based on the estimated fair value of the assets and any such impairment charge could have a material adverse effect on our business, financial condition and results of operations.</w:t>
      </w:r>
    </w:p>
    <w:p>
      <w:pPr>
        <w:spacing w:after="0" w:line="270" w:lineRule="exact"/>
        <w:rPr>
          <w:sz w:val="20"/>
          <w:szCs w:val="20"/>
          <w:color w:val="auto"/>
        </w:rPr>
      </w:pPr>
    </w:p>
    <w:p>
      <w:pPr>
        <w:ind w:right="200"/>
        <w:spacing w:after="0" w:line="297" w:lineRule="auto"/>
        <w:rPr>
          <w:sz w:val="20"/>
          <w:szCs w:val="20"/>
          <w:color w:val="auto"/>
        </w:rPr>
      </w:pPr>
      <w:r>
        <w:rPr>
          <w:rFonts w:ascii="Arial" w:cs="Arial" w:eastAsia="Arial" w:hAnsi="Arial"/>
          <w:sz w:val="17"/>
          <w:szCs w:val="17"/>
          <w:b w:val="1"/>
          <w:bCs w:val="1"/>
          <w:i w:val="1"/>
          <w:iCs w:val="1"/>
          <w:color w:val="auto"/>
        </w:rPr>
        <w:t>Our business is subject to the risk of natural disasters, adverse weather events and other catastrophic events, and to interruption by manmade problems such as terrorism.</w:t>
      </w:r>
    </w:p>
    <w:p>
      <w:pPr>
        <w:spacing w:after="0" w:line="11" w:lineRule="exact"/>
        <w:rPr>
          <w:sz w:val="20"/>
          <w:szCs w:val="20"/>
          <w:color w:val="auto"/>
        </w:rPr>
      </w:pPr>
    </w:p>
    <w:p>
      <w:pPr>
        <w:ind w:right="20" w:firstLine="637"/>
        <w:spacing w:after="0" w:line="247" w:lineRule="auto"/>
        <w:rPr>
          <w:sz w:val="20"/>
          <w:szCs w:val="20"/>
          <w:color w:val="auto"/>
        </w:rPr>
      </w:pPr>
      <w:r>
        <w:rPr>
          <w:rFonts w:ascii="Arial" w:cs="Arial" w:eastAsia="Arial" w:hAnsi="Arial"/>
          <w:sz w:val="17"/>
          <w:szCs w:val="17"/>
          <w:color w:val="auto"/>
        </w:rPr>
        <w:t>Our business is vulnerable to damage or interruption from earthquakes, fires, floods, hurricanes, power losses, telecommunications failures, terrorist attacks, acts of war, global pandemics, human errors and similar events. The third-party systems and operations on which we rely are subject to similar risks. For example, a significant natural disaster, such as an earthquake, fire, flood or hurricane could have an adverse effect on our business, financial condition and operating results, and our insurance coverage may be insufficient to compensate us for losses that may occur. Acts of terrorism could also cause disruptions in our businesses, consumer demand or the economy as a whole. We may not have sufficient protection or recovery plans in some circumstances, such as if a natural disaster affects locations that store a significant amount of our inventory vehicles. As we rely heavily on our computer and communications systems and the internet to conduct our business and provide high-quality customer service, any disruptions could negatively affect our ability to run our business, which could have an adverse effect on our business, financial condition, and operating results.</w:t>
      </w:r>
    </w:p>
    <w:p>
      <w:pPr>
        <w:spacing w:after="0" w:line="272" w:lineRule="exact"/>
        <w:rPr>
          <w:sz w:val="20"/>
          <w:szCs w:val="20"/>
          <w:color w:val="auto"/>
        </w:rPr>
      </w:pPr>
    </w:p>
    <w:p>
      <w:pPr>
        <w:ind w:right="220"/>
        <w:spacing w:after="0" w:line="297" w:lineRule="auto"/>
        <w:rPr>
          <w:sz w:val="20"/>
          <w:szCs w:val="20"/>
          <w:color w:val="auto"/>
        </w:rPr>
      </w:pPr>
      <w:r>
        <w:rPr>
          <w:rFonts w:ascii="Arial" w:cs="Arial" w:eastAsia="Arial" w:hAnsi="Arial"/>
          <w:sz w:val="17"/>
          <w:szCs w:val="17"/>
          <w:b w:val="1"/>
          <w:bCs w:val="1"/>
          <w:i w:val="1"/>
          <w:iCs w:val="1"/>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w:t>
      </w:r>
    </w:p>
    <w:p>
      <w:pPr>
        <w:spacing w:after="0" w:line="11" w:lineRule="exact"/>
        <w:rPr>
          <w:sz w:val="20"/>
          <w:szCs w:val="20"/>
          <w:color w:val="auto"/>
        </w:rPr>
      </w:pPr>
    </w:p>
    <w:p>
      <w:pPr>
        <w:ind w:firstLine="637"/>
        <w:spacing w:after="0" w:line="253" w:lineRule="auto"/>
        <w:rPr>
          <w:sz w:val="20"/>
          <w:szCs w:val="20"/>
          <w:color w:val="auto"/>
        </w:rPr>
      </w:pPr>
      <w:r>
        <w:rPr>
          <w:rFonts w:ascii="Arial" w:cs="Arial" w:eastAsia="Arial" w:hAnsi="Arial"/>
          <w:sz w:val="17"/>
          <w:szCs w:val="17"/>
          <w:color w:val="auto"/>
        </w:rPr>
        <w:t>We are subject to various litigation matters from time to time, the outcome of which could have a material adverse effect on our business, financial condition and results of operations. Claims arising out of actual or alleged violations of law could be asserted against us by individuals, either individually or through class actions, by governmental entities in civil or criminal investigations and proceedings or by other entities. These claims could be asserted under a variety of laws, including but not limited to consumer finance laws, consumer protection laws, intellectual property laws, privacy laws, labor</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5"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and employment laws, securities laws and employee benefit laws. These actions could expose us to adverse publicity and to substantial monetary damages and legal defense costs, injunctive relief and criminal and civil fines and penalties, including but not limited to suspension or revocation of licenses to conduct business. See Part I, Item 3. “Legal Proceedings.”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insurance may not provide adequate levels of coverage against claims.</w:t>
      </w:r>
    </w:p>
    <w:p>
      <w:pPr>
        <w:spacing w:after="0" w:line="103" w:lineRule="exact"/>
        <w:rPr>
          <w:sz w:val="20"/>
          <w:szCs w:val="20"/>
          <w:color w:val="auto"/>
        </w:rPr>
      </w:pPr>
    </w:p>
    <w:p>
      <w:pPr>
        <w:ind w:right="180" w:firstLine="637"/>
        <w:spacing w:after="0" w:line="250" w:lineRule="auto"/>
        <w:rPr>
          <w:sz w:val="20"/>
          <w:szCs w:val="20"/>
          <w:color w:val="auto"/>
        </w:rPr>
      </w:pPr>
      <w:r>
        <w:rPr>
          <w:rFonts w:ascii="Arial" w:cs="Arial" w:eastAsia="Arial" w:hAnsi="Arial"/>
          <w:sz w:val="17"/>
          <w:szCs w:val="17"/>
          <w:color w:val="auto"/>
        </w:rPr>
        <w:t>We believe that we maintain insurance customary for businesses of our size and type. However, there are types of losses we may incur that cannot be insured against or that we believe are not economically reasonable to insure. Moreover, any loss incurred could exceed policy limits and policy payments made to us may not be made on a timely basis. For example, insurance we maintain against liability claims may not continue to be available on terms acceptable to us and such coverage may not be adequate to cover the types of liabilities actually incurred. A successful claim brought against us, if not fully covered by available insurance coverage, could materially and adversely affect our business, financial condition and results of operations.</w:t>
      </w:r>
    </w:p>
    <w:p>
      <w:pPr>
        <w:spacing w:after="0" w:line="272" w:lineRule="exact"/>
        <w:rPr>
          <w:sz w:val="20"/>
          <w:szCs w:val="20"/>
          <w:color w:val="auto"/>
        </w:rPr>
      </w:pPr>
    </w:p>
    <w:p>
      <w:pPr>
        <w:ind w:right="360"/>
        <w:spacing w:after="0" w:line="297" w:lineRule="auto"/>
        <w:rPr>
          <w:sz w:val="20"/>
          <w:szCs w:val="20"/>
          <w:color w:val="auto"/>
        </w:rPr>
      </w:pPr>
      <w:r>
        <w:rPr>
          <w:rFonts w:ascii="Arial" w:cs="Arial" w:eastAsia="Arial" w:hAnsi="Arial"/>
          <w:sz w:val="17"/>
          <w:szCs w:val="17"/>
          <w:b w:val="1"/>
          <w:bCs w:val="1"/>
          <w:i w:val="1"/>
          <w:iCs w:val="1"/>
          <w:color w:val="auto"/>
        </w:rPr>
        <w:t>If our operating and financial performance in any given period does not meet the guidance that we provide to the public, the market price of our common stock may decline.</w:t>
      </w:r>
    </w:p>
    <w:p>
      <w:pPr>
        <w:spacing w:after="0" w:line="11" w:lineRule="exact"/>
        <w:rPr>
          <w:sz w:val="20"/>
          <w:szCs w:val="20"/>
          <w:color w:val="auto"/>
        </w:rPr>
      </w:pPr>
    </w:p>
    <w:p>
      <w:pPr>
        <w:jc w:val="both"/>
        <w:ind w:right="120" w:firstLine="637"/>
        <w:spacing w:after="0" w:line="253" w:lineRule="auto"/>
        <w:rPr>
          <w:sz w:val="20"/>
          <w:szCs w:val="20"/>
          <w:color w:val="auto"/>
        </w:rPr>
      </w:pPr>
      <w:r>
        <w:rPr>
          <w:rFonts w:ascii="Arial" w:cs="Arial" w:eastAsia="Arial" w:hAnsi="Arial"/>
          <w:sz w:val="17"/>
          <w:szCs w:val="17"/>
          <w:color w:val="auto"/>
        </w:rPr>
        <w:t>From time to time we provide public guidance on our expected operating and financial results for future periods. Any such guidance will be comprised of forward-looking statements subject to the risks and uncertainties described in this Annual Report on Form 10-K and in our other public filings and public statements. Any such guidance is prepared by our management and is qualified by, and subject to, the assumptions and the other information contained or referred to in the relevant release and the factors described under “Special Note Regarding Forward-Looking Statements” in this Annual Report on Form 10-K and our current and periodic reports filed with the SEC.</w:t>
      </w:r>
    </w:p>
    <w:p>
      <w:pPr>
        <w:spacing w:after="0" w:line="160" w:lineRule="exact"/>
        <w:rPr>
          <w:sz w:val="20"/>
          <w:szCs w:val="20"/>
          <w:color w:val="auto"/>
        </w:rPr>
      </w:pPr>
    </w:p>
    <w:p>
      <w:pPr>
        <w:ind w:firstLine="637"/>
        <w:spacing w:after="0" w:line="249" w:lineRule="auto"/>
        <w:rPr>
          <w:sz w:val="20"/>
          <w:szCs w:val="20"/>
          <w:color w:val="auto"/>
        </w:rPr>
      </w:pPr>
      <w:r>
        <w:rPr>
          <w:rFonts w:ascii="Arial" w:cs="Arial" w:eastAsia="Arial" w:hAnsi="Arial"/>
          <w:sz w:val="17"/>
          <w:szCs w:val="17"/>
          <w:color w:val="auto"/>
        </w:rPr>
        <w:t>Guidance is based upon a number of assumptions and estimates that, although presented with numerical specificity, are inherently subject to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estimated ranges. The principal reason that we release this guidance is to provide a basis for our management to discuss our business outlook with analysts and investors. We do not accept any responsibility for any projections or reports published by any third parties. Moreover, even if we do issue public guidance, there can be no assurance that we will continue to do so in the future.</w:t>
      </w:r>
    </w:p>
    <w:p>
      <w:pPr>
        <w:spacing w:after="0" w:line="163" w:lineRule="exact"/>
        <w:rPr>
          <w:sz w:val="20"/>
          <w:szCs w:val="20"/>
          <w:color w:val="auto"/>
        </w:rPr>
      </w:pPr>
    </w:p>
    <w:p>
      <w:pPr>
        <w:ind w:right="40" w:firstLine="637"/>
        <w:spacing w:after="0" w:line="253" w:lineRule="auto"/>
        <w:rPr>
          <w:sz w:val="20"/>
          <w:szCs w:val="20"/>
          <w:color w:val="auto"/>
        </w:rPr>
      </w:pPr>
      <w:r>
        <w:rPr>
          <w:rFonts w:ascii="Arial" w:cs="Arial" w:eastAsia="Arial" w:hAnsi="Arial"/>
          <w:sz w:val="17"/>
          <w:szCs w:val="17"/>
          <w:color w:val="auto"/>
        </w:rPr>
        <w:t>Guidance is necessarily speculative in nature, and it can be expected that some or all of the assumptions underlying the guidance furnished by us will not materialize or will vary significantly from actual results. Our actual results may not always be in line with or exceed any guidance we have provided, especially in times of economic uncertainty. If, in the future, our operating or financial results for a particular period do not meet any guidance we provide or the expectations of investment analysts, or if we reduce our guidance for future periods, the market price of our common stock may decline.</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 sellers of our stock may be manipulative and may drive down the market price of our common stock.</w:t>
      </w:r>
    </w:p>
    <w:p>
      <w:pPr>
        <w:spacing w:after="0" w:line="103" w:lineRule="exact"/>
        <w:rPr>
          <w:sz w:val="20"/>
          <w:szCs w:val="20"/>
          <w:color w:val="auto"/>
        </w:rPr>
      </w:pPr>
    </w:p>
    <w:p>
      <w:pPr>
        <w:ind w:right="80" w:firstLine="637"/>
        <w:spacing w:after="0" w:line="249" w:lineRule="auto"/>
        <w:rPr>
          <w:sz w:val="20"/>
          <w:szCs w:val="20"/>
          <w:color w:val="auto"/>
        </w:rPr>
      </w:pPr>
      <w:r>
        <w:rPr>
          <w:rFonts w:ascii="Arial" w:cs="Arial" w:eastAsia="Arial" w:hAnsi="Arial"/>
          <w:sz w:val="17"/>
          <w:szCs w:val="17"/>
          <w:color w:val="auto"/>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spacing w:after="0" w:line="163" w:lineRule="exact"/>
        <w:rPr>
          <w:sz w:val="20"/>
          <w:szCs w:val="20"/>
          <w:color w:val="auto"/>
        </w:rPr>
      </w:pPr>
    </w:p>
    <w:p>
      <w:pPr>
        <w:ind w:right="40" w:firstLine="637"/>
        <w:spacing w:after="0" w:line="257" w:lineRule="auto"/>
        <w:rPr>
          <w:sz w:val="20"/>
          <w:szCs w:val="20"/>
          <w:color w:val="auto"/>
        </w:rPr>
      </w:pPr>
      <w:r>
        <w:rPr>
          <w:rFonts w:ascii="Arial" w:cs="Arial" w:eastAsia="Arial" w:hAnsi="Arial"/>
          <w:sz w:val="17"/>
          <w:szCs w:val="17"/>
          <w:color w:val="auto"/>
        </w:rPr>
        <w:t>As a public entity, we may be the subject of concerted efforts by short sellers to spread negative information in order to gain a market advantage. In addition, the publication of misinformation may also result in lawsuits, the uncertainty and expense of which could adversely impact our business, financial condition, and reputation. There are no assurances that we will not face short sellers' efforts or similar tactics in the future, and the market price of our common stock may decline as a result of their actions.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12" w:lineRule="exact"/>
        <w:rPr>
          <w:sz w:val="20"/>
          <w:szCs w:val="20"/>
          <w:color w:val="auto"/>
        </w:rPr>
      </w:pPr>
    </w:p>
    <w:p>
      <w:pPr>
        <w:ind w:right="100" w:firstLine="637"/>
        <w:spacing w:after="0" w:line="257" w:lineRule="auto"/>
        <w:rPr>
          <w:sz w:val="20"/>
          <w:szCs w:val="20"/>
          <w:color w:val="auto"/>
        </w:rPr>
      </w:pPr>
      <w:r>
        <w:rPr>
          <w:rFonts w:ascii="Arial" w:cs="Arial" w:eastAsia="Arial" w:hAnsi="Arial"/>
          <w:sz w:val="17"/>
          <w:szCs w:val="17"/>
          <w:color w:val="auto"/>
        </w:rPr>
        <w:t>Our corporate headquarters is located in New York, New York, and consists of approximately 22,549 square feet of space under a lease that expires in September 2024. We use these facilities for finance, legal, human resources, information technology, engineering, sales and marketing and other administrative functions. We also lease office space outside Houston, Texas, which we use to support our administrative functions, under leases that expire in March 2024 and December 2022.</w:t>
      </w:r>
    </w:p>
    <w:p>
      <w:pPr>
        <w:spacing w:after="0" w:line="118" w:lineRule="exact"/>
        <w:rPr>
          <w:sz w:val="20"/>
          <w:szCs w:val="20"/>
          <w:color w:val="auto"/>
        </w:rPr>
      </w:pPr>
    </w:p>
    <w:p>
      <w:pPr>
        <w:ind w:firstLine="637"/>
        <w:spacing w:after="0" w:line="290" w:lineRule="auto"/>
        <w:rPr>
          <w:sz w:val="20"/>
          <w:szCs w:val="20"/>
          <w:color w:val="auto"/>
        </w:rPr>
      </w:pPr>
      <w:r>
        <w:rPr>
          <w:rFonts w:ascii="Arial" w:cs="Arial" w:eastAsia="Arial" w:hAnsi="Arial"/>
          <w:sz w:val="17"/>
          <w:szCs w:val="17"/>
          <w:color w:val="auto"/>
        </w:rPr>
        <w:t>Additionally, we operate our Vroom VRC located outside Houston, Texas, under leases that expire in December 2023. We use our Vroom VRC to recondition vehicles.</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also operate the TDA dealership outside Houston, Texas under a lease that expires in September 2024.</w:t>
      </w:r>
    </w:p>
    <w:p>
      <w:pPr>
        <w:spacing w:after="0" w:line="210" w:lineRule="exact"/>
        <w:rPr>
          <w:sz w:val="20"/>
          <w:szCs w:val="20"/>
          <w:color w:val="auto"/>
        </w:rPr>
      </w:pPr>
    </w:p>
    <w:p>
      <w:pPr>
        <w:ind w:right="380" w:firstLine="637"/>
        <w:spacing w:after="0" w:line="290" w:lineRule="auto"/>
        <w:rPr>
          <w:sz w:val="20"/>
          <w:szCs w:val="20"/>
          <w:color w:val="auto"/>
        </w:rPr>
      </w:pPr>
      <w:r>
        <w:rPr>
          <w:rFonts w:ascii="Arial" w:cs="Arial" w:eastAsia="Arial" w:hAnsi="Arial"/>
          <w:sz w:val="17"/>
          <w:szCs w:val="17"/>
          <w:color w:val="auto"/>
        </w:rPr>
        <w:t>We believe our existing and planned facilities are sufficient for our current needs and that, should it be needed, suitable additional or alternative space will be available to accommodate our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12" w:lineRule="exact"/>
        <w:rPr>
          <w:sz w:val="20"/>
          <w:szCs w:val="20"/>
          <w:color w:val="auto"/>
        </w:rPr>
      </w:pPr>
    </w:p>
    <w:p>
      <w:pPr>
        <w:ind w:right="160" w:firstLine="637"/>
        <w:spacing w:after="0" w:line="265" w:lineRule="auto"/>
        <w:rPr>
          <w:sz w:val="20"/>
          <w:szCs w:val="20"/>
          <w:color w:val="auto"/>
        </w:rPr>
      </w:pPr>
      <w:r>
        <w:rPr>
          <w:rFonts w:ascii="Arial" w:cs="Arial" w:eastAsia="Arial" w:hAnsi="Arial"/>
          <w:sz w:val="17"/>
          <w:szCs w:val="17"/>
          <w:color w:val="auto"/>
        </w:rPr>
        <w:t>From time to time, we are subject to routine legal proceedings in the normal course of operating our business. Although the outcome of litigation is inherently difficult to predict, we are not involved in any legal proceedings that we believe could reasonably be expected to have a material adverse effect on our business, financial condition or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28"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INFORMATION ABOUT OUR EXECUTIVE OFFICERS AND DIRECTORS</w:t>
      </w:r>
    </w:p>
    <w:p>
      <w:pPr>
        <w:spacing w:after="0" w:line="9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information regarding our executive officers and directors as of the date of this Annual Report on Form 10-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K.</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Name</w:t>
            </w:r>
          </w:p>
        </w:tc>
        <w:tc>
          <w:tcPr>
            <w:tcW w:w="2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b w:val="1"/>
                <w:bCs w:val="1"/>
                <w:color w:val="auto"/>
              </w:rPr>
              <w:t>Age</w:t>
            </w:r>
          </w:p>
        </w:tc>
        <w:tc>
          <w:tcPr>
            <w:tcW w:w="6960" w:type="dxa"/>
            <w:vAlign w:val="bottom"/>
            <w:gridSpan w:val="2"/>
            <w:vMerge w:val="restart"/>
          </w:tcPr>
          <w:p>
            <w:pPr>
              <w:ind w:left="260"/>
              <w:spacing w:after="0"/>
              <w:rPr>
                <w:sz w:val="20"/>
                <w:szCs w:val="20"/>
                <w:color w:val="auto"/>
              </w:rPr>
            </w:pPr>
            <w:r>
              <w:rPr>
                <w:rFonts w:ascii="Arial" w:cs="Arial" w:eastAsia="Arial" w:hAnsi="Arial"/>
                <w:sz w:val="17"/>
                <w:szCs w:val="17"/>
                <w:b w:val="1"/>
                <w:bCs w:val="1"/>
                <w:color w:val="auto"/>
              </w:rPr>
              <w:t>Position(s)</w:t>
            </w:r>
          </w:p>
        </w:tc>
        <w:tc>
          <w:tcPr>
            <w:tcW w:w="0" w:type="dxa"/>
            <w:vAlign w:val="bottom"/>
          </w:tcPr>
          <w:p>
            <w:pPr>
              <w:spacing w:after="0"/>
              <w:rPr>
                <w:sz w:val="1"/>
                <w:szCs w:val="1"/>
                <w:color w:val="auto"/>
              </w:rPr>
            </w:pPr>
          </w:p>
        </w:tc>
      </w:tr>
      <w:tr>
        <w:trPr>
          <w:trHeight w:val="126"/>
        </w:trPr>
        <w:tc>
          <w:tcPr>
            <w:tcW w:w="36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auto"/>
            </w:tcBorders>
          </w:tcPr>
          <w:p>
            <w:pPr>
              <w:spacing w:after="0"/>
              <w:rPr>
                <w:sz w:val="19"/>
                <w:szCs w:val="19"/>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Robert J. Mylod, Jr.</w:t>
            </w:r>
          </w:p>
        </w:tc>
        <w:tc>
          <w:tcPr>
            <w:tcW w:w="2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60" w:type="dxa"/>
            <w:vAlign w:val="bottom"/>
            <w:tcBorders>
              <w:top w:val="single" w:sz="8" w:color="CCEEFF"/>
            </w:tcBorders>
            <w:shd w:val="clear" w:color="auto" w:fill="CCEEFF"/>
          </w:tcPr>
          <w:p>
            <w:pPr>
              <w:spacing w:after="0"/>
              <w:rPr>
                <w:sz w:val="19"/>
                <w:szCs w:val="19"/>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Chairperson of the Board</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3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960" w:type="dxa"/>
            <w:vAlign w:val="bottom"/>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Scott A. Dahnke</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6960" w:type="dxa"/>
            <w:vAlign w:val="bottom"/>
            <w:gridSpan w:val="2"/>
          </w:tcPr>
          <w:p>
            <w:pPr>
              <w:ind w:left="2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3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9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Michael J. Farello</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69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3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960" w:type="dxa"/>
            <w:vAlign w:val="bottom"/>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Laura W. Lang</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65</w:t>
            </w:r>
          </w:p>
        </w:tc>
        <w:tc>
          <w:tcPr>
            <w:tcW w:w="6960" w:type="dxa"/>
            <w:vAlign w:val="bottom"/>
            <w:gridSpan w:val="2"/>
          </w:tcPr>
          <w:p>
            <w:pPr>
              <w:ind w:left="2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3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9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Laura G. O’Shaughnessy</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69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3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960" w:type="dxa"/>
            <w:vAlign w:val="bottom"/>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Adam Valkin</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46</w:t>
            </w:r>
          </w:p>
        </w:tc>
        <w:tc>
          <w:tcPr>
            <w:tcW w:w="6960" w:type="dxa"/>
            <w:vAlign w:val="bottom"/>
            <w:gridSpan w:val="2"/>
          </w:tcPr>
          <w:p>
            <w:pPr>
              <w:ind w:left="2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3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9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Paul J. Hennessy</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69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Chief Executive Officer, Director</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3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960" w:type="dxa"/>
            <w:vAlign w:val="bottom"/>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David K. Jones</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51</w:t>
            </w:r>
          </w:p>
        </w:tc>
        <w:tc>
          <w:tcPr>
            <w:tcW w:w="6960" w:type="dxa"/>
            <w:vAlign w:val="bottom"/>
            <w:gridSpan w:val="2"/>
          </w:tcPr>
          <w:p>
            <w:pPr>
              <w:ind w:left="26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3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9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Mark E. Roszkowski</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69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Chief Revenue Officer</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3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960" w:type="dxa"/>
            <w:vAlign w:val="bottom"/>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Patricia Moran</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61</w:t>
            </w:r>
          </w:p>
        </w:tc>
        <w:tc>
          <w:tcPr>
            <w:tcW w:w="6960" w:type="dxa"/>
            <w:vAlign w:val="bottom"/>
            <w:gridSpan w:val="2"/>
          </w:tcPr>
          <w:p>
            <w:pPr>
              <w:ind w:left="260"/>
              <w:spacing w:after="0"/>
              <w:rPr>
                <w:sz w:val="20"/>
                <w:szCs w:val="20"/>
                <w:color w:val="auto"/>
              </w:rPr>
            </w:pPr>
            <w:r>
              <w:rPr>
                <w:rFonts w:ascii="Arial" w:cs="Arial" w:eastAsia="Arial" w:hAnsi="Arial"/>
                <w:sz w:val="17"/>
                <w:szCs w:val="17"/>
                <w:color w:val="auto"/>
              </w:rPr>
              <w:t>Chief Legal Officer and Secretary</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3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9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C. Denise Stott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69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Chief People and Culture Officer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line="246" w:lineRule="auto"/>
        <w:rPr>
          <w:sz w:val="20"/>
          <w:szCs w:val="20"/>
          <w:color w:val="auto"/>
        </w:rPr>
      </w:pPr>
      <w:r>
        <w:rPr>
          <w:rFonts w:ascii="Arial" w:cs="Arial" w:eastAsia="Arial" w:hAnsi="Arial"/>
          <w:sz w:val="17"/>
          <w:szCs w:val="17"/>
          <w:b w:val="1"/>
          <w:bCs w:val="1"/>
          <w:i w:val="1"/>
          <w:iCs w:val="1"/>
          <w:color w:val="auto"/>
        </w:rPr>
        <w:t xml:space="preserve">Robert J. Mylod, Jr. </w:t>
      </w:r>
      <w:r>
        <w:rPr>
          <w:rFonts w:ascii="Arial" w:cs="Arial" w:eastAsia="Arial" w:hAnsi="Arial"/>
          <w:sz w:val="17"/>
          <w:szCs w:val="17"/>
          <w:color w:val="auto"/>
        </w:rPr>
        <w:t>has served as a member of our board of directors since September 2015. Mr. Mylod is the Managing Partner of Annox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Management, a private investment firm that he founded in 2013. Previously, Mr. Mylod served as Head of Worldwide Strategy &amp; Planning and Vice Chairman for Bookings Holdings, Inc., an online travel services provider, from January 2009 to March 2011 and as its Chief Financial Officer and Vice Chairman from November 2000 to January 2009. He currently serves as the Chairman of the board of directors and a member of the compensation committee of Booking Holdings, Inc. Mr. Mylod also currently serves as a member of the board of directors and of the audit committee of Redfin Corporation, an online real estate company. He is also a member of the board of directors and of the audit and compensation committees of Dropbox, Inc., a cloud-based collaboration and data storage company, and a number of private companies. Mr. Mylod holds a Master of Business Administration from the University of Chicago Booth School of Business and a Bachelor of Arts in English from the University of Michigan. We believe that Mr. Mylod’s experience as a venture capital investor and a senior finance executive, including having served as the chief financial officer and vice chairman of a large publicly traded online services provider, qualifies him to serve on our board of directors.</w:t>
      </w:r>
    </w:p>
    <w:p>
      <w:pPr>
        <w:spacing w:after="0" w:line="168"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b w:val="1"/>
          <w:bCs w:val="1"/>
          <w:i w:val="1"/>
          <w:iCs w:val="1"/>
          <w:color w:val="auto"/>
        </w:rPr>
        <w:t xml:space="preserve">Scott A. Dahnke </w:t>
      </w:r>
      <w:r>
        <w:rPr>
          <w:rFonts w:ascii="Arial" w:cs="Arial" w:eastAsia="Arial" w:hAnsi="Arial"/>
          <w:sz w:val="17"/>
          <w:szCs w:val="17"/>
          <w:color w:val="auto"/>
        </w:rPr>
        <w:t>has served on our board of directors since July 2015. Since 2016, Mr. Dahnke has served as co-Chief Executive Officer of 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Catterton, a consumer-focused private equity firm, after previously serving as Managing Partner from 2003 to 2015. Prior to that, he was Managing Director of Deutsche Bank Capital Partners, the former private equity division of Deutsche Bank AG, from 2002 to 2003, and Managing Director of AEA Investors from 1998 to 2002. Previously, Mr. Dahnke was Chief Executive Officer of infoGROUP (formerly known as InfoUSA), a provider of data and data-driven marketing services, from 1997 to 1998. Prior to joining infoUSA, Mr. Dahnke served clients on an array of strategic and operational issues as a Partner at McKinsey &amp; Company. His early career also includes experience in the Merger Department of Goldman, Sachs &amp; Co. and with General Motors. Mr. Dahnke currently serves as Chairperson of the board of directors and of the compensation committee and the nominations, corporate governance and social responsibility committee of Williams Sonoma Inc. and as a member of the board of directors and of the technology, environmental safety and security committee of Norwegian Cruise Lines Holdings, as well as serving as a director of several private companies. Mr. Dahnke holds a Bachelor of Science from the University of Notre Dame and a Master of Business Administration from Harvard Business School. We believe Mr. Dahnke’s experience in private equity investment and expertise in the ecommerce, retail and consumer industry along with his service as a director at numerous companies qualifies him to serve on our board of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Michael Farello </w:t>
      </w:r>
      <w:r>
        <w:rPr>
          <w:rFonts w:ascii="Arial" w:cs="Arial" w:eastAsia="Arial" w:hAnsi="Arial"/>
          <w:sz w:val="17"/>
          <w:szCs w:val="17"/>
          <w:color w:val="auto"/>
        </w:rPr>
        <w:t>has served on our board of directors since July 2015. Since 2006, Mr. Farello has served as Managing Partner at L Catterton,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consumer-focused private equity firm. Prior to this, he served as an executive at Dell Technologies, Inc., a global end-to-end technology provider, from 2002 to 2005, and spent twelve years at McKinsey &amp; Company, a management consulting firm. Mr. Farello currently serves as a member of the board of directors of several private companies including FlashParking, Inc. and ClassPass Inc. Mr. Farello holds a Bachelor of Science from Stanford University and a Master of Business Administration from Harvard Business School. We believe Mr. Farello’s experience in private equity investments and expertise in the consumer sector, along with his service as a director at numerous companies qualifies him to serve on our board of directors.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Laura W. Lang </w:t>
      </w:r>
      <w:r>
        <w:rPr>
          <w:rFonts w:ascii="Arial" w:cs="Arial" w:eastAsia="Arial" w:hAnsi="Arial"/>
          <w:sz w:val="17"/>
          <w:szCs w:val="17"/>
          <w:color w:val="auto"/>
        </w:rPr>
        <w:t>has served on our board of directors since May 2020. Ms. Lang has served as the Managing Director of Narragansett Ventures,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LLC, a strategic advisory firm focused on digital business transformation and growth investing, since January 2014. Since November 2018,</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Ms. Lang has also served as an adviser to L Catterton. Ms. Lang was the Chief Executive Officer of Time Inc., one of the largest branded media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companies in the world, until 2013. From 2008 until she joined Time Inc. in 2012, Ms. Lang was Chief Executive Officer of Digitas Inc.,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marketing and technology agency and unit of Publicis Groupe S.A. In addition, she headed the company’s pure-play digital agencies, including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Razorfish, Big Fuel, Denuo and Phonevalley. Ms. Lang currently serves as a member of the board of directors and the talent and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and finance committees of V. F. Corporation, an international apparel and footwear company. She previously served as a member of the board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directors of Care.com Inc. from August 2014 to June 2016, Nutrisystem, Inc. from 2010 to 2012 and Benchmark Electronics, Inc. from 2005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2011. Ms. Lang holds a Bachelor of Arts from Tufts University and a Master of Business Administration from the Wharton School of the University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 Pennsylvania. We believe Ms. Lang’s extensive leadership experience, digital and media expertise and service on the board of directors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other public companies qualifies her to serve on our board of directors.</w:t>
      </w:r>
    </w:p>
    <w:p>
      <w:pPr>
        <w:spacing w:after="0" w:line="188"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b w:val="1"/>
          <w:bCs w:val="1"/>
          <w:i w:val="1"/>
          <w:iCs w:val="1"/>
          <w:color w:val="auto"/>
        </w:rPr>
        <w:t xml:space="preserve">Laura G. O’Shaughnessy </w:t>
      </w:r>
      <w:r>
        <w:rPr>
          <w:rFonts w:ascii="Arial" w:cs="Arial" w:eastAsia="Arial" w:hAnsi="Arial"/>
          <w:sz w:val="17"/>
          <w:szCs w:val="17"/>
          <w:color w:val="auto"/>
        </w:rPr>
        <w:t>has served on our board of directors since May 2020. Until recently, Ms. O’Shaughnessy was the Chief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of SocialCode, LLC, a technology company that manages digital and social advertising for leading consumer brands, which she co-founded in 2009. Previously, Ms. O’Shaughnessy oversaw business development and product strategy for the Slate Group, an online publisher, where she specialized in advertising product development and strategic partnerships. Ms. O’Shaughnessy currently serves as a member of the board of directors of Acuity Brands and of several nonprofits. Ms. O’Shaughnessy holds a Master of Business Administration from the MIT Sloan School of Management and a Bachelor of Arts in Economics from the University of Chicago. We believe Ms. O’Shaughnessy’s leadership experience, including serving in a chief executive officer role, and digital and technology expertise qualifies her to serve on our board of directors.</w:t>
      </w:r>
    </w:p>
    <w:p>
      <w:pPr>
        <w:spacing w:after="0" w:line="16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b w:val="1"/>
          <w:bCs w:val="1"/>
          <w:i w:val="1"/>
          <w:iCs w:val="1"/>
          <w:color w:val="auto"/>
        </w:rPr>
        <w:t xml:space="preserve">Adam Valkin </w:t>
      </w:r>
      <w:r>
        <w:rPr>
          <w:rFonts w:ascii="Arial" w:cs="Arial" w:eastAsia="Arial" w:hAnsi="Arial"/>
          <w:sz w:val="17"/>
          <w:szCs w:val="17"/>
          <w:color w:val="auto"/>
        </w:rPr>
        <w:t>has served on our board of directors since December 2015. Since 2013, Mr. Valkin has served as Managing Director of General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Catalyst, a venture capital firm. Mr. Valkin currently serves on the boards of directors of several private companies. Mr. Valkin holds a Bachelor of Arts in Economics from Harvard University. We believe Mr. Valkin’s experience in private equity investments and expertise in consumer businesses, along with his service as a director at numerous companies qualifies him to serve on our board of directors.</w:t>
      </w:r>
    </w:p>
    <w:p>
      <w:pPr>
        <w:spacing w:after="0" w:line="157"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b w:val="1"/>
          <w:bCs w:val="1"/>
          <w:i w:val="1"/>
          <w:iCs w:val="1"/>
          <w:color w:val="auto"/>
        </w:rPr>
        <w:t xml:space="preserve">Paul J. Hennessy </w:t>
      </w:r>
      <w:r>
        <w:rPr>
          <w:rFonts w:ascii="Arial" w:cs="Arial" w:eastAsia="Arial" w:hAnsi="Arial"/>
          <w:sz w:val="17"/>
          <w:szCs w:val="17"/>
          <w:color w:val="auto"/>
        </w:rPr>
        <w:t>has served as our Chief Executive Officer and as a member of our board of directors since June 2016. Mr. Hennessy has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 years of global ecommerce leadership experience, previously serving in several leadership roles for Booking Holdings, Inc. (“Booking Holdings”), a world leader in online travel. At Booking Holdings, he most recently served as Chief Executive Officer of Priceline.com, a leading online travel agency for finding discount rates for travel-related purchases, from April 2015 to June 2016, and as Chief Marketing Officer of Booking.com, a leading online service for booking accommodation reservations, from November 2011 to March 2015. Mr. Hennessy also currently serves on the board of directors of Shutterstock Inc. Mr. Hennessy holds a Bachelor of Science in Marketing Management from Dominican College and a Master of Business Administration from Long Island University. Mr. Hennessy was selected to serve on our board of directors based on his deep experience and the perspective he brings as our Chief Executive Officer, as well as his extensive prior ecommerce leadership experience, driving growth strategies and optimizing operations and marketing for profitability.</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7"/>
          <w:szCs w:val="17"/>
          <w:b w:val="1"/>
          <w:bCs w:val="1"/>
          <w:i w:val="1"/>
          <w:iCs w:val="1"/>
          <w:color w:val="auto"/>
        </w:rPr>
        <w:t xml:space="preserve">David K. Jones </w:t>
      </w:r>
      <w:r>
        <w:rPr>
          <w:rFonts w:ascii="Arial" w:cs="Arial" w:eastAsia="Arial" w:hAnsi="Arial"/>
          <w:sz w:val="17"/>
          <w:szCs w:val="17"/>
          <w:color w:val="auto"/>
        </w:rPr>
        <w:t>has served as our Chief Financial Officer since November 2018. Prior to joining Vroom, he served as Executive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Chief Financial Officer of Iconix Brand Group, Inc., a global brand management company, from July 2015 to November 2018. From May 2011 to July 2015, Mr. Jones served as Executive Vice President and Chief Financial Officer of Penske Automotive Group, an international transportation services company operating automotive and commercial truck dealerships. Mr. Jones joined Penske Automotive Group in 2003 and served in various senior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management roles through May 2011. He began his career in public accounting at Andersen LLP and remained there for over a decade.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Mr. Jones holds a Bachelor of Business Administration in Accounting from Seton Hall University.</w:t>
      </w:r>
    </w:p>
    <w:p>
      <w:pPr>
        <w:spacing w:after="0" w:line="188"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b w:val="1"/>
          <w:bCs w:val="1"/>
          <w:i w:val="1"/>
          <w:iCs w:val="1"/>
          <w:color w:val="auto"/>
        </w:rPr>
        <w:t xml:space="preserve">Mark E. Roszkowski </w:t>
      </w:r>
      <w:r>
        <w:rPr>
          <w:rFonts w:ascii="Arial" w:cs="Arial" w:eastAsia="Arial" w:hAnsi="Arial"/>
          <w:sz w:val="17"/>
          <w:szCs w:val="17"/>
          <w:color w:val="auto"/>
        </w:rPr>
        <w:t>has served as our Chief Revenue Officer since February 2019. Prior to joining Vroom, Mr. Roszkowski served as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Global Head of Corporate Development, Strategy and Strategic Partnerships of Verizon Media, the media and online businesses division of Verizon Communications Inc., from June 2017 to January 2019. He previously served as Senior Vice President, Global Head of Corporate Development, Strategy and Strategic Partnerships of AOL Inc., a web portal and online service provider, from June 2014 through its sale to Verizon in June 2015 and subsequently until June 2017. Mr. Roszkowski holds a B.S. in Mechanical Engineering from Worcester Polytechnic Institute, a Master of Science in Mechanical Engineering from the University of Rochester and a Master of Business Administration from Massachusetts Institute of Technology.</w:t>
      </w:r>
    </w:p>
    <w:p>
      <w:pPr>
        <w:spacing w:after="0" w:line="163"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b w:val="1"/>
          <w:bCs w:val="1"/>
          <w:i w:val="1"/>
          <w:iCs w:val="1"/>
          <w:color w:val="auto"/>
        </w:rPr>
        <w:t xml:space="preserve">Patricia Moran </w:t>
      </w:r>
      <w:r>
        <w:rPr>
          <w:rFonts w:ascii="Arial" w:cs="Arial" w:eastAsia="Arial" w:hAnsi="Arial"/>
          <w:sz w:val="17"/>
          <w:szCs w:val="17"/>
          <w:color w:val="auto"/>
        </w:rPr>
        <w:t>has served as our Chief Legal Officer and Secretary since January 2019. Previously, Ms. Moran was a Managing Director,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Legal Officer and Secretary of Greenhill &amp; Co. Inc., a publicly traded, global independent investment bank, from April 2014 to October 2016, and a Senior Advisor from November 2016 to April 2017. Prior to joining Greenhill, Ms. Moran was a Partner at Skadden, Arps, Slate, Meagher &amp; Flom LLP, a leading global law firm where she had a 30-year career and chaired the New York office Diversity Committee. Ms. Moran has broad experience in corporate governance and corporate transactions, including mergers and acquisitions, private equity, joint ventures, restructurings and corporation finance. Ms. Moran holds a Bachelor of Science from the University of Scranton and a Juris Doctor from the Villanova University School of Law.</w:t>
      </w:r>
    </w:p>
    <w:p>
      <w:pPr>
        <w:spacing w:after="0" w:line="163"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i w:val="1"/>
          <w:iCs w:val="1"/>
          <w:color w:val="auto"/>
        </w:rPr>
        <w:t xml:space="preserve">C. Denise Stott </w:t>
      </w:r>
      <w:r>
        <w:rPr>
          <w:rFonts w:ascii="Arial" w:cs="Arial" w:eastAsia="Arial" w:hAnsi="Arial"/>
          <w:sz w:val="17"/>
          <w:szCs w:val="17"/>
          <w:color w:val="auto"/>
        </w:rPr>
        <w:t>has served as our Chief People and Culture Officer since November 2016. Previously, Ms. Stott was Senior Vice President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Human Resources at Undertone, a digital advertising company, from May 2013 to October 2016. Ms. Stott’s tenure at Undertone included leading the human resources function through multiple transformations including acquisitions and the eventual sale to a public company. From February 2010 until she joined Undertone, Ms. Stott was Vice President of Human Resources at Yodle, a leader in local online marketing, where she led people development through a focus on talent acquisition, employee engagement, employee training and compensation and benefits. Ms. Stott also served as Senior Vice President of Human Resources for ZenithOptimedia, a media and advertising services provider, from August 2007 to July 2009. Ms. Stott holds a Bachelor of Science in Mathematical Economics from Tulane University and a Master of Business Administration from Vanderbilt University.</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II</w:t>
      </w:r>
    </w:p>
    <w:p>
      <w:pPr>
        <w:spacing w:after="0" w:line="210" w:lineRule="exact"/>
        <w:rPr>
          <w:sz w:val="20"/>
          <w:szCs w:val="20"/>
          <w:color w:val="auto"/>
        </w:rPr>
      </w:pPr>
    </w:p>
    <w:p>
      <w:pPr>
        <w:ind w:right="1240"/>
        <w:spacing w:after="0" w:line="346"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360" w:firstLine="637"/>
        <w:spacing w:after="0" w:line="290" w:lineRule="auto"/>
        <w:rPr>
          <w:sz w:val="20"/>
          <w:szCs w:val="20"/>
          <w:color w:val="auto"/>
        </w:rPr>
      </w:pPr>
      <w:r>
        <w:rPr>
          <w:rFonts w:ascii="Arial" w:cs="Arial" w:eastAsia="Arial" w:hAnsi="Arial"/>
          <w:sz w:val="17"/>
          <w:szCs w:val="17"/>
          <w:color w:val="auto"/>
        </w:rPr>
        <w:t>On June 9, 2020, our common stock began trading on the Nasdaq Global Select Market under the ticker symbol "VRM." Prior to that date, there was no public trading market for our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94" w:lineRule="exact"/>
        <w:rPr>
          <w:sz w:val="20"/>
          <w:szCs w:val="20"/>
          <w:color w:val="auto"/>
        </w:rPr>
      </w:pPr>
    </w:p>
    <w:p>
      <w:pPr>
        <w:ind w:right="180" w:firstLine="637"/>
        <w:spacing w:after="0" w:line="257" w:lineRule="auto"/>
        <w:rPr>
          <w:sz w:val="20"/>
          <w:szCs w:val="20"/>
          <w:color w:val="auto"/>
        </w:rPr>
      </w:pPr>
      <w:r>
        <w:rPr>
          <w:rFonts w:ascii="Arial" w:cs="Arial" w:eastAsia="Arial" w:hAnsi="Arial"/>
          <w:sz w:val="17"/>
          <w:szCs w:val="17"/>
          <w:color w:val="auto"/>
        </w:rPr>
        <w:t>We are authorized to issue up to 500,000,000 shares of common stock and up to 10,000,000 shares of preferred stock. As of March 1, 2021, there were 40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94" w:lineRule="exact"/>
        <w:rPr>
          <w:sz w:val="20"/>
          <w:szCs w:val="20"/>
          <w:color w:val="auto"/>
        </w:rPr>
      </w:pPr>
    </w:p>
    <w:p>
      <w:pPr>
        <w:ind w:firstLine="637"/>
        <w:spacing w:after="0" w:line="290" w:lineRule="auto"/>
        <w:rPr>
          <w:sz w:val="20"/>
          <w:szCs w:val="20"/>
          <w:color w:val="auto"/>
        </w:rPr>
      </w:pPr>
      <w:r>
        <w:rPr>
          <w:rFonts w:ascii="Arial" w:cs="Arial" w:eastAsia="Arial" w:hAnsi="Arial"/>
          <w:sz w:val="17"/>
          <w:szCs w:val="17"/>
          <w:color w:val="auto"/>
        </w:rPr>
        <w:t>We have not declared or paid any cash dividends on our common stock during the fiscal year and do not currently anticipate paying cash dividends in the foreseeable future.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36" w:lineRule="exact"/>
        <w:rPr>
          <w:sz w:val="20"/>
          <w:szCs w:val="20"/>
          <w:color w:val="auto"/>
        </w:rPr>
      </w:pPr>
    </w:p>
    <w:p>
      <w:pPr>
        <w:ind w:firstLine="637"/>
        <w:spacing w:after="0" w:line="264" w:lineRule="auto"/>
        <w:rPr>
          <w:sz w:val="20"/>
          <w:szCs w:val="20"/>
          <w:color w:val="auto"/>
        </w:rPr>
      </w:pPr>
      <w:r>
        <w:rPr>
          <w:rFonts w:ascii="Arial" w:cs="Arial" w:eastAsia="Arial" w:hAnsi="Arial"/>
          <w:sz w:val="17"/>
          <w:szCs w:val="17"/>
          <w:i w:val="1"/>
          <w:iCs w:val="1"/>
          <w:color w:val="auto"/>
        </w:rPr>
        <w:t>The information contained in this Stock Performance Graph section shall not be deemed to be “soliciting material” or “filed” or incorporated by reference in future filings with the SEC, or subject to the liabilities of Section 18 of the Exchange Act, except to the extent that we specifically incorporate it by reference into a document filed under the Securities Act or the Exchange Act.</w:t>
      </w:r>
    </w:p>
    <w:p>
      <w:pPr>
        <w:spacing w:after="0" w:line="86" w:lineRule="exact"/>
        <w:rPr>
          <w:sz w:val="20"/>
          <w:szCs w:val="20"/>
          <w:color w:val="auto"/>
        </w:rPr>
      </w:pPr>
    </w:p>
    <w:p>
      <w:pPr>
        <w:ind w:firstLine="637"/>
        <w:spacing w:after="0" w:line="257" w:lineRule="auto"/>
        <w:rPr>
          <w:sz w:val="20"/>
          <w:szCs w:val="20"/>
          <w:color w:val="auto"/>
        </w:rPr>
      </w:pPr>
      <w:r>
        <w:rPr>
          <w:rFonts w:ascii="Arial" w:cs="Arial" w:eastAsia="Arial" w:hAnsi="Arial"/>
          <w:sz w:val="17"/>
          <w:szCs w:val="17"/>
          <w:color w:val="auto"/>
        </w:rPr>
        <w:t>The following graph compares the total stockholder return from June 9, 2020, the date on which our common shares commenced trading on the Nasdaq Global Select Market, through December 31, 2020 of (i) our common stock, (ii) the Standard and Poor's 500 Stock Index ("S&amp;P 500") and (iii) the Standard and Poor's 500 Retailing Index ("S&amp;P 500 Retailing Index"), assuming an initial investment of $100 on June 9, 2020 including reinvestment of dividends where applicable. The results presented below are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205740</wp:posOffset>
            </wp:positionV>
            <wp:extent cx="4585970" cy="32899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85970" cy="3289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or affiliated purchasers</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94" w:lineRule="exact"/>
        <w:rPr>
          <w:sz w:val="20"/>
          <w:szCs w:val="20"/>
          <w:color w:val="auto"/>
        </w:rPr>
      </w:pPr>
    </w:p>
    <w:p>
      <w:pPr>
        <w:ind w:right="60" w:firstLine="637"/>
        <w:spacing w:after="0" w:line="290" w:lineRule="auto"/>
        <w:rPr>
          <w:sz w:val="20"/>
          <w:szCs w:val="20"/>
          <w:color w:val="auto"/>
        </w:rPr>
      </w:pPr>
      <w:r>
        <w:rPr>
          <w:rFonts w:ascii="Arial" w:cs="Arial" w:eastAsia="Arial" w:hAnsi="Arial"/>
          <w:sz w:val="17"/>
          <w:szCs w:val="17"/>
          <w:color w:val="auto"/>
        </w:rPr>
        <w:t>There were no unregistered equity securities sold from January 1, 2020 to December 31, 2020, other than as previously disclosed in our Quarterly Reports on Form 10-Q.</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Proceeds from Public Offering of Common Stock</w:t>
      </w:r>
    </w:p>
    <w:p>
      <w:pPr>
        <w:spacing w:after="0" w:line="103" w:lineRule="exact"/>
        <w:rPr>
          <w:sz w:val="20"/>
          <w:szCs w:val="20"/>
          <w:color w:val="auto"/>
        </w:rPr>
      </w:pPr>
    </w:p>
    <w:p>
      <w:pPr>
        <w:ind w:right="400" w:firstLine="637"/>
        <w:spacing w:after="0" w:line="254" w:lineRule="auto"/>
        <w:rPr>
          <w:sz w:val="20"/>
          <w:szCs w:val="20"/>
          <w:color w:val="auto"/>
        </w:rPr>
      </w:pPr>
      <w:r>
        <w:rPr>
          <w:rFonts w:ascii="Arial" w:cs="Arial" w:eastAsia="Arial" w:hAnsi="Arial"/>
          <w:sz w:val="17"/>
          <w:szCs w:val="17"/>
          <w:color w:val="auto"/>
        </w:rPr>
        <w:t>On June 11, 2020, we completed our IPO. The offer and sale of all of the shares in the IPO were registered under the Securities Act pursuant to a registration statement on Form S-1 (File No. 333-238482), as amended, which was declared effective by the SEC on June 8,</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2020. There has been no material change in the planned use of proceeds from our IPO as described in our final prospectus filed with the SEC on June 9, 2020 pursuant to Rule 424(b)(4).</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12" w:lineRule="exact"/>
        <w:rPr>
          <w:sz w:val="20"/>
          <w:szCs w:val="20"/>
          <w:color w:val="auto"/>
        </w:rPr>
      </w:pPr>
    </w:p>
    <w:p>
      <w:pPr>
        <w:ind w:right="100" w:firstLine="762"/>
        <w:spacing w:after="0" w:line="249" w:lineRule="auto"/>
        <w:rPr>
          <w:sz w:val="20"/>
          <w:szCs w:val="20"/>
          <w:color w:val="auto"/>
        </w:rPr>
      </w:pPr>
      <w:r>
        <w:rPr>
          <w:rFonts w:ascii="Arial" w:cs="Arial" w:eastAsia="Arial" w:hAnsi="Arial"/>
          <w:sz w:val="17"/>
          <w:szCs w:val="17"/>
          <w:color w:val="auto"/>
        </w:rPr>
        <w:t>The following tables present our selected consolidated financial and other data. We have derived the selected consolidated statements of operations data for the years ended December 31, 2020, 2019, and 2018 and the consolidated balance sheet data as of December 31, 2020 and 2019 from our consolidated financial statements included elsewhere in this Annual Report on Form 10-K. You should read the following selected consolidated financial and other data together with the information under the section titled “Management’s Discussion and Analysis of Financial Condition and Results of Operations,” and our consolidated financial statements and related notes included elsewhere in this Annual Report on Form 10-K.</w:t>
      </w:r>
    </w:p>
    <w:p>
      <w:pPr>
        <w:jc w:val="center"/>
        <w:ind w:left="6500"/>
        <w:spacing w:after="0" w:line="235" w:lineRule="auto"/>
        <w:rPr>
          <w:sz w:val="20"/>
          <w:szCs w:val="20"/>
          <w:color w:val="auto"/>
        </w:rPr>
      </w:pPr>
      <w:r>
        <w:rPr>
          <w:rFonts w:ascii="Arial" w:cs="Arial" w:eastAsia="Arial" w:hAnsi="Arial"/>
          <w:sz w:val="14"/>
          <w:szCs w:val="14"/>
          <w:b w:val="1"/>
          <w:bCs w:val="1"/>
          <w:color w:val="auto"/>
        </w:rPr>
        <w:t>Year Ended</w:t>
      </w:r>
    </w:p>
    <w:p>
      <w:pPr>
        <w:jc w:val="center"/>
        <w:ind w:left="6500"/>
        <w:spacing w:after="0" w:line="228"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63"/>
        </w:trPr>
        <w:tc>
          <w:tcPr>
            <w:tcW w:w="1160" w:type="dxa"/>
            <w:vAlign w:val="bottom"/>
            <w:tcBorders>
              <w:bottom w:val="single" w:sz="8" w:color="CFF0FC"/>
            </w:tcBorders>
          </w:tcPr>
          <w:p>
            <w:pPr>
              <w:spacing w:after="0"/>
              <w:rPr>
                <w:sz w:val="14"/>
                <w:szCs w:val="14"/>
                <w:color w:val="auto"/>
              </w:rPr>
            </w:pPr>
          </w:p>
        </w:tc>
        <w:tc>
          <w:tcPr>
            <w:tcW w:w="5480" w:type="dxa"/>
            <w:vAlign w:val="bottom"/>
            <w:tcBorders>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2"/>
        </w:trPr>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40" w:type="dxa"/>
            <w:vAlign w:val="bottom"/>
            <w:gridSpan w:val="2"/>
          </w:tcPr>
          <w:p>
            <w:pPr>
              <w:spacing w:after="0"/>
              <w:rPr>
                <w:sz w:val="20"/>
                <w:szCs w:val="20"/>
                <w:color w:val="auto"/>
              </w:rPr>
            </w:pPr>
            <w:r>
              <w:rPr>
                <w:rFonts w:ascii="Arial" w:cs="Arial" w:eastAsia="Arial" w:hAnsi="Arial"/>
                <w:sz w:val="17"/>
                <w:szCs w:val="17"/>
                <w:color w:val="auto"/>
              </w:rPr>
              <w:t>Total revenue</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33"/>
              <w:spacing w:after="0"/>
              <w:rPr>
                <w:sz w:val="20"/>
                <w:szCs w:val="20"/>
                <w:color w:val="auto"/>
              </w:rPr>
            </w:pPr>
            <w:r>
              <w:rPr>
                <w:rFonts w:ascii="Arial" w:cs="Arial" w:eastAsia="Arial" w:hAnsi="Arial"/>
                <w:sz w:val="17"/>
                <w:szCs w:val="17"/>
                <w:color w:val="auto"/>
              </w:rPr>
              <w:t>1,357,700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1,191,821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855,429</w:t>
            </w:r>
          </w:p>
        </w:tc>
        <w:tc>
          <w:tcPr>
            <w:tcW w:w="0" w:type="dxa"/>
            <w:vAlign w:val="bottom"/>
          </w:tcPr>
          <w:p>
            <w:pPr>
              <w:spacing w:after="0"/>
              <w:rPr>
                <w:sz w:val="1"/>
                <w:szCs w:val="1"/>
                <w:color w:val="auto"/>
              </w:rPr>
            </w:pPr>
          </w:p>
        </w:tc>
      </w:tr>
      <w:tr>
        <w:trPr>
          <w:trHeight w:val="209"/>
        </w:trPr>
        <w:tc>
          <w:tcPr>
            <w:tcW w:w="66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sales</w:t>
            </w: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gridSpan w:val="2"/>
            <w:shd w:val="clear" w:color="auto" w:fill="CFF0FC"/>
          </w:tcPr>
          <w:p>
            <w:pPr>
              <w:jc w:val="right"/>
              <w:ind w:right="33"/>
              <w:spacing w:after="0"/>
              <w:rPr>
                <w:sz w:val="20"/>
                <w:szCs w:val="20"/>
                <w:color w:val="auto"/>
              </w:rPr>
            </w:pPr>
            <w:r>
              <w:rPr>
                <w:rFonts w:ascii="Arial" w:cs="Arial" w:eastAsia="Arial" w:hAnsi="Arial"/>
                <w:sz w:val="17"/>
                <w:szCs w:val="17"/>
                <w:color w:val="auto"/>
              </w:rPr>
              <w:t>1,286,155</w:t>
            </w:r>
          </w:p>
        </w:tc>
        <w:tc>
          <w:tcPr>
            <w:tcW w:w="1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1,133,962</w:t>
            </w: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794,622</w:t>
            </w:r>
          </w:p>
        </w:tc>
        <w:tc>
          <w:tcPr>
            <w:tcW w:w="0" w:type="dxa"/>
            <w:vAlign w:val="bottom"/>
          </w:tcPr>
          <w:p>
            <w:pPr>
              <w:spacing w:after="0"/>
              <w:rPr>
                <w:sz w:val="1"/>
                <w:szCs w:val="1"/>
                <w:color w:val="auto"/>
              </w:rPr>
            </w:pPr>
          </w:p>
        </w:tc>
      </w:tr>
      <w:tr>
        <w:trPr>
          <w:trHeight w:val="202"/>
        </w:trPr>
        <w:tc>
          <w:tcPr>
            <w:tcW w:w="6640" w:type="dxa"/>
            <w:vAlign w:val="bottom"/>
            <w:gridSpan w:val="2"/>
          </w:tcPr>
          <w:p>
            <w:pPr>
              <w:spacing w:after="0"/>
              <w:rPr>
                <w:sz w:val="20"/>
                <w:szCs w:val="20"/>
                <w:color w:val="auto"/>
              </w:rPr>
            </w:pPr>
            <w:r>
              <w:rPr>
                <w:rFonts w:ascii="Arial" w:cs="Arial" w:eastAsia="Arial" w:hAnsi="Arial"/>
                <w:sz w:val="17"/>
                <w:szCs w:val="17"/>
                <w:color w:val="auto"/>
              </w:rPr>
              <w:t>Total gross profit</w:t>
            </w:r>
          </w:p>
        </w:tc>
        <w:tc>
          <w:tcPr>
            <w:tcW w:w="260" w:type="dxa"/>
            <w:vAlign w:val="bottom"/>
          </w:tcPr>
          <w:p>
            <w:pPr>
              <w:spacing w:after="0"/>
              <w:rPr>
                <w:sz w:val="17"/>
                <w:szCs w:val="17"/>
                <w:color w:val="auto"/>
              </w:rPr>
            </w:pPr>
          </w:p>
        </w:tc>
        <w:tc>
          <w:tcPr>
            <w:tcW w:w="1160" w:type="dxa"/>
            <w:vAlign w:val="bottom"/>
            <w:gridSpan w:val="2"/>
          </w:tcPr>
          <w:p>
            <w:pPr>
              <w:jc w:val="right"/>
              <w:ind w:right="33"/>
              <w:spacing w:after="0"/>
              <w:rPr>
                <w:sz w:val="20"/>
                <w:szCs w:val="20"/>
                <w:color w:val="auto"/>
              </w:rPr>
            </w:pPr>
            <w:r>
              <w:rPr>
                <w:rFonts w:ascii="Arial" w:cs="Arial" w:eastAsia="Arial" w:hAnsi="Arial"/>
                <w:sz w:val="17"/>
                <w:szCs w:val="17"/>
                <w:color w:val="auto"/>
              </w:rPr>
              <w:t>71,545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57,859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60,807</w:t>
            </w:r>
          </w:p>
        </w:tc>
        <w:tc>
          <w:tcPr>
            <w:tcW w:w="0" w:type="dxa"/>
            <w:vAlign w:val="bottom"/>
          </w:tcPr>
          <w:p>
            <w:pPr>
              <w:spacing w:after="0"/>
              <w:rPr>
                <w:sz w:val="1"/>
                <w:szCs w:val="1"/>
                <w:color w:val="auto"/>
              </w:rPr>
            </w:pPr>
          </w:p>
        </w:tc>
      </w:tr>
      <w:tr>
        <w:trPr>
          <w:trHeight w:val="209"/>
        </w:trPr>
        <w:tc>
          <w:tcPr>
            <w:tcW w:w="66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Selling, general and administrative expenses</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33"/>
              <w:spacing w:after="0"/>
              <w:rPr>
                <w:sz w:val="20"/>
                <w:szCs w:val="20"/>
                <w:color w:val="auto"/>
              </w:rPr>
            </w:pPr>
            <w:r>
              <w:rPr>
                <w:rFonts w:ascii="Arial" w:cs="Arial" w:eastAsia="Arial" w:hAnsi="Arial"/>
                <w:sz w:val="17"/>
                <w:szCs w:val="17"/>
                <w:color w:val="auto"/>
              </w:rPr>
              <w:t>245,546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184,988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133,842</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Depreciation and amortization</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7"/>
                <w:szCs w:val="17"/>
                <w:color w:val="auto"/>
              </w:rPr>
              <w:t>4,598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6,019</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6,857</w:t>
            </w:r>
          </w:p>
        </w:tc>
        <w:tc>
          <w:tcPr>
            <w:tcW w:w="0" w:type="dxa"/>
            <w:vAlign w:val="bottom"/>
          </w:tcPr>
          <w:p>
            <w:pPr>
              <w:spacing w:after="0"/>
              <w:rPr>
                <w:sz w:val="1"/>
                <w:szCs w:val="1"/>
                <w:color w:val="auto"/>
              </w:rPr>
            </w:pPr>
          </w:p>
        </w:tc>
      </w:tr>
      <w:tr>
        <w:trPr>
          <w:trHeight w:val="202"/>
        </w:trPr>
        <w:tc>
          <w:tcPr>
            <w:tcW w:w="66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(178,599)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(133,148)</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(79,892)</w:t>
            </w:r>
          </w:p>
        </w:tc>
        <w:tc>
          <w:tcPr>
            <w:tcW w:w="0" w:type="dxa"/>
            <w:vAlign w:val="bottom"/>
          </w:tcPr>
          <w:p>
            <w:pPr>
              <w:spacing w:after="0"/>
              <w:rPr>
                <w:sz w:val="1"/>
                <w:szCs w:val="1"/>
                <w:color w:val="auto"/>
              </w:rPr>
            </w:pPr>
          </w:p>
        </w:tc>
      </w:tr>
      <w:tr>
        <w:trPr>
          <w:trHeight w:val="209"/>
        </w:trPr>
        <w:tc>
          <w:tcPr>
            <w:tcW w:w="664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260" w:type="dxa"/>
            <w:vAlign w:val="bottom"/>
          </w:tcPr>
          <w:p>
            <w:pPr>
              <w:spacing w:after="0"/>
              <w:rPr>
                <w:sz w:val="18"/>
                <w:szCs w:val="18"/>
                <w:color w:val="auto"/>
              </w:rPr>
            </w:pPr>
          </w:p>
        </w:tc>
        <w:tc>
          <w:tcPr>
            <w:tcW w:w="1160" w:type="dxa"/>
            <w:vAlign w:val="bottom"/>
            <w:gridSpan w:val="2"/>
          </w:tcPr>
          <w:p>
            <w:pPr>
              <w:jc w:val="right"/>
              <w:ind w:right="33"/>
              <w:spacing w:after="0"/>
              <w:rPr>
                <w:sz w:val="20"/>
                <w:szCs w:val="20"/>
                <w:color w:val="auto"/>
              </w:rPr>
            </w:pPr>
            <w:r>
              <w:rPr>
                <w:rFonts w:ascii="Arial" w:cs="Arial" w:eastAsia="Arial" w:hAnsi="Arial"/>
                <w:sz w:val="17"/>
                <w:szCs w:val="17"/>
                <w:color w:val="auto"/>
              </w:rPr>
              <w:t>9,656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14,596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8,513</w:t>
            </w:r>
          </w:p>
        </w:tc>
        <w:tc>
          <w:tcPr>
            <w:tcW w:w="0" w:type="dxa"/>
            <w:vAlign w:val="bottom"/>
          </w:tcPr>
          <w:p>
            <w:pPr>
              <w:spacing w:after="0"/>
              <w:rPr>
                <w:sz w:val="1"/>
                <w:szCs w:val="1"/>
                <w:color w:val="auto"/>
              </w:rPr>
            </w:pPr>
          </w:p>
        </w:tc>
      </w:tr>
      <w:tr>
        <w:trPr>
          <w:trHeight w:val="209"/>
        </w:trPr>
        <w:tc>
          <w:tcPr>
            <w:tcW w:w="66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Interest income</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(5,896)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(5,607)</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(3,135)</w:t>
            </w:r>
          </w:p>
        </w:tc>
        <w:tc>
          <w:tcPr>
            <w:tcW w:w="0" w:type="dxa"/>
            <w:vAlign w:val="bottom"/>
          </w:tcPr>
          <w:p>
            <w:pPr>
              <w:spacing w:after="0"/>
              <w:rPr>
                <w:sz w:val="1"/>
                <w:szCs w:val="1"/>
                <w:color w:val="auto"/>
              </w:rPr>
            </w:pPr>
          </w:p>
        </w:tc>
      </w:tr>
      <w:tr>
        <w:trPr>
          <w:trHeight w:val="209"/>
        </w:trPr>
        <w:tc>
          <w:tcPr>
            <w:tcW w:w="6640" w:type="dxa"/>
            <w:vAlign w:val="bottom"/>
            <w:gridSpan w:val="2"/>
          </w:tcPr>
          <w:p>
            <w:pPr>
              <w:spacing w:after="0"/>
              <w:rPr>
                <w:sz w:val="20"/>
                <w:szCs w:val="20"/>
                <w:color w:val="auto"/>
              </w:rPr>
            </w:pPr>
            <w:r>
              <w:rPr>
                <w:rFonts w:ascii="Arial" w:cs="Arial" w:eastAsia="Arial" w:hAnsi="Arial"/>
                <w:sz w:val="17"/>
                <w:szCs w:val="17"/>
                <w:color w:val="auto"/>
              </w:rPr>
              <w:t>Revaluation of preferred stock warrant</w:t>
            </w:r>
          </w:p>
        </w:tc>
        <w:tc>
          <w:tcPr>
            <w:tcW w:w="260" w:type="dxa"/>
            <w:vAlign w:val="bottom"/>
          </w:tcPr>
          <w:p>
            <w:pPr>
              <w:spacing w:after="0"/>
              <w:rPr>
                <w:sz w:val="18"/>
                <w:szCs w:val="18"/>
                <w:color w:val="auto"/>
              </w:rPr>
            </w:pPr>
          </w:p>
        </w:tc>
        <w:tc>
          <w:tcPr>
            <w:tcW w:w="1160" w:type="dxa"/>
            <w:vAlign w:val="bottom"/>
            <w:gridSpan w:val="2"/>
          </w:tcPr>
          <w:p>
            <w:pPr>
              <w:jc w:val="right"/>
              <w:ind w:right="33"/>
              <w:spacing w:after="0"/>
              <w:rPr>
                <w:sz w:val="20"/>
                <w:szCs w:val="20"/>
                <w:color w:val="auto"/>
              </w:rPr>
            </w:pPr>
            <w:r>
              <w:rPr>
                <w:rFonts w:ascii="Arial" w:cs="Arial" w:eastAsia="Arial" w:hAnsi="Arial"/>
                <w:sz w:val="17"/>
                <w:szCs w:val="17"/>
                <w:color w:val="auto"/>
              </w:rPr>
              <w:t>20,470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769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09"/>
        </w:trPr>
        <w:tc>
          <w:tcPr>
            <w:tcW w:w="66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 income, net</w:t>
            </w: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(114)</w:t>
            </w:r>
          </w:p>
        </w:tc>
        <w:tc>
          <w:tcPr>
            <w:tcW w:w="1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(96)</w:t>
            </w:r>
          </w:p>
        </w:tc>
        <w:tc>
          <w:tcPr>
            <w:tcW w:w="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(495)</w:t>
            </w:r>
          </w:p>
        </w:tc>
        <w:tc>
          <w:tcPr>
            <w:tcW w:w="0" w:type="dxa"/>
            <w:vAlign w:val="bottom"/>
          </w:tcPr>
          <w:p>
            <w:pPr>
              <w:spacing w:after="0"/>
              <w:rPr>
                <w:sz w:val="1"/>
                <w:szCs w:val="1"/>
                <w:color w:val="auto"/>
              </w:rPr>
            </w:pPr>
          </w:p>
        </w:tc>
      </w:tr>
      <w:tr>
        <w:trPr>
          <w:trHeight w:val="202"/>
        </w:trPr>
        <w:tc>
          <w:tcPr>
            <w:tcW w:w="6640" w:type="dxa"/>
            <w:vAlign w:val="bottom"/>
            <w:gridSpan w:val="2"/>
          </w:tcPr>
          <w:p>
            <w:pPr>
              <w:spacing w:after="0"/>
              <w:rPr>
                <w:sz w:val="20"/>
                <w:szCs w:val="20"/>
                <w:color w:val="auto"/>
              </w:rPr>
            </w:pPr>
            <w:r>
              <w:rPr>
                <w:rFonts w:ascii="Arial" w:cs="Arial" w:eastAsia="Arial" w:hAnsi="Arial"/>
                <w:sz w:val="17"/>
                <w:szCs w:val="17"/>
                <w:color w:val="auto"/>
              </w:rPr>
              <w:t>Loss before provision for income taxes</w:t>
            </w:r>
          </w:p>
        </w:tc>
        <w:tc>
          <w:tcPr>
            <w:tcW w:w="2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(202,715)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7"/>
                <w:szCs w:val="17"/>
                <w:color w:val="auto"/>
              </w:rPr>
              <w:t>(142,810)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(84,949)</w:t>
            </w:r>
          </w:p>
        </w:tc>
        <w:tc>
          <w:tcPr>
            <w:tcW w:w="0" w:type="dxa"/>
            <w:vAlign w:val="bottom"/>
          </w:tcPr>
          <w:p>
            <w:pPr>
              <w:spacing w:after="0"/>
              <w:rPr>
                <w:sz w:val="1"/>
                <w:szCs w:val="1"/>
                <w:color w:val="auto"/>
              </w:rPr>
            </w:pPr>
          </w:p>
        </w:tc>
      </w:tr>
      <w:tr>
        <w:trPr>
          <w:trHeight w:val="209"/>
        </w:trPr>
        <w:tc>
          <w:tcPr>
            <w:tcW w:w="66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Provision for income taxes</w:t>
            </w: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gridSpan w:val="2"/>
            <w:shd w:val="clear" w:color="auto" w:fill="CFF0FC"/>
          </w:tcPr>
          <w:p>
            <w:pPr>
              <w:jc w:val="right"/>
              <w:ind w:right="33"/>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168</w:t>
            </w: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42"/>
        </w:trPr>
        <w:tc>
          <w:tcPr>
            <w:tcW w:w="664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Net loss</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(202,799)</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(142,978)</w:t>
            </w:r>
          </w:p>
        </w:tc>
        <w:tc>
          <w:tcPr>
            <w:tcW w:w="1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(85,178)</w:t>
            </w:r>
          </w:p>
        </w:tc>
        <w:tc>
          <w:tcPr>
            <w:tcW w:w="0" w:type="dxa"/>
            <w:vAlign w:val="bottom"/>
          </w:tcPr>
          <w:p>
            <w:pPr>
              <w:spacing w:after="0"/>
              <w:rPr>
                <w:sz w:val="1"/>
                <w:szCs w:val="1"/>
                <w:color w:val="auto"/>
              </w:rPr>
            </w:pPr>
          </w:p>
        </w:tc>
      </w:tr>
      <w:tr>
        <w:trPr>
          <w:trHeight w:val="189"/>
        </w:trPr>
        <w:tc>
          <w:tcPr>
            <w:tcW w:w="6640" w:type="dxa"/>
            <w:vAlign w:val="bottom"/>
            <w:gridSpan w:val="2"/>
            <w:shd w:val="clear" w:color="auto" w:fill="CFF0FC"/>
          </w:tcPr>
          <w:p>
            <w:pPr>
              <w:spacing w:after="0" w:line="189" w:lineRule="exact"/>
              <w:rPr>
                <w:sz w:val="20"/>
                <w:szCs w:val="20"/>
                <w:color w:val="auto"/>
              </w:rPr>
            </w:pPr>
            <w:r>
              <w:rPr>
                <w:rFonts w:ascii="Arial" w:cs="Arial" w:eastAsia="Arial" w:hAnsi="Arial"/>
                <w:sz w:val="17"/>
                <w:szCs w:val="17"/>
                <w:color w:val="auto"/>
              </w:rPr>
              <w:t>Accretion of redeemable convertible preferred stock</w:t>
            </w:r>
          </w:p>
        </w:tc>
        <w:tc>
          <w:tcPr>
            <w:tcW w:w="26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gridSpan w:val="3"/>
            <w:shd w:val="clear" w:color="auto" w:fill="CFF0FC"/>
          </w:tcPr>
          <w:p>
            <w:pPr>
              <w:jc w:val="right"/>
              <w:spacing w:after="0" w:line="189" w:lineRule="exact"/>
              <w:rPr>
                <w:sz w:val="20"/>
                <w:szCs w:val="20"/>
                <w:color w:val="auto"/>
              </w:rPr>
            </w:pPr>
            <w:r>
              <w:rPr>
                <w:rFonts w:ascii="Arial" w:cs="Arial" w:eastAsia="Arial" w:hAnsi="Arial"/>
                <w:sz w:val="17"/>
                <w:szCs w:val="17"/>
                <w:color w:val="auto"/>
              </w:rPr>
              <w:t>(132,750)</w:t>
            </w:r>
          </w:p>
        </w:tc>
        <w:tc>
          <w:tcPr>
            <w:tcW w:w="16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(13,036)</w:t>
            </w:r>
          </w:p>
        </w:tc>
        <w:tc>
          <w:tcPr>
            <w:tcW w:w="0" w:type="dxa"/>
            <w:vAlign w:val="bottom"/>
          </w:tcPr>
          <w:p>
            <w:pPr>
              <w:spacing w:after="0"/>
              <w:rPr>
                <w:sz w:val="1"/>
                <w:szCs w:val="1"/>
                <w:color w:val="auto"/>
              </w:rPr>
            </w:pPr>
          </w:p>
        </w:tc>
      </w:tr>
      <w:tr>
        <w:trPr>
          <w:trHeight w:val="242"/>
        </w:trPr>
        <w:tc>
          <w:tcPr>
            <w:tcW w:w="664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Net loss attributable to common stockholders</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(202,799)</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(275,728)</w:t>
            </w:r>
          </w:p>
        </w:tc>
        <w:tc>
          <w:tcPr>
            <w:tcW w:w="1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(98,214)</w:t>
            </w:r>
          </w:p>
        </w:tc>
        <w:tc>
          <w:tcPr>
            <w:tcW w:w="0" w:type="dxa"/>
            <w:vAlign w:val="bottom"/>
          </w:tcPr>
          <w:p>
            <w:pPr>
              <w:spacing w:after="0"/>
              <w:rPr>
                <w:sz w:val="1"/>
                <w:szCs w:val="1"/>
                <w:color w:val="auto"/>
              </w:rPr>
            </w:pPr>
          </w:p>
        </w:tc>
      </w:tr>
      <w:tr>
        <w:trPr>
          <w:trHeight w:val="166"/>
        </w:trPr>
        <w:tc>
          <w:tcPr>
            <w:tcW w:w="6640" w:type="dxa"/>
            <w:vAlign w:val="bottom"/>
            <w:gridSpan w:val="2"/>
            <w:shd w:val="clear" w:color="auto" w:fill="CFF0FC"/>
          </w:tcPr>
          <w:p>
            <w:pPr>
              <w:spacing w:after="0" w:line="166" w:lineRule="exact"/>
              <w:rPr>
                <w:sz w:val="20"/>
                <w:szCs w:val="20"/>
                <w:color w:val="auto"/>
              </w:rPr>
            </w:pPr>
            <w:r>
              <w:rPr>
                <w:rFonts w:ascii="Arial" w:cs="Arial" w:eastAsia="Arial" w:hAnsi="Arial"/>
                <w:sz w:val="17"/>
                <w:szCs w:val="17"/>
                <w:color w:val="auto"/>
              </w:rPr>
              <w:t>Net loss per share attributable to common stockholders,</w:t>
            </w: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64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basic and diluted</w:t>
            </w:r>
            <w:r>
              <w:rPr>
                <w:rFonts w:ascii="Arial" w:cs="Arial" w:eastAsia="Arial" w:hAnsi="Arial"/>
                <w:sz w:val="14"/>
                <w:szCs w:val="14"/>
                <w:color w:val="auto"/>
              </w:rPr>
              <w:t>(1)</w:t>
            </w: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(2.76)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(32.04)</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(11.50)</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7"/>
                <w:szCs w:val="17"/>
                <w:color w:val="auto"/>
              </w:rPr>
              <w:t>Weighted-average number of shares outstanding used to</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6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40" w:type="dxa"/>
            <w:vAlign w:val="bottom"/>
            <w:gridSpan w:val="2"/>
          </w:tcPr>
          <w:p>
            <w:pPr>
              <w:ind w:left="160"/>
              <w:spacing w:after="0"/>
              <w:rPr>
                <w:sz w:val="20"/>
                <w:szCs w:val="20"/>
                <w:color w:val="auto"/>
              </w:rPr>
            </w:pPr>
            <w:r>
              <w:rPr>
                <w:rFonts w:ascii="Arial" w:cs="Arial" w:eastAsia="Arial" w:hAnsi="Arial"/>
                <w:sz w:val="17"/>
                <w:szCs w:val="17"/>
                <w:color w:val="auto"/>
              </w:rPr>
              <w:t>compute net loss per share attributable to common</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gridSpan w:val="2"/>
          </w:tcPr>
          <w:p>
            <w:pPr>
              <w:ind w:left="160"/>
              <w:spacing w:after="0"/>
              <w:rPr>
                <w:sz w:val="20"/>
                <w:szCs w:val="20"/>
                <w:color w:val="auto"/>
              </w:rPr>
            </w:pPr>
            <w:r>
              <w:rPr>
                <w:rFonts w:ascii="Arial" w:cs="Arial" w:eastAsia="Arial" w:hAnsi="Arial"/>
                <w:sz w:val="17"/>
                <w:szCs w:val="17"/>
                <w:color w:val="auto"/>
              </w:rPr>
              <w:t>stockholders, basic and diluted</w:t>
            </w:r>
            <w:r>
              <w:rPr>
                <w:rFonts w:ascii="Arial" w:cs="Arial" w:eastAsia="Arial" w:hAnsi="Arial"/>
                <w:sz w:val="14"/>
                <w:szCs w:val="14"/>
                <w:color w:val="auto"/>
              </w:rPr>
              <w:t>(1)</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7"/>
                <w:szCs w:val="17"/>
                <w:color w:val="auto"/>
              </w:rPr>
              <w:t>73,345,569</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8,605,962</w:t>
            </w:r>
          </w:p>
        </w:tc>
        <w:tc>
          <w:tcPr>
            <w:tcW w:w="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8,540,778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73"/>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60" w:type="dxa"/>
            <w:vAlign w:val="bottom"/>
            <w:tcBorders>
              <w:bottom w:val="single" w:sz="8" w:color="CFF0FC"/>
            </w:tcBorders>
          </w:tcPr>
          <w:p>
            <w:pPr>
              <w:spacing w:after="0"/>
              <w:rPr>
                <w:sz w:val="14"/>
                <w:szCs w:val="14"/>
                <w:color w:val="auto"/>
              </w:rPr>
            </w:pPr>
          </w:p>
        </w:tc>
        <w:tc>
          <w:tcPr>
            <w:tcW w:w="54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66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3"/>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1,056,213</w:t>
            </w:r>
          </w:p>
        </w:tc>
        <w:tc>
          <w:tcPr>
            <w:tcW w:w="1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217,734</w:t>
            </w:r>
          </w:p>
        </w:tc>
        <w:tc>
          <w:tcPr>
            <w:tcW w:w="0" w:type="dxa"/>
            <w:vAlign w:val="bottom"/>
          </w:tcPr>
          <w:p>
            <w:pPr>
              <w:spacing w:after="0"/>
              <w:rPr>
                <w:sz w:val="1"/>
                <w:szCs w:val="1"/>
                <w:color w:val="auto"/>
              </w:rPr>
            </w:pPr>
          </w:p>
        </w:tc>
      </w:tr>
      <w:tr>
        <w:trPr>
          <w:trHeight w:val="209"/>
        </w:trPr>
        <w:tc>
          <w:tcPr>
            <w:tcW w:w="664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1,724,056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563,387</w:t>
            </w:r>
          </w:p>
        </w:tc>
        <w:tc>
          <w:tcPr>
            <w:tcW w:w="0" w:type="dxa"/>
            <w:vAlign w:val="bottom"/>
          </w:tcPr>
          <w:p>
            <w:pPr>
              <w:spacing w:after="0"/>
              <w:rPr>
                <w:sz w:val="1"/>
                <w:szCs w:val="1"/>
                <w:color w:val="auto"/>
              </w:rPr>
            </w:pPr>
          </w:p>
        </w:tc>
      </w:tr>
      <w:tr>
        <w:trPr>
          <w:trHeight w:val="209"/>
        </w:trPr>
        <w:tc>
          <w:tcPr>
            <w:tcW w:w="66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Total liabilities</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496,954</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262,907</w:t>
            </w:r>
          </w:p>
        </w:tc>
        <w:tc>
          <w:tcPr>
            <w:tcW w:w="0" w:type="dxa"/>
            <w:vAlign w:val="bottom"/>
          </w:tcPr>
          <w:p>
            <w:pPr>
              <w:spacing w:after="0"/>
              <w:rPr>
                <w:sz w:val="1"/>
                <w:szCs w:val="1"/>
                <w:color w:val="auto"/>
              </w:rPr>
            </w:pPr>
          </w:p>
        </w:tc>
      </w:tr>
      <w:tr>
        <w:trPr>
          <w:trHeight w:val="209"/>
        </w:trPr>
        <w:tc>
          <w:tcPr>
            <w:tcW w:w="6640" w:type="dxa"/>
            <w:vAlign w:val="bottom"/>
            <w:gridSpan w:val="2"/>
          </w:tcPr>
          <w:p>
            <w:pPr>
              <w:spacing w:after="0"/>
              <w:rPr>
                <w:sz w:val="20"/>
                <w:szCs w:val="20"/>
                <w:color w:val="auto"/>
              </w:rPr>
            </w:pPr>
            <w:r>
              <w:rPr>
                <w:rFonts w:ascii="Arial" w:cs="Arial" w:eastAsia="Arial" w:hAnsi="Arial"/>
                <w:sz w:val="17"/>
                <w:szCs w:val="17"/>
                <w:color w:val="auto"/>
              </w:rPr>
              <w:t>Total redeemable convertible preferred stock</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874,332</w:t>
            </w:r>
          </w:p>
        </w:tc>
        <w:tc>
          <w:tcPr>
            <w:tcW w:w="0" w:type="dxa"/>
            <w:vAlign w:val="bottom"/>
          </w:tcPr>
          <w:p>
            <w:pPr>
              <w:spacing w:after="0"/>
              <w:rPr>
                <w:sz w:val="1"/>
                <w:szCs w:val="1"/>
                <w:color w:val="auto"/>
              </w:rPr>
            </w:pPr>
          </w:p>
        </w:tc>
      </w:tr>
      <w:tr>
        <w:trPr>
          <w:trHeight w:val="209"/>
        </w:trPr>
        <w:tc>
          <w:tcPr>
            <w:tcW w:w="66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Total stockholders’ equity (deficit)</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1,227,102</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(573,852)</w:t>
            </w:r>
          </w:p>
        </w:tc>
        <w:tc>
          <w:tcPr>
            <w:tcW w:w="0" w:type="dxa"/>
            <w:vAlign w:val="bottom"/>
          </w:tcPr>
          <w:p>
            <w:pPr>
              <w:spacing w:after="0"/>
              <w:rPr>
                <w:sz w:val="1"/>
                <w:szCs w:val="1"/>
                <w:color w:val="auto"/>
              </w:rPr>
            </w:pPr>
          </w:p>
        </w:tc>
      </w:tr>
      <w:tr>
        <w:trPr>
          <w:trHeight w:val="118"/>
        </w:trPr>
        <w:tc>
          <w:tcPr>
            <w:tcW w:w="1160" w:type="dxa"/>
            <w:vAlign w:val="bottom"/>
            <w:tcBorders>
              <w:bottom w:val="single" w:sz="8" w:color="auto"/>
            </w:tcBorders>
          </w:tcPr>
          <w:p>
            <w:pPr>
              <w:spacing w:after="0"/>
              <w:rPr>
                <w:sz w:val="10"/>
                <w:szCs w:val="10"/>
                <w:color w:val="auto"/>
              </w:rPr>
            </w:pPr>
          </w:p>
        </w:tc>
        <w:tc>
          <w:tcPr>
            <w:tcW w:w="5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500" w:right="180" w:hanging="378"/>
        <w:spacing w:after="0" w:line="257"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See Note 16 to our consolidated financial statements included elsewhere in this Annual Report on Form 10-K for an explanation of the calculations of our net loss per share attributable to common stockholders, basic and diluted, for the years ended December 31, 2020, 2019, and 2018.</w:t>
      </w:r>
    </w:p>
    <w:p>
      <w:pPr>
        <w:jc w:val="center"/>
        <w:ind w:left="6500"/>
        <w:spacing w:after="0" w:line="234" w:lineRule="auto"/>
        <w:rPr>
          <w:sz w:val="20"/>
          <w:szCs w:val="20"/>
          <w:color w:val="auto"/>
        </w:rPr>
      </w:pPr>
      <w:r>
        <w:rPr>
          <w:rFonts w:ascii="Arial" w:cs="Arial" w:eastAsia="Arial" w:hAnsi="Arial"/>
          <w:sz w:val="14"/>
          <w:szCs w:val="14"/>
          <w:b w:val="1"/>
          <w:bCs w:val="1"/>
          <w:color w:val="auto"/>
        </w:rPr>
        <w:t>Year Ended</w:t>
      </w:r>
    </w:p>
    <w:p>
      <w:pPr>
        <w:jc w:val="center"/>
        <w:ind w:left="6500"/>
        <w:spacing w:after="0" w:line="227"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63"/>
        </w:trPr>
        <w:tc>
          <w:tcPr>
            <w:tcW w:w="6640" w:type="dxa"/>
            <w:vAlign w:val="bottom"/>
            <w:tcBorders>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r>
      <w:tr>
        <w:trPr>
          <w:trHeight w:val="202"/>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Ecommerce units sold</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34,488</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18,945</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10,006</w:t>
            </w:r>
          </w:p>
        </w:tc>
      </w:tr>
      <w:tr>
        <w:trPr>
          <w:trHeight w:val="209"/>
        </w:trPr>
        <w:tc>
          <w:tcPr>
            <w:tcW w:w="6640" w:type="dxa"/>
            <w:vAlign w:val="bottom"/>
          </w:tcPr>
          <w:p>
            <w:pPr>
              <w:ind w:left="240"/>
              <w:spacing w:after="0"/>
              <w:rPr>
                <w:sz w:val="20"/>
                <w:szCs w:val="20"/>
                <w:color w:val="auto"/>
              </w:rPr>
            </w:pPr>
            <w:r>
              <w:rPr>
                <w:rFonts w:ascii="Arial" w:cs="Arial" w:eastAsia="Arial" w:hAnsi="Arial"/>
                <w:sz w:val="17"/>
                <w:szCs w:val="17"/>
                <w:color w:val="auto"/>
              </w:rPr>
              <w:t>Vehicle Gross Profit per ecommerce unit</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869</w:t>
            </w:r>
          </w:p>
        </w:tc>
        <w:tc>
          <w:tcPr>
            <w:tcW w:w="46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1,109</w:t>
            </w:r>
          </w:p>
        </w:tc>
        <w:tc>
          <w:tcPr>
            <w:tcW w:w="16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1,666</w:t>
            </w:r>
          </w:p>
        </w:tc>
      </w:tr>
      <w:tr>
        <w:trPr>
          <w:trHeight w:val="209"/>
        </w:trPr>
        <w:tc>
          <w:tcPr>
            <w:tcW w:w="6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Product Gross Profit per ecommerce unit</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896</w:t>
            </w: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587</w:t>
            </w: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576</w:t>
            </w:r>
          </w:p>
        </w:tc>
      </w:tr>
      <w:tr>
        <w:trPr>
          <w:trHeight w:val="242"/>
        </w:trPr>
        <w:tc>
          <w:tcPr>
            <w:tcW w:w="66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Gross Profit per ecommerce unit</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1,765</w:t>
            </w:r>
          </w:p>
        </w:tc>
        <w:tc>
          <w:tcPr>
            <w:tcW w:w="1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1,696</w:t>
            </w:r>
          </w:p>
        </w:tc>
        <w:tc>
          <w:tcPr>
            <w:tcW w:w="1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2,242</w:t>
            </w:r>
          </w:p>
        </w:tc>
      </w:tr>
      <w:tr>
        <w:trPr>
          <w:trHeight w:val="189"/>
        </w:trPr>
        <w:tc>
          <w:tcPr>
            <w:tcW w:w="66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Average monthly unique visitors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5"/>
              <w:spacing w:after="0" w:line="189" w:lineRule="exact"/>
              <w:rPr>
                <w:sz w:val="20"/>
                <w:szCs w:val="20"/>
                <w:color w:val="auto"/>
              </w:rPr>
            </w:pPr>
            <w:r>
              <w:rPr>
                <w:rFonts w:ascii="Arial" w:cs="Arial" w:eastAsia="Arial" w:hAnsi="Arial"/>
                <w:sz w:val="17"/>
                <w:szCs w:val="17"/>
                <w:color w:val="auto"/>
              </w:rPr>
              <w:t>969,890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5"/>
              <w:spacing w:after="0" w:line="189" w:lineRule="exact"/>
              <w:rPr>
                <w:sz w:val="20"/>
                <w:szCs w:val="20"/>
                <w:color w:val="auto"/>
              </w:rPr>
            </w:pPr>
            <w:r>
              <w:rPr>
                <w:rFonts w:ascii="Arial" w:cs="Arial" w:eastAsia="Arial" w:hAnsi="Arial"/>
                <w:sz w:val="17"/>
                <w:szCs w:val="17"/>
                <w:color w:val="auto"/>
              </w:rPr>
              <w:t>653,216</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5"/>
              <w:spacing w:after="0" w:line="189" w:lineRule="exact"/>
              <w:rPr>
                <w:sz w:val="20"/>
                <w:szCs w:val="20"/>
                <w:color w:val="auto"/>
              </w:rPr>
            </w:pPr>
            <w:r>
              <w:rPr>
                <w:rFonts w:ascii="Arial" w:cs="Arial" w:eastAsia="Arial" w:hAnsi="Arial"/>
                <w:sz w:val="17"/>
                <w:szCs w:val="17"/>
                <w:color w:val="auto"/>
              </w:rPr>
              <w:t>291,772</w:t>
            </w:r>
          </w:p>
        </w:tc>
      </w:tr>
      <w:tr>
        <w:trPr>
          <w:trHeight w:val="209"/>
        </w:trPr>
        <w:tc>
          <w:tcPr>
            <w:tcW w:w="6640" w:type="dxa"/>
            <w:vAlign w:val="bottom"/>
          </w:tcPr>
          <w:p>
            <w:pPr>
              <w:spacing w:after="0"/>
              <w:rPr>
                <w:sz w:val="20"/>
                <w:szCs w:val="20"/>
                <w:color w:val="auto"/>
              </w:rPr>
            </w:pPr>
            <w:r>
              <w:rPr>
                <w:rFonts w:ascii="Arial" w:cs="Arial" w:eastAsia="Arial" w:hAnsi="Arial"/>
                <w:sz w:val="17"/>
                <w:szCs w:val="17"/>
                <w:color w:val="auto"/>
              </w:rPr>
              <w:t>Listed Vehicles</w:t>
            </w:r>
          </w:p>
        </w:tc>
        <w:tc>
          <w:tcPr>
            <w:tcW w:w="3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15,963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4,956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3,421</w:t>
            </w:r>
          </w:p>
        </w:tc>
      </w:tr>
      <w:tr>
        <w:trPr>
          <w:trHeight w:val="209"/>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Ecommerce average days to sale</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59</w:t>
            </w:r>
          </w:p>
        </w:tc>
      </w:tr>
    </w:tbl>
    <w:p>
      <w:pPr>
        <w:spacing w:after="0" w:line="26" w:lineRule="exact"/>
        <w:rPr>
          <w:sz w:val="20"/>
          <w:szCs w:val="20"/>
          <w:color w:val="auto"/>
        </w:rPr>
      </w:pPr>
    </w:p>
    <w:p>
      <w:pPr>
        <w:ind w:left="500" w:right="60" w:hanging="378"/>
        <w:spacing w:after="0" w:line="274"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See “Management’s Discussion and Analysis of Financial Condition and Results of Operations—Key Operating and Financial Metrics” for information on how we define these key operating and financial metrics.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09"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incorporated by reference into the section titled "Risk Factors" in Part I, Item 1A of this Annual Report on Form 10-K. Additionally, our historical results are not necessarily indicative of the results that may be expected for any period in the future.</w:t>
      </w:r>
    </w:p>
    <w:p>
      <w:pPr>
        <w:spacing w:after="0" w:line="169"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i w:val="1"/>
          <w:iCs w:val="1"/>
          <w:color w:val="auto"/>
        </w:rPr>
        <w:t>A discussion regarding our financial condition and results of operation for the year ended December 31, 2020 compared to the year ended December 31, 2019 is presented below. A discussion regarding our financial condition and results of operations for the year ended December 31, 2019 compared to the year ended December 31, 2018 is included under “Management’s Discussion and Analysis of Financial Condition and Results of Operations” in our prospectus for our Follow-on Public Offering, which was filed with the SEC pursuant to Rule 424(b) on September 11, 2020.</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Overview</w:t>
      </w:r>
    </w:p>
    <w:p>
      <w:pPr>
        <w:spacing w:after="0" w:line="212" w:lineRule="exact"/>
        <w:rPr>
          <w:sz w:val="20"/>
          <w:szCs w:val="20"/>
          <w:color w:val="auto"/>
        </w:rPr>
      </w:pPr>
    </w:p>
    <w:p>
      <w:pPr>
        <w:ind w:right="260" w:firstLine="762"/>
        <w:spacing w:after="0" w:line="290" w:lineRule="auto"/>
        <w:rPr>
          <w:sz w:val="20"/>
          <w:szCs w:val="20"/>
          <w:color w:val="auto"/>
        </w:rPr>
      </w:pPr>
      <w:r>
        <w:rPr>
          <w:rFonts w:ascii="Arial" w:cs="Arial" w:eastAsia="Arial" w:hAnsi="Arial"/>
          <w:sz w:val="17"/>
          <w:szCs w:val="17"/>
          <w:color w:val="auto"/>
        </w:rPr>
        <w:t>Vroom is an innovative, end-to-end ecommerce platform that is transforming the used vehicle industry by offering a better way to buy and a better way to sell used vehicles. We are deeply committed to creating an exceptional experience for our customers.</w:t>
      </w:r>
    </w:p>
    <w:p>
      <w:pPr>
        <w:spacing w:after="0" w:line="129" w:lineRule="exact"/>
        <w:rPr>
          <w:sz w:val="20"/>
          <w:szCs w:val="20"/>
          <w:color w:val="auto"/>
        </w:rPr>
      </w:pPr>
    </w:p>
    <w:p>
      <w:pPr>
        <w:ind w:right="760" w:firstLine="762"/>
        <w:spacing w:after="0" w:line="265" w:lineRule="auto"/>
        <w:rPr>
          <w:sz w:val="20"/>
          <w:szCs w:val="20"/>
          <w:color w:val="auto"/>
        </w:rPr>
      </w:pPr>
      <w:r>
        <w:rPr>
          <w:rFonts w:ascii="Arial" w:cs="Arial" w:eastAsia="Arial" w:hAnsi="Arial"/>
          <w:sz w:val="17"/>
          <w:szCs w:val="17"/>
          <w:color w:val="auto"/>
        </w:rPr>
        <w:t>We are driving enduring change in the industry on a national scale. We take a vertically integrated, asset-light approach that is reinventing all phases of the vehicle buying and selling process, from discovery to delivery and everything in between. Our platform encompasses:</w:t>
      </w:r>
    </w:p>
    <w:p>
      <w:pPr>
        <w:spacing w:after="0" w:line="44" w:lineRule="exact"/>
        <w:rPr>
          <w:sz w:val="20"/>
          <w:szCs w:val="20"/>
          <w:color w:val="auto"/>
        </w:rPr>
      </w:pPr>
    </w:p>
    <w:p>
      <w:pPr>
        <w:ind w:left="1020" w:hanging="256"/>
        <w:spacing w:after="0" w:line="253" w:lineRule="auto"/>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Ecommerce: </w:t>
      </w:r>
      <w:r>
        <w:rPr>
          <w:rFonts w:ascii="Arial" w:cs="Arial" w:eastAsia="Arial" w:hAnsi="Arial"/>
          <w:sz w:val="17"/>
          <w:szCs w:val="17"/>
          <w:color w:val="auto"/>
        </w:rPr>
        <w:t>We offer an exceptional ecommerce experience for our customers. In contrast to legacy dealerships and the peer-to-peer market, we provide consumers with a personalized and intuitive ecommerce interface to research and select from thousands of fully reconditioned vehicles. Our platform is accessible at any time on any device and provides transparent pricing, real-time financing and nationwide contact-free delivery right to a buyer’s driveway. For consumers looking to sell or trade in their vehicles, we provide attractive market-based pricing, real-time price quotes and convenient, contact-free at-home vehicle pick-up.</w:t>
      </w:r>
    </w:p>
    <w:p>
      <w:pPr>
        <w:spacing w:after="0" w:line="54" w:lineRule="exact"/>
        <w:rPr>
          <w:rFonts w:ascii="Times New Roman" w:cs="Times New Roman" w:eastAsia="Times New Roman" w:hAnsi="Times New Roman"/>
          <w:sz w:val="17"/>
          <w:szCs w:val="17"/>
          <w:color w:val="auto"/>
        </w:rPr>
      </w:pPr>
    </w:p>
    <w:p>
      <w:pPr>
        <w:ind w:left="1020" w:right="60" w:hanging="256"/>
        <w:spacing w:after="0" w:line="249" w:lineRule="auto"/>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Vehicle Operations: </w:t>
      </w:r>
      <w:r>
        <w:rPr>
          <w:rFonts w:ascii="Arial" w:cs="Arial" w:eastAsia="Arial" w:hAnsi="Arial"/>
          <w:sz w:val="17"/>
          <w:szCs w:val="17"/>
          <w:color w:val="auto"/>
        </w:rPr>
        <w:t>Our scalable and vertically integrated operations underpin our business model. We strategically source</w:t>
      </w:r>
      <w:r>
        <w:rPr>
          <w:rFonts w:ascii="Arial" w:cs="Arial" w:eastAsia="Arial" w:hAnsi="Arial"/>
          <w:sz w:val="17"/>
          <w:szCs w:val="17"/>
          <w:b w:val="1"/>
          <w:bCs w:val="1"/>
          <w:color w:val="auto"/>
        </w:rPr>
        <w:t xml:space="preserve"> </w:t>
      </w:r>
      <w:r>
        <w:rPr>
          <w:rFonts w:ascii="Arial" w:cs="Arial" w:eastAsia="Arial" w:hAnsi="Arial"/>
          <w:sz w:val="17"/>
          <w:szCs w:val="17"/>
          <w:color w:val="auto"/>
        </w:rPr>
        <w:t>inventory from auctions, consumers, rental car companies, OEMs and dealers. We improve our ability to acquire high-demand vehicles through enhanced supply science across all our sourcing channels and we have expanded our national marketing efforts to drive consumer sourcing. In our reconditioning and logistics operations, we deploy an asset-light strategy that optimizes a combination of ownership and operation of assets by us with strategic third-party partnerships. This hybrid approach provides flexibility, agility and speed without taking on unnecessary risk and capital investment, and drives improved unit economics and operating leverage.</w:t>
      </w:r>
    </w:p>
    <w:p>
      <w:pPr>
        <w:spacing w:after="0" w:line="260" w:lineRule="exact"/>
        <w:rPr>
          <w:rFonts w:ascii="Times New Roman" w:cs="Times New Roman" w:eastAsia="Times New Roman" w:hAnsi="Times New Roman"/>
          <w:sz w:val="17"/>
          <w:szCs w:val="17"/>
          <w:color w:val="auto"/>
        </w:rPr>
      </w:pPr>
    </w:p>
    <w:p>
      <w:pPr>
        <w:ind w:left="1020" w:right="440" w:hanging="256"/>
        <w:spacing w:after="0" w:line="251" w:lineRule="auto"/>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Data Science and Experimentation: </w:t>
      </w:r>
      <w:r>
        <w:rPr>
          <w:rFonts w:ascii="Arial" w:cs="Arial" w:eastAsia="Arial" w:hAnsi="Arial"/>
          <w:sz w:val="17"/>
          <w:szCs w:val="17"/>
          <w:color w:val="auto"/>
        </w:rPr>
        <w:t>Data science and experimentation are at the core of everything we do. We rely on data</w:t>
      </w:r>
      <w:r>
        <w:rPr>
          <w:rFonts w:ascii="Arial" w:cs="Arial" w:eastAsia="Arial" w:hAnsi="Arial"/>
          <w:sz w:val="17"/>
          <w:szCs w:val="17"/>
          <w:b w:val="1"/>
          <w:bCs w:val="1"/>
          <w:color w:val="auto"/>
        </w:rPr>
        <w:t xml:space="preserve"> </w:t>
      </w:r>
      <w:r>
        <w:rPr>
          <w:rFonts w:ascii="Arial" w:cs="Arial" w:eastAsia="Arial" w:hAnsi="Arial"/>
          <w:sz w:val="17"/>
          <w:szCs w:val="17"/>
          <w:color w:val="auto"/>
        </w:rPr>
        <w:t>science, machine learning and A/B and multivariate testing to continually drive optimization and operating leverage across our ecommerce and vehicle operations. We leverage data to increase the effectiveness of our national brand and performance marketing, enhance the customer experience, analyze market dynamics at scale, calibrate our vehicle pricing and optimize our overall inventory sales velocity. On the operations side, data science and experimentation enables us to fine tune our supply, sourcing and logistics models and to streamline our reconditioning processes.</w:t>
      </w:r>
    </w:p>
    <w:p>
      <w:pPr>
        <w:spacing w:after="0" w:line="161" w:lineRule="exact"/>
        <w:rPr>
          <w:sz w:val="20"/>
          <w:szCs w:val="20"/>
          <w:color w:val="auto"/>
        </w:rPr>
      </w:pPr>
    </w:p>
    <w:p>
      <w:pPr>
        <w:ind w:right="180" w:firstLine="762"/>
        <w:spacing w:after="0" w:line="254" w:lineRule="auto"/>
        <w:rPr>
          <w:sz w:val="20"/>
          <w:szCs w:val="20"/>
          <w:color w:val="auto"/>
        </w:rPr>
      </w:pPr>
      <w:r>
        <w:rPr>
          <w:rFonts w:ascii="Arial" w:cs="Arial" w:eastAsia="Arial" w:hAnsi="Arial"/>
          <w:sz w:val="17"/>
          <w:szCs w:val="17"/>
          <w:color w:val="auto"/>
        </w:rPr>
        <w:t>In 2019, the U.S. used automotive market is the largest consumer product category, generating approximately $841 billion from sales. Based on data from Cox Automotive, there were an estimated 37.2 million used vehicle transactions in 2020, compared to approximately</w:t>
      </w:r>
    </w:p>
    <w:p>
      <w:pPr>
        <w:spacing w:after="0" w:line="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40 million transactions in 2019. The U.S. used automotive market is also highly fragmented, with over 42,000 dealers and millions of peer-to-peer transactions across the country. It also is ripe for disruption as an industry that is notorious for consumer dissatisfaction and has one of the lowest levels of ecommerce penetration. Industry reports estimate that ecommerce penetration will grow to as much as half of all used vehicle sales by 2030. Our platform, coupled with our national presence and brand, provides a significant competitive advantage versus local dealerships and regional players that lack nationwide reach and scalable technology, operations and logistics. The traditional auto dealers and peer-to-peer market do not and cannot offer consumers what we offer.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Our Model</w:t>
      </w:r>
    </w:p>
    <w:p>
      <w:pPr>
        <w:spacing w:after="0" w:line="212" w:lineRule="exact"/>
        <w:rPr>
          <w:sz w:val="20"/>
          <w:szCs w:val="20"/>
          <w:color w:val="auto"/>
        </w:rPr>
      </w:pPr>
    </w:p>
    <w:p>
      <w:pPr>
        <w:ind w:right="160" w:firstLine="762"/>
        <w:spacing w:after="0" w:line="265" w:lineRule="auto"/>
        <w:rPr>
          <w:sz w:val="20"/>
          <w:szCs w:val="20"/>
          <w:color w:val="auto"/>
        </w:rPr>
      </w:pPr>
      <w:r>
        <w:rPr>
          <w:rFonts w:ascii="Arial" w:cs="Arial" w:eastAsia="Arial" w:hAnsi="Arial"/>
          <w:sz w:val="17"/>
          <w:szCs w:val="17"/>
          <w:color w:val="auto"/>
        </w:rPr>
        <w:t>We generate revenue through the sale of used vehicles and value-added products. We sell vehicles directly to consumers primarily through our Ecommerce segment. As the largest segment in our business, Ecommerce revenue grew 55.7% from 2019 to 2020, and we expect Ecommerce to continue to outgrow our other segments as it is the core focus of our growth strategy.</w:t>
      </w:r>
    </w:p>
    <w:p>
      <w:pPr>
        <w:spacing w:after="0" w:line="151" w:lineRule="exact"/>
        <w:rPr>
          <w:sz w:val="20"/>
          <w:szCs w:val="20"/>
          <w:color w:val="auto"/>
        </w:rPr>
      </w:pPr>
    </w:p>
    <w:p>
      <w:pPr>
        <w:jc w:val="both"/>
        <w:ind w:firstLine="762"/>
        <w:spacing w:after="0" w:line="265" w:lineRule="auto"/>
        <w:rPr>
          <w:sz w:val="20"/>
          <w:szCs w:val="20"/>
          <w:color w:val="auto"/>
        </w:rPr>
      </w:pPr>
      <w:r>
        <w:rPr>
          <w:rFonts w:ascii="Arial" w:cs="Arial" w:eastAsia="Arial" w:hAnsi="Arial"/>
          <w:sz w:val="17"/>
          <w:szCs w:val="17"/>
          <w:color w:val="auto"/>
        </w:rPr>
        <w:t>We also sell vehicles through wholesale channels, which provide a revenue source for vehicles that do not meet our Vroom retail sales criteria. Additionally, we generate revenue through the retail sale of used vehicles and value-added products at Houston-based Texas Direct Auto, or TDA.</w:t>
      </w:r>
    </w:p>
    <w:p>
      <w:pPr>
        <w:spacing w:after="0" w:line="151" w:lineRule="exact"/>
        <w:rPr>
          <w:sz w:val="20"/>
          <w:szCs w:val="20"/>
          <w:color w:val="auto"/>
        </w:rPr>
      </w:pPr>
    </w:p>
    <w:p>
      <w:pPr>
        <w:ind w:right="140" w:firstLine="762"/>
        <w:spacing w:after="0" w:line="290" w:lineRule="auto"/>
        <w:rPr>
          <w:sz w:val="20"/>
          <w:szCs w:val="20"/>
          <w:color w:val="auto"/>
        </w:rPr>
      </w:pPr>
      <w:r>
        <w:rPr>
          <w:rFonts w:ascii="Arial" w:cs="Arial" w:eastAsia="Arial" w:hAnsi="Arial"/>
          <w:sz w:val="17"/>
          <w:szCs w:val="17"/>
          <w:color w:val="auto"/>
        </w:rPr>
        <w:t>For the year ended December 31, 2020, our Ecommerce, Wholesale and TDA segments represented 67.4%, 18.1% and 14.5% of our total revenue, respectively.</w:t>
      </w:r>
    </w:p>
    <w:p>
      <w:pPr>
        <w:spacing w:after="0" w:line="129" w:lineRule="exact"/>
        <w:rPr>
          <w:sz w:val="20"/>
          <w:szCs w:val="20"/>
          <w:color w:val="auto"/>
        </w:rPr>
      </w:pPr>
    </w:p>
    <w:p>
      <w:pPr>
        <w:ind w:right="60" w:firstLine="762"/>
        <w:spacing w:after="0" w:line="250" w:lineRule="auto"/>
        <w:rPr>
          <w:sz w:val="20"/>
          <w:szCs w:val="20"/>
          <w:color w:val="auto"/>
        </w:rPr>
      </w:pPr>
      <w:r>
        <w:rPr>
          <w:rFonts w:ascii="Arial" w:cs="Arial" w:eastAsia="Arial" w:hAnsi="Arial"/>
          <w:sz w:val="17"/>
          <w:szCs w:val="17"/>
          <w:color w:val="auto"/>
        </w:rPr>
        <w:t>Our retail gross profit consists of two components: Vehicle Gross Profit and Product Gross Profit. Vehicle Gross Profit is calculated as the aggregate retail sales price for all vehicles sold to customers along with delivery fee revenue and document fees received from customers, less the aggregate cost to acquire such vehicles, the aggregate cost of inbound transportation for such vehicles to our vehicle reconditioning centers, which we refer to as VRCs, and the aggregate cost of reconditioning such vehicles for sale. Product Gross Profit consists of fees earned on any finance and protection products sold as part of a vehicle sale. Because we are paid fees on the value-added products we sell, our gross profit on such products is equal to the revenue we generate. See “—Key Operating and Financial Metrics.”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Below is an explanation of how we calculate vehicle gross profit per unit and product gross profit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164465</wp:posOffset>
            </wp:positionV>
            <wp:extent cx="5117465" cy="2093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17465" cy="209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firstLine="762"/>
        <w:spacing w:after="0" w:line="250" w:lineRule="auto"/>
        <w:rPr>
          <w:sz w:val="20"/>
          <w:szCs w:val="20"/>
          <w:color w:val="auto"/>
        </w:rPr>
      </w:pPr>
      <w:r>
        <w:rPr>
          <w:rFonts w:ascii="Arial" w:cs="Arial" w:eastAsia="Arial" w:hAnsi="Arial"/>
          <w:sz w:val="17"/>
          <w:szCs w:val="17"/>
          <w:color w:val="auto"/>
        </w:rPr>
        <w:t>Our profitability depends primarily on increasing unit sales and operating leverage, as well as improving unit economics. We deploy an asset-light strategy that optimizes a combination of ownership and operation of assets by us with strategic third-party partnerships. Our hybrid approach also applies to the third-party value-added products we sell to customers, which enables us to generate additional revenue streams without taking on the risk associated with underwriting vehicle financing or protection products. As we scale, we expect to benefit from efficiencies and operating leverage across our business, including our marketing and technology investments, and our inventory procurement, logistics, reconditioning and sales processes.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 Sourcing</w:t>
      </w:r>
    </w:p>
    <w:p>
      <w:pPr>
        <w:spacing w:after="0" w:line="103" w:lineRule="exact"/>
        <w:rPr>
          <w:sz w:val="20"/>
          <w:szCs w:val="20"/>
          <w:color w:val="auto"/>
        </w:rPr>
      </w:pPr>
    </w:p>
    <w:p>
      <w:pPr>
        <w:ind w:firstLine="762"/>
        <w:spacing w:after="0" w:line="247" w:lineRule="auto"/>
        <w:rPr>
          <w:sz w:val="20"/>
          <w:szCs w:val="20"/>
          <w:color w:val="auto"/>
        </w:rPr>
      </w:pPr>
      <w:r>
        <w:rPr>
          <w:rFonts w:ascii="Arial" w:cs="Arial" w:eastAsia="Arial" w:hAnsi="Arial"/>
          <w:sz w:val="17"/>
          <w:szCs w:val="17"/>
          <w:color w:val="auto"/>
        </w:rPr>
        <w:t>We source our vehicle inventory from a variety of channels, including auctions, consumers, rental car companies, OEMs and dealers. Because the quality of vehicles and associated gross margin profile vary across each channel, the mix of inventory sources has an impact on our profitability. We continually evaluate the optimal mix of sourcing channels to generate the highest sales margins and shortest inventory turns, both of which contribute to increased gross profit per unit. We generate a vast set of data derived from market demand, pricing dynamics, vehicle acquisitions and subsequent sales, and we leverage that data to optimize future vehicle acquisitions. As we scale, we expect to continue to leverage the data at our disposal to optimize and enhance the volume and selection of vehicles in our inventory and, in turn, drive revenue growth and profitability. We are also exploring third party inventory strategies, which offers the possibility of expanding our sourcing channels through third party sellers while offering us attractive revenue models in an asset light, debt free structure. See “—Key Factors and Trends Affecting our Operating Results—Ability to drive growth by cost effectively increasing the volume and selection of vehicles in our inventory.”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Vehicle Reconditioning</w:t>
      </w:r>
    </w:p>
    <w:p>
      <w:pPr>
        <w:spacing w:after="0" w:line="103" w:lineRule="exact"/>
        <w:rPr>
          <w:sz w:val="20"/>
          <w:szCs w:val="20"/>
          <w:color w:val="auto"/>
        </w:rPr>
      </w:pPr>
    </w:p>
    <w:p>
      <w:pPr>
        <w:ind w:right="40" w:firstLine="762"/>
        <w:spacing w:after="0" w:line="248" w:lineRule="auto"/>
        <w:rPr>
          <w:sz w:val="20"/>
          <w:szCs w:val="20"/>
          <w:color w:val="auto"/>
        </w:rPr>
      </w:pPr>
      <w:r>
        <w:rPr>
          <w:rFonts w:ascii="Arial" w:cs="Arial" w:eastAsia="Arial" w:hAnsi="Arial"/>
          <w:sz w:val="17"/>
          <w:szCs w:val="17"/>
          <w:color w:val="auto"/>
        </w:rPr>
        <w:t>Before a vehicle is listed for retail sale on our platform, it undergoes a thorough reconditioning process in order to meet our Vroom retail sales criteria. The efficiency of this reconditioning process is a key element in our ability to profitably grow. To recondition vehicles, we rely on a combination of our Vroom VRC along with a network of VRCs owned and operated by third parties, and we intend to continue to expand our network of third-party VRCs. Utilizing this hybrid approach, we have increased our total reconditioning capacity to approximately 2,000 units per week as of December 31, 2020, with approximately two-thirds from our eighteen third-party VRCs. As we increase the number of vehicles in our inventory and expand our reconditioning capacity, we expect that reconditioning costs and inbound shipping costs per unit will decrease as we benefit from economies of scale and operating leverage in reconditioning costs. See “—Key Factors and Trends Affecting our Operating Results —Ability to expand and optimize our reconditioning capacity to satisfy increasing demand.”</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Logistics Network</w:t>
      </w:r>
    </w:p>
    <w:p>
      <w:pPr>
        <w:spacing w:after="0" w:line="103" w:lineRule="exact"/>
        <w:rPr>
          <w:sz w:val="20"/>
          <w:szCs w:val="20"/>
          <w:color w:val="auto"/>
        </w:rPr>
      </w:pPr>
    </w:p>
    <w:p>
      <w:pPr>
        <w:ind w:right="20" w:firstLine="762"/>
        <w:spacing w:after="0" w:line="245" w:lineRule="auto"/>
        <w:rPr>
          <w:sz w:val="20"/>
          <w:szCs w:val="20"/>
          <w:color w:val="auto"/>
        </w:rPr>
      </w:pPr>
      <w:r>
        <w:rPr>
          <w:rFonts w:ascii="Arial" w:cs="Arial" w:eastAsia="Arial" w:hAnsi="Arial"/>
          <w:sz w:val="17"/>
          <w:szCs w:val="17"/>
          <w:color w:val="auto"/>
        </w:rPr>
        <w:t>For our logistics operations, we primarily have used national third-party carriers, which has allowed us to efficiently deliver vehicles to customers throughout the United States while focusing on expanding other critical components of our business, such as the volume and selection of vehicles in our inventory. We optimized our third-party logistics network nationally through the development of strategic carrier arrangements with national haulers and consolidated our carrier base into dedicated operating regions. This strategy enhanced the flexibility, agility and speed of our growth while reducing the need for additional capital commitments as we scaled our business. Since the start of the COVID-19 pandemic, we have experienced a reduced supply of carriers, increased shipping prices and deteriorating service levels. Thus, in response to these disruptions, and to further enhance the quality of our logistics operations and our customer experience, we have been accelerating our strategy to optimize our hybrid approach by expanding our proprietary logistics network. Initially we have been prioritizing investment in our last-mile delivery operations where we can have the greatest impact on the customer experience. We also have invested in short-haul trucks to make regional deliveries from our last mile hubs, and have begun to invest in long-haul vehicles for hub-to-hub shipments. Consistent with our hybrid approach, as we scale our business, we continue to strategically combine the operation of our expanded proprietary fleet with the use of third-party carriers, which we expect will enable us to both accommodate our growth and provide the highest level of customer service. See “—Key Factors and Trends Affecting our Operating Results—Ability to expand and develop our logistics network.”</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Value-Added Products</w:t>
      </w:r>
    </w:p>
    <w:p>
      <w:pPr>
        <w:spacing w:after="0" w:line="103" w:lineRule="exact"/>
        <w:rPr>
          <w:sz w:val="20"/>
          <w:szCs w:val="20"/>
          <w:color w:val="auto"/>
        </w:rPr>
      </w:pPr>
    </w:p>
    <w:p>
      <w:pPr>
        <w:ind w:firstLine="762"/>
        <w:spacing w:after="0" w:line="250" w:lineRule="auto"/>
        <w:rPr>
          <w:sz w:val="20"/>
          <w:szCs w:val="20"/>
          <w:color w:val="auto"/>
        </w:rPr>
      </w:pPr>
      <w:r>
        <w:rPr>
          <w:rFonts w:ascii="Arial" w:cs="Arial" w:eastAsia="Arial" w:hAnsi="Arial"/>
          <w:sz w:val="17"/>
          <w:szCs w:val="17"/>
          <w:color w:val="auto"/>
        </w:rPr>
        <w:t>We generate revenue by earning fees for selling value-added products to customers in connection with vehicle sales. Currently, our third-party value-added product offering consists of finance and protection products, including financing from third-party lenders for our customers’ vehicle purchases, as well as sales of vehicle service contracts, GAP protection and tire and wheel coverage. As we scale our business, we intend to introduce additional value-added products that will be attractive to our customers and drive revenue and profitable growth. We expect that both expanded product offerings and increased attachment rates in value-added product sales will have a positive impact on our profitability. See “—Key Factors and Trends Affecting our Operating Results—Ability to increase and better monetize value-added products.”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Our Segments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We manage and report operating results through three reportable segments:</w:t>
      </w:r>
    </w:p>
    <w:p>
      <w:pPr>
        <w:spacing w:after="0" w:line="103" w:lineRule="exact"/>
        <w:rPr>
          <w:sz w:val="20"/>
          <w:szCs w:val="20"/>
          <w:color w:val="auto"/>
        </w:rPr>
      </w:pPr>
    </w:p>
    <w:p>
      <w:pPr>
        <w:ind w:left="1020" w:right="220" w:hanging="256"/>
        <w:spacing w:after="0" w:line="292" w:lineRule="auto"/>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Ecommerce </w:t>
      </w:r>
      <w:r>
        <w:rPr>
          <w:rFonts w:ascii="Arial" w:cs="Arial" w:eastAsia="Arial" w:hAnsi="Arial"/>
          <w:sz w:val="17"/>
          <w:szCs w:val="17"/>
          <w:color w:val="auto"/>
        </w:rPr>
        <w:t>(67.4% of 2020 revenue; 49.3% of 2019 revenue): The Ecommerce segment represents retail sales of used vehicles</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our ecommerce platform and fees earned on sales of value-added products associated with those vehicle sales.</w:t>
      </w:r>
    </w:p>
    <w:p>
      <w:pPr>
        <w:spacing w:after="0" w:line="20" w:lineRule="exact"/>
        <w:rPr>
          <w:rFonts w:ascii="Times New Roman" w:cs="Times New Roman" w:eastAsia="Times New Roman" w:hAnsi="Times New Roman"/>
          <w:sz w:val="17"/>
          <w:szCs w:val="17"/>
          <w:color w:val="auto"/>
        </w:rPr>
      </w:pPr>
    </w:p>
    <w:p>
      <w:pPr>
        <w:ind w:left="1020" w:right="260" w:hanging="256"/>
        <w:spacing w:after="0" w:line="292" w:lineRule="auto"/>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Wholesale </w:t>
      </w:r>
      <w:r>
        <w:rPr>
          <w:rFonts w:ascii="Arial" w:cs="Arial" w:eastAsia="Arial" w:hAnsi="Arial"/>
          <w:sz w:val="17"/>
          <w:szCs w:val="17"/>
          <w:color w:val="auto"/>
        </w:rPr>
        <w:t>(18.1% of 2020 revenue; 17.9% of 2019 revenue): The Wholesale segment represents sales of used vehicles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wholesale channels.</w:t>
      </w:r>
    </w:p>
    <w:p>
      <w:pPr>
        <w:spacing w:after="0" w:line="20" w:lineRule="exact"/>
        <w:rPr>
          <w:rFonts w:ascii="Times New Roman" w:cs="Times New Roman" w:eastAsia="Times New Roman" w:hAnsi="Times New Roman"/>
          <w:sz w:val="17"/>
          <w:szCs w:val="17"/>
          <w:color w:val="auto"/>
        </w:rPr>
      </w:pPr>
    </w:p>
    <w:p>
      <w:pPr>
        <w:ind w:left="1020" w:right="300" w:hanging="256"/>
        <w:spacing w:after="0" w:line="292" w:lineRule="auto"/>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TDA </w:t>
      </w:r>
      <w:r>
        <w:rPr>
          <w:rFonts w:ascii="Arial" w:cs="Arial" w:eastAsia="Arial" w:hAnsi="Arial"/>
          <w:sz w:val="17"/>
          <w:szCs w:val="17"/>
          <w:color w:val="auto"/>
        </w:rPr>
        <w:t>(14.5% of 2020 revenue; 32.8% of 2019 revenue): The TDA segment represents retail sales of used vehicles from TDA and</w:t>
      </w:r>
      <w:r>
        <w:rPr>
          <w:rFonts w:ascii="Arial" w:cs="Arial" w:eastAsia="Arial" w:hAnsi="Arial"/>
          <w:sz w:val="17"/>
          <w:szCs w:val="17"/>
          <w:b w:val="1"/>
          <w:bCs w:val="1"/>
          <w:color w:val="auto"/>
        </w:rPr>
        <w:t xml:space="preserve"> </w:t>
      </w:r>
      <w:r>
        <w:rPr>
          <w:rFonts w:ascii="Arial" w:cs="Arial" w:eastAsia="Arial" w:hAnsi="Arial"/>
          <w:sz w:val="17"/>
          <w:szCs w:val="17"/>
          <w:color w:val="auto"/>
        </w:rPr>
        <w:t>fees earned on sales of value-added products associated with those vehicle sales.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ind w:right="260" w:firstLine="762"/>
        <w:spacing w:after="0" w:line="290" w:lineRule="auto"/>
        <w:rPr>
          <w:sz w:val="20"/>
          <w:szCs w:val="20"/>
          <w:color w:val="auto"/>
        </w:rPr>
      </w:pPr>
      <w:r>
        <w:rPr>
          <w:rFonts w:ascii="Arial" w:cs="Arial" w:eastAsia="Arial" w:hAnsi="Arial"/>
          <w:sz w:val="17"/>
          <w:szCs w:val="17"/>
          <w:color w:val="auto"/>
        </w:rPr>
        <w:t>Gross profit is defined as revenue less cost of sales for each segment. Reflected below is a summary of reportable segment revenue and reportable segment gross profit for the years ended December 31, 2020, 2019, and 2018:</w:t>
      </w:r>
    </w:p>
    <w:p>
      <w:pPr>
        <w:spacing w:after="0" w:line="178"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Year Ended</w:t>
      </w:r>
    </w:p>
    <w:p>
      <w:pPr>
        <w:spacing w:after="0" w:line="5"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63"/>
        </w:trPr>
        <w:tc>
          <w:tcPr>
            <w:tcW w:w="66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3"/>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Revenue:</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40"/>
              <w:spacing w:after="0"/>
              <w:rPr>
                <w:sz w:val="20"/>
                <w:szCs w:val="20"/>
                <w:color w:val="auto"/>
              </w:rPr>
            </w:pPr>
            <w:r>
              <w:rPr>
                <w:rFonts w:ascii="Arial" w:cs="Arial" w:eastAsia="Arial" w:hAnsi="Arial"/>
                <w:sz w:val="17"/>
                <w:szCs w:val="17"/>
                <w:color w:val="auto"/>
              </w:rPr>
              <w:t>Ecommerce</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915,451</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588,114</w:t>
            </w:r>
          </w:p>
        </w:tc>
        <w:tc>
          <w:tcPr>
            <w:tcW w:w="16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301,172</w:t>
            </w: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Wholesale</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245,580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213,464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174,514</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TDA</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196,669</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390,243</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379,743</w:t>
            </w:r>
          </w:p>
        </w:tc>
        <w:tc>
          <w:tcPr>
            <w:tcW w:w="0" w:type="dxa"/>
            <w:vAlign w:val="bottom"/>
          </w:tcPr>
          <w:p>
            <w:pPr>
              <w:spacing w:after="0"/>
              <w:rPr>
                <w:sz w:val="1"/>
                <w:szCs w:val="1"/>
                <w:color w:val="auto"/>
              </w:rPr>
            </w:pPr>
          </w:p>
        </w:tc>
      </w:tr>
      <w:tr>
        <w:trPr>
          <w:trHeight w:val="202"/>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revenue</w:t>
            </w:r>
          </w:p>
        </w:tc>
        <w:tc>
          <w:tcPr>
            <w:tcW w:w="300" w:type="dxa"/>
            <w:vAlign w:val="bottom"/>
            <w:tcBorders>
              <w:bottom w:val="single" w:sz="8" w:color="auto"/>
            </w:tcBorders>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1,357,700</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1,191,821</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855,429</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7"/>
                <w:szCs w:val="17"/>
                <w:b w:val="1"/>
                <w:bCs w:val="1"/>
                <w:color w:val="auto"/>
              </w:rPr>
              <w:t>Gross profit (loss):</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Ecommerce</w:t>
            </w: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60,861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32,127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22,425</w:t>
            </w:r>
          </w:p>
        </w:tc>
        <w:tc>
          <w:tcPr>
            <w:tcW w:w="0" w:type="dxa"/>
            <w:vAlign w:val="bottom"/>
          </w:tcPr>
          <w:p>
            <w:pPr>
              <w:spacing w:after="0"/>
              <w:rPr>
                <w:sz w:val="1"/>
                <w:szCs w:val="1"/>
                <w:color w:val="auto"/>
              </w:rPr>
            </w:pPr>
          </w:p>
        </w:tc>
      </w:tr>
      <w:tr>
        <w:trPr>
          <w:trHeight w:val="209"/>
        </w:trPr>
        <w:tc>
          <w:tcPr>
            <w:tcW w:w="6640" w:type="dxa"/>
            <w:vAlign w:val="bottom"/>
          </w:tcPr>
          <w:p>
            <w:pPr>
              <w:ind w:left="240"/>
              <w:spacing w:after="0"/>
              <w:rPr>
                <w:sz w:val="20"/>
                <w:szCs w:val="20"/>
                <w:color w:val="auto"/>
              </w:rPr>
            </w:pPr>
            <w:r>
              <w:rPr>
                <w:rFonts w:ascii="Arial" w:cs="Arial" w:eastAsia="Arial" w:hAnsi="Arial"/>
                <w:sz w:val="17"/>
                <w:szCs w:val="17"/>
                <w:color w:val="auto"/>
              </w:rPr>
              <w:t>Wholesale</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340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3,257</w:t>
            </w: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TDA</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12,116</w:t>
            </w:r>
          </w:p>
        </w:tc>
        <w:tc>
          <w:tcPr>
            <w:tcW w:w="1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25,392</w:t>
            </w: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35,125</w:t>
            </w:r>
          </w:p>
        </w:tc>
        <w:tc>
          <w:tcPr>
            <w:tcW w:w="0" w:type="dxa"/>
            <w:vAlign w:val="bottom"/>
          </w:tcPr>
          <w:p>
            <w:pPr>
              <w:spacing w:after="0"/>
              <w:rPr>
                <w:sz w:val="1"/>
                <w:szCs w:val="1"/>
                <w:color w:val="auto"/>
              </w:rPr>
            </w:pPr>
          </w:p>
        </w:tc>
      </w:tr>
      <w:tr>
        <w:trPr>
          <w:trHeight w:val="202"/>
        </w:trPr>
        <w:tc>
          <w:tcPr>
            <w:tcW w:w="6640" w:type="dxa"/>
            <w:vAlign w:val="bottom"/>
          </w:tcPr>
          <w:p>
            <w:pPr>
              <w:spacing w:after="0"/>
              <w:rPr>
                <w:sz w:val="20"/>
                <w:szCs w:val="20"/>
                <w:color w:val="auto"/>
              </w:rPr>
            </w:pPr>
            <w:r>
              <w:rPr>
                <w:rFonts w:ascii="Arial" w:cs="Arial" w:eastAsia="Arial" w:hAnsi="Arial"/>
                <w:sz w:val="17"/>
                <w:szCs w:val="17"/>
                <w:color w:val="auto"/>
              </w:rPr>
              <w:t>Total gross profit</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71,545</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57,859</w:t>
            </w:r>
          </w:p>
        </w:tc>
        <w:tc>
          <w:tcPr>
            <w:tcW w:w="160" w:type="dxa"/>
            <w:vAlign w:val="bottom"/>
          </w:tcPr>
          <w:p>
            <w:pPr>
              <w:spacing w:after="0"/>
              <w:rPr>
                <w:sz w:val="17"/>
                <w:szCs w:val="17"/>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60,807</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Key Operating and Financial Metrics</w:t>
      </w:r>
    </w:p>
    <w:p>
      <w:pPr>
        <w:spacing w:after="0" w:line="212" w:lineRule="exact"/>
        <w:rPr>
          <w:sz w:val="20"/>
          <w:szCs w:val="20"/>
          <w:color w:val="auto"/>
        </w:rPr>
      </w:pPr>
    </w:p>
    <w:p>
      <w:pPr>
        <w:ind w:right="80" w:firstLine="762"/>
        <w:spacing w:after="0" w:line="249" w:lineRule="auto"/>
        <w:rPr>
          <w:sz w:val="20"/>
          <w:szCs w:val="20"/>
          <w:color w:val="auto"/>
        </w:rPr>
      </w:pPr>
      <w:r>
        <w:rPr>
          <w:rFonts w:ascii="Arial" w:cs="Arial" w:eastAsia="Arial" w:hAnsi="Arial"/>
          <w:sz w:val="17"/>
          <w:szCs w:val="17"/>
          <w:color w:val="auto"/>
        </w:rPr>
        <w:t>We regularly review a number of metrics, including the following key operating and financial metrics, to evaluate our business, measure our performance, identify trends in our business, prepare financial forecasts and make strategic decisions. We believe these operational measures are useful in evaluating our performance, in addition to our financial results prepared in accordance with U.S. Generally Accepted Accounting Principles, or U.S. GAAP. You should read the key operating and financial metrics in conjunction with the following discussion of our results of operations and together with our consolidated financial statements and related notes included elsewhere in this Annual Report on Form 10-K. We focus heavily on metrics related to unit economics as improved gross profit per unit is a key element of our growth and profitability strategies.</w:t>
      </w:r>
    </w:p>
    <w:p>
      <w:pPr>
        <w:spacing w:after="0" w:line="366" w:lineRule="exact"/>
        <w:rPr>
          <w:sz w:val="20"/>
          <w:szCs w:val="20"/>
          <w:color w:val="auto"/>
        </w:rPr>
      </w:pPr>
    </w:p>
    <w:p>
      <w:pPr>
        <w:ind w:right="40" w:firstLine="762"/>
        <w:spacing w:after="0" w:line="249" w:lineRule="auto"/>
        <w:rPr>
          <w:sz w:val="20"/>
          <w:szCs w:val="20"/>
          <w:color w:val="auto"/>
        </w:rPr>
      </w:pPr>
      <w:r>
        <w:rPr>
          <w:rFonts w:ascii="Arial" w:cs="Arial" w:eastAsia="Arial" w:hAnsi="Arial"/>
          <w:sz w:val="17"/>
          <w:szCs w:val="17"/>
          <w:color w:val="auto"/>
        </w:rPr>
        <w:t>The calculation of our key operating and financial metrics is straightforward and does not rely on significant projections, estimates or assumptions. Nevertheless, each of our key operating and financial metrics has limitations because each focuses specifically on only one standard by which to evaluate our business, without taking into account other applicable standards, performance measures or operating trends by which our business could be evaluated. Accordingly, no single metric should be viewed as the bellwether by which our business should be measured. Rather, each key operating and financial metric should be considered in conjunction with other metrics and components of our results of operations, such as each of the other key operating and financial metrics and our revenues, inventory, loss from operations and segment results.</w:t>
      </w:r>
    </w:p>
    <w:p>
      <w:pPr>
        <w:spacing w:after="0" w:line="200" w:lineRule="exact"/>
        <w:rPr>
          <w:sz w:val="20"/>
          <w:szCs w:val="20"/>
          <w:color w:val="auto"/>
        </w:rPr>
      </w:pPr>
    </w:p>
    <w:p>
      <w:pPr>
        <w:spacing w:after="0" w:line="215"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Year Ended</w:t>
      </w:r>
    </w:p>
    <w:p>
      <w:pPr>
        <w:spacing w:after="0" w:line="5"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63"/>
        </w:trPr>
        <w:tc>
          <w:tcPr>
            <w:tcW w:w="4460" w:type="dxa"/>
            <w:vAlign w:val="bottom"/>
            <w:tcBorders>
              <w:bottom w:val="single" w:sz="8" w:color="CFF0FC"/>
            </w:tcBorders>
          </w:tcPr>
          <w:p>
            <w:pPr>
              <w:spacing w:after="0"/>
              <w:rPr>
                <w:sz w:val="14"/>
                <w:szCs w:val="14"/>
                <w:color w:val="auto"/>
              </w:rPr>
            </w:pPr>
          </w:p>
        </w:tc>
        <w:tc>
          <w:tcPr>
            <w:tcW w:w="2180" w:type="dxa"/>
            <w:vAlign w:val="bottom"/>
            <w:tcBorders>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r>
      <w:tr>
        <w:trPr>
          <w:trHeight w:val="202"/>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Ecommerce units sold</w:t>
            </w:r>
          </w:p>
        </w:tc>
        <w:tc>
          <w:tcPr>
            <w:tcW w:w="2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34,488</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18,945</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10,006</w:t>
            </w:r>
          </w:p>
        </w:tc>
        <w:tc>
          <w:tcPr>
            <w:tcW w:w="20" w:type="dxa"/>
            <w:vAlign w:val="bottom"/>
          </w:tcPr>
          <w:p>
            <w:pPr>
              <w:spacing w:after="0"/>
              <w:rPr>
                <w:sz w:val="17"/>
                <w:szCs w:val="17"/>
                <w:color w:val="auto"/>
              </w:rPr>
            </w:pPr>
          </w:p>
        </w:tc>
      </w:tr>
      <w:tr>
        <w:trPr>
          <w:trHeight w:val="209"/>
        </w:trPr>
        <w:tc>
          <w:tcPr>
            <w:tcW w:w="4460" w:type="dxa"/>
            <w:vAlign w:val="bottom"/>
          </w:tcPr>
          <w:p>
            <w:pPr>
              <w:ind w:left="240"/>
              <w:spacing w:after="0"/>
              <w:rPr>
                <w:sz w:val="20"/>
                <w:szCs w:val="20"/>
                <w:color w:val="auto"/>
              </w:rPr>
            </w:pPr>
            <w:r>
              <w:rPr>
                <w:rFonts w:ascii="Arial" w:cs="Arial" w:eastAsia="Arial" w:hAnsi="Arial"/>
                <w:sz w:val="17"/>
                <w:szCs w:val="17"/>
                <w:color w:val="auto"/>
              </w:rPr>
              <w:t>Vehicle Gross Profit per ecommerce unit</w:t>
            </w:r>
          </w:p>
        </w:tc>
        <w:tc>
          <w:tcPr>
            <w:tcW w:w="248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869</w:t>
            </w:r>
          </w:p>
        </w:tc>
        <w:tc>
          <w:tcPr>
            <w:tcW w:w="46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1,109</w:t>
            </w:r>
          </w:p>
        </w:tc>
        <w:tc>
          <w:tcPr>
            <w:tcW w:w="16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1,666</w:t>
            </w:r>
          </w:p>
        </w:tc>
        <w:tc>
          <w:tcPr>
            <w:tcW w:w="20" w:type="dxa"/>
            <w:vAlign w:val="bottom"/>
          </w:tcPr>
          <w:p>
            <w:pPr>
              <w:spacing w:after="0"/>
              <w:rPr>
                <w:sz w:val="18"/>
                <w:szCs w:val="18"/>
                <w:color w:val="auto"/>
              </w:rPr>
            </w:pPr>
          </w:p>
        </w:tc>
      </w:tr>
      <w:tr>
        <w:trPr>
          <w:trHeight w:val="209"/>
        </w:trPr>
        <w:tc>
          <w:tcPr>
            <w:tcW w:w="44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Product Gross Profit per ecommerce unit</w:t>
            </w:r>
          </w:p>
        </w:tc>
        <w:tc>
          <w:tcPr>
            <w:tcW w:w="21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896</w:t>
            </w: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587</w:t>
            </w: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576</w:t>
            </w:r>
          </w:p>
        </w:tc>
        <w:tc>
          <w:tcPr>
            <w:tcW w:w="20" w:type="dxa"/>
            <w:vAlign w:val="bottom"/>
          </w:tcPr>
          <w:p>
            <w:pPr>
              <w:spacing w:after="0"/>
              <w:rPr>
                <w:sz w:val="18"/>
                <w:szCs w:val="18"/>
                <w:color w:val="auto"/>
              </w:rPr>
            </w:pPr>
          </w:p>
        </w:tc>
      </w:tr>
      <w:tr>
        <w:trPr>
          <w:trHeight w:val="242"/>
        </w:trPr>
        <w:tc>
          <w:tcPr>
            <w:tcW w:w="44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Gross Profit per ecommerce unit</w:t>
            </w:r>
          </w:p>
        </w:tc>
        <w:tc>
          <w:tcPr>
            <w:tcW w:w="21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1,765</w:t>
            </w:r>
          </w:p>
        </w:tc>
        <w:tc>
          <w:tcPr>
            <w:tcW w:w="1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1,696</w:t>
            </w:r>
          </w:p>
        </w:tc>
        <w:tc>
          <w:tcPr>
            <w:tcW w:w="1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2,242</w:t>
            </w:r>
          </w:p>
        </w:tc>
        <w:tc>
          <w:tcPr>
            <w:tcW w:w="20" w:type="dxa"/>
            <w:vAlign w:val="bottom"/>
          </w:tcPr>
          <w:p>
            <w:pPr>
              <w:spacing w:after="0"/>
              <w:rPr>
                <w:sz w:val="21"/>
                <w:szCs w:val="21"/>
                <w:color w:val="auto"/>
              </w:rPr>
            </w:pPr>
          </w:p>
        </w:tc>
      </w:tr>
      <w:tr>
        <w:trPr>
          <w:trHeight w:val="189"/>
        </w:trPr>
        <w:tc>
          <w:tcPr>
            <w:tcW w:w="44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Average monthly unique visitors</w:t>
            </w:r>
          </w:p>
        </w:tc>
        <w:tc>
          <w:tcPr>
            <w:tcW w:w="2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5"/>
              <w:spacing w:after="0" w:line="189" w:lineRule="exact"/>
              <w:rPr>
                <w:sz w:val="20"/>
                <w:szCs w:val="20"/>
                <w:color w:val="auto"/>
              </w:rPr>
            </w:pPr>
            <w:r>
              <w:rPr>
                <w:rFonts w:ascii="Arial" w:cs="Arial" w:eastAsia="Arial" w:hAnsi="Arial"/>
                <w:sz w:val="17"/>
                <w:szCs w:val="17"/>
                <w:color w:val="auto"/>
              </w:rPr>
              <w:t>969,890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5"/>
              <w:spacing w:after="0" w:line="189" w:lineRule="exact"/>
              <w:rPr>
                <w:sz w:val="20"/>
                <w:szCs w:val="20"/>
                <w:color w:val="auto"/>
              </w:rPr>
            </w:pPr>
            <w:r>
              <w:rPr>
                <w:rFonts w:ascii="Arial" w:cs="Arial" w:eastAsia="Arial" w:hAnsi="Arial"/>
                <w:sz w:val="17"/>
                <w:szCs w:val="17"/>
                <w:color w:val="auto"/>
              </w:rPr>
              <w:t>653,216</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5"/>
              <w:spacing w:after="0" w:line="189" w:lineRule="exact"/>
              <w:rPr>
                <w:sz w:val="20"/>
                <w:szCs w:val="20"/>
                <w:color w:val="auto"/>
              </w:rPr>
            </w:pPr>
            <w:r>
              <w:rPr>
                <w:rFonts w:ascii="Arial" w:cs="Arial" w:eastAsia="Arial" w:hAnsi="Arial"/>
                <w:sz w:val="17"/>
                <w:szCs w:val="17"/>
                <w:color w:val="auto"/>
              </w:rPr>
              <w:t>291,772</w:t>
            </w:r>
          </w:p>
        </w:tc>
        <w:tc>
          <w:tcPr>
            <w:tcW w:w="20" w:type="dxa"/>
            <w:vAlign w:val="bottom"/>
          </w:tcPr>
          <w:p>
            <w:pPr>
              <w:spacing w:after="0"/>
              <w:rPr>
                <w:sz w:val="16"/>
                <w:szCs w:val="16"/>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7"/>
                <w:szCs w:val="17"/>
                <w:color w:val="auto"/>
              </w:rPr>
              <w:t>Listed Vehicles</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15,963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4,956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3,421</w:t>
            </w:r>
          </w:p>
        </w:tc>
        <w:tc>
          <w:tcPr>
            <w:tcW w:w="20" w:type="dxa"/>
            <w:vAlign w:val="bottom"/>
          </w:tcPr>
          <w:p>
            <w:pPr>
              <w:spacing w:after="0"/>
              <w:rPr>
                <w:sz w:val="18"/>
                <w:szCs w:val="18"/>
                <w:color w:val="auto"/>
              </w:rPr>
            </w:pPr>
          </w:p>
        </w:tc>
      </w:tr>
      <w:tr>
        <w:trPr>
          <w:trHeight w:val="209"/>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Ecommerce average days to sale</w:t>
            </w:r>
          </w:p>
        </w:tc>
        <w:tc>
          <w:tcPr>
            <w:tcW w:w="2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59</w:t>
            </w:r>
          </w:p>
        </w:tc>
        <w:tc>
          <w:tcPr>
            <w:tcW w:w="20" w:type="dxa"/>
            <w:vAlign w:val="bottom"/>
          </w:tcPr>
          <w:p>
            <w:pPr>
              <w:spacing w:after="0"/>
              <w:rPr>
                <w:sz w:val="18"/>
                <w:szCs w:val="18"/>
                <w:color w:val="auto"/>
              </w:rPr>
            </w:pPr>
          </w:p>
        </w:tc>
      </w:tr>
      <w:tr>
        <w:trPr>
          <w:trHeight w:val="658"/>
        </w:trPr>
        <w:tc>
          <w:tcPr>
            <w:tcW w:w="4460" w:type="dxa"/>
            <w:vAlign w:val="bottom"/>
          </w:tcPr>
          <w:p>
            <w:pPr>
              <w:spacing w:after="0"/>
              <w:rPr>
                <w:sz w:val="24"/>
                <w:szCs w:val="24"/>
                <w:color w:val="auto"/>
              </w:rPr>
            </w:pPr>
          </w:p>
        </w:tc>
        <w:tc>
          <w:tcPr>
            <w:tcW w:w="2180" w:type="dxa"/>
            <w:vAlign w:val="bottom"/>
          </w:tcPr>
          <w:p>
            <w:pPr>
              <w:jc w:val="right"/>
              <w:ind w:right="833"/>
              <w:spacing w:after="0"/>
              <w:rPr>
                <w:sz w:val="20"/>
                <w:szCs w:val="20"/>
                <w:color w:val="auto"/>
              </w:rPr>
            </w:pPr>
            <w:r>
              <w:rPr>
                <w:rFonts w:ascii="Arial" w:cs="Arial" w:eastAsia="Arial" w:hAnsi="Arial"/>
                <w:sz w:val="17"/>
                <w:szCs w:val="17"/>
                <w:color w:val="auto"/>
              </w:rPr>
              <w:t>59</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4460" w:type="dxa"/>
            <w:vAlign w:val="bottom"/>
            <w:tcBorders>
              <w:bottom w:val="single" w:sz="8" w:color="9A9A9A"/>
            </w:tcBorders>
          </w:tcPr>
          <w:p>
            <w:pPr>
              <w:spacing w:after="0"/>
              <w:rPr>
                <w:sz w:val="8"/>
                <w:szCs w:val="8"/>
                <w:color w:val="auto"/>
              </w:rPr>
            </w:pPr>
          </w:p>
        </w:tc>
        <w:tc>
          <w:tcPr>
            <w:tcW w:w="2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-7620</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Ecommerce Units Sold</w:t>
      </w:r>
    </w:p>
    <w:p>
      <w:pPr>
        <w:spacing w:after="0" w:line="103" w:lineRule="exact"/>
        <w:rPr>
          <w:sz w:val="20"/>
          <w:szCs w:val="20"/>
          <w:color w:val="auto"/>
        </w:rPr>
      </w:pPr>
    </w:p>
    <w:p>
      <w:pPr>
        <w:ind w:right="20" w:firstLine="762"/>
        <w:spacing w:after="0" w:line="250" w:lineRule="auto"/>
        <w:rPr>
          <w:sz w:val="20"/>
          <w:szCs w:val="20"/>
          <w:color w:val="auto"/>
        </w:rPr>
      </w:pPr>
      <w:r>
        <w:rPr>
          <w:rFonts w:ascii="Arial" w:cs="Arial" w:eastAsia="Arial" w:hAnsi="Arial"/>
          <w:sz w:val="17"/>
          <w:szCs w:val="17"/>
          <w:color w:val="auto"/>
        </w:rPr>
        <w:t>Ecommerce units sold is defined as the number of vehicles sold and shipped to customers through our ecommerce platform, net of returns under our Vroom 7-Day Return Program. Ecommerce units sold excludes sales of vehicles through the TDA and Wholesale segments. As we continue to expand our ecommerce business, we expect that ecommerce units sold will be the primary driver of our revenue growth. Additionally, each vehicle sale through our ecommerce platform also creates the opportunity to leverage such sale to sell value-added products. Continued ecommerce growth will also increase the number of trade-in vehicles acquired from our customers, which we can either recondition and add to our inventory or sell through wholesale channels.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Vehicle Gross Profit per Ecommerce Unit</w:t>
      </w:r>
    </w:p>
    <w:p>
      <w:pPr>
        <w:spacing w:after="0" w:line="103" w:lineRule="exact"/>
        <w:rPr>
          <w:sz w:val="20"/>
          <w:szCs w:val="20"/>
          <w:color w:val="auto"/>
        </w:rPr>
      </w:pPr>
    </w:p>
    <w:p>
      <w:pPr>
        <w:ind w:firstLine="762"/>
        <w:spacing w:after="0" w:line="253" w:lineRule="auto"/>
        <w:rPr>
          <w:sz w:val="20"/>
          <w:szCs w:val="20"/>
          <w:color w:val="auto"/>
        </w:rPr>
      </w:pPr>
      <w:r>
        <w:rPr>
          <w:rFonts w:ascii="Arial" w:cs="Arial" w:eastAsia="Arial" w:hAnsi="Arial"/>
          <w:sz w:val="17"/>
          <w:szCs w:val="17"/>
          <w:color w:val="auto"/>
        </w:rPr>
        <w:t>Vehicle Gross Profit per ecommerce unit, which we refer to as Vehicle GPPU, for a given period is defined as the aggregate retail sales price and delivery charges for all vehicles sold through our Ecommerce segment less the aggregate costs to acquire those vehicles, the aggregate costs of inbound transportation to the VRCs and the aggregate costs of reconditioning those vehicles in that period, divided by the number of ecommerce units sold in that period. As we continue to expand our ecommerce business, we believe Vehicle GPPU will be a key driver of our long-term profitability.</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Gross Profit per Ecommerce Unit</w:t>
      </w:r>
    </w:p>
    <w:p>
      <w:pPr>
        <w:spacing w:after="0" w:line="103" w:lineRule="exact"/>
        <w:rPr>
          <w:sz w:val="20"/>
          <w:szCs w:val="20"/>
          <w:color w:val="auto"/>
        </w:rPr>
      </w:pPr>
    </w:p>
    <w:p>
      <w:pPr>
        <w:ind w:firstLine="762"/>
        <w:spacing w:after="0" w:line="253" w:lineRule="auto"/>
        <w:rPr>
          <w:sz w:val="20"/>
          <w:szCs w:val="20"/>
          <w:color w:val="auto"/>
        </w:rPr>
      </w:pPr>
      <w:r>
        <w:rPr>
          <w:rFonts w:ascii="Arial" w:cs="Arial" w:eastAsia="Arial" w:hAnsi="Arial"/>
          <w:sz w:val="17"/>
          <w:szCs w:val="17"/>
          <w:color w:val="auto"/>
        </w:rPr>
        <w:t>Product Gross Profit per ecommerce unit, which we refer to as Product GPPU, for a given period is defined as the aggregate fees earned on sales of value-added products in that period, net of the reserves for chargebacks on such products in that period, divided by the number of ecommerce units sold in that period. Because we are paid fees on the value-added products we sell, our gross profit is equal to the revenue we generate from the sale of value-added products. We plan to continue to introduce initiatives to increase the attachment rates of value-added products and expand our offerings of value-added products which will grow our Product GPPU.</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Gross Profit per Ecommerce Unit</w:t>
      </w:r>
    </w:p>
    <w:p>
      <w:pPr>
        <w:spacing w:after="0" w:line="103" w:lineRule="exact"/>
        <w:rPr>
          <w:sz w:val="20"/>
          <w:szCs w:val="20"/>
          <w:color w:val="auto"/>
        </w:rPr>
      </w:pPr>
    </w:p>
    <w:p>
      <w:pPr>
        <w:ind w:right="240" w:firstLine="762"/>
        <w:spacing w:after="0" w:line="290" w:lineRule="auto"/>
        <w:rPr>
          <w:sz w:val="20"/>
          <w:szCs w:val="20"/>
          <w:color w:val="auto"/>
        </w:rPr>
      </w:pPr>
      <w:r>
        <w:rPr>
          <w:rFonts w:ascii="Arial" w:cs="Arial" w:eastAsia="Arial" w:hAnsi="Arial"/>
          <w:sz w:val="17"/>
          <w:szCs w:val="17"/>
          <w:color w:val="auto"/>
        </w:rPr>
        <w:t>Total Gross Profit per ecommerce unit, which we refer to as Total GPPU, for a given period is calculated as the sum of Vehicle GPPU and Product GPPU. We view Total GPPU as a key metric of the profitability of our Ecommerce segment.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Average Monthly Unique Visitors</w:t>
      </w:r>
    </w:p>
    <w:p>
      <w:pPr>
        <w:spacing w:after="0" w:line="103" w:lineRule="exact"/>
        <w:rPr>
          <w:sz w:val="20"/>
          <w:szCs w:val="20"/>
          <w:color w:val="auto"/>
        </w:rPr>
      </w:pPr>
    </w:p>
    <w:p>
      <w:pPr>
        <w:ind w:right="60" w:firstLine="762"/>
        <w:spacing w:after="0" w:line="257" w:lineRule="auto"/>
        <w:rPr>
          <w:sz w:val="20"/>
          <w:szCs w:val="20"/>
          <w:color w:val="auto"/>
        </w:rPr>
      </w:pPr>
      <w:r>
        <w:rPr>
          <w:rFonts w:ascii="Arial" w:cs="Arial" w:eastAsia="Arial" w:hAnsi="Arial"/>
          <w:sz w:val="17"/>
          <w:szCs w:val="17"/>
          <w:color w:val="auto"/>
        </w:rPr>
        <w:t>Average monthly unique visitors is defined as the average number of individuals who access our ecommerce platform within a calendar month. We calculate the average monthly unique visitors over any period by dividing the aggregate monthly unique visitors during such period by the number of months in that period. We use average monthly unique visitors to measure the quality of our customer experience, the effectiveness of our marketing campaigns and customer acquisition as well as the strength of our brand and market penetration.</w:t>
      </w:r>
    </w:p>
    <w:p>
      <w:pPr>
        <w:spacing w:after="0" w:line="157" w:lineRule="exact"/>
        <w:rPr>
          <w:sz w:val="20"/>
          <w:szCs w:val="20"/>
          <w:color w:val="auto"/>
        </w:rPr>
      </w:pPr>
    </w:p>
    <w:p>
      <w:pPr>
        <w:ind w:right="20" w:firstLine="762"/>
        <w:spacing w:after="0" w:line="257" w:lineRule="auto"/>
        <w:rPr>
          <w:sz w:val="20"/>
          <w:szCs w:val="20"/>
          <w:color w:val="auto"/>
        </w:rPr>
      </w:pPr>
      <w:r>
        <w:rPr>
          <w:rFonts w:ascii="Arial" w:cs="Arial" w:eastAsia="Arial" w:hAnsi="Arial"/>
          <w:sz w:val="17"/>
          <w:szCs w:val="17"/>
          <w:color w:val="auto"/>
        </w:rPr>
        <w:t>Average monthly unique visitors is calculated using data provided by Google Analytics. The computation of average monthly unique visitors excludes individuals who access our platform multiple times within a calendar month, counting such individuals only one time for purposes of the calculation. If an individual accesses our ecommerce platform using different devices or different browsers on the same device within a given month, the first access through each such device or browser is counted as a separate monthly unique visitor.</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Listed Vehicles</w:t>
      </w:r>
    </w:p>
    <w:p>
      <w:pPr>
        <w:spacing w:after="0" w:line="103" w:lineRule="exact"/>
        <w:rPr>
          <w:sz w:val="20"/>
          <w:szCs w:val="20"/>
          <w:color w:val="auto"/>
        </w:rPr>
      </w:pPr>
    </w:p>
    <w:p>
      <w:pPr>
        <w:ind w:firstLine="762"/>
        <w:spacing w:after="0" w:line="257" w:lineRule="auto"/>
        <w:rPr>
          <w:sz w:val="20"/>
          <w:szCs w:val="20"/>
          <w:color w:val="auto"/>
        </w:rPr>
      </w:pPr>
      <w:r>
        <w:rPr>
          <w:rFonts w:ascii="Arial" w:cs="Arial" w:eastAsia="Arial" w:hAnsi="Arial"/>
          <w:sz w:val="17"/>
          <w:szCs w:val="17"/>
          <w:color w:val="auto"/>
        </w:rPr>
        <w:t>We define listed vehicles as the aggregate number of vehicles listed on our platform at any given point in time. Listed vehicles includes vehicles that are available for sale, pending sale and “coming soon”. Listed vehicles is a key indicator of our performance because we believe that the number of vehicles listed on our platform is a key driver of vehicle sales and revenue growth. Increasing the number of vehicles listed on our platform results in a greater selection of vehicles for our customers, creating demand and increasing conversion.</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Ecommerce Average Days to Sale</w:t>
      </w:r>
    </w:p>
    <w:p>
      <w:pPr>
        <w:spacing w:after="0" w:line="103" w:lineRule="exact"/>
        <w:rPr>
          <w:sz w:val="20"/>
          <w:szCs w:val="20"/>
          <w:color w:val="auto"/>
        </w:rPr>
      </w:pPr>
    </w:p>
    <w:p>
      <w:pPr>
        <w:ind w:firstLine="762"/>
        <w:spacing w:after="0" w:line="253" w:lineRule="auto"/>
        <w:rPr>
          <w:sz w:val="20"/>
          <w:szCs w:val="20"/>
          <w:color w:val="auto"/>
        </w:rPr>
      </w:pPr>
      <w:r>
        <w:rPr>
          <w:rFonts w:ascii="Arial" w:cs="Arial" w:eastAsia="Arial" w:hAnsi="Arial"/>
          <w:sz w:val="17"/>
          <w:szCs w:val="17"/>
          <w:color w:val="auto"/>
        </w:rPr>
        <w:t>We define ecommerce average days to sale as the average number of days between our acquisition of vehicles and the final delivery of such vehicles to customers through our ecommerce platform. We calculate average days to sale for a given period by dividing the aggregate number of days between the acquisition of all vehicles sold through our ecommerce platform during such period and final delivery of such vehicles to customers by the number of ecommerce units sold in that period. Ecommerce average days to sale excludes vehicles sold through the TDA and Wholesale segments.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5"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Ecommerce average days to sale is an important metric because a reduction in the number of days between the acquisition of a vehicle and the delivery of such vehicle typically results in a higher gross profit per unit.</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Non-GAAP Financial Measures</w:t>
      </w:r>
    </w:p>
    <w:p>
      <w:pPr>
        <w:spacing w:after="0" w:line="212" w:lineRule="exact"/>
        <w:rPr>
          <w:sz w:val="20"/>
          <w:szCs w:val="20"/>
          <w:color w:val="auto"/>
        </w:rPr>
      </w:pPr>
    </w:p>
    <w:p>
      <w:pPr>
        <w:ind w:right="60" w:firstLine="762"/>
        <w:spacing w:after="0" w:line="248" w:lineRule="auto"/>
        <w:rPr>
          <w:sz w:val="20"/>
          <w:szCs w:val="20"/>
          <w:color w:val="auto"/>
        </w:rPr>
      </w:pPr>
      <w:r>
        <w:rPr>
          <w:rFonts w:ascii="Arial" w:cs="Arial" w:eastAsia="Arial" w:hAnsi="Arial"/>
          <w:sz w:val="17"/>
          <w:szCs w:val="17"/>
          <w:color w:val="auto"/>
        </w:rPr>
        <w:t>In addition to our results determined in accordance with U.S. GAAP, we believe the following non-GAAP financial measures are useful in evaluating our operating performance: EBITDA, Adjusted EBITDA, Adjusted loss from operations, Non-GAAP net loss, Non-GAAP net loss per share and Non-GAAP net loss per share, as adjusted. These non-GAAP financial measures have limitations as analytical tools in that they do not reflect all of the amounts associated with our results of operations as determined in accordance with U.S. GAAP. Because of these limitations, these non-GAAP financial measures should be considered along with other operating and financial performance measures presented in accordance with U.S. GAAP. The presentation of these non-GAAP financial measures is not intended to be considered in isolation or as a substitute for, or superior to, financial information prepared and presented in accordance with U.S. GAAP. We have reconciled all non-GAAP financial measures with the most directly comparable U.S. GAAP financial measures.</w:t>
      </w:r>
    </w:p>
    <w:p>
      <w:pPr>
        <w:spacing w:after="0" w:line="163" w:lineRule="exact"/>
        <w:rPr>
          <w:sz w:val="20"/>
          <w:szCs w:val="20"/>
          <w:color w:val="auto"/>
        </w:rPr>
      </w:pPr>
    </w:p>
    <w:p>
      <w:pPr>
        <w:ind w:right="80" w:firstLine="762"/>
        <w:spacing w:after="0" w:line="253" w:lineRule="auto"/>
        <w:rPr>
          <w:sz w:val="20"/>
          <w:szCs w:val="20"/>
          <w:color w:val="auto"/>
        </w:rPr>
      </w:pPr>
      <w:r>
        <w:rPr>
          <w:rFonts w:ascii="Arial" w:cs="Arial" w:eastAsia="Arial" w:hAnsi="Arial"/>
          <w:sz w:val="17"/>
          <w:szCs w:val="17"/>
          <w:color w:val="auto"/>
        </w:rPr>
        <w:t>EBITDA, Adjusted EBITDA, Adjusted loss from operations, Non-GAAP net loss, Non-GAAP net loss per share and Non-GAAP net loss per share, as adjusted are supplemental performance measures that our management uses to assess our operating performance and the operating leverage in our business. Because EBITDA, Adjusted EBITDA, Adjusted loss from operations, Non-GAAP net loss, Non-GAAP net loss per share and Non-GAAP net loss per share, as adjusted facilitate internal comparisons of our historical operating performance on a more consistent basis, we use these measures for business planning purposes.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EBITDA and Adjusted EBITDA</w:t>
      </w:r>
    </w:p>
    <w:p>
      <w:pPr>
        <w:spacing w:after="0" w:line="103" w:lineRule="exact"/>
        <w:rPr>
          <w:sz w:val="20"/>
          <w:szCs w:val="20"/>
          <w:color w:val="auto"/>
        </w:rPr>
      </w:pPr>
    </w:p>
    <w:p>
      <w:pPr>
        <w:ind w:right="140" w:firstLine="762"/>
        <w:spacing w:after="0" w:line="253" w:lineRule="auto"/>
        <w:rPr>
          <w:sz w:val="20"/>
          <w:szCs w:val="20"/>
          <w:color w:val="auto"/>
        </w:rPr>
      </w:pPr>
      <w:r>
        <w:rPr>
          <w:rFonts w:ascii="Arial" w:cs="Arial" w:eastAsia="Arial" w:hAnsi="Arial"/>
          <w:sz w:val="17"/>
          <w:szCs w:val="17"/>
          <w:color w:val="auto"/>
        </w:rPr>
        <w:t>We calculate EBITDA as net loss before interest expense, interest income, income tax expense and depreciation and amortization expense and we calculate Adjusted EBITDA as EBITDA adjusted to exclude the one-time, IPO related acceleration of non-cash stock-based compensation expense, the one-time, IPO related non-cash revaluation of a preferred stock warrant, and acquisition related costs. The following table presents a reconciliation of EBITDA and Adjusted EBITDA to net loss, which is the most directly comparable U.S. GAAP measure:</w:t>
      </w:r>
    </w:p>
    <w:p>
      <w:pPr>
        <w:jc w:val="center"/>
        <w:ind w:left="6140"/>
        <w:spacing w:after="0" w:line="235" w:lineRule="auto"/>
        <w:rPr>
          <w:sz w:val="20"/>
          <w:szCs w:val="20"/>
          <w:color w:val="auto"/>
        </w:rPr>
      </w:pPr>
      <w:r>
        <w:rPr>
          <w:rFonts w:ascii="Arial" w:cs="Arial" w:eastAsia="Arial" w:hAnsi="Arial"/>
          <w:sz w:val="14"/>
          <w:szCs w:val="14"/>
          <w:b w:val="1"/>
          <w:bCs w:val="1"/>
          <w:color w:val="auto"/>
        </w:rPr>
        <w:t>Year Ended</w:t>
      </w:r>
    </w:p>
    <w:p>
      <w:pPr>
        <w:jc w:val="center"/>
        <w:ind w:left="6140"/>
        <w:spacing w:after="0" w:line="228"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63"/>
        </w:trPr>
        <w:tc>
          <w:tcPr>
            <w:tcW w:w="62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3"/>
        </w:trPr>
        <w:tc>
          <w:tcPr>
            <w:tcW w:w="6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256"/>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(202,799)</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(142,978)</w:t>
            </w:r>
          </w:p>
        </w:tc>
        <w:tc>
          <w:tcPr>
            <w:tcW w:w="500" w:type="dxa"/>
            <w:vAlign w:val="bottom"/>
            <w:gridSpan w:val="2"/>
            <w:shd w:val="clear" w:color="auto" w:fill="CFF0FC"/>
          </w:tcPr>
          <w:p>
            <w:pPr>
              <w:jc w:val="right"/>
              <w:ind w:right="15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(85,178)</w:t>
            </w:r>
          </w:p>
        </w:tc>
        <w:tc>
          <w:tcPr>
            <w:tcW w:w="0" w:type="dxa"/>
            <w:vAlign w:val="bottom"/>
          </w:tcPr>
          <w:p>
            <w:pPr>
              <w:spacing w:after="0"/>
              <w:rPr>
                <w:sz w:val="1"/>
                <w:szCs w:val="1"/>
                <w:color w:val="auto"/>
              </w:rPr>
            </w:pPr>
          </w:p>
        </w:tc>
      </w:tr>
      <w:tr>
        <w:trPr>
          <w:trHeight w:val="209"/>
        </w:trPr>
        <w:tc>
          <w:tcPr>
            <w:tcW w:w="6280" w:type="dxa"/>
            <w:vAlign w:val="bottom"/>
          </w:tcPr>
          <w:p>
            <w:pPr>
              <w:spacing w:after="0"/>
              <w:rPr>
                <w:sz w:val="20"/>
                <w:szCs w:val="20"/>
                <w:color w:val="auto"/>
              </w:rPr>
            </w:pPr>
            <w:r>
              <w:rPr>
                <w:rFonts w:ascii="Arial" w:cs="Arial" w:eastAsia="Arial" w:hAnsi="Arial"/>
                <w:sz w:val="17"/>
                <w:szCs w:val="17"/>
                <w:color w:val="auto"/>
              </w:rPr>
              <w:t>Adjusted to exclude the following:</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Interest expense</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9,656</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14,596</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8,513</w:t>
            </w:r>
          </w:p>
        </w:tc>
        <w:tc>
          <w:tcPr>
            <w:tcW w:w="0" w:type="dxa"/>
            <w:vAlign w:val="bottom"/>
          </w:tcPr>
          <w:p>
            <w:pPr>
              <w:spacing w:after="0"/>
              <w:rPr>
                <w:sz w:val="1"/>
                <w:szCs w:val="1"/>
                <w:color w:val="auto"/>
              </w:rPr>
            </w:pPr>
          </w:p>
        </w:tc>
      </w:tr>
      <w:tr>
        <w:trPr>
          <w:trHeight w:val="209"/>
        </w:trPr>
        <w:tc>
          <w:tcPr>
            <w:tcW w:w="6280" w:type="dxa"/>
            <w:vAlign w:val="bottom"/>
          </w:tcPr>
          <w:p>
            <w:pPr>
              <w:ind w:left="120"/>
              <w:spacing w:after="0"/>
              <w:rPr>
                <w:sz w:val="20"/>
                <w:szCs w:val="20"/>
                <w:color w:val="auto"/>
              </w:rPr>
            </w:pPr>
            <w:r>
              <w:rPr>
                <w:rFonts w:ascii="Arial" w:cs="Arial" w:eastAsia="Arial" w:hAnsi="Arial"/>
                <w:sz w:val="17"/>
                <w:szCs w:val="17"/>
                <w:color w:val="auto"/>
              </w:rPr>
              <w:t>Interest income</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(5,896)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(5,607)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(3,135)</w:t>
            </w:r>
          </w:p>
        </w:tc>
        <w:tc>
          <w:tcPr>
            <w:tcW w:w="0" w:type="dxa"/>
            <w:vAlign w:val="bottom"/>
          </w:tcPr>
          <w:p>
            <w:pPr>
              <w:spacing w:after="0"/>
              <w:rPr>
                <w:sz w:val="1"/>
                <w:szCs w:val="1"/>
                <w:color w:val="auto"/>
              </w:rPr>
            </w:pPr>
          </w:p>
        </w:tc>
      </w:tr>
      <w:tr>
        <w:trPr>
          <w:trHeight w:val="209"/>
        </w:trPr>
        <w:tc>
          <w:tcPr>
            <w:tcW w:w="62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Provision for income taxes</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168</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09"/>
        </w:trPr>
        <w:tc>
          <w:tcPr>
            <w:tcW w:w="6280" w:type="dxa"/>
            <w:vAlign w:val="bottom"/>
            <w:tcBorders>
              <w:bottom w:val="single" w:sz="8" w:color="CFF0FC"/>
            </w:tcBorders>
          </w:tcPr>
          <w:p>
            <w:pPr>
              <w:ind w:left="120"/>
              <w:spacing w:after="0"/>
              <w:rPr>
                <w:sz w:val="20"/>
                <w:szCs w:val="20"/>
                <w:color w:val="auto"/>
              </w:rPr>
            </w:pPr>
            <w:r>
              <w:rPr>
                <w:rFonts w:ascii="Arial" w:cs="Arial" w:eastAsia="Arial" w:hAnsi="Arial"/>
                <w:sz w:val="17"/>
                <w:szCs w:val="17"/>
                <w:color w:val="auto"/>
              </w:rPr>
              <w:t>Depreciation and amortization expense</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4,654</w:t>
            </w: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6,157</w:t>
            </w:r>
          </w:p>
        </w:tc>
        <w:tc>
          <w:tcPr>
            <w:tcW w:w="1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6,932</w:t>
            </w:r>
          </w:p>
        </w:tc>
        <w:tc>
          <w:tcPr>
            <w:tcW w:w="0" w:type="dxa"/>
            <w:vAlign w:val="bottom"/>
          </w:tcPr>
          <w:p>
            <w:pPr>
              <w:spacing w:after="0"/>
              <w:rPr>
                <w:sz w:val="1"/>
                <w:szCs w:val="1"/>
                <w:color w:val="auto"/>
              </w:rPr>
            </w:pPr>
          </w:p>
        </w:tc>
      </w:tr>
      <w:tr>
        <w:trPr>
          <w:trHeight w:val="202"/>
        </w:trPr>
        <w:tc>
          <w:tcPr>
            <w:tcW w:w="6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EBITDA</w:t>
            </w:r>
          </w:p>
        </w:tc>
        <w:tc>
          <w:tcPr>
            <w:tcW w:w="32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(194,301)</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(127,664)</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(72,639)</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120"/>
              <w:spacing w:after="0"/>
              <w:rPr>
                <w:sz w:val="20"/>
                <w:szCs w:val="20"/>
                <w:color w:val="auto"/>
              </w:rPr>
            </w:pPr>
            <w:r>
              <w:rPr>
                <w:rFonts w:ascii="Arial" w:cs="Arial" w:eastAsia="Arial" w:hAnsi="Arial"/>
                <w:sz w:val="17"/>
                <w:szCs w:val="17"/>
                <w:color w:val="auto"/>
              </w:rPr>
              <w:t>One-time IPO related acceleration of non-cash stock-based compensation</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4"/>
              <w:spacing w:after="0" w:line="189" w:lineRule="exact"/>
              <w:rPr>
                <w:sz w:val="20"/>
                <w:szCs w:val="20"/>
                <w:color w:val="auto"/>
              </w:rPr>
            </w:pPr>
            <w:r>
              <w:rPr>
                <w:rFonts w:ascii="Arial" w:cs="Arial" w:eastAsia="Arial" w:hAnsi="Arial"/>
                <w:sz w:val="17"/>
                <w:szCs w:val="17"/>
                <w:color w:val="auto"/>
              </w:rPr>
              <w:t>1,262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36"/>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34"/>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2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One-time IPO related non-cash revaluation of preferred stock warrant</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20,470</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280" w:type="dxa"/>
            <w:vAlign w:val="bottom"/>
            <w:tcBorders>
              <w:bottom w:val="single" w:sz="8" w:color="CFF0FC"/>
            </w:tcBorders>
          </w:tcPr>
          <w:p>
            <w:pPr>
              <w:ind w:left="120"/>
              <w:spacing w:after="0"/>
              <w:rPr>
                <w:sz w:val="20"/>
                <w:szCs w:val="20"/>
                <w:color w:val="auto"/>
              </w:rPr>
            </w:pPr>
            <w:r>
              <w:rPr>
                <w:rFonts w:ascii="Arial" w:cs="Arial" w:eastAsia="Arial" w:hAnsi="Arial"/>
                <w:sz w:val="17"/>
                <w:szCs w:val="17"/>
                <w:color w:val="auto"/>
              </w:rPr>
              <w:t>Acquisition related costs</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2,080</w:t>
            </w: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6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Adjusted EBITDA</w:t>
            </w:r>
          </w:p>
        </w:tc>
        <w:tc>
          <w:tcPr>
            <w:tcW w:w="32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(170,489)</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(127,664)</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(72,639)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loss from operations</w:t>
      </w:r>
    </w:p>
    <w:p>
      <w:pPr>
        <w:spacing w:after="0" w:line="103" w:lineRule="exact"/>
        <w:rPr>
          <w:sz w:val="20"/>
          <w:szCs w:val="20"/>
          <w:color w:val="auto"/>
        </w:rPr>
      </w:pPr>
    </w:p>
    <w:p>
      <w:pPr>
        <w:ind w:right="180" w:firstLine="762"/>
        <w:spacing w:after="0" w:line="257" w:lineRule="auto"/>
        <w:rPr>
          <w:sz w:val="20"/>
          <w:szCs w:val="20"/>
          <w:color w:val="auto"/>
        </w:rPr>
      </w:pPr>
      <w:r>
        <w:rPr>
          <w:rFonts w:ascii="Arial" w:cs="Arial" w:eastAsia="Arial" w:hAnsi="Arial"/>
          <w:sz w:val="17"/>
          <w:szCs w:val="17"/>
          <w:color w:val="auto"/>
        </w:rPr>
        <w:t>We calculate Adjusted loss from operations as loss from operations adjusted to exclude the one-time, IPO related acceleration of non-cash stock-based compensation expense and acquisition related costs. The following table presents a reconciliation of Adjusted loss from operations to loss from operations, which is the most directly comparable U.S. GAAP measure:</w:t>
      </w:r>
    </w:p>
    <w:p>
      <w:pPr>
        <w:jc w:val="center"/>
        <w:ind w:left="6500"/>
        <w:spacing w:after="0" w:line="236" w:lineRule="auto"/>
        <w:rPr>
          <w:sz w:val="20"/>
          <w:szCs w:val="20"/>
          <w:color w:val="auto"/>
        </w:rPr>
      </w:pPr>
      <w:r>
        <w:rPr>
          <w:rFonts w:ascii="Arial" w:cs="Arial" w:eastAsia="Arial" w:hAnsi="Arial"/>
          <w:sz w:val="14"/>
          <w:szCs w:val="14"/>
          <w:b w:val="1"/>
          <w:bCs w:val="1"/>
          <w:color w:val="auto"/>
        </w:rPr>
        <w:t>Year Ended</w:t>
      </w:r>
    </w:p>
    <w:p>
      <w:pPr>
        <w:jc w:val="center"/>
        <w:ind w:left="6500"/>
        <w:spacing w:after="0" w:line="227"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63"/>
        </w:trPr>
        <w:tc>
          <w:tcPr>
            <w:tcW w:w="66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(178,599)</w:t>
            </w:r>
          </w:p>
        </w:tc>
        <w:tc>
          <w:tcPr>
            <w:tcW w:w="46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(133,148)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40"/>
              <w:spacing w:after="0"/>
              <w:rPr>
                <w:sz w:val="20"/>
                <w:szCs w:val="20"/>
                <w:color w:val="auto"/>
              </w:rPr>
            </w:pPr>
            <w:r>
              <w:rPr>
                <w:rFonts w:ascii="Arial" w:cs="Arial" w:eastAsia="Arial" w:hAnsi="Arial"/>
                <w:sz w:val="17"/>
                <w:szCs w:val="17"/>
                <w:color w:val="auto"/>
              </w:rPr>
              <w:t>Add: One-time IPO related acceleration of non-cash stock based compensation</w:t>
            </w:r>
          </w:p>
        </w:tc>
        <w:tc>
          <w:tcPr>
            <w:tcW w:w="30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1,262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Add: Acquisition related costs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2,080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40" w:type="dxa"/>
            <w:vAlign w:val="bottom"/>
          </w:tcPr>
          <w:p>
            <w:pPr>
              <w:spacing w:after="0"/>
              <w:rPr>
                <w:sz w:val="20"/>
                <w:szCs w:val="20"/>
                <w:color w:val="auto"/>
              </w:rPr>
            </w:pPr>
            <w:r>
              <w:rPr>
                <w:rFonts w:ascii="Arial" w:cs="Arial" w:eastAsia="Arial" w:hAnsi="Arial"/>
                <w:sz w:val="17"/>
                <w:szCs w:val="17"/>
                <w:color w:val="auto"/>
              </w:rPr>
              <w:t>Adjusted loss from operations</w:t>
            </w: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(175,257)</w:t>
            </w:r>
          </w:p>
        </w:tc>
        <w:tc>
          <w:tcPr>
            <w:tcW w:w="1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(133,148)</w:t>
            </w:r>
          </w:p>
        </w:tc>
        <w:tc>
          <w:tcPr>
            <w:tcW w:w="1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(79,892)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5520"/>
              <w:spacing w:after="0"/>
              <w:rPr>
                <w:sz w:val="20"/>
                <w:szCs w:val="20"/>
                <w:color w:val="auto"/>
              </w:rPr>
            </w:pPr>
            <w:r>
              <w:rPr>
                <w:rFonts w:ascii="Arial" w:cs="Arial" w:eastAsia="Arial" w:hAnsi="Arial"/>
                <w:sz w:val="17"/>
                <w:szCs w:val="17"/>
                <w:color w:val="auto"/>
              </w:rPr>
              <w:t>61</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6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66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-7620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net loss, Non-GAAP net loss per share and Non-GAAP net loss per share, as adjusted</w:t>
      </w:r>
    </w:p>
    <w:p>
      <w:pPr>
        <w:spacing w:after="0" w:line="103" w:lineRule="exact"/>
        <w:rPr>
          <w:sz w:val="20"/>
          <w:szCs w:val="20"/>
          <w:color w:val="auto"/>
        </w:rPr>
      </w:pPr>
    </w:p>
    <w:p>
      <w:pPr>
        <w:ind w:right="40" w:firstLine="762"/>
        <w:spacing w:after="0" w:line="253" w:lineRule="auto"/>
        <w:rPr>
          <w:sz w:val="20"/>
          <w:szCs w:val="20"/>
          <w:color w:val="auto"/>
        </w:rPr>
      </w:pPr>
      <w:r>
        <w:rPr>
          <w:rFonts w:ascii="Arial" w:cs="Arial" w:eastAsia="Arial" w:hAnsi="Arial"/>
          <w:sz w:val="17"/>
          <w:szCs w:val="17"/>
          <w:color w:val="auto"/>
        </w:rPr>
        <w:t>We calculate Non-GAAP net loss as net loss adjusted to exclude the one-time, IPO related acceleration of non-cash stock-based compensation expense, the one-time, IPO related non-cash revaluation of a preferred stock warrant, and acquisition related costs. We calculate Non-GAAP net loss per share as Non-GAAP net loss divided by weighted average number of shares outstanding. The following table presents a reconciliation of Non-GAAP net loss and Non-GAAP net loss per share to net loss and net loss per share, which are the most directly comparable U.S. GAAP measures:</w:t>
      </w:r>
    </w:p>
    <w:p>
      <w:pPr>
        <w:spacing w:after="0" w:line="209"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Year Ended</w:t>
      </w:r>
    </w:p>
    <w:p>
      <w:pPr>
        <w:spacing w:after="0" w:line="5"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340" w:type="dxa"/>
            <w:vAlign w:val="bottom"/>
            <w:gridSpan w:val="2"/>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(202,799)</w:t>
            </w:r>
          </w:p>
        </w:tc>
        <w:tc>
          <w:tcPr>
            <w:tcW w:w="480" w:type="dxa"/>
            <w:vAlign w:val="bottom"/>
            <w:gridSpan w:val="2"/>
            <w:shd w:val="clear" w:color="auto" w:fill="CFF0FC"/>
          </w:tcPr>
          <w:p>
            <w:pPr>
              <w:jc w:val="right"/>
              <w:ind w:right="12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(142,978)</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(85,178)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Accretion of redeemable convertible preferred stock</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(132,750)</w:t>
            </w: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loss attributable to common stockholders</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(202,799)</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(275,728)</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(98,214)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vMerge w:val="restart"/>
          </w:tcPr>
          <w:p>
            <w:pPr>
              <w:ind w:left="100"/>
              <w:spacing w:after="0"/>
              <w:rPr>
                <w:sz w:val="20"/>
                <w:szCs w:val="20"/>
                <w:color w:val="auto"/>
              </w:rPr>
            </w:pPr>
            <w:r>
              <w:rPr>
                <w:rFonts w:ascii="Arial" w:cs="Arial" w:eastAsia="Arial" w:hAnsi="Arial"/>
                <w:sz w:val="17"/>
                <w:szCs w:val="17"/>
                <w:color w:val="auto"/>
              </w:rPr>
              <w:t>Add: One-time IPO related acceleration of non-cash stock based compensation</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1,262</w:t>
            </w:r>
          </w:p>
        </w:tc>
        <w:tc>
          <w:tcPr>
            <w:tcW w:w="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4"/>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4"/>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Add: One-time IPO related non-cash revaluation of preferred stock warrant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20,470</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Pr>
          <w:p>
            <w:pPr>
              <w:ind w:left="100"/>
              <w:spacing w:after="0"/>
              <w:rPr>
                <w:sz w:val="20"/>
                <w:szCs w:val="20"/>
                <w:color w:val="auto"/>
              </w:rPr>
            </w:pPr>
            <w:r>
              <w:rPr>
                <w:rFonts w:ascii="Arial" w:cs="Arial" w:eastAsia="Arial" w:hAnsi="Arial"/>
                <w:sz w:val="17"/>
                <w:szCs w:val="17"/>
                <w:color w:val="auto"/>
              </w:rPr>
              <w:t>Add: Acquisition related costs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2,080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Non-GAAP net loss</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(178,987)</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(275,728)</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(98,214)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6680" w:type="dxa"/>
            <w:vAlign w:val="bottom"/>
            <w:shd w:val="clear" w:color="auto" w:fill="CFF0FC"/>
          </w:tcPr>
          <w:p>
            <w:pPr>
              <w:spacing w:after="0" w:line="186" w:lineRule="exact"/>
              <w:rPr>
                <w:sz w:val="20"/>
                <w:szCs w:val="20"/>
                <w:color w:val="auto"/>
              </w:rPr>
            </w:pPr>
            <w:r>
              <w:rPr>
                <w:rFonts w:ascii="Arial" w:cs="Arial" w:eastAsia="Arial" w:hAnsi="Arial"/>
                <w:sz w:val="17"/>
                <w:szCs w:val="17"/>
                <w:color w:val="auto"/>
              </w:rPr>
              <w:t>Weighted-average number of shares outstanding used to compute net loss per share,</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basic and diluted</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73,345,569</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8,605,962</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8,540,778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Net loss per share, basic and diluted</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(2.76)</w:t>
            </w:r>
          </w:p>
        </w:tc>
        <w:tc>
          <w:tcPr>
            <w:tcW w:w="480" w:type="dxa"/>
            <w:vAlign w:val="bottom"/>
            <w:gridSpan w:val="2"/>
            <w:shd w:val="clear" w:color="auto" w:fill="CFF0FC"/>
          </w:tcPr>
          <w:p>
            <w:pPr>
              <w:jc w:val="right"/>
              <w:ind w:right="12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(32.04)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7"/>
                <w:szCs w:val="17"/>
                <w:color w:val="auto"/>
              </w:rPr>
              <w:t>Impact of one-time IPO related acceleration of non-cash stock based compensation</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0.02</w:t>
            </w:r>
          </w:p>
        </w:tc>
        <w:tc>
          <w:tcPr>
            <w:tcW w:w="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4"/>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4"/>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Impact of one-time IPO related non-cash revaluation of preferred stock warrant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0.28</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Impact of acquisition related costs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0.03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Non-GAAP net loss per share, basic and diluted</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(2.43)</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(32.04)</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(11.50)</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7"/>
                <w:szCs w:val="17"/>
                <w:color w:val="auto"/>
              </w:rPr>
              <w:t>Non-GAAP net loss per share, as adjusted, basic and diluted</w:t>
            </w:r>
            <w:r>
              <w:rPr>
                <w:rFonts w:ascii="Arial" w:cs="Arial" w:eastAsia="Arial" w:hAnsi="Arial"/>
                <w:sz w:val="14"/>
                <w:szCs w:val="14"/>
                <w:color w:val="auto"/>
              </w:rPr>
              <w:t>(a)</w:t>
            </w:r>
          </w:p>
        </w:tc>
        <w:tc>
          <w:tcPr>
            <w:tcW w:w="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53"/>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(1.37)</w:t>
            </w:r>
          </w:p>
        </w:tc>
        <w:tc>
          <w:tcPr>
            <w:tcW w:w="2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(1.11)</w:t>
            </w:r>
          </w:p>
        </w:tc>
        <w:tc>
          <w:tcPr>
            <w:tcW w:w="14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13"/>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100"/>
        <w:spacing w:after="0" w:line="219" w:lineRule="auto"/>
        <w:rPr>
          <w:sz w:val="20"/>
          <w:szCs w:val="20"/>
          <w:color w:val="auto"/>
        </w:rPr>
      </w:pPr>
      <w:r>
        <w:rPr>
          <w:rFonts w:ascii="Arial" w:cs="Arial" w:eastAsia="Arial" w:hAnsi="Arial"/>
          <w:sz w:val="22"/>
          <w:szCs w:val="22"/>
          <w:color w:val="auto"/>
          <w:vertAlign w:val="superscript"/>
        </w:rPr>
        <w:t>(a)</w:t>
      </w:r>
      <w:r>
        <w:rPr>
          <w:rFonts w:ascii="Arial" w:cs="Arial" w:eastAsia="Arial" w:hAnsi="Arial"/>
          <w:sz w:val="13"/>
          <w:szCs w:val="13"/>
          <w:color w:val="auto"/>
        </w:rPr>
        <w:t>Non-GAAP net loss per share, as adjusted has been computed to give effect to, as of the beginning of each period presented, (i) the shares of common stock issued in connection with our IPO (ii) the automatic conversion of all outstanding shares of redeemable convertible preferred stock into shares of common stock that occurred upon the consummation of our IPO and (iii) the shares of common stock issued in connection with our follow-on public offering. The computation of Non-GAAP net loss per share, as adjusted is as follows:</w:t>
      </w:r>
    </w:p>
    <w:p>
      <w:pPr>
        <w:spacing w:after="0" w:line="119" w:lineRule="exact"/>
        <w:rPr>
          <w:sz w:val="20"/>
          <w:szCs w:val="20"/>
          <w:color w:val="auto"/>
        </w:rPr>
      </w:pPr>
    </w:p>
    <w:p>
      <w:pPr>
        <w:jc w:val="center"/>
        <w:ind w:left="6700"/>
        <w:spacing w:after="0"/>
        <w:rPr>
          <w:sz w:val="20"/>
          <w:szCs w:val="20"/>
          <w:color w:val="auto"/>
        </w:rPr>
      </w:pPr>
      <w:r>
        <w:rPr>
          <w:rFonts w:ascii="Arial" w:cs="Arial" w:eastAsia="Arial" w:hAnsi="Arial"/>
          <w:sz w:val="12"/>
          <w:szCs w:val="12"/>
          <w:b w:val="1"/>
          <w:bCs w:val="1"/>
          <w:color w:val="auto"/>
        </w:rPr>
        <w:t>Year Ended</w:t>
      </w:r>
    </w:p>
    <w:p>
      <w:pPr>
        <w:spacing w:after="0" w:line="9" w:lineRule="exact"/>
        <w:rPr>
          <w:sz w:val="20"/>
          <w:szCs w:val="20"/>
          <w:color w:val="auto"/>
        </w:rPr>
      </w:pPr>
    </w:p>
    <w:p>
      <w:pPr>
        <w:jc w:val="center"/>
        <w:ind w:left="6700"/>
        <w:spacing w:after="0"/>
        <w:rPr>
          <w:sz w:val="20"/>
          <w:szCs w:val="20"/>
          <w:color w:val="auto"/>
        </w:rPr>
      </w:pP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4339590</wp:posOffset>
            </wp:positionH>
            <wp:positionV relativeFrom="paragraph">
              <wp:posOffset>0</wp:posOffset>
            </wp:positionV>
            <wp:extent cx="27997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99715" cy="825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4"/>
                <w:szCs w:val="14"/>
                <w:color w:val="auto"/>
              </w:rPr>
              <w:t>Non-GAAP net loss</w:t>
            </w: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(178,987)</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3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(275,728)</w:t>
            </w:r>
          </w:p>
        </w:tc>
        <w:tc>
          <w:tcPr>
            <w:tcW w:w="16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(98,214)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Arial" w:cs="Arial" w:eastAsia="Arial" w:hAnsi="Arial"/>
                <w:sz w:val="14"/>
                <w:szCs w:val="14"/>
                <w:color w:val="auto"/>
              </w:rPr>
              <w:t>Add: Accretion of redeemable convertible preferred stock</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132,750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13,036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Non-GAAP net loss, as adjusted</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(178,987)</w:t>
            </w: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(142,978)</w:t>
            </w: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6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668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Weighted-average number of shares outstanding used to compute net loss per share,</w:t>
            </w: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basic and diluted</w:t>
            </w:r>
          </w:p>
        </w:tc>
        <w:tc>
          <w:tcPr>
            <w:tcW w:w="1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color w:val="auto"/>
              </w:rPr>
              <w:t>73,345,569</w:t>
            </w:r>
          </w:p>
        </w:tc>
        <w:tc>
          <w:tcPr>
            <w:tcW w:w="1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color w:val="auto"/>
              </w:rPr>
              <w:t>8,605,962</w:t>
            </w:r>
          </w:p>
        </w:tc>
        <w:tc>
          <w:tcPr>
            <w:tcW w:w="1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color w:val="auto"/>
              </w:rPr>
              <w:t>8,540,778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vMerge w:val="restart"/>
          </w:tcPr>
          <w:p>
            <w:pPr>
              <w:ind w:left="100"/>
              <w:spacing w:after="0"/>
              <w:rPr>
                <w:sz w:val="20"/>
                <w:szCs w:val="20"/>
                <w:color w:val="auto"/>
              </w:rPr>
            </w:pPr>
            <w:r>
              <w:rPr>
                <w:rFonts w:ascii="Arial" w:cs="Arial" w:eastAsia="Arial" w:hAnsi="Arial"/>
                <w:sz w:val="14"/>
                <w:szCs w:val="14"/>
                <w:color w:val="auto"/>
              </w:rPr>
              <w:t>Add: unweighted adjustment for common stock issued in connection with IPO</w:t>
            </w: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51"/>
              <w:spacing w:after="0" w:line="149" w:lineRule="exact"/>
              <w:rPr>
                <w:sz w:val="20"/>
                <w:szCs w:val="20"/>
                <w:color w:val="auto"/>
              </w:rPr>
            </w:pPr>
            <w:r>
              <w:rPr>
                <w:rFonts w:ascii="Arial" w:cs="Arial" w:eastAsia="Arial" w:hAnsi="Arial"/>
                <w:sz w:val="14"/>
                <w:szCs w:val="14"/>
                <w:color w:val="auto"/>
              </w:rPr>
              <w:t>24,437,500</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51"/>
              <w:spacing w:after="0" w:line="149" w:lineRule="exact"/>
              <w:rPr>
                <w:sz w:val="20"/>
                <w:szCs w:val="20"/>
                <w:color w:val="auto"/>
              </w:rPr>
            </w:pPr>
            <w:r>
              <w:rPr>
                <w:rFonts w:ascii="Arial" w:cs="Arial" w:eastAsia="Arial" w:hAnsi="Arial"/>
                <w:sz w:val="14"/>
                <w:szCs w:val="14"/>
                <w:color w:val="auto"/>
              </w:rPr>
              <w:t>24,437,500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51"/>
              <w:spacing w:after="0" w:line="149" w:lineRule="exact"/>
              <w:rPr>
                <w:sz w:val="20"/>
                <w:szCs w:val="20"/>
                <w:color w:val="auto"/>
              </w:rPr>
            </w:pPr>
            <w:r>
              <w:rPr>
                <w:rFonts w:ascii="Arial" w:cs="Arial" w:eastAsia="Arial" w:hAnsi="Arial"/>
                <w:sz w:val="14"/>
                <w:szCs w:val="14"/>
                <w:color w:val="auto"/>
              </w:rPr>
              <w:t>24,437,500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80" w:type="dxa"/>
            <w:vAlign w:val="bottom"/>
            <w:shd w:val="clear" w:color="auto" w:fill="CFF0FC"/>
          </w:tcPr>
          <w:p>
            <w:pPr>
              <w:ind w:left="100"/>
              <w:spacing w:after="0" w:line="157" w:lineRule="exact"/>
              <w:rPr>
                <w:sz w:val="20"/>
                <w:szCs w:val="20"/>
                <w:color w:val="auto"/>
              </w:rPr>
            </w:pPr>
            <w:r>
              <w:rPr>
                <w:rFonts w:ascii="Arial" w:cs="Arial" w:eastAsia="Arial" w:hAnsi="Arial"/>
                <w:sz w:val="14"/>
                <w:szCs w:val="14"/>
                <w:color w:val="auto"/>
              </w:rPr>
              <w:t>Add: unweighted adjustment for conversion of redeemable convertible preferred stock in connection with</w:t>
            </w: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IPO</w:t>
            </w: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85,533,394</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85,533,394</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85,533,394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80" w:type="dxa"/>
            <w:vAlign w:val="bottom"/>
          </w:tcPr>
          <w:p>
            <w:pPr>
              <w:ind w:left="100"/>
              <w:spacing w:after="0"/>
              <w:rPr>
                <w:sz w:val="20"/>
                <w:szCs w:val="20"/>
                <w:color w:val="auto"/>
              </w:rPr>
            </w:pPr>
            <w:r>
              <w:rPr>
                <w:rFonts w:ascii="Arial" w:cs="Arial" w:eastAsia="Arial" w:hAnsi="Arial"/>
                <w:sz w:val="14"/>
                <w:szCs w:val="14"/>
                <w:color w:val="auto"/>
              </w:rPr>
              <w:t>Add: unweighted adjustment for common stock issued in connection with follow-on public offering</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10,800,000</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10,800,000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10,800,000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80" w:type="dxa"/>
            <w:vAlign w:val="bottom"/>
            <w:shd w:val="clear" w:color="auto" w:fill="CFF0FC"/>
          </w:tcPr>
          <w:p>
            <w:pPr>
              <w:ind w:left="100"/>
              <w:spacing w:after="0" w:line="157" w:lineRule="exact"/>
              <w:rPr>
                <w:sz w:val="20"/>
                <w:szCs w:val="20"/>
                <w:color w:val="auto"/>
              </w:rPr>
            </w:pPr>
            <w:r>
              <w:rPr>
                <w:rFonts w:ascii="Arial" w:cs="Arial" w:eastAsia="Arial" w:hAnsi="Arial"/>
                <w:sz w:val="14"/>
                <w:szCs w:val="14"/>
                <w:color w:val="auto"/>
              </w:rPr>
              <w:t>Less: Adjustment for the impact of the above items already included in weighted-average number of</w:t>
            </w: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shares outstanding for the periods presented</w:t>
            </w: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(63,865,903)</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6700" w:type="dxa"/>
            <w:vAlign w:val="bottom"/>
            <w:gridSpan w:val="2"/>
          </w:tcPr>
          <w:p>
            <w:pPr>
              <w:spacing w:after="0" w:line="150" w:lineRule="exact"/>
              <w:rPr>
                <w:sz w:val="20"/>
                <w:szCs w:val="20"/>
                <w:color w:val="auto"/>
              </w:rPr>
            </w:pPr>
            <w:r>
              <w:rPr>
                <w:rFonts w:ascii="Arial" w:cs="Arial" w:eastAsia="Arial" w:hAnsi="Arial"/>
                <w:sz w:val="14"/>
                <w:szCs w:val="14"/>
                <w:color w:val="auto"/>
              </w:rPr>
              <w:t>Weighted-average number of shares outstanding used to compute net loss per share, as adjusted, basic</w:t>
            </w:r>
          </w:p>
        </w:tc>
        <w:tc>
          <w:tcPr>
            <w:tcW w:w="1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700" w:type="dxa"/>
            <w:vAlign w:val="bottom"/>
            <w:gridSpan w:val="2"/>
          </w:tcPr>
          <w:p>
            <w:pPr>
              <w:spacing w:after="0"/>
              <w:rPr>
                <w:sz w:val="20"/>
                <w:szCs w:val="20"/>
                <w:color w:val="auto"/>
              </w:rPr>
            </w:pPr>
            <w:r>
              <w:rPr>
                <w:rFonts w:ascii="Arial" w:cs="Arial" w:eastAsia="Arial" w:hAnsi="Arial"/>
                <w:sz w:val="14"/>
                <w:szCs w:val="14"/>
                <w:color w:val="auto"/>
              </w:rPr>
              <w:t>and diluted</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130,250,560</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129,376,856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129,311,672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680" w:type="dxa"/>
            <w:vAlign w:val="bottom"/>
          </w:tcPr>
          <w:p>
            <w:pPr>
              <w:spacing w:after="0"/>
              <w:rPr>
                <w:sz w:val="20"/>
                <w:szCs w:val="20"/>
                <w:color w:val="auto"/>
              </w:rPr>
            </w:pPr>
            <w:r>
              <w:rPr>
                <w:rFonts w:ascii="Arial" w:cs="Arial" w:eastAsia="Arial" w:hAnsi="Arial"/>
                <w:sz w:val="14"/>
                <w:szCs w:val="14"/>
                <w:color w:val="auto"/>
              </w:rPr>
              <w:t>Non-GAAP net loss per share, as adjusted, basic and diluted</w:t>
            </w:r>
          </w:p>
        </w:tc>
        <w:tc>
          <w:tcPr>
            <w:tcW w:w="400" w:type="dxa"/>
            <w:vAlign w:val="bottom"/>
            <w:gridSpan w:val="2"/>
          </w:tcPr>
          <w:p>
            <w:pPr>
              <w:jc w:val="right"/>
              <w:ind w:right="11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(1.37)</w:t>
            </w:r>
          </w:p>
        </w:tc>
        <w:tc>
          <w:tcPr>
            <w:tcW w:w="180" w:type="dxa"/>
            <w:vAlign w:val="bottom"/>
          </w:tcPr>
          <w:p>
            <w:pPr>
              <w:spacing w:after="0"/>
              <w:rPr>
                <w:sz w:val="14"/>
                <w:szCs w:val="14"/>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(1.11)</w:t>
            </w:r>
          </w:p>
        </w:tc>
        <w:tc>
          <w:tcPr>
            <w:tcW w:w="160" w:type="dxa"/>
            <w:vAlign w:val="bottom"/>
          </w:tcPr>
          <w:p>
            <w:pPr>
              <w:spacing w:after="0"/>
              <w:rPr>
                <w:sz w:val="14"/>
                <w:szCs w:val="14"/>
                <w:color w:val="auto"/>
              </w:rPr>
            </w:pPr>
          </w:p>
        </w:tc>
        <w:tc>
          <w:tcPr>
            <w:tcW w:w="280" w:type="dxa"/>
            <w:vAlign w:val="bottom"/>
            <w:gridSpan w:val="2"/>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Recent Events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103" w:lineRule="exact"/>
        <w:rPr>
          <w:sz w:val="20"/>
          <w:szCs w:val="20"/>
          <w:color w:val="auto"/>
        </w:rPr>
      </w:pPr>
    </w:p>
    <w:p>
      <w:pPr>
        <w:ind w:firstLine="762"/>
        <w:spacing w:after="0" w:line="250" w:lineRule="auto"/>
        <w:rPr>
          <w:sz w:val="20"/>
          <w:szCs w:val="20"/>
          <w:color w:val="auto"/>
        </w:rPr>
      </w:pPr>
      <w:r>
        <w:rPr>
          <w:rFonts w:ascii="Arial" w:cs="Arial" w:eastAsia="Arial" w:hAnsi="Arial"/>
          <w:sz w:val="17"/>
          <w:szCs w:val="17"/>
          <w:color w:val="auto"/>
        </w:rPr>
        <w:t>On June 11, 2020, we completed an initial public offering, or IPO, in which we sold 24,437,500 shares of common stock, which included 3,187,500 shares sold pursuant to the exercise by the underwriters of an over-allotment option to purchase additional shares, at a public offering price of $22.00 per share. We received proceeds of approximately $504.0 million, net of underwriting discount and before deducting offering expenses of $7.5 million, from sales of our shares in the IPO. Prior to the completion of the IPO, we effected a 2-for-1 forward stock split of all the issued and outstanding shares of our common stock the (“Stock Split”). As a result of the Stock Split and the completion of the IPO, all of our redeemable convertible preferred stock outstanding automatically converted into an aggregate of 85,533,394 shares of our common stock.</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Follow-on Public Offering</w:t>
      </w:r>
    </w:p>
    <w:p>
      <w:pPr>
        <w:spacing w:after="0" w:line="103" w:lineRule="exact"/>
        <w:rPr>
          <w:sz w:val="20"/>
          <w:szCs w:val="20"/>
          <w:color w:val="auto"/>
        </w:rPr>
      </w:pPr>
    </w:p>
    <w:p>
      <w:pPr>
        <w:jc w:val="both"/>
        <w:ind w:right="120" w:firstLine="762"/>
        <w:spacing w:after="0" w:line="265" w:lineRule="auto"/>
        <w:rPr>
          <w:sz w:val="20"/>
          <w:szCs w:val="20"/>
          <w:color w:val="auto"/>
        </w:rPr>
      </w:pPr>
      <w:r>
        <w:rPr>
          <w:rFonts w:ascii="Arial" w:cs="Arial" w:eastAsia="Arial" w:hAnsi="Arial"/>
          <w:sz w:val="17"/>
          <w:szCs w:val="17"/>
          <w:color w:val="auto"/>
        </w:rPr>
        <w:t>On September 15, 2020, we closed on our follow-on public offering in which we sold 10,800,000 shares of common stock at the public offering price of $ 54.50 per share. We received proceeds of approximately $569.5 million from the offering, net of the underwriting discount and before deducting offering expenses of $1.5 million.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Rocket Agreement</w:t>
      </w:r>
    </w:p>
    <w:p>
      <w:pPr>
        <w:spacing w:after="0" w:line="103" w:lineRule="exact"/>
        <w:rPr>
          <w:sz w:val="20"/>
          <w:szCs w:val="20"/>
          <w:color w:val="auto"/>
        </w:rPr>
      </w:pPr>
    </w:p>
    <w:p>
      <w:pPr>
        <w:ind w:right="20" w:firstLine="762"/>
        <w:spacing w:after="0" w:line="248" w:lineRule="auto"/>
        <w:rPr>
          <w:sz w:val="20"/>
          <w:szCs w:val="20"/>
          <w:color w:val="auto"/>
        </w:rPr>
      </w:pPr>
      <w:r>
        <w:rPr>
          <w:rFonts w:ascii="Arial" w:cs="Arial" w:eastAsia="Arial" w:hAnsi="Arial"/>
          <w:sz w:val="17"/>
          <w:szCs w:val="17"/>
          <w:color w:val="auto"/>
        </w:rPr>
        <w:t>On May 15, 2020, we entered into an agreement with Rocket Auto LLC and certain of its affiliates (collectively, “Rocket”) providing for the launch of an ecommerce platform under the “Rocket Auto” brand for the marketing and sale of vehicles directly to consumers (the “RA Agreement”). We will list our used vehicle inventory for sale on the Rocket Auto platform, but all sales of the inventory will be conducted through our platform. Rocket Auto is expected to launch publicly during 2021. During the term of the RA Agreement, Rocket has agreed to ensure that a minimum percentage of all used vehicles sold or leased through the platform on a monthly basis will be Vroom inventory. We issued Rocket 183,870 shares of our common stock upon execution of the RA Agreement. We will pay Rocket a combination of cash and stock for vehicle sales made through the platform. Rocket may earn up to 8,641,914 shares of common stock over a four-year period based upon sales volume of Vroom inventory through the Rocket Auto platform.</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CarStory Acquisition</w:t>
      </w:r>
    </w:p>
    <w:p>
      <w:pPr>
        <w:spacing w:after="0" w:line="103" w:lineRule="exact"/>
        <w:rPr>
          <w:sz w:val="20"/>
          <w:szCs w:val="20"/>
          <w:color w:val="auto"/>
        </w:rPr>
      </w:pPr>
    </w:p>
    <w:p>
      <w:pPr>
        <w:ind w:right="240" w:firstLine="762"/>
        <w:spacing w:after="0" w:line="290" w:lineRule="auto"/>
        <w:rPr>
          <w:sz w:val="20"/>
          <w:szCs w:val="20"/>
          <w:color w:val="auto"/>
        </w:rPr>
      </w:pPr>
      <w:r>
        <w:rPr>
          <w:rFonts w:ascii="Arial" w:cs="Arial" w:eastAsia="Arial" w:hAnsi="Arial"/>
          <w:sz w:val="17"/>
          <w:szCs w:val="17"/>
          <w:color w:val="auto"/>
        </w:rPr>
        <w:t>On January 7, 2021, we completed the acquisition of the CarStory business, a leader in AI-powered analytics and digital services for automotive retail, through the acquisition of 100% of Vast Holdings, Inc.</w:t>
      </w:r>
    </w:p>
    <w:p>
      <w:pPr>
        <w:spacing w:after="0" w:line="129" w:lineRule="exact"/>
        <w:rPr>
          <w:sz w:val="20"/>
          <w:szCs w:val="20"/>
          <w:color w:val="auto"/>
        </w:rPr>
      </w:pPr>
    </w:p>
    <w:p>
      <w:pPr>
        <w:ind w:firstLine="762"/>
        <w:spacing w:after="0" w:line="253" w:lineRule="auto"/>
        <w:rPr>
          <w:sz w:val="20"/>
          <w:szCs w:val="20"/>
          <w:color w:val="auto"/>
        </w:rPr>
      </w:pPr>
      <w:r>
        <w:rPr>
          <w:rFonts w:ascii="Arial" w:cs="Arial" w:eastAsia="Arial" w:hAnsi="Arial"/>
          <w:sz w:val="17"/>
          <w:szCs w:val="17"/>
          <w:color w:val="auto"/>
        </w:rPr>
        <w:t>Leveraging its machine learning, informed by more than 7 million listings per day and more than 18 million consumer sessions per month, CarStory brings the industry’s most complete and accurate view of predictive market data to our national ecommerce and vehicle operations platform. As part of Vroom, we expect CarStory to continue to drive automotive retail innovation by aggregating, optimizing and distributing current market data from thousands of automotive sources and offering its digital retailing services to dealers, top automotive financial services companies and household names in automotive industry research and retailing.</w:t>
      </w:r>
    </w:p>
    <w:p>
      <w:pPr>
        <w:spacing w:after="0" w:line="160" w:lineRule="exact"/>
        <w:rPr>
          <w:sz w:val="20"/>
          <w:szCs w:val="20"/>
          <w:color w:val="auto"/>
        </w:rPr>
      </w:pPr>
    </w:p>
    <w:p>
      <w:pPr>
        <w:jc w:val="both"/>
        <w:ind w:right="100" w:firstLine="762"/>
        <w:spacing w:after="0" w:line="265" w:lineRule="auto"/>
        <w:rPr>
          <w:sz w:val="20"/>
          <w:szCs w:val="20"/>
          <w:color w:val="auto"/>
        </w:rPr>
      </w:pPr>
      <w:r>
        <w:rPr>
          <w:rFonts w:ascii="Arial" w:cs="Arial" w:eastAsia="Arial" w:hAnsi="Arial"/>
          <w:sz w:val="17"/>
          <w:szCs w:val="17"/>
          <w:color w:val="auto"/>
        </w:rPr>
        <w:t>Pursuant to the acquisition agreement, the aggregate purchase price was approximately $120.0 million, comprised of cash and shares of our common stock. On the closing date, we paid $77.5 million in cash and issued 1,072,117 shares of our common stock. The purchase price is subject to adjustment for certain working capital adjustments and post-closing indemnities.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Update on the Impact of the COVID-19 Pandemic</w:t>
      </w:r>
    </w:p>
    <w:p>
      <w:pPr>
        <w:spacing w:after="0" w:line="212" w:lineRule="exact"/>
        <w:rPr>
          <w:sz w:val="20"/>
          <w:szCs w:val="20"/>
          <w:color w:val="auto"/>
        </w:rPr>
      </w:pPr>
    </w:p>
    <w:p>
      <w:pPr>
        <w:ind w:right="180" w:firstLine="762"/>
        <w:spacing w:after="0" w:line="249" w:lineRule="auto"/>
        <w:rPr>
          <w:sz w:val="20"/>
          <w:szCs w:val="20"/>
          <w:color w:val="auto"/>
        </w:rPr>
      </w:pPr>
      <w:r>
        <w:rPr>
          <w:rFonts w:ascii="Arial" w:cs="Arial" w:eastAsia="Arial" w:hAnsi="Arial"/>
          <w:sz w:val="17"/>
          <w:szCs w:val="17"/>
          <w:color w:val="auto"/>
        </w:rPr>
        <w:t>The results of our operations and overall financial performance were impacted due to the COVID-19 pandemic during the year ended December 31, 2020. After the initial disruption in our ecommerce operations, consumer demand for used vehicles now exceeds pre-COVID-19 levels. Lower foot traffic in the initial phase of the COVID-19 pandemic as well as reduced inventory at the TDA location as the ecommerce business scales, continues to negatively affect our TDA business. Additionally, we experienced disruption across our logistics network, with a reduced number of third-party providers available to deliver our vehicles, which has resulted in a slowdown of inventory being picked up and delivered to our VRCs and in sold units being delivered to customers. Our transportation costs have also increased as the remaining carriers have increased prices.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ind w:right="240" w:firstLine="764"/>
        <w:spacing w:after="0" w:line="290" w:lineRule="auto"/>
        <w:rPr>
          <w:sz w:val="20"/>
          <w:szCs w:val="20"/>
          <w:color w:val="auto"/>
        </w:rPr>
      </w:pPr>
      <w:r>
        <w:rPr>
          <w:rFonts w:ascii="Arial" w:cs="Arial" w:eastAsia="Arial" w:hAnsi="Arial"/>
          <w:sz w:val="17"/>
          <w:szCs w:val="17"/>
          <w:color w:val="auto"/>
        </w:rPr>
        <w:t>We expect our operations will continue to be adversely impacted continuing into in 2021, however, the magnitude and duration of the ultimate impact is impossible to predict with certainty due to:</w:t>
      </w:r>
    </w:p>
    <w:p>
      <w:pPr>
        <w:spacing w:after="0" w:line="25" w:lineRule="exact"/>
        <w:rPr>
          <w:sz w:val="20"/>
          <w:szCs w:val="20"/>
          <w:color w:val="auto"/>
        </w:rPr>
      </w:pPr>
    </w:p>
    <w:p>
      <w:pPr>
        <w:ind w:left="1020" w:right="40" w:hanging="256"/>
        <w:spacing w:after="0" w:line="289" w:lineRule="auto"/>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uncertainties regarding the duration of the COVID-19 pandemic and the length of time over which the disruptions caused by COVID-19 will continue, including any potential future waves, the spread of new variants and the success of vaccination programs;</w:t>
      </w:r>
    </w:p>
    <w:p>
      <w:pPr>
        <w:spacing w:after="0" w:line="25" w:lineRule="exact"/>
        <w:rPr>
          <w:rFonts w:ascii="Times New Roman" w:cs="Times New Roman" w:eastAsia="Times New Roman" w:hAnsi="Times New Roman"/>
          <w:sz w:val="17"/>
          <w:szCs w:val="17"/>
          <w:color w:val="auto"/>
        </w:rPr>
      </w:pPr>
    </w:p>
    <w:p>
      <w:pPr>
        <w:ind w:left="1020" w:hanging="256"/>
        <w:spacing w:after="0"/>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governmental orders and regulations that have been, and may in the future be, imposed in response to the pandemic;</w:t>
      </w:r>
    </w:p>
    <w:p>
      <w:pPr>
        <w:spacing w:after="0" w:line="143" w:lineRule="exact"/>
        <w:rPr>
          <w:rFonts w:ascii="Times New Roman" w:cs="Times New Roman" w:eastAsia="Times New Roman" w:hAnsi="Times New Roman"/>
          <w:sz w:val="17"/>
          <w:szCs w:val="17"/>
          <w:color w:val="auto"/>
        </w:rPr>
      </w:pPr>
    </w:p>
    <w:p>
      <w:pPr>
        <w:ind w:left="1020" w:right="300" w:hanging="256"/>
        <w:spacing w:after="0" w:line="289" w:lineRule="auto"/>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COVID-19 on VRCs, wholesale auctions, state DMV titling and registration services, third party vehicle carriers and other third parties on which we rely;</w:t>
      </w:r>
    </w:p>
    <w:p>
      <w:pPr>
        <w:spacing w:after="0" w:line="25" w:lineRule="exact"/>
        <w:rPr>
          <w:rFonts w:ascii="Times New Roman" w:cs="Times New Roman" w:eastAsia="Times New Roman" w:hAnsi="Times New Roman"/>
          <w:sz w:val="17"/>
          <w:szCs w:val="17"/>
          <w:color w:val="auto"/>
        </w:rPr>
      </w:pPr>
    </w:p>
    <w:p>
      <w:pPr>
        <w:ind w:left="1020" w:hanging="256"/>
        <w:spacing w:after="0"/>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uncertainty as to the impact future increases in transmission could have on our ability to fully staff portions of our business;</w:t>
      </w:r>
    </w:p>
    <w:p>
      <w:pPr>
        <w:spacing w:after="0" w:line="143" w:lineRule="exact"/>
        <w:rPr>
          <w:rFonts w:ascii="Times New Roman" w:cs="Times New Roman" w:eastAsia="Times New Roman" w:hAnsi="Times New Roman"/>
          <w:sz w:val="17"/>
          <w:szCs w:val="17"/>
          <w:color w:val="auto"/>
        </w:rPr>
      </w:pPr>
    </w:p>
    <w:p>
      <w:pPr>
        <w:ind w:left="1020" w:right="280" w:hanging="256"/>
        <w:spacing w:after="0" w:line="289" w:lineRule="auto"/>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the deterioration of economic conditions in the United States, as well as high unemployment levels, which could have an adverse impact on discretionary consumer spending; and</w:t>
      </w:r>
    </w:p>
    <w:p>
      <w:pPr>
        <w:spacing w:after="0" w:line="130" w:lineRule="exact"/>
        <w:rPr>
          <w:rFonts w:ascii="Times New Roman" w:cs="Times New Roman" w:eastAsia="Times New Roman" w:hAnsi="Times New Roman"/>
          <w:sz w:val="17"/>
          <w:szCs w:val="17"/>
          <w:color w:val="auto"/>
        </w:rPr>
      </w:pPr>
    </w:p>
    <w:p>
      <w:pPr>
        <w:ind w:left="1020" w:hanging="256"/>
        <w:spacing w:after="0" w:line="289" w:lineRule="auto"/>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uncertainty as to whether and to what degree governmental stimulus packages or other economic relief will be provided to soften the negative economic effects of the COVID-19 crisis and the impact of any such relief.</w:t>
      </w:r>
    </w:p>
    <w:p>
      <w:pPr>
        <w:spacing w:after="0" w:line="130"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222222"/>
        </w:rPr>
        <w:t>See “Risk Factors—Risk Related to the COVID-19 pandemic—The COVID-19 pandemic has had and is expected to continue to have an adverse effect on our business, financial condition and results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Severe Weather Conditions</w:t>
      </w:r>
    </w:p>
    <w:p>
      <w:pPr>
        <w:spacing w:after="0" w:line="212" w:lineRule="exact"/>
        <w:rPr>
          <w:sz w:val="20"/>
          <w:szCs w:val="20"/>
          <w:color w:val="auto"/>
        </w:rPr>
      </w:pPr>
    </w:p>
    <w:p>
      <w:pPr>
        <w:ind w:right="20" w:firstLine="762"/>
        <w:spacing w:after="0" w:line="249" w:lineRule="auto"/>
        <w:rPr>
          <w:sz w:val="20"/>
          <w:szCs w:val="20"/>
          <w:color w:val="auto"/>
        </w:rPr>
      </w:pPr>
      <w:r>
        <w:rPr>
          <w:rFonts w:ascii="Arial" w:cs="Arial" w:eastAsia="Arial" w:hAnsi="Arial"/>
          <w:sz w:val="17"/>
          <w:szCs w:val="17"/>
          <w:color w:val="auto"/>
        </w:rPr>
        <w:t>In February 2021, the state of Texas was hit with record breaking winter weather which resulted in dangerous road conditions, widespread power outages, water outages and contamination of the water supply, which caused significant disruptions to our Houston area operations, including the closure of our offices and Vroom VRC for several days. We immediately focused on the health and wellbeing of our employees, while also working to minimize the impact on our customers. We have resumed full operations and are currently working to address the backlog in certain areas of our business, including our VRC, sales support, and administrative functions. “Risk Factors—General Risk Factors —Our business is subject to the risk of natural disasters, adverse weather events and other catastrophic events, and to interruption by manmade problems such as terrorism.</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Other Key Factors and Trends Affecting our Operating Results</w:t>
      </w:r>
    </w:p>
    <w:p>
      <w:pPr>
        <w:spacing w:after="0" w:line="212" w:lineRule="exact"/>
        <w:rPr>
          <w:sz w:val="20"/>
          <w:szCs w:val="20"/>
          <w:color w:val="auto"/>
        </w:rPr>
      </w:pPr>
    </w:p>
    <w:p>
      <w:pPr>
        <w:ind w:right="660" w:firstLine="762"/>
        <w:spacing w:after="0" w:line="290" w:lineRule="auto"/>
        <w:rPr>
          <w:sz w:val="20"/>
          <w:szCs w:val="20"/>
          <w:color w:val="auto"/>
        </w:rPr>
      </w:pPr>
      <w:r>
        <w:rPr>
          <w:rFonts w:ascii="Arial" w:cs="Arial" w:eastAsia="Arial" w:hAnsi="Arial"/>
          <w:sz w:val="17"/>
          <w:szCs w:val="17"/>
          <w:color w:val="auto"/>
        </w:rPr>
        <w:t>Our financial condition and results of operations have been, and will continue to be, affected by a number of factors and trends, including the following:</w:t>
      </w:r>
    </w:p>
    <w:p>
      <w:pPr>
        <w:spacing w:after="0" w:line="236" w:lineRule="exact"/>
        <w:rPr>
          <w:sz w:val="20"/>
          <w:szCs w:val="20"/>
          <w:color w:val="auto"/>
        </w:rPr>
      </w:pPr>
    </w:p>
    <w:p>
      <w:pPr>
        <w:ind w:right="720"/>
        <w:spacing w:after="0" w:line="297" w:lineRule="auto"/>
        <w:rPr>
          <w:sz w:val="20"/>
          <w:szCs w:val="20"/>
          <w:color w:val="auto"/>
        </w:rPr>
      </w:pPr>
      <w:r>
        <w:rPr>
          <w:rFonts w:ascii="Arial" w:cs="Arial" w:eastAsia="Arial" w:hAnsi="Arial"/>
          <w:sz w:val="17"/>
          <w:szCs w:val="17"/>
          <w:b w:val="1"/>
          <w:bCs w:val="1"/>
          <w:i w:val="1"/>
          <w:iCs w:val="1"/>
          <w:color w:val="auto"/>
        </w:rPr>
        <w:t>Ability to utilize data science to drive revenue growth by cost effectively increasing the volume and selection of vehicles in our inventory</w:t>
      </w:r>
    </w:p>
    <w:p>
      <w:pPr>
        <w:spacing w:after="0" w:line="11" w:lineRule="exact"/>
        <w:rPr>
          <w:sz w:val="20"/>
          <w:szCs w:val="20"/>
          <w:color w:val="auto"/>
        </w:rPr>
      </w:pPr>
    </w:p>
    <w:p>
      <w:pPr>
        <w:ind w:right="220" w:firstLine="762"/>
        <w:spacing w:after="0" w:line="265" w:lineRule="auto"/>
        <w:rPr>
          <w:sz w:val="20"/>
          <w:szCs w:val="20"/>
          <w:color w:val="auto"/>
        </w:rPr>
      </w:pPr>
      <w:r>
        <w:rPr>
          <w:rFonts w:ascii="Arial" w:cs="Arial" w:eastAsia="Arial" w:hAnsi="Arial"/>
          <w:sz w:val="17"/>
          <w:szCs w:val="17"/>
          <w:color w:val="auto"/>
        </w:rPr>
        <w:t>Our growth is primarily driven by vehicle sales. Vehicle sales growth, in turn, is largely driven by the volume of inventory and the selection of vehicles listed on our platform. Accordingly, we believe that having the appropriate volume and mix of vehicle inventory is critical to our ability to drive growth.</w:t>
      </w:r>
    </w:p>
    <w:p>
      <w:pPr>
        <w:spacing w:after="0" w:line="151" w:lineRule="exact"/>
        <w:rPr>
          <w:sz w:val="20"/>
          <w:szCs w:val="20"/>
          <w:color w:val="auto"/>
        </w:rPr>
      </w:pPr>
    </w:p>
    <w:p>
      <w:pPr>
        <w:ind w:right="60" w:firstLine="762"/>
        <w:spacing w:after="0" w:line="249" w:lineRule="auto"/>
        <w:rPr>
          <w:sz w:val="20"/>
          <w:szCs w:val="20"/>
          <w:color w:val="auto"/>
        </w:rPr>
      </w:pPr>
      <w:r>
        <w:rPr>
          <w:rFonts w:ascii="Arial" w:cs="Arial" w:eastAsia="Arial" w:hAnsi="Arial"/>
          <w:sz w:val="17"/>
          <w:szCs w:val="17"/>
          <w:color w:val="auto"/>
        </w:rPr>
        <w:t>The continued growth of our vehicle inventory requires a number of important capabilities, including the ability to finance the acquisition of inventory at competitive rates, source high quality vehicles across various acquisition channels nationwide, secure adequate reconditioning capacity and execute effective marketing strategies to increase consumer sourcing. In addition, our ability to accurately forecast pricing and consumer demand for specific types of vehicles is critical to sourcing high quality, high-demand vehicles. This ability is enabled by our data science capabilities that leverage the growing amount of data at our disposal and fine-tune our supply and sourcing models. Our investment in CarStory further enhances our predictive market data capabilities. As we continue to invest in our operational efficiency and data analytics, we expect that we will continue to cost effectively increase the volume and optimize the selection of our ecommerce inventory.</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Ability to capitalize on the continued migration of vehicle purchasers to ecommerce platforms through data-driven marketing efforts</w:t>
      </w:r>
    </w:p>
    <w:p>
      <w:pPr>
        <w:spacing w:after="0" w:line="103" w:lineRule="exact"/>
        <w:rPr>
          <w:sz w:val="20"/>
          <w:szCs w:val="20"/>
          <w:color w:val="auto"/>
        </w:rPr>
      </w:pPr>
    </w:p>
    <w:p>
      <w:pPr>
        <w:ind w:right="160" w:firstLine="762"/>
        <w:spacing w:after="0" w:line="290" w:lineRule="auto"/>
        <w:rPr>
          <w:sz w:val="20"/>
          <w:szCs w:val="20"/>
          <w:color w:val="auto"/>
        </w:rPr>
      </w:pPr>
      <w:r>
        <w:rPr>
          <w:rFonts w:ascii="Arial" w:cs="Arial" w:eastAsia="Arial" w:hAnsi="Arial"/>
          <w:sz w:val="17"/>
          <w:szCs w:val="17"/>
          <w:color w:val="auto"/>
        </w:rPr>
        <w:t>While the overall ecommerce penetration rate in used vehicle sales remains low, over the last several years, ecommerce used vehicle sales have experienced significant growth. There has been a shift in consumer buying patterns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5"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towards more convenient, personalized, and on-demand purchases, as well as a demand for ecommerce across more diverse categories, including the used vehicle market. We expect that the ecommerce model for buying and selling used vehicles will continue to grow and such growth may be accelerated by the COVID-19 pandemic. Our ability to continue to benefit from this trend will be an important driver of our future performance.</w:t>
      </w:r>
    </w:p>
    <w:p>
      <w:pPr>
        <w:spacing w:after="0" w:line="157" w:lineRule="exact"/>
        <w:rPr>
          <w:sz w:val="20"/>
          <w:szCs w:val="20"/>
          <w:color w:val="auto"/>
        </w:rPr>
      </w:pPr>
    </w:p>
    <w:p>
      <w:pPr>
        <w:ind w:firstLine="762"/>
        <w:spacing w:after="0" w:line="250" w:lineRule="auto"/>
        <w:rPr>
          <w:sz w:val="20"/>
          <w:szCs w:val="20"/>
          <w:color w:val="auto"/>
        </w:rPr>
      </w:pPr>
      <w:r>
        <w:rPr>
          <w:rFonts w:ascii="Arial" w:cs="Arial" w:eastAsia="Arial" w:hAnsi="Arial"/>
          <w:sz w:val="17"/>
          <w:szCs w:val="17"/>
          <w:color w:val="auto"/>
        </w:rPr>
        <w:t>We seek to improve our brand awareness among consumers through national marketing campaigns in order to strengthen our customer acquisition funnel. We also use digital performance marketing such as search engine marketing, automotive aggregator sites and social media to acquire customers more cost effectively. Our aggregate marketing spend has increased over time, with our first national brand marketing campaign commencing in the first quarter of 2019, and we expect to continue to invest in both national brand marketing and performance marketing efforts. As we leverage our national brand, we believe this investment in marketing spend will drive additional demand and sales. We also believe that we have the ability to drive down the cost of acquisition per unit sold by increasing the efficiency of our marketing spend.</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Ability to convert visitors to our platform into customers</w:t>
      </w:r>
    </w:p>
    <w:p>
      <w:pPr>
        <w:spacing w:after="0" w:line="103" w:lineRule="exact"/>
        <w:rPr>
          <w:sz w:val="20"/>
          <w:szCs w:val="20"/>
          <w:color w:val="auto"/>
        </w:rPr>
      </w:pPr>
    </w:p>
    <w:p>
      <w:pPr>
        <w:ind w:right="60" w:firstLine="762"/>
        <w:spacing w:after="0" w:line="265" w:lineRule="auto"/>
        <w:rPr>
          <w:sz w:val="20"/>
          <w:szCs w:val="20"/>
          <w:color w:val="auto"/>
        </w:rPr>
      </w:pPr>
      <w:r>
        <w:rPr>
          <w:rFonts w:ascii="Arial" w:cs="Arial" w:eastAsia="Arial" w:hAnsi="Arial"/>
          <w:sz w:val="17"/>
          <w:szCs w:val="17"/>
          <w:color w:val="auto"/>
        </w:rPr>
        <w:t>The quality of the customer experience on our ecommerce platform is critical to our ability to attract new visitors to our platform, convert such visitors into customers and increase repeat customers. Our ability to drive higher customer conversion depends on our ability to make our platform a compelling choice for consumers based on our functionalities and consumer offerings.</w:t>
      </w:r>
    </w:p>
    <w:p>
      <w:pPr>
        <w:spacing w:after="0" w:line="46" w:lineRule="exact"/>
        <w:rPr>
          <w:sz w:val="20"/>
          <w:szCs w:val="20"/>
          <w:color w:val="auto"/>
        </w:rPr>
      </w:pPr>
    </w:p>
    <w:p>
      <w:pPr>
        <w:ind w:right="60" w:firstLine="762"/>
        <w:spacing w:after="0" w:line="265" w:lineRule="auto"/>
        <w:rPr>
          <w:sz w:val="20"/>
          <w:szCs w:val="20"/>
          <w:color w:val="auto"/>
        </w:rPr>
      </w:pPr>
      <w:r>
        <w:rPr>
          <w:rFonts w:ascii="Arial" w:cs="Arial" w:eastAsia="Arial" w:hAnsi="Arial"/>
          <w:sz w:val="17"/>
          <w:szCs w:val="17"/>
          <w:color w:val="auto"/>
        </w:rPr>
        <w:t>Data analytics and experimentation drive decision making across all of our conversion efforts. By analyzing the data generated by the millions of visitors and tens of thousands of transactions on our platform, and continually testing strategies to maximize conversion rates, we form a better understanding of consumer preferences and try to create a more tailored ecommerce experience.</w:t>
      </w:r>
    </w:p>
    <w:p>
      <w:pPr>
        <w:spacing w:after="0" w:line="46" w:lineRule="exact"/>
        <w:rPr>
          <w:sz w:val="20"/>
          <w:szCs w:val="20"/>
          <w:color w:val="auto"/>
        </w:rPr>
      </w:pPr>
    </w:p>
    <w:p>
      <w:pPr>
        <w:ind w:right="80" w:firstLine="762"/>
        <w:spacing w:after="0" w:line="253" w:lineRule="auto"/>
        <w:rPr>
          <w:sz w:val="20"/>
          <w:szCs w:val="20"/>
          <w:color w:val="auto"/>
        </w:rPr>
      </w:pPr>
      <w:r>
        <w:rPr>
          <w:rFonts w:ascii="Arial" w:cs="Arial" w:eastAsia="Arial" w:hAnsi="Arial"/>
          <w:sz w:val="17"/>
          <w:szCs w:val="17"/>
          <w:color w:val="auto"/>
        </w:rPr>
        <w:t>Increased conversion also depends on our ability to provide the necessary customer service and sales support to respond to increased demand. During the fourth quarter, we further expanded our customer experience team as we ramp up our sales support in anticipation of continued sales growth in 2021. We also recently engaged two additional customer service providers to expand our customer service operations as we scale our business. As we continue to invest in our brand and improve the customer experience, we expect that we will attract more visitors, improve conversion and drive greater sales.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Ability to optimize the mix of inventory sources to drive increased gross profit and improvements to our unit economics</w:t>
      </w:r>
    </w:p>
    <w:p>
      <w:pPr>
        <w:spacing w:after="0" w:line="103" w:lineRule="exact"/>
        <w:rPr>
          <w:sz w:val="20"/>
          <w:szCs w:val="20"/>
          <w:color w:val="auto"/>
        </w:rPr>
      </w:pPr>
    </w:p>
    <w:p>
      <w:pPr>
        <w:ind w:firstLine="762"/>
        <w:spacing w:after="0" w:line="248" w:lineRule="auto"/>
        <w:rPr>
          <w:sz w:val="20"/>
          <w:szCs w:val="20"/>
          <w:color w:val="auto"/>
        </w:rPr>
      </w:pPr>
      <w:r>
        <w:rPr>
          <w:rFonts w:ascii="Arial" w:cs="Arial" w:eastAsia="Arial" w:hAnsi="Arial"/>
          <w:sz w:val="17"/>
          <w:szCs w:val="17"/>
          <w:color w:val="auto"/>
        </w:rPr>
        <w:t>We strategically source inventory from auctions, consumers, rental car companies, OEMs and dealers. Auctions, consumers, and rental car companies represent the vast majority of our inventory sources, accounting for approximately 48%, 40%, and 10% of our retail inventory sold for the year ended December 31, 2020, respectively. Because the quality of vehicles and associated gross margin profile vary across each channel, the mix of inventory sources has an impact on our profitability. We continually evaluate the optimal mix of sourcing channels and strive to source vehicles in a way that maximizes our average gross profit per unit and improves our unit economics. For example, purchasing vehicles at third-party auctions is competitive and, consequently, vehicle prices at third-party auctions tend to be higher than vehicle prices for vehicles sourced directly from consumers. Accordingly, as part of our sourcing strategy, we seek to increase the percentage of vehicle sales that we source from consumers.</w:t>
      </w:r>
    </w:p>
    <w:p>
      <w:pPr>
        <w:spacing w:after="0" w:line="365" w:lineRule="exact"/>
        <w:rPr>
          <w:sz w:val="20"/>
          <w:szCs w:val="20"/>
          <w:color w:val="auto"/>
        </w:rPr>
      </w:pPr>
    </w:p>
    <w:p>
      <w:pPr>
        <w:ind w:right="40" w:firstLine="762"/>
        <w:spacing w:after="0" w:line="253" w:lineRule="auto"/>
        <w:rPr>
          <w:sz w:val="20"/>
          <w:szCs w:val="20"/>
          <w:color w:val="auto"/>
        </w:rPr>
      </w:pPr>
      <w:r>
        <w:rPr>
          <w:rFonts w:ascii="Arial" w:cs="Arial" w:eastAsia="Arial" w:hAnsi="Arial"/>
          <w:sz w:val="17"/>
          <w:szCs w:val="17"/>
          <w:color w:val="auto"/>
        </w:rPr>
        <w:t>Our ability to increase the percentage of inventory sourced directly from consumers will depend on the popularity and success of our ecommerce platform. In order to continue to increase the percentage of vehicles that we source directly from consumers, we also have expanded our national marketing efforts that are focused on our Sell Us Your Car</w:t>
      </w:r>
      <w:r>
        <w:rPr>
          <w:rFonts w:ascii="Arial" w:cs="Arial" w:eastAsia="Arial" w:hAnsi="Arial"/>
          <w:sz w:val="14"/>
          <w:szCs w:val="14"/>
          <w:color w:val="auto"/>
        </w:rPr>
        <w:t>®</w:t>
      </w:r>
      <w:r>
        <w:rPr>
          <w:rFonts w:ascii="Arial" w:cs="Arial" w:eastAsia="Arial" w:hAnsi="Arial"/>
          <w:sz w:val="17"/>
          <w:szCs w:val="17"/>
          <w:color w:val="auto"/>
        </w:rPr>
        <w:t xml:space="preserve"> proposition, which we believe will result in more customers gaining familiarity with our platform. We expect that, as consumers experience the convenience of our platform to sell or trade in their used vehicles, the percentage of inventory we source directly from consumers will continue to grow.</w:t>
      </w:r>
    </w:p>
    <w:p>
      <w:pPr>
        <w:spacing w:after="0" w:line="160" w:lineRule="exact"/>
        <w:rPr>
          <w:sz w:val="20"/>
          <w:szCs w:val="20"/>
          <w:color w:val="auto"/>
        </w:rPr>
      </w:pPr>
    </w:p>
    <w:p>
      <w:pPr>
        <w:ind w:right="20" w:firstLine="762"/>
        <w:spacing w:after="0" w:line="290" w:lineRule="auto"/>
        <w:rPr>
          <w:sz w:val="20"/>
          <w:szCs w:val="20"/>
          <w:color w:val="auto"/>
        </w:rPr>
      </w:pPr>
      <w:r>
        <w:rPr>
          <w:rFonts w:ascii="Arial" w:cs="Arial" w:eastAsia="Arial" w:hAnsi="Arial"/>
          <w:sz w:val="17"/>
          <w:szCs w:val="17"/>
          <w:color w:val="auto"/>
        </w:rPr>
        <w:t>We are also exploring third-party inventory strategies, which offers the possibility of expanding our sourcing channels through third party sellers while offering us attractive revenue models in an asset light, debt free structure.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Ability to expand and optimize our reconditioning capacity to satisfy increasing demand</w:t>
      </w:r>
    </w:p>
    <w:p>
      <w:pPr>
        <w:spacing w:after="0" w:line="103" w:lineRule="exact"/>
        <w:rPr>
          <w:sz w:val="20"/>
          <w:szCs w:val="20"/>
          <w:color w:val="auto"/>
        </w:rPr>
      </w:pPr>
    </w:p>
    <w:p>
      <w:pPr>
        <w:ind w:right="220" w:firstLine="762"/>
        <w:spacing w:after="0" w:line="257" w:lineRule="auto"/>
        <w:rPr>
          <w:sz w:val="20"/>
          <w:szCs w:val="20"/>
          <w:color w:val="auto"/>
        </w:rPr>
      </w:pPr>
      <w:r>
        <w:rPr>
          <w:rFonts w:ascii="Arial" w:cs="Arial" w:eastAsia="Arial" w:hAnsi="Arial"/>
          <w:sz w:val="17"/>
          <w:szCs w:val="17"/>
          <w:color w:val="auto"/>
        </w:rPr>
        <w:t>Our ability to recondition purchased vehicles to our quality standards is a critical component of our business. Historically, we have successfully increased our reconditioning capacity as our business has grown, and our future success will depend on our ability to expand and optimize our reconditioning capacity to satisfy increasing customer demand. We employ a hybrid approach that combines the use of our Vroom VRC and third-party VRCs to best meet our reconditioning needs.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ind w:right="140" w:firstLine="762"/>
        <w:spacing w:after="0" w:line="250" w:lineRule="auto"/>
        <w:rPr>
          <w:sz w:val="20"/>
          <w:szCs w:val="20"/>
          <w:color w:val="auto"/>
        </w:rPr>
      </w:pPr>
      <w:r>
        <w:rPr>
          <w:rFonts w:ascii="Arial" w:cs="Arial" w:eastAsia="Arial" w:hAnsi="Arial"/>
          <w:sz w:val="17"/>
          <w:szCs w:val="17"/>
          <w:color w:val="auto"/>
        </w:rPr>
        <w:t>In 2019, we significantly increased our reconditioning capacity within our Vroom VRC by overhauling our operations and applying lean manufacturing techniques and other software-enabled technological advances. As we continue to grow our business, we intend to continue to invest in increased reconditioning capacity and operational efficiency through third-party VRC locations. Additionally, our use of third-party VRCs to recondition vehicles allows us to avoid additional capital expenditures, quickly increase capacity, maintain greater operational flexibility and broaden our geographic footprint to drive lower logistics costs. We have continued to expand our third-party VRC operations and, as of the date of this Annual Report on Form 10-K, have a total of nineteen VRCs throughout the U.S. See “—Liquidity and Capital Resources.”</w:t>
      </w:r>
    </w:p>
    <w:p>
      <w:pPr>
        <w:spacing w:after="0" w:line="165" w:lineRule="exact"/>
        <w:rPr>
          <w:sz w:val="20"/>
          <w:szCs w:val="20"/>
          <w:color w:val="auto"/>
        </w:rPr>
      </w:pPr>
    </w:p>
    <w:p>
      <w:pPr>
        <w:ind w:firstLine="762"/>
        <w:spacing w:after="0" w:line="265" w:lineRule="auto"/>
        <w:rPr>
          <w:sz w:val="20"/>
          <w:szCs w:val="20"/>
          <w:color w:val="auto"/>
        </w:rPr>
      </w:pPr>
      <w:r>
        <w:rPr>
          <w:rFonts w:ascii="Arial" w:cs="Arial" w:eastAsia="Arial" w:hAnsi="Arial"/>
          <w:sz w:val="17"/>
          <w:szCs w:val="17"/>
          <w:color w:val="auto"/>
        </w:rPr>
        <w:t>We leverage our data analytics and deep industry experience to strategically select VRC locations where we believe there is the highest supply and demand for our vehicles. We expect that our continued investment in reconditioning capacity and technology will lower our reconditioning costs per unit and drive greater operational efficiency, higher gross profit per unit and improved unit economics.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Ability to expand and develop our logistics network</w:t>
      </w:r>
    </w:p>
    <w:p>
      <w:pPr>
        <w:spacing w:after="0" w:line="103" w:lineRule="exact"/>
        <w:rPr>
          <w:sz w:val="20"/>
          <w:szCs w:val="20"/>
          <w:color w:val="auto"/>
        </w:rPr>
      </w:pPr>
    </w:p>
    <w:p>
      <w:pPr>
        <w:ind w:right="20" w:firstLine="762"/>
        <w:spacing w:after="0" w:line="244" w:lineRule="auto"/>
        <w:rPr>
          <w:sz w:val="20"/>
          <w:szCs w:val="20"/>
          <w:color w:val="auto"/>
        </w:rPr>
      </w:pPr>
      <w:r>
        <w:rPr>
          <w:rFonts w:ascii="Arial" w:cs="Arial" w:eastAsia="Arial" w:hAnsi="Arial"/>
          <w:sz w:val="17"/>
          <w:szCs w:val="17"/>
          <w:color w:val="auto"/>
        </w:rPr>
        <w:t>We primarily use third-party carriers and have optimized our third-party logistics network nationwide through the development of strategic carrier arrangements with national haulers and the consolidation of our carrier base into dedicated operating regions. We expect that these enhanced logistics operations, combined with the expansion of strategically located VRCs, will drive efficiency in our logistics operations. Our VRCs also serve as pooling points to aggregate acquired vehicles and we are using certain VRCs as hubs for staging vehicles for last-mile delivery to customers, which we expect to provide an improved experience for customers. Recently, as a result of the continued prevalence of the COVID-19 pandemic, we have experienced a reduced supply of carriers, increased shipping prices and deteriorating service levels. Thus, in response to these disruptions, and to further enhance the quality of our logistics operations and our customer experience, we are accelerating our strategy to optimize our hybrid approach by expanding our proprietary logistics network. Currently, we are prioritizing investment in our last-mile delivery operations where we can have the greatest impact on the customer experience. We also have invested in short-haul trucks to make regional deliveries from our last mile hubs, and have begun to invest in long-haul vehicles for hub-to-hub shipments. As we invest in our expanded logistics operations, we expect to incur increased operating expenses and capital expenditures associated with purchasing or leasing fleet vehicles, leasing space for delivery hubs, hiring qualified drivers, and operating and maintaining fleet vehicles, offset in part by reduced third-party logistics expense. Consistent with our hybrid approach, we continue to strategically combine the operation of our expanded proprietary fleet with the use of third-party carriers, which we expect will enable us to both accommodate our growth and provide the highest level of customer service. Over time, as our business scales, we expect that optimizing our logistics network through this hybrid approach will result in improved unit economics, increased profitability and an enhanced customer experience.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Ability to increase and better monetize value-added products</w:t>
      </w:r>
    </w:p>
    <w:p>
      <w:pPr>
        <w:spacing w:after="0" w:line="103" w:lineRule="exact"/>
        <w:rPr>
          <w:sz w:val="20"/>
          <w:szCs w:val="20"/>
          <w:color w:val="auto"/>
        </w:rPr>
      </w:pPr>
    </w:p>
    <w:p>
      <w:pPr>
        <w:ind w:right="100" w:firstLine="762"/>
        <w:spacing w:after="0" w:line="246" w:lineRule="auto"/>
        <w:rPr>
          <w:sz w:val="20"/>
          <w:szCs w:val="20"/>
          <w:color w:val="auto"/>
        </w:rPr>
      </w:pPr>
      <w:r>
        <w:rPr>
          <w:rFonts w:ascii="Arial" w:cs="Arial" w:eastAsia="Arial" w:hAnsi="Arial"/>
          <w:sz w:val="17"/>
          <w:szCs w:val="17"/>
          <w:color w:val="auto"/>
        </w:rPr>
        <w:t>Our offering of value-added products is an integral part of providing a seamless vehicle-buying experience to our customers. These products provide added revenue streams for us as well as offering convenience, assurance and efficiency for our customers. We sell our third-party value-added products through our strategic relationships with multiple lenders and other third parties who bear the incremental risks associated with the underwriting of finance and protection products. We have entered into strategic partnerships with lenders such as Chase and Santander which have contributed to improvements in Product GPPU. Additionally, through our on-going data analytics, experimentation and further development of our ecommerce technology, we expect to increase attachment rates of our existing value-added products while finding new opportunities to include additional finance and protection products, as well as other value-added products. Because we are paid fees on value-added products we sell, our gross profit is equal to the revenue we generate on such sales. As a result, such sales help drive total gross profit per unit. We expect that, as we scale our business, we will increase the breadth and variety of value-added products offered to customers and improve attachment rates to our vehicle sales, which in turn will grow revenue and drive profitability.</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w:t>
      </w:r>
    </w:p>
    <w:p>
      <w:pPr>
        <w:spacing w:after="0" w:line="103" w:lineRule="exact"/>
        <w:rPr>
          <w:sz w:val="20"/>
          <w:szCs w:val="20"/>
          <w:color w:val="auto"/>
        </w:rPr>
      </w:pPr>
    </w:p>
    <w:p>
      <w:pPr>
        <w:ind w:right="100" w:firstLine="762"/>
        <w:spacing w:after="0" w:line="250" w:lineRule="auto"/>
        <w:rPr>
          <w:sz w:val="20"/>
          <w:szCs w:val="20"/>
          <w:color w:val="auto"/>
        </w:rPr>
      </w:pPr>
      <w:r>
        <w:rPr>
          <w:rFonts w:ascii="Arial" w:cs="Arial" w:eastAsia="Arial" w:hAnsi="Arial"/>
          <w:sz w:val="17"/>
          <w:szCs w:val="17"/>
          <w:color w:val="auto"/>
        </w:rPr>
        <w:t>Used vehicle sales are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Additionally, used vehicles depreciate at a faster rate in the last two quarters of each year and a slower rate in the first two quarters of each year. In line with these macro trends, our gross profit per unit has historically been higher in the first half of the year when compared to the second half of the year. See “Risk Factors—Risks Related to Our Financial Condition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5"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Results of Operations—We may experience seasonal and other fluctuations in our quarterly results of operations, which may not fully reflect the underlying performance of our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Components of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Retail vehicle revenue</w:t>
      </w:r>
    </w:p>
    <w:p>
      <w:pPr>
        <w:spacing w:after="0" w:line="103" w:lineRule="exact"/>
        <w:rPr>
          <w:sz w:val="20"/>
          <w:szCs w:val="20"/>
          <w:color w:val="auto"/>
        </w:rPr>
      </w:pPr>
    </w:p>
    <w:p>
      <w:pPr>
        <w:ind w:right="60" w:firstLine="762"/>
        <w:spacing w:after="0" w:line="265" w:lineRule="auto"/>
        <w:rPr>
          <w:sz w:val="20"/>
          <w:szCs w:val="20"/>
          <w:color w:val="auto"/>
        </w:rPr>
      </w:pPr>
      <w:r>
        <w:rPr>
          <w:rFonts w:ascii="Arial" w:cs="Arial" w:eastAsia="Arial" w:hAnsi="Arial"/>
          <w:sz w:val="17"/>
          <w:szCs w:val="17"/>
          <w:color w:val="auto"/>
        </w:rPr>
        <w:t>We sell retail vehicles through both our ecommerce platform and TDA. Revenue from vehicle sales, including any delivery charges, are recognized when vehicles are delivered to the customers or picked up at our TDA retail location, net of a reserve for estimated returns. The number of units sold and the average selling price (“ASP”) per unit are the primary factors impacting our retail revenue stream.</w:t>
      </w:r>
    </w:p>
    <w:p>
      <w:pPr>
        <w:spacing w:after="0" w:line="151" w:lineRule="exact"/>
        <w:rPr>
          <w:sz w:val="20"/>
          <w:szCs w:val="20"/>
          <w:color w:val="auto"/>
        </w:rPr>
      </w:pPr>
    </w:p>
    <w:p>
      <w:pPr>
        <w:ind w:firstLine="762"/>
        <w:spacing w:after="0" w:line="290" w:lineRule="auto"/>
        <w:rPr>
          <w:sz w:val="20"/>
          <w:szCs w:val="20"/>
          <w:color w:val="auto"/>
        </w:rPr>
      </w:pPr>
      <w:r>
        <w:rPr>
          <w:rFonts w:ascii="Arial" w:cs="Arial" w:eastAsia="Arial" w:hAnsi="Arial"/>
          <w:sz w:val="17"/>
          <w:szCs w:val="17"/>
          <w:color w:val="auto"/>
        </w:rPr>
        <w:t>The number of units sold depends on the volume of inventory and the selection of vehicles listed on our ecommerce platform, our ability to attract new customers, our brand awareness and our ability to expand our reconditioning operations and logistics network.</w:t>
      </w:r>
    </w:p>
    <w:p>
      <w:pPr>
        <w:spacing w:after="0" w:line="129" w:lineRule="exact"/>
        <w:rPr>
          <w:sz w:val="20"/>
          <w:szCs w:val="20"/>
          <w:color w:val="auto"/>
        </w:rPr>
      </w:pPr>
    </w:p>
    <w:p>
      <w:pPr>
        <w:ind w:right="620" w:firstLine="762"/>
        <w:spacing w:after="0" w:line="290" w:lineRule="auto"/>
        <w:rPr>
          <w:sz w:val="20"/>
          <w:szCs w:val="20"/>
          <w:color w:val="auto"/>
        </w:rPr>
      </w:pPr>
      <w:r>
        <w:rPr>
          <w:rFonts w:ascii="Arial" w:cs="Arial" w:eastAsia="Arial" w:hAnsi="Arial"/>
          <w:sz w:val="17"/>
          <w:szCs w:val="17"/>
          <w:color w:val="auto"/>
        </w:rPr>
        <w:t>ASP depends primarily on our acquisition and pricing strategies, retail used car market prices, our average days to sale and our reconditioning and logistics costs.</w:t>
      </w:r>
    </w:p>
    <w:p>
      <w:pPr>
        <w:spacing w:after="0" w:line="129" w:lineRule="exact"/>
        <w:rPr>
          <w:sz w:val="20"/>
          <w:szCs w:val="20"/>
          <w:color w:val="auto"/>
        </w:rPr>
      </w:pPr>
    </w:p>
    <w:p>
      <w:pPr>
        <w:ind w:right="20" w:firstLine="762"/>
        <w:spacing w:after="0" w:line="259" w:lineRule="auto"/>
        <w:rPr>
          <w:sz w:val="20"/>
          <w:szCs w:val="20"/>
          <w:color w:val="auto"/>
        </w:rPr>
      </w:pPr>
      <w:r>
        <w:rPr>
          <w:rFonts w:ascii="Arial" w:cs="Arial" w:eastAsia="Arial" w:hAnsi="Arial"/>
          <w:sz w:val="17"/>
          <w:szCs w:val="17"/>
          <w:color w:val="auto"/>
        </w:rPr>
        <w:t>We have begun to strategically take advantage of a broader portion of the used vehicle market by adding more lower priced vehicles to our inventory. As a data-driven company, we acquire inventory based upon demand predicted by our data analytics. Since the COVID-19 pandemic, that data has been moving towards lower-priced inventory, which we expect to continue to result in a lower ASP per unit than historical levels.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Wholesale vehicle revenue</w:t>
      </w:r>
    </w:p>
    <w:p>
      <w:pPr>
        <w:spacing w:after="0" w:line="103" w:lineRule="exact"/>
        <w:rPr>
          <w:sz w:val="20"/>
          <w:szCs w:val="20"/>
          <w:color w:val="auto"/>
        </w:rPr>
      </w:pPr>
    </w:p>
    <w:p>
      <w:pPr>
        <w:ind w:right="60" w:firstLine="762"/>
        <w:spacing w:after="0" w:line="253" w:lineRule="auto"/>
        <w:rPr>
          <w:sz w:val="20"/>
          <w:szCs w:val="20"/>
          <w:color w:val="auto"/>
        </w:rPr>
      </w:pPr>
      <w:r>
        <w:rPr>
          <w:rFonts w:ascii="Arial" w:cs="Arial" w:eastAsia="Arial" w:hAnsi="Arial"/>
          <w:sz w:val="17"/>
          <w:szCs w:val="17"/>
          <w:color w:val="auto"/>
        </w:rPr>
        <w:t>We sell vehicles that do not meet our Vroom retail sales criteria through wholesale channels. Vehicles sold through wholesale channels are acquired from customers who trade-in their vehicles when making a purchase from us, from customers who sell their vehicle to us in direct-buy transactions, and from liquidation of vehicles previously listed for retail sale. The number of wholesale vehicles sold and the ASP per unit are the primary drivers of wholesale revenue. The ASP per unit is affected by the mix of the vehicles we acquire and general supply and demand conditions in the wholesale market.</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revenue</w:t>
      </w:r>
    </w:p>
    <w:p>
      <w:pPr>
        <w:spacing w:after="0" w:line="103" w:lineRule="exact"/>
        <w:rPr>
          <w:sz w:val="20"/>
          <w:szCs w:val="20"/>
          <w:color w:val="auto"/>
        </w:rPr>
      </w:pPr>
    </w:p>
    <w:p>
      <w:pPr>
        <w:ind w:right="20" w:firstLine="762"/>
        <w:spacing w:after="0" w:line="250" w:lineRule="auto"/>
        <w:rPr>
          <w:sz w:val="20"/>
          <w:szCs w:val="20"/>
          <w:color w:val="auto"/>
        </w:rPr>
      </w:pPr>
      <w:r>
        <w:rPr>
          <w:rFonts w:ascii="Arial" w:cs="Arial" w:eastAsia="Arial" w:hAnsi="Arial"/>
          <w:sz w:val="17"/>
          <w:szCs w:val="17"/>
          <w:color w:val="auto"/>
        </w:rPr>
        <w:t>We generate revenue by earning fees on sales of value-added products to our customers in connection with vehicle sales, including fees earned on customer vehicle financing from third-party lenders and fees earned on sales of other value-added products, such as vehicle service contracts, GAP protection and tire and wheel coverage. We earn fees on these products pursuant to arrangements with the third parties that sell and administer these products. For accounting purposes, we are an agent for these transactions and, as a result, we recognize fees on a net basis when the customer enters into an arrangement to purchase these products or obtain third-party financing, which is typically at the time of a vehicle sale. Our gross profit on product revenue is equal to the revenue we generate.</w:t>
      </w:r>
    </w:p>
    <w:p>
      <w:pPr>
        <w:spacing w:after="0" w:line="165" w:lineRule="exact"/>
        <w:rPr>
          <w:sz w:val="20"/>
          <w:szCs w:val="20"/>
          <w:color w:val="auto"/>
        </w:rPr>
      </w:pPr>
    </w:p>
    <w:p>
      <w:pPr>
        <w:ind w:firstLine="762"/>
        <w:spacing w:after="0" w:line="265" w:lineRule="auto"/>
        <w:rPr>
          <w:sz w:val="20"/>
          <w:szCs w:val="20"/>
          <w:color w:val="auto"/>
        </w:rPr>
      </w:pPr>
      <w:r>
        <w:rPr>
          <w:rFonts w:ascii="Arial" w:cs="Arial" w:eastAsia="Arial" w:hAnsi="Arial"/>
          <w:sz w:val="17"/>
          <w:szCs w:val="17"/>
          <w:color w:val="auto"/>
        </w:rPr>
        <w:t>Product revenue is affected by the number of vehicles sold, the attachment rate of value-added products and the amount of fees we receive on each product. Product revenue also consists of estimated profit-sharing amounts to which we are entitled based on the performance of third-party protection products once a required claims period has passed.</w:t>
      </w:r>
    </w:p>
    <w:p>
      <w:pPr>
        <w:spacing w:after="0" w:line="151" w:lineRule="exact"/>
        <w:rPr>
          <w:sz w:val="20"/>
          <w:szCs w:val="20"/>
          <w:color w:val="auto"/>
        </w:rPr>
      </w:pPr>
    </w:p>
    <w:p>
      <w:pPr>
        <w:ind w:firstLine="762"/>
        <w:spacing w:after="0" w:line="290" w:lineRule="auto"/>
        <w:rPr>
          <w:sz w:val="20"/>
          <w:szCs w:val="20"/>
          <w:color w:val="auto"/>
        </w:rPr>
      </w:pPr>
      <w:r>
        <w:rPr>
          <w:rFonts w:ascii="Arial" w:cs="Arial" w:eastAsia="Arial" w:hAnsi="Arial"/>
          <w:sz w:val="17"/>
          <w:szCs w:val="17"/>
          <w:color w:val="auto"/>
        </w:rPr>
        <w:t>A portion of the fees we receive is subject to chargeback in the event of early termination, default, or prepayment of the contracts by our customers. We recognize product revenue net of reserves for estimated chargebacks.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revenue</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Other revenue consists of labor and parts revenue earned by us for vehicle repair services at TDA.</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See “Note 3—Revenue Recognition” to our consolidated financial statements included elsewhere in this Annual Report on Form 10-K.</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sales</w:t>
      </w:r>
    </w:p>
    <w:p>
      <w:pPr>
        <w:spacing w:after="0" w:line="103" w:lineRule="exact"/>
        <w:rPr>
          <w:sz w:val="20"/>
          <w:szCs w:val="20"/>
          <w:color w:val="auto"/>
        </w:rPr>
      </w:pPr>
    </w:p>
    <w:p>
      <w:pPr>
        <w:ind w:right="20" w:firstLine="762"/>
        <w:spacing w:after="0" w:line="253" w:lineRule="auto"/>
        <w:rPr>
          <w:sz w:val="20"/>
          <w:szCs w:val="20"/>
          <w:color w:val="auto"/>
        </w:rPr>
      </w:pPr>
      <w:r>
        <w:rPr>
          <w:rFonts w:ascii="Arial" w:cs="Arial" w:eastAsia="Arial" w:hAnsi="Arial"/>
          <w:sz w:val="17"/>
          <w:szCs w:val="17"/>
          <w:color w:val="auto"/>
        </w:rPr>
        <w:t>Cost of sales primarily includes the costs to acquire vehicles, inbound transportation costs and direct and indirect reconditioning costs associated with preparing vehicles for sale. Costs to acquire vehicles are primarily driven by the inventory source, vehicle mix and general supply and demand conditions of the used vehicle market. Inbound transportation costs include costs to transport the vehicle to our VRCs. Reconditioning costs include parts, labor and third-party reconditioning costs directly attributable to the vehicle and allocated overhead costs. Cost of sales also includes any accounting adjustments to reflect vehicle inventory at the lower of cost or net realizable value.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gross profit</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Total gross profit is defined as total revenue less costs associated with such revenue.</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03" w:lineRule="exact"/>
        <w:rPr>
          <w:sz w:val="20"/>
          <w:szCs w:val="20"/>
          <w:color w:val="auto"/>
        </w:rPr>
      </w:pPr>
    </w:p>
    <w:p>
      <w:pPr>
        <w:ind w:right="60" w:firstLine="762"/>
        <w:spacing w:after="0" w:line="265" w:lineRule="auto"/>
        <w:rPr>
          <w:sz w:val="20"/>
          <w:szCs w:val="20"/>
          <w:color w:val="auto"/>
        </w:rPr>
      </w:pPr>
      <w:r>
        <w:rPr>
          <w:rFonts w:ascii="Arial" w:cs="Arial" w:eastAsia="Arial" w:hAnsi="Arial"/>
          <w:sz w:val="17"/>
          <w:szCs w:val="17"/>
          <w:color w:val="auto"/>
        </w:rPr>
        <w:t>Our selling, general, and administrative expenses, which we refer to as SG&amp;A expenses, consist primarily of advertising and marketing expenses, outbound transportation costs, employee compensation, occupancy costs of our facilities and professional fees for accounting, auditing, tax, legal and consulting services.</w:t>
      </w:r>
    </w:p>
    <w:p>
      <w:pPr>
        <w:spacing w:after="0" w:line="151" w:lineRule="exact"/>
        <w:rPr>
          <w:sz w:val="20"/>
          <w:szCs w:val="20"/>
          <w:color w:val="auto"/>
        </w:rPr>
      </w:pPr>
    </w:p>
    <w:p>
      <w:pPr>
        <w:ind w:right="320" w:firstLine="762"/>
        <w:spacing w:after="0" w:line="250" w:lineRule="auto"/>
        <w:rPr>
          <w:sz w:val="20"/>
          <w:szCs w:val="20"/>
          <w:color w:val="auto"/>
        </w:rPr>
      </w:pPr>
      <w:r>
        <w:rPr>
          <w:rFonts w:ascii="Arial" w:cs="Arial" w:eastAsia="Arial" w:hAnsi="Arial"/>
          <w:sz w:val="17"/>
          <w:szCs w:val="17"/>
          <w:color w:val="auto"/>
        </w:rPr>
        <w:t>We expect that our SG&amp;A expenses will increase in the future as we expand our operations, including our proprietary logistics operations, hire additional employees and continue to increase our marketing spend. In 2020, we further expanded our customer experience team as we ramp up our sales support in anticipation of continued sales growth. We also recently engaged two additional customer service providers to expand our customer service operations as we scale our business. We also will continue to incur increased expenses associated with being a public company, including costs of accounting, audit, legal, regulatory and tax-related services associated with maintaining compliance with SEC and Nasdaq requirements, director and officer insurance costs, and investor and public relations costs.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103" w:lineRule="exact"/>
        <w:rPr>
          <w:sz w:val="20"/>
          <w:szCs w:val="20"/>
          <w:color w:val="auto"/>
        </w:rPr>
      </w:pPr>
    </w:p>
    <w:p>
      <w:pPr>
        <w:ind w:firstLine="762"/>
        <w:spacing w:after="0" w:line="257" w:lineRule="auto"/>
        <w:rPr>
          <w:sz w:val="20"/>
          <w:szCs w:val="20"/>
          <w:color w:val="auto"/>
        </w:rPr>
      </w:pPr>
      <w:r>
        <w:rPr>
          <w:rFonts w:ascii="Arial" w:cs="Arial" w:eastAsia="Arial" w:hAnsi="Arial"/>
          <w:sz w:val="17"/>
          <w:szCs w:val="17"/>
          <w:color w:val="auto"/>
        </w:rPr>
        <w:t>Our depreciation and amortization expense primarily includes: depreciation related to our leasehold improvements and company vehicles; amortization related to intangible assets in acquired businesses; and capitalized internal use software costs incurred in the development of our platform and website applications. Depreciation expense related to our Vroom VRC is included in cost of sales in the consolidated statements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03" w:lineRule="exact"/>
        <w:rPr>
          <w:sz w:val="20"/>
          <w:szCs w:val="20"/>
          <w:color w:val="auto"/>
        </w:rPr>
      </w:pPr>
    </w:p>
    <w:p>
      <w:pPr>
        <w:ind w:right="380" w:firstLine="762"/>
        <w:spacing w:after="0" w:line="290" w:lineRule="auto"/>
        <w:rPr>
          <w:sz w:val="20"/>
          <w:szCs w:val="20"/>
          <w:color w:val="auto"/>
        </w:rPr>
      </w:pPr>
      <w:r>
        <w:rPr>
          <w:rFonts w:ascii="Arial" w:cs="Arial" w:eastAsia="Arial" w:hAnsi="Arial"/>
          <w:sz w:val="17"/>
          <w:szCs w:val="17"/>
          <w:color w:val="auto"/>
        </w:rPr>
        <w:t>Our interest expense includes interest expense related to our 2020 Vehicle Floorplan Facility, as discussed below, which is used to finance our inventory, as well as interest expense on our term loan facility, which was repaid in full in December 2019.</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03" w:lineRule="exact"/>
        <w:rPr>
          <w:sz w:val="20"/>
          <w:szCs w:val="20"/>
          <w:color w:val="auto"/>
        </w:rPr>
      </w:pPr>
    </w:p>
    <w:p>
      <w:pPr>
        <w:ind w:right="500" w:firstLine="762"/>
        <w:spacing w:after="0" w:line="290" w:lineRule="auto"/>
        <w:rPr>
          <w:sz w:val="20"/>
          <w:szCs w:val="20"/>
          <w:color w:val="auto"/>
        </w:rPr>
      </w:pPr>
      <w:r>
        <w:rPr>
          <w:rFonts w:ascii="Arial" w:cs="Arial" w:eastAsia="Arial" w:hAnsi="Arial"/>
          <w:sz w:val="17"/>
          <w:szCs w:val="17"/>
          <w:color w:val="auto"/>
        </w:rPr>
        <w:t>Interest income primarily represents interest credits earned on cash deposits maintained in relation to our 2020 Vehicle Floorplan Facility as well as interest earned on cash and cash equivalents.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Results of Operations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presents our consolidated results of operations for the periods indicated: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center"/>
              <w:ind w:left="636"/>
              <w:spacing w:after="0"/>
              <w:rPr>
                <w:sz w:val="20"/>
                <w:szCs w:val="20"/>
                <w:color w:val="auto"/>
              </w:rPr>
            </w:pPr>
            <w:r>
              <w:rPr>
                <w:rFonts w:ascii="Arial" w:cs="Arial" w:eastAsia="Arial" w:hAnsi="Arial"/>
                <w:sz w:val="14"/>
                <w:szCs w:val="14"/>
                <w:b w:val="1"/>
                <w:bCs w:val="1"/>
                <w:color w:val="auto"/>
                <w:w w:val="98"/>
              </w:rPr>
              <w:t>Year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tcPr>
          <w:p>
            <w:pPr>
              <w:jc w:val="right"/>
              <w:ind w:right="113"/>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8"/>
              </w:rPr>
              <w:t>December 31,</w:t>
            </w:r>
          </w:p>
        </w:tc>
        <w:tc>
          <w:tcPr>
            <w:tcW w:w="14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4"/>
                <w:szCs w:val="14"/>
                <w:color w:val="auto"/>
              </w:rPr>
            </w:pPr>
          </w:p>
        </w:tc>
        <w:tc>
          <w:tcPr>
            <w:tcW w:w="1620" w:type="dxa"/>
            <w:vAlign w:val="bottom"/>
            <w:gridSpan w:val="3"/>
          </w:tcPr>
          <w:p>
            <w:pPr>
              <w:jc w:val="right"/>
              <w:ind w:right="33"/>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29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60" w:type="dxa"/>
            <w:vAlign w:val="bottom"/>
            <w:tcBorders>
              <w:top w:val="single" w:sz="8" w:color="auto"/>
            </w:tcBorders>
            <w:gridSpan w:val="4"/>
          </w:tcPr>
          <w:p>
            <w:pPr>
              <w:jc w:val="center"/>
              <w:ind w:right="134"/>
              <w:spacing w:after="0"/>
              <w:rPr>
                <w:sz w:val="20"/>
                <w:szCs w:val="20"/>
                <w:color w:val="auto"/>
              </w:rPr>
            </w:pPr>
            <w:r>
              <w:rPr>
                <w:rFonts w:ascii="Arial" w:cs="Arial" w:eastAsia="Arial" w:hAnsi="Arial"/>
                <w:sz w:val="14"/>
                <w:szCs w:val="14"/>
                <w:b w:val="1"/>
                <w:bCs w:val="1"/>
                <w:color w:val="auto"/>
                <w:w w:val="99"/>
              </w:rPr>
              <w:t>(in thousands)</w:t>
            </w:r>
          </w:p>
        </w:tc>
        <w:tc>
          <w:tcPr>
            <w:tcW w:w="12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90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00" w:type="dxa"/>
            <w:vAlign w:val="bottom"/>
          </w:tcPr>
          <w:p>
            <w:pPr>
              <w:ind w:left="240"/>
              <w:spacing w:after="0"/>
              <w:rPr>
                <w:sz w:val="20"/>
                <w:szCs w:val="20"/>
                <w:color w:val="auto"/>
              </w:rPr>
            </w:pPr>
            <w:r>
              <w:rPr>
                <w:rFonts w:ascii="Arial" w:cs="Arial" w:eastAsia="Arial" w:hAnsi="Arial"/>
                <w:sz w:val="17"/>
                <w:szCs w:val="17"/>
                <w:color w:val="auto"/>
              </w:rPr>
              <w:t>Retail vehicle, net</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1,072,551</w:t>
            </w:r>
          </w:p>
        </w:tc>
        <w:tc>
          <w:tcPr>
            <w:tcW w:w="120" w:type="dxa"/>
            <w:vAlign w:val="bottom"/>
          </w:tcPr>
          <w:p>
            <w:pPr>
              <w:spacing w:after="0"/>
              <w:rPr>
                <w:sz w:val="18"/>
                <w:szCs w:val="18"/>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4"/>
              <w:spacing w:after="0"/>
              <w:rPr>
                <w:sz w:val="20"/>
                <w:szCs w:val="20"/>
                <w:color w:val="auto"/>
              </w:rPr>
            </w:pPr>
            <w:r>
              <w:rPr>
                <w:rFonts w:ascii="Arial" w:cs="Arial" w:eastAsia="Arial" w:hAnsi="Arial"/>
                <w:sz w:val="17"/>
                <w:szCs w:val="17"/>
                <w:color w:val="auto"/>
              </w:rPr>
              <w:t>952,910</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12.6%</w:t>
            </w:r>
          </w:p>
        </w:tc>
        <w:tc>
          <w:tcPr>
            <w:tcW w:w="14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952,910</w:t>
            </w:r>
          </w:p>
        </w:tc>
        <w:tc>
          <w:tcPr>
            <w:tcW w:w="120" w:type="dxa"/>
            <w:vAlign w:val="bottom"/>
          </w:tcPr>
          <w:p>
            <w:pPr>
              <w:spacing w:after="0"/>
              <w:rPr>
                <w:sz w:val="18"/>
                <w:szCs w:val="18"/>
                <w:color w:val="auto"/>
              </w:rPr>
            </w:pPr>
          </w:p>
        </w:tc>
        <w:tc>
          <w:tcPr>
            <w:tcW w:w="46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656,928</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45.1%</w:t>
            </w:r>
          </w:p>
        </w:tc>
        <w:tc>
          <w:tcPr>
            <w:tcW w:w="0" w:type="dxa"/>
            <w:vAlign w:val="bottom"/>
          </w:tcPr>
          <w:p>
            <w:pPr>
              <w:spacing w:after="0"/>
              <w:rPr>
                <w:sz w:val="1"/>
                <w:szCs w:val="1"/>
                <w:color w:val="auto"/>
              </w:rPr>
            </w:pPr>
          </w:p>
        </w:tc>
      </w:tr>
      <w:tr>
        <w:trPr>
          <w:trHeight w:val="209"/>
        </w:trPr>
        <w:tc>
          <w:tcPr>
            <w:tcW w:w="29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Wholesale vehicle</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245,580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213,464</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213,464</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174,514</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09"/>
        </w:trPr>
        <w:tc>
          <w:tcPr>
            <w:tcW w:w="2900" w:type="dxa"/>
            <w:vAlign w:val="bottom"/>
          </w:tcPr>
          <w:p>
            <w:pPr>
              <w:ind w:left="240"/>
              <w:spacing w:after="0"/>
              <w:rPr>
                <w:sz w:val="20"/>
                <w:szCs w:val="20"/>
                <w:color w:val="auto"/>
              </w:rPr>
            </w:pPr>
            <w:r>
              <w:rPr>
                <w:rFonts w:ascii="Arial" w:cs="Arial" w:eastAsia="Arial" w:hAnsi="Arial"/>
                <w:sz w:val="17"/>
                <w:szCs w:val="17"/>
                <w:color w:val="auto"/>
              </w:rPr>
              <w:t>Product, net</w:t>
            </w:r>
          </w:p>
        </w:tc>
        <w:tc>
          <w:tcPr>
            <w:tcW w:w="24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38,195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Arial" w:cs="Arial" w:eastAsia="Arial" w:hAnsi="Arial"/>
                <w:sz w:val="17"/>
                <w:szCs w:val="17"/>
                <w:color w:val="auto"/>
              </w:rPr>
              <w:t>23,708</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23,708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19,653</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09"/>
        </w:trPr>
        <w:tc>
          <w:tcPr>
            <w:tcW w:w="29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1,374</w:t>
            </w: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1,739</w:t>
            </w:r>
          </w:p>
        </w:tc>
        <w:tc>
          <w:tcPr>
            <w:tcW w:w="12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(21.0)%</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1,739</w:t>
            </w:r>
          </w:p>
        </w:tc>
        <w:tc>
          <w:tcPr>
            <w:tcW w:w="12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4,334</w:t>
            </w:r>
          </w:p>
        </w:tc>
        <w:tc>
          <w:tcPr>
            <w:tcW w:w="12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(59.9)%</w:t>
            </w:r>
          </w:p>
        </w:tc>
        <w:tc>
          <w:tcPr>
            <w:tcW w:w="0" w:type="dxa"/>
            <w:vAlign w:val="bottom"/>
          </w:tcPr>
          <w:p>
            <w:pPr>
              <w:spacing w:after="0"/>
              <w:rPr>
                <w:sz w:val="1"/>
                <w:szCs w:val="1"/>
                <w:color w:val="auto"/>
              </w:rPr>
            </w:pPr>
          </w:p>
        </w:tc>
      </w:tr>
      <w:tr>
        <w:trPr>
          <w:trHeight w:val="202"/>
        </w:trPr>
        <w:tc>
          <w:tcPr>
            <w:tcW w:w="2900" w:type="dxa"/>
            <w:vAlign w:val="bottom"/>
          </w:tcPr>
          <w:p>
            <w:pPr>
              <w:spacing w:after="0"/>
              <w:rPr>
                <w:sz w:val="20"/>
                <w:szCs w:val="20"/>
                <w:color w:val="auto"/>
              </w:rPr>
            </w:pPr>
            <w:r>
              <w:rPr>
                <w:rFonts w:ascii="Arial" w:cs="Arial" w:eastAsia="Arial" w:hAnsi="Arial"/>
                <w:sz w:val="17"/>
                <w:szCs w:val="17"/>
                <w:color w:val="auto"/>
              </w:rPr>
              <w:t>Total revenue</w:t>
            </w:r>
          </w:p>
        </w:tc>
        <w:tc>
          <w:tcPr>
            <w:tcW w:w="240" w:type="dxa"/>
            <w:vAlign w:val="bottom"/>
          </w:tcPr>
          <w:p>
            <w:pPr>
              <w:spacing w:after="0"/>
              <w:rPr>
                <w:sz w:val="17"/>
                <w:szCs w:val="17"/>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1,357,700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34"/>
              <w:spacing w:after="0"/>
              <w:rPr>
                <w:sz w:val="20"/>
                <w:szCs w:val="20"/>
                <w:color w:val="auto"/>
              </w:rPr>
            </w:pPr>
            <w:r>
              <w:rPr>
                <w:rFonts w:ascii="Arial" w:cs="Arial" w:eastAsia="Arial" w:hAnsi="Arial"/>
                <w:sz w:val="17"/>
                <w:szCs w:val="17"/>
                <w:color w:val="auto"/>
              </w:rPr>
              <w:t>1,191,821</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1,191,821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855,429</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39.3%</w:t>
            </w:r>
          </w:p>
        </w:tc>
        <w:tc>
          <w:tcPr>
            <w:tcW w:w="0" w:type="dxa"/>
            <w:vAlign w:val="bottom"/>
          </w:tcPr>
          <w:p>
            <w:pPr>
              <w:spacing w:after="0"/>
              <w:rPr>
                <w:sz w:val="1"/>
                <w:szCs w:val="1"/>
                <w:color w:val="auto"/>
              </w:rPr>
            </w:pPr>
          </w:p>
        </w:tc>
      </w:tr>
      <w:tr>
        <w:trPr>
          <w:trHeight w:val="209"/>
        </w:trPr>
        <w:tc>
          <w:tcPr>
            <w:tcW w:w="2900" w:type="dxa"/>
            <w:vAlign w:val="bottom"/>
            <w:shd w:val="clear" w:color="auto" w:fill="CFF0FC"/>
          </w:tcPr>
          <w:p>
            <w:pPr>
              <w:spacing w:after="0"/>
              <w:rPr>
                <w:sz w:val="20"/>
                <w:szCs w:val="20"/>
                <w:color w:val="auto"/>
              </w:rPr>
            </w:pPr>
            <w:r>
              <w:rPr>
                <w:rFonts w:ascii="Arial" w:cs="Arial" w:eastAsia="Arial" w:hAnsi="Arial"/>
                <w:sz w:val="17"/>
                <w:szCs w:val="17"/>
                <w:color w:val="auto"/>
              </w:rPr>
              <w:t>Cost of sales</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1,286,155</w:t>
            </w: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1,133,962</w:t>
            </w:r>
          </w:p>
        </w:tc>
        <w:tc>
          <w:tcPr>
            <w:tcW w:w="12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13.4%</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1,133,962</w:t>
            </w:r>
          </w:p>
        </w:tc>
        <w:tc>
          <w:tcPr>
            <w:tcW w:w="12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794,622</w:t>
            </w:r>
          </w:p>
        </w:tc>
        <w:tc>
          <w:tcPr>
            <w:tcW w:w="12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42.7%</w:t>
            </w:r>
          </w:p>
        </w:tc>
        <w:tc>
          <w:tcPr>
            <w:tcW w:w="0" w:type="dxa"/>
            <w:vAlign w:val="bottom"/>
          </w:tcPr>
          <w:p>
            <w:pPr>
              <w:spacing w:after="0"/>
              <w:rPr>
                <w:sz w:val="1"/>
                <w:szCs w:val="1"/>
                <w:color w:val="auto"/>
              </w:rPr>
            </w:pPr>
          </w:p>
        </w:tc>
      </w:tr>
      <w:tr>
        <w:trPr>
          <w:trHeight w:val="202"/>
        </w:trPr>
        <w:tc>
          <w:tcPr>
            <w:tcW w:w="2900" w:type="dxa"/>
            <w:vAlign w:val="bottom"/>
          </w:tcPr>
          <w:p>
            <w:pPr>
              <w:spacing w:after="0"/>
              <w:rPr>
                <w:sz w:val="20"/>
                <w:szCs w:val="20"/>
                <w:color w:val="auto"/>
              </w:rPr>
            </w:pPr>
            <w:r>
              <w:rPr>
                <w:rFonts w:ascii="Arial" w:cs="Arial" w:eastAsia="Arial" w:hAnsi="Arial"/>
                <w:sz w:val="17"/>
                <w:szCs w:val="17"/>
                <w:color w:val="auto"/>
              </w:rPr>
              <w:t>Total gross profit</w:t>
            </w:r>
          </w:p>
        </w:tc>
        <w:tc>
          <w:tcPr>
            <w:tcW w:w="240" w:type="dxa"/>
            <w:vAlign w:val="bottom"/>
          </w:tcPr>
          <w:p>
            <w:pPr>
              <w:spacing w:after="0"/>
              <w:rPr>
                <w:sz w:val="17"/>
                <w:szCs w:val="17"/>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71,545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34"/>
              <w:spacing w:after="0"/>
              <w:rPr>
                <w:sz w:val="20"/>
                <w:szCs w:val="20"/>
                <w:color w:val="auto"/>
              </w:rPr>
            </w:pPr>
            <w:r>
              <w:rPr>
                <w:rFonts w:ascii="Arial" w:cs="Arial" w:eastAsia="Arial" w:hAnsi="Arial"/>
                <w:sz w:val="17"/>
                <w:szCs w:val="17"/>
                <w:color w:val="auto"/>
              </w:rPr>
              <w:t>57,859</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23.7%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57,859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60,807</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87"/>
        </w:trPr>
        <w:tc>
          <w:tcPr>
            <w:tcW w:w="2900" w:type="dxa"/>
            <w:vAlign w:val="bottom"/>
            <w:shd w:val="clear" w:color="auto" w:fill="CFF0FC"/>
          </w:tcPr>
          <w:p>
            <w:pPr>
              <w:spacing w:after="0" w:line="186" w:lineRule="exact"/>
              <w:rPr>
                <w:sz w:val="20"/>
                <w:szCs w:val="20"/>
                <w:color w:val="auto"/>
              </w:rPr>
            </w:pPr>
            <w:r>
              <w:rPr>
                <w:rFonts w:ascii="Arial" w:cs="Arial" w:eastAsia="Arial" w:hAnsi="Arial"/>
                <w:sz w:val="17"/>
                <w:szCs w:val="17"/>
                <w:color w:val="auto"/>
              </w:rPr>
              <w:t>Selling, general and administrative</w:t>
            </w: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900" w:type="dxa"/>
            <w:vAlign w:val="bottom"/>
            <w:shd w:val="clear" w:color="auto" w:fill="CFF0FC"/>
          </w:tcPr>
          <w:p>
            <w:pPr>
              <w:spacing w:after="0"/>
              <w:rPr>
                <w:sz w:val="20"/>
                <w:szCs w:val="20"/>
                <w:color w:val="auto"/>
              </w:rPr>
            </w:pPr>
            <w:r>
              <w:rPr>
                <w:rFonts w:ascii="Arial" w:cs="Arial" w:eastAsia="Arial" w:hAnsi="Arial"/>
                <w:sz w:val="17"/>
                <w:szCs w:val="17"/>
                <w:color w:val="auto"/>
              </w:rPr>
              <w:t>expenses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245,546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184,988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32.7%</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184,988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133,842</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209"/>
        </w:trPr>
        <w:tc>
          <w:tcPr>
            <w:tcW w:w="29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Depreciation and amortization</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4,598</w:t>
            </w: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6,019</w:t>
            </w:r>
          </w:p>
        </w:tc>
        <w:tc>
          <w:tcPr>
            <w:tcW w:w="120" w:type="dxa"/>
            <w:vAlign w:val="bottom"/>
            <w:tcBorders>
              <w:bottom w:val="single" w:sz="8" w:color="CFF0FC"/>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6,019</w:t>
            </w:r>
          </w:p>
        </w:tc>
        <w:tc>
          <w:tcPr>
            <w:tcW w:w="1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6,857</w:t>
            </w:r>
          </w:p>
        </w:tc>
        <w:tc>
          <w:tcPr>
            <w:tcW w:w="120" w:type="dxa"/>
            <w:vAlign w:val="bottom"/>
            <w:tcBorders>
              <w:bottom w:val="single" w:sz="8" w:color="CFF0FC"/>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2"/>
        </w:trPr>
        <w:tc>
          <w:tcPr>
            <w:tcW w:w="2900" w:type="dxa"/>
            <w:vAlign w:val="bottom"/>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(178,599)</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(133,148)</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34.1%</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(133,148)</w:t>
            </w: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(79,892)</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66.7%</w:t>
            </w:r>
          </w:p>
        </w:tc>
        <w:tc>
          <w:tcPr>
            <w:tcW w:w="0" w:type="dxa"/>
            <w:vAlign w:val="bottom"/>
          </w:tcPr>
          <w:p>
            <w:pPr>
              <w:spacing w:after="0"/>
              <w:rPr>
                <w:sz w:val="1"/>
                <w:szCs w:val="1"/>
                <w:color w:val="auto"/>
              </w:rPr>
            </w:pPr>
          </w:p>
        </w:tc>
      </w:tr>
      <w:tr>
        <w:trPr>
          <w:trHeight w:val="209"/>
        </w:trPr>
        <w:tc>
          <w:tcPr>
            <w:tcW w:w="2900" w:type="dxa"/>
            <w:vAlign w:val="bottom"/>
          </w:tcPr>
          <w:p>
            <w:pPr>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9,656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Arial" w:cs="Arial" w:eastAsia="Arial" w:hAnsi="Arial"/>
                <w:sz w:val="17"/>
                <w:szCs w:val="17"/>
                <w:color w:val="auto"/>
              </w:rPr>
              <w:t>14,596</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(33.8)%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14,596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8,513</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71.5%</w:t>
            </w:r>
          </w:p>
        </w:tc>
        <w:tc>
          <w:tcPr>
            <w:tcW w:w="0" w:type="dxa"/>
            <w:vAlign w:val="bottom"/>
          </w:tcPr>
          <w:p>
            <w:pPr>
              <w:spacing w:after="0"/>
              <w:rPr>
                <w:sz w:val="1"/>
                <w:szCs w:val="1"/>
                <w:color w:val="auto"/>
              </w:rPr>
            </w:pPr>
          </w:p>
        </w:tc>
      </w:tr>
      <w:tr>
        <w:trPr>
          <w:trHeight w:val="209"/>
        </w:trPr>
        <w:tc>
          <w:tcPr>
            <w:tcW w:w="2900" w:type="dxa"/>
            <w:vAlign w:val="bottom"/>
            <w:shd w:val="clear" w:color="auto" w:fill="CFF0FC"/>
          </w:tcPr>
          <w:p>
            <w:pPr>
              <w:spacing w:after="0"/>
              <w:rPr>
                <w:sz w:val="20"/>
                <w:szCs w:val="20"/>
                <w:color w:val="auto"/>
              </w:rPr>
            </w:pPr>
            <w:r>
              <w:rPr>
                <w:rFonts w:ascii="Arial" w:cs="Arial" w:eastAsia="Arial" w:hAnsi="Arial"/>
                <w:sz w:val="17"/>
                <w:szCs w:val="17"/>
                <w:color w:val="auto"/>
              </w:rPr>
              <w:t>Interest income</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(5,896)</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(5,607)</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(5,607)</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(3,135)</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78.9%</w:t>
            </w:r>
          </w:p>
        </w:tc>
        <w:tc>
          <w:tcPr>
            <w:tcW w:w="0" w:type="dxa"/>
            <w:vAlign w:val="bottom"/>
          </w:tcPr>
          <w:p>
            <w:pPr>
              <w:spacing w:after="0"/>
              <w:rPr>
                <w:sz w:val="1"/>
                <w:szCs w:val="1"/>
                <w:color w:val="auto"/>
              </w:rPr>
            </w:pPr>
          </w:p>
        </w:tc>
      </w:tr>
      <w:tr>
        <w:trPr>
          <w:trHeight w:val="209"/>
        </w:trPr>
        <w:tc>
          <w:tcPr>
            <w:tcW w:w="2900" w:type="dxa"/>
            <w:vAlign w:val="bottom"/>
          </w:tcPr>
          <w:p>
            <w:pPr>
              <w:spacing w:after="0"/>
              <w:rPr>
                <w:sz w:val="20"/>
                <w:szCs w:val="20"/>
                <w:color w:val="auto"/>
              </w:rPr>
            </w:pPr>
            <w:r>
              <w:rPr>
                <w:rFonts w:ascii="Arial" w:cs="Arial" w:eastAsia="Arial" w:hAnsi="Arial"/>
                <w:sz w:val="17"/>
                <w:szCs w:val="17"/>
                <w:color w:val="auto"/>
              </w:rPr>
              <w:t>Revaluation of stock warrant</w:t>
            </w:r>
          </w:p>
        </w:tc>
        <w:tc>
          <w:tcPr>
            <w:tcW w:w="24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20,470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Arial" w:cs="Arial" w:eastAsia="Arial" w:hAnsi="Arial"/>
                <w:sz w:val="17"/>
                <w:szCs w:val="17"/>
                <w:color w:val="auto"/>
              </w:rPr>
              <w:t>769</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2,561.9%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769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174</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342.0%</w:t>
            </w:r>
          </w:p>
        </w:tc>
        <w:tc>
          <w:tcPr>
            <w:tcW w:w="0" w:type="dxa"/>
            <w:vAlign w:val="bottom"/>
          </w:tcPr>
          <w:p>
            <w:pPr>
              <w:spacing w:after="0"/>
              <w:rPr>
                <w:sz w:val="1"/>
                <w:szCs w:val="1"/>
                <w:color w:val="auto"/>
              </w:rPr>
            </w:pPr>
          </w:p>
        </w:tc>
      </w:tr>
      <w:tr>
        <w:trPr>
          <w:trHeight w:val="209"/>
        </w:trPr>
        <w:tc>
          <w:tcPr>
            <w:tcW w:w="2900" w:type="dxa"/>
            <w:vAlign w:val="bottom"/>
            <w:shd w:val="clear" w:color="auto" w:fill="CFF0FC"/>
          </w:tcPr>
          <w:p>
            <w:pPr>
              <w:spacing w:after="0"/>
              <w:rPr>
                <w:sz w:val="20"/>
                <w:szCs w:val="20"/>
                <w:color w:val="auto"/>
              </w:rPr>
            </w:pPr>
            <w:r>
              <w:rPr>
                <w:rFonts w:ascii="Arial" w:cs="Arial" w:eastAsia="Arial" w:hAnsi="Arial"/>
                <w:sz w:val="17"/>
                <w:szCs w:val="17"/>
                <w:color w:val="auto"/>
              </w:rPr>
              <w:t>Other income, net</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(114)</w:t>
            </w: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w:t>
            </w:r>
          </w:p>
        </w:tc>
        <w:tc>
          <w:tcPr>
            <w:tcW w:w="12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w:t>
            </w:r>
          </w:p>
        </w:tc>
        <w:tc>
          <w:tcPr>
            <w:tcW w:w="12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(495)</w:t>
            </w:r>
          </w:p>
        </w:tc>
        <w:tc>
          <w:tcPr>
            <w:tcW w:w="12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(80.6)%</w:t>
            </w:r>
          </w:p>
        </w:tc>
        <w:tc>
          <w:tcPr>
            <w:tcW w:w="0" w:type="dxa"/>
            <w:vAlign w:val="bottom"/>
          </w:tcPr>
          <w:p>
            <w:pPr>
              <w:spacing w:after="0"/>
              <w:rPr>
                <w:sz w:val="1"/>
                <w:szCs w:val="1"/>
                <w:color w:val="auto"/>
              </w:rPr>
            </w:pPr>
          </w:p>
        </w:tc>
      </w:tr>
      <w:tr>
        <w:trPr>
          <w:trHeight w:val="180"/>
        </w:trPr>
        <w:tc>
          <w:tcPr>
            <w:tcW w:w="2900" w:type="dxa"/>
            <w:vAlign w:val="bottom"/>
          </w:tcPr>
          <w:p>
            <w:pPr>
              <w:spacing w:after="0" w:line="180" w:lineRule="exact"/>
              <w:rPr>
                <w:sz w:val="20"/>
                <w:szCs w:val="20"/>
                <w:color w:val="auto"/>
              </w:rPr>
            </w:pPr>
            <w:r>
              <w:rPr>
                <w:rFonts w:ascii="Arial" w:cs="Arial" w:eastAsia="Arial" w:hAnsi="Arial"/>
                <w:sz w:val="17"/>
                <w:szCs w:val="17"/>
                <w:color w:val="auto"/>
              </w:rPr>
              <w:t>Loss before provision for income</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900" w:type="dxa"/>
            <w:vAlign w:val="bottom"/>
          </w:tcPr>
          <w:p>
            <w:pPr>
              <w:spacing w:after="0"/>
              <w:rPr>
                <w:sz w:val="20"/>
                <w:szCs w:val="20"/>
                <w:color w:val="auto"/>
              </w:rPr>
            </w:pPr>
            <w:r>
              <w:rPr>
                <w:rFonts w:ascii="Arial" w:cs="Arial" w:eastAsia="Arial" w:hAnsi="Arial"/>
                <w:sz w:val="17"/>
                <w:szCs w:val="17"/>
                <w:color w:val="auto"/>
              </w:rPr>
              <w:t>taxes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(202,715)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(142,810)</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41.9%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(142,810)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(84,949)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68.1%</w:t>
            </w:r>
          </w:p>
        </w:tc>
        <w:tc>
          <w:tcPr>
            <w:tcW w:w="0" w:type="dxa"/>
            <w:vAlign w:val="bottom"/>
          </w:tcPr>
          <w:p>
            <w:pPr>
              <w:spacing w:after="0"/>
              <w:rPr>
                <w:sz w:val="1"/>
                <w:szCs w:val="1"/>
                <w:color w:val="auto"/>
              </w:rPr>
            </w:pPr>
          </w:p>
        </w:tc>
      </w:tr>
      <w:tr>
        <w:trPr>
          <w:trHeight w:val="209"/>
        </w:trPr>
        <w:tc>
          <w:tcPr>
            <w:tcW w:w="2900" w:type="dxa"/>
            <w:vAlign w:val="bottom"/>
            <w:shd w:val="clear" w:color="auto" w:fill="CFF0FC"/>
          </w:tcPr>
          <w:p>
            <w:pPr>
              <w:spacing w:after="0"/>
              <w:rPr>
                <w:sz w:val="20"/>
                <w:szCs w:val="20"/>
                <w:color w:val="auto"/>
              </w:rPr>
            </w:pPr>
            <w:r>
              <w:rPr>
                <w:rFonts w:ascii="Arial" w:cs="Arial" w:eastAsia="Arial" w:hAnsi="Arial"/>
                <w:sz w:val="17"/>
                <w:szCs w:val="17"/>
                <w:color w:val="auto"/>
              </w:rPr>
              <w:t>Provision for income taxes</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84</w:t>
            </w: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168</w:t>
            </w:r>
          </w:p>
        </w:tc>
        <w:tc>
          <w:tcPr>
            <w:tcW w:w="12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(50.0)%</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168</w:t>
            </w:r>
          </w:p>
        </w:tc>
        <w:tc>
          <w:tcPr>
            <w:tcW w:w="12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229</w:t>
            </w:r>
          </w:p>
        </w:tc>
        <w:tc>
          <w:tcPr>
            <w:tcW w:w="12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02"/>
        </w:trPr>
        <w:tc>
          <w:tcPr>
            <w:tcW w:w="2900" w:type="dxa"/>
            <w:vAlign w:val="bottom"/>
          </w:tcPr>
          <w:p>
            <w:pPr>
              <w:spacing w:after="0"/>
              <w:rPr>
                <w:sz w:val="20"/>
                <w:szCs w:val="20"/>
                <w:color w:val="auto"/>
              </w:rPr>
            </w:pPr>
            <w:r>
              <w:rPr>
                <w:rFonts w:ascii="Arial" w:cs="Arial" w:eastAsia="Arial" w:hAnsi="Arial"/>
                <w:sz w:val="17"/>
                <w:szCs w:val="17"/>
                <w:color w:val="auto"/>
              </w:rPr>
              <w:t>Net loss</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(202,799)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(142,978)</w:t>
            </w:r>
          </w:p>
        </w:tc>
        <w:tc>
          <w:tcPr>
            <w:tcW w:w="12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w:t>
            </w: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(142,978)</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(85,178)</w:t>
            </w:r>
          </w:p>
        </w:tc>
        <w:tc>
          <w:tcPr>
            <w:tcW w:w="12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67.9%</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Segments</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We manage and report operating results through three reportable segments:</w:t>
      </w:r>
    </w:p>
    <w:p>
      <w:pPr>
        <w:spacing w:after="0" w:line="103" w:lineRule="exact"/>
        <w:rPr>
          <w:sz w:val="20"/>
          <w:szCs w:val="20"/>
          <w:color w:val="auto"/>
        </w:rPr>
      </w:pPr>
    </w:p>
    <w:p>
      <w:pPr>
        <w:ind w:left="1020" w:right="220" w:hanging="256"/>
        <w:spacing w:after="0" w:line="292" w:lineRule="auto"/>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Ecommerce </w:t>
      </w:r>
      <w:r>
        <w:rPr>
          <w:rFonts w:ascii="Arial" w:cs="Arial" w:eastAsia="Arial" w:hAnsi="Arial"/>
          <w:sz w:val="17"/>
          <w:szCs w:val="17"/>
          <w:color w:val="auto"/>
        </w:rPr>
        <w:t>(67.4% of 2020 revenue; 49.3% of 2019 revenue): The Ecommerce segment represents retail sales of used vehicles</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our ecommerce platform and fees earned on sales of value-added products associated with those vehicle sales.</w:t>
      </w:r>
    </w:p>
    <w:p>
      <w:pPr>
        <w:spacing w:after="0" w:line="20" w:lineRule="exact"/>
        <w:rPr>
          <w:rFonts w:ascii="Times New Roman" w:cs="Times New Roman" w:eastAsia="Times New Roman" w:hAnsi="Times New Roman"/>
          <w:sz w:val="17"/>
          <w:szCs w:val="17"/>
          <w:color w:val="auto"/>
        </w:rPr>
      </w:pPr>
    </w:p>
    <w:p>
      <w:pPr>
        <w:ind w:left="1020" w:right="260" w:hanging="256"/>
        <w:spacing w:after="0" w:line="292" w:lineRule="auto"/>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Wholesale </w:t>
      </w:r>
      <w:r>
        <w:rPr>
          <w:rFonts w:ascii="Arial" w:cs="Arial" w:eastAsia="Arial" w:hAnsi="Arial"/>
          <w:sz w:val="17"/>
          <w:szCs w:val="17"/>
          <w:color w:val="auto"/>
        </w:rPr>
        <w:t>(18.1% of 2020 revenue; 17.9% of 2019 revenue): The Wholesale segment represents sales of used vehicles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wholesale channels.</w:t>
      </w:r>
    </w:p>
    <w:p>
      <w:pPr>
        <w:spacing w:after="0" w:line="20" w:lineRule="exact"/>
        <w:rPr>
          <w:rFonts w:ascii="Times New Roman" w:cs="Times New Roman" w:eastAsia="Times New Roman" w:hAnsi="Times New Roman"/>
          <w:sz w:val="17"/>
          <w:szCs w:val="17"/>
          <w:color w:val="auto"/>
        </w:rPr>
      </w:pPr>
    </w:p>
    <w:p>
      <w:pPr>
        <w:ind w:left="1020" w:right="300" w:hanging="256"/>
        <w:spacing w:after="0" w:line="292" w:lineRule="auto"/>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TDA </w:t>
      </w:r>
      <w:r>
        <w:rPr>
          <w:rFonts w:ascii="Arial" w:cs="Arial" w:eastAsia="Arial" w:hAnsi="Arial"/>
          <w:sz w:val="17"/>
          <w:szCs w:val="17"/>
          <w:color w:val="auto"/>
        </w:rPr>
        <w:t>(14.5% of 2020 revenue; 32.8% of 2019 revenue): The TDA segment represents retail sales of used vehicles from TDA and</w:t>
      </w:r>
      <w:r>
        <w:rPr>
          <w:rFonts w:ascii="Arial" w:cs="Arial" w:eastAsia="Arial" w:hAnsi="Arial"/>
          <w:sz w:val="17"/>
          <w:szCs w:val="17"/>
          <w:b w:val="1"/>
          <w:bCs w:val="1"/>
          <w:color w:val="auto"/>
        </w:rPr>
        <w:t xml:space="preserve"> </w:t>
      </w:r>
      <w:r>
        <w:rPr>
          <w:rFonts w:ascii="Arial" w:cs="Arial" w:eastAsia="Arial" w:hAnsi="Arial"/>
          <w:sz w:val="17"/>
          <w:szCs w:val="17"/>
          <w:color w:val="auto"/>
        </w:rPr>
        <w:t>fees earned on sales of value-added products associated with those vehicle sales.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2020 and 2019</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Ecommerce</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presents our Ecommerce segment results of operations for the periods indicated: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jc w:val="center"/>
              <w:ind w:left="518"/>
              <w:spacing w:after="0"/>
              <w:rPr>
                <w:sz w:val="20"/>
                <w:szCs w:val="20"/>
                <w:color w:val="auto"/>
              </w:rPr>
            </w:pPr>
            <w:r>
              <w:rPr>
                <w:rFonts w:ascii="Arial" w:cs="Arial" w:eastAsia="Arial" w:hAnsi="Arial"/>
                <w:sz w:val="14"/>
                <w:szCs w:val="14"/>
                <w:b w:val="1"/>
                <w:bCs w:val="1"/>
                <w:color w:val="auto"/>
                <w:w w:val="98"/>
              </w:rPr>
              <w:t>Year Ended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98"/>
              </w:rPr>
              <w:t>December 31,</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3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5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4"/>
          </w:tcPr>
          <w:p>
            <w:pPr>
              <w:jc w:val="center"/>
              <w:ind w:right="214"/>
              <w:spacing w:after="0" w:line="150" w:lineRule="exact"/>
              <w:rPr>
                <w:sz w:val="20"/>
                <w:szCs w:val="20"/>
                <w:color w:val="auto"/>
              </w:rPr>
            </w:pPr>
            <w:r>
              <w:rPr>
                <w:rFonts w:ascii="Arial" w:cs="Arial" w:eastAsia="Arial" w:hAnsi="Arial"/>
                <w:sz w:val="14"/>
                <w:szCs w:val="14"/>
                <w:b w:val="1"/>
                <w:bCs w:val="1"/>
                <w:color w:val="auto"/>
              </w:rPr>
              <w:t>(in thousands, except unit</w:t>
            </w: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9"/>
              </w:rPr>
              <w:t>data and average days to sale)</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Arial" w:cs="Arial" w:eastAsia="Arial" w:hAnsi="Arial"/>
                <w:sz w:val="17"/>
                <w:szCs w:val="17"/>
                <w:color w:val="auto"/>
              </w:rPr>
              <w:t>Ecommerce units sold</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34,488</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18,945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15,543</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82.0%</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20"/>
                <w:szCs w:val="20"/>
                <w:color w:val="auto"/>
              </w:rPr>
            </w:pPr>
            <w:r>
              <w:rPr>
                <w:rFonts w:ascii="Arial" w:cs="Arial" w:eastAsia="Arial" w:hAnsi="Arial"/>
                <w:sz w:val="17"/>
                <w:szCs w:val="17"/>
                <w:color w:val="auto"/>
              </w:rPr>
              <w:t>Ecommerce revenue: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Vehicle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884,560</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576,998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307,562</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53.3%</w:t>
            </w:r>
          </w:p>
        </w:tc>
        <w:tc>
          <w:tcPr>
            <w:tcW w:w="0" w:type="dxa"/>
            <w:vAlign w:val="bottom"/>
          </w:tcPr>
          <w:p>
            <w:pPr>
              <w:spacing w:after="0"/>
              <w:rPr>
                <w:sz w:val="1"/>
                <w:szCs w:val="1"/>
                <w:color w:val="auto"/>
              </w:rPr>
            </w:pPr>
          </w:p>
        </w:tc>
      </w:tr>
      <w:tr>
        <w:trPr>
          <w:trHeight w:val="209"/>
        </w:trPr>
        <w:tc>
          <w:tcPr>
            <w:tcW w:w="57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Product revenue</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30,891</w:t>
            </w:r>
          </w:p>
        </w:tc>
        <w:tc>
          <w:tcPr>
            <w:tcW w:w="1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11,116</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19,775</w:t>
            </w:r>
          </w:p>
        </w:tc>
        <w:tc>
          <w:tcPr>
            <w:tcW w:w="14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177.9%</w:t>
            </w:r>
          </w:p>
        </w:tc>
        <w:tc>
          <w:tcPr>
            <w:tcW w:w="0" w:type="dxa"/>
            <w:vAlign w:val="bottom"/>
          </w:tcPr>
          <w:p>
            <w:pPr>
              <w:spacing w:after="0"/>
              <w:rPr>
                <w:sz w:val="1"/>
                <w:szCs w:val="1"/>
                <w:color w:val="auto"/>
              </w:rPr>
            </w:pPr>
          </w:p>
        </w:tc>
      </w:tr>
      <w:tr>
        <w:trPr>
          <w:trHeight w:val="202"/>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ecommerce revenue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915,451</w:t>
            </w:r>
          </w:p>
        </w:tc>
        <w:tc>
          <w:tcPr>
            <w:tcW w:w="1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1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588,114</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327,337</w:t>
            </w:r>
          </w:p>
        </w:tc>
        <w:tc>
          <w:tcPr>
            <w:tcW w:w="1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55.7%</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7"/>
                <w:szCs w:val="17"/>
                <w:color w:val="auto"/>
              </w:rPr>
              <w:t>Ecommerce gross profit:</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Vehicle gross profit</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29,970</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21,011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8,959</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42.6%</w:t>
            </w:r>
          </w:p>
        </w:tc>
        <w:tc>
          <w:tcPr>
            <w:tcW w:w="0" w:type="dxa"/>
            <w:vAlign w:val="bottom"/>
          </w:tcPr>
          <w:p>
            <w:pPr>
              <w:spacing w:after="0"/>
              <w:rPr>
                <w:sz w:val="1"/>
                <w:szCs w:val="1"/>
                <w:color w:val="auto"/>
              </w:rPr>
            </w:pPr>
          </w:p>
        </w:tc>
      </w:tr>
      <w:tr>
        <w:trPr>
          <w:trHeight w:val="209"/>
        </w:trPr>
        <w:tc>
          <w:tcPr>
            <w:tcW w:w="57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Product gross profit</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30,891</w:t>
            </w:r>
          </w:p>
        </w:tc>
        <w:tc>
          <w:tcPr>
            <w:tcW w:w="1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11,116</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19,775</w:t>
            </w:r>
          </w:p>
        </w:tc>
        <w:tc>
          <w:tcPr>
            <w:tcW w:w="14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177.9%</w:t>
            </w:r>
          </w:p>
        </w:tc>
        <w:tc>
          <w:tcPr>
            <w:tcW w:w="0" w:type="dxa"/>
            <w:vAlign w:val="bottom"/>
          </w:tcPr>
          <w:p>
            <w:pPr>
              <w:spacing w:after="0"/>
              <w:rPr>
                <w:sz w:val="1"/>
                <w:szCs w:val="1"/>
                <w:color w:val="auto"/>
              </w:rPr>
            </w:pPr>
          </w:p>
        </w:tc>
      </w:tr>
      <w:tr>
        <w:trPr>
          <w:trHeight w:val="202"/>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ecommerce gross profit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60,861</w:t>
            </w:r>
          </w:p>
        </w:tc>
        <w:tc>
          <w:tcPr>
            <w:tcW w:w="1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1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32,127</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28,734</w:t>
            </w:r>
          </w:p>
        </w:tc>
        <w:tc>
          <w:tcPr>
            <w:tcW w:w="1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89.4%</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7"/>
                <w:szCs w:val="17"/>
                <w:color w:val="auto"/>
              </w:rPr>
              <w:t>Average vehicle selling price per ecommerce unit</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700" w:type="dxa"/>
            <w:vAlign w:val="bottom"/>
            <w:vMerge w:val="continue"/>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tcPr>
          <w:p>
            <w:pPr>
              <w:jc w:val="right"/>
              <w:ind w:right="38"/>
              <w:spacing w:after="0" w:line="189" w:lineRule="exact"/>
              <w:rPr>
                <w:sz w:val="20"/>
                <w:szCs w:val="20"/>
                <w:color w:val="auto"/>
              </w:rPr>
            </w:pPr>
            <w:r>
              <w:rPr>
                <w:rFonts w:ascii="Arial" w:cs="Arial" w:eastAsia="Arial" w:hAnsi="Arial"/>
                <w:sz w:val="17"/>
                <w:szCs w:val="17"/>
                <w:color w:val="auto"/>
              </w:rPr>
              <w:t>25,648</w:t>
            </w:r>
          </w:p>
        </w:tc>
        <w:tc>
          <w:tcPr>
            <w:tcW w:w="140" w:type="dxa"/>
            <w:vAlign w:val="bottom"/>
          </w:tcPr>
          <w:p>
            <w:pPr>
              <w:spacing w:after="0"/>
              <w:rPr>
                <w:sz w:val="16"/>
                <w:szCs w:val="16"/>
                <w:color w:val="auto"/>
              </w:rPr>
            </w:pPr>
          </w:p>
        </w:tc>
        <w:tc>
          <w:tcPr>
            <w:tcW w:w="380" w:type="dxa"/>
            <w:vAlign w:val="bottom"/>
          </w:tcPr>
          <w:p>
            <w:pPr>
              <w:jc w:val="right"/>
              <w:ind w:right="193"/>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tcPr>
          <w:p>
            <w:pPr>
              <w:jc w:val="right"/>
              <w:ind w:right="34"/>
              <w:spacing w:after="0" w:line="189" w:lineRule="exact"/>
              <w:rPr>
                <w:sz w:val="20"/>
                <w:szCs w:val="20"/>
                <w:color w:val="auto"/>
              </w:rPr>
            </w:pPr>
            <w:r>
              <w:rPr>
                <w:rFonts w:ascii="Arial" w:cs="Arial" w:eastAsia="Arial" w:hAnsi="Arial"/>
                <w:sz w:val="17"/>
                <w:szCs w:val="17"/>
                <w:color w:val="auto"/>
              </w:rPr>
              <w:t>30,456</w:t>
            </w:r>
          </w:p>
        </w:tc>
        <w:tc>
          <w:tcPr>
            <w:tcW w:w="140" w:type="dxa"/>
            <w:vAlign w:val="bottom"/>
          </w:tcPr>
          <w:p>
            <w:pPr>
              <w:spacing w:after="0"/>
              <w:rPr>
                <w:sz w:val="16"/>
                <w:szCs w:val="16"/>
                <w:color w:val="auto"/>
              </w:rPr>
            </w:pPr>
          </w:p>
        </w:tc>
        <w:tc>
          <w:tcPr>
            <w:tcW w:w="240" w:type="dxa"/>
            <w:vAlign w:val="bottom"/>
          </w:tcPr>
          <w:p>
            <w:pPr>
              <w:jc w:val="right"/>
              <w:ind w:right="53"/>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(4,808)</w:t>
            </w:r>
          </w:p>
        </w:tc>
        <w:tc>
          <w:tcPr>
            <w:tcW w:w="14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Arial" w:cs="Arial" w:eastAsia="Arial" w:hAnsi="Arial"/>
                <w:sz w:val="17"/>
                <w:szCs w:val="17"/>
                <w:color w:val="auto"/>
              </w:rPr>
              <w:t>Gross profit per ecommerce unit: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240"/>
              <w:spacing w:after="0"/>
              <w:rPr>
                <w:sz w:val="20"/>
                <w:szCs w:val="20"/>
                <w:color w:val="auto"/>
              </w:rPr>
            </w:pPr>
            <w:r>
              <w:rPr>
                <w:rFonts w:ascii="Arial" w:cs="Arial" w:eastAsia="Arial" w:hAnsi="Arial"/>
                <w:sz w:val="17"/>
                <w:szCs w:val="17"/>
                <w:color w:val="auto"/>
              </w:rPr>
              <w:t>Vehicle gross profit per ecommerce unit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38"/>
              <w:spacing w:after="0"/>
              <w:rPr>
                <w:sz w:val="20"/>
                <w:szCs w:val="20"/>
                <w:color w:val="auto"/>
              </w:rPr>
            </w:pPr>
            <w:r>
              <w:rPr>
                <w:rFonts w:ascii="Arial" w:cs="Arial" w:eastAsia="Arial" w:hAnsi="Arial"/>
                <w:sz w:val="17"/>
                <w:szCs w:val="17"/>
                <w:color w:val="auto"/>
              </w:rPr>
              <w:t>869</w:t>
            </w:r>
          </w:p>
        </w:tc>
        <w:tc>
          <w:tcPr>
            <w:tcW w:w="14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1,109</w:t>
            </w:r>
          </w:p>
        </w:tc>
        <w:tc>
          <w:tcPr>
            <w:tcW w:w="14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(240)</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Product gross profit per ecommerce unit</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896</w:t>
            </w:r>
          </w:p>
        </w:tc>
        <w:tc>
          <w:tcPr>
            <w:tcW w:w="1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587</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309</w:t>
            </w:r>
          </w:p>
        </w:tc>
        <w:tc>
          <w:tcPr>
            <w:tcW w:w="140" w:type="dxa"/>
            <w:vAlign w:val="bottom"/>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52.6%</w:t>
            </w:r>
          </w:p>
        </w:tc>
        <w:tc>
          <w:tcPr>
            <w:tcW w:w="0" w:type="dxa"/>
            <w:vAlign w:val="bottom"/>
          </w:tcPr>
          <w:p>
            <w:pPr>
              <w:spacing w:after="0"/>
              <w:rPr>
                <w:sz w:val="1"/>
                <w:szCs w:val="1"/>
                <w:color w:val="auto"/>
              </w:rPr>
            </w:pPr>
          </w:p>
        </w:tc>
      </w:tr>
      <w:tr>
        <w:trPr>
          <w:trHeight w:val="242"/>
        </w:trPr>
        <w:tc>
          <w:tcPr>
            <w:tcW w:w="57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gross profit per ecommerce unit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1,765</w:t>
            </w:r>
          </w:p>
        </w:tc>
        <w:tc>
          <w:tcPr>
            <w:tcW w:w="14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1,696</w:t>
            </w:r>
          </w:p>
        </w:tc>
        <w:tc>
          <w:tcPr>
            <w:tcW w:w="1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69</w:t>
            </w:r>
          </w:p>
        </w:tc>
        <w:tc>
          <w:tcPr>
            <w:tcW w:w="140" w:type="dxa"/>
            <w:vAlign w:val="bottom"/>
            <w:tcBorders>
              <w:bottom w:val="single" w:sz="8" w:color="CFF0FC"/>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Ecommerce average days to sale</w:t>
            </w: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8"/>
              <w:spacing w:after="0" w:line="189" w:lineRule="exact"/>
              <w:rPr>
                <w:sz w:val="20"/>
                <w:szCs w:val="20"/>
                <w:color w:val="auto"/>
              </w:rPr>
            </w:pPr>
            <w:r>
              <w:rPr>
                <w:rFonts w:ascii="Arial" w:cs="Arial" w:eastAsia="Arial" w:hAnsi="Arial"/>
                <w:sz w:val="17"/>
                <w:szCs w:val="17"/>
                <w:color w:val="auto"/>
              </w:rPr>
              <w:t>66</w:t>
            </w:r>
          </w:p>
        </w:tc>
        <w:tc>
          <w:tcPr>
            <w:tcW w:w="1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4"/>
              <w:spacing w:after="0" w:line="189" w:lineRule="exact"/>
              <w:rPr>
                <w:sz w:val="20"/>
                <w:szCs w:val="20"/>
                <w:color w:val="auto"/>
              </w:rPr>
            </w:pPr>
            <w:r>
              <w:rPr>
                <w:rFonts w:ascii="Arial" w:cs="Arial" w:eastAsia="Arial" w:hAnsi="Arial"/>
                <w:sz w:val="17"/>
                <w:szCs w:val="17"/>
                <w:color w:val="auto"/>
              </w:rPr>
              <w:t>68</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Ecommerce units</w:t>
      </w:r>
    </w:p>
    <w:p>
      <w:pPr>
        <w:spacing w:after="0" w:line="103" w:lineRule="exact"/>
        <w:rPr>
          <w:sz w:val="20"/>
          <w:szCs w:val="20"/>
          <w:color w:val="auto"/>
        </w:rPr>
      </w:pPr>
    </w:p>
    <w:p>
      <w:pPr>
        <w:ind w:right="180" w:firstLine="762"/>
        <w:spacing w:after="0" w:line="290" w:lineRule="auto"/>
        <w:rPr>
          <w:sz w:val="20"/>
          <w:szCs w:val="20"/>
          <w:color w:val="auto"/>
        </w:rPr>
      </w:pPr>
      <w:r>
        <w:rPr>
          <w:rFonts w:ascii="Arial" w:cs="Arial" w:eastAsia="Arial" w:hAnsi="Arial"/>
          <w:sz w:val="17"/>
          <w:szCs w:val="17"/>
          <w:color w:val="auto"/>
        </w:rPr>
        <w:t>After the initial disruption in our ecommerce operations due to the COVID-19 pandemic, consumer demand for used vehicles has returned to pre-COVID-19 levels and in 2020, we experienced strong consumer demand for our ecommerce solutions and contact-free delivery.</w:t>
      </w:r>
    </w:p>
    <w:p>
      <w:pPr>
        <w:spacing w:after="0" w:line="25" w:lineRule="exact"/>
        <w:rPr>
          <w:sz w:val="20"/>
          <w:szCs w:val="20"/>
          <w:color w:val="auto"/>
        </w:rPr>
      </w:pPr>
    </w:p>
    <w:p>
      <w:pPr>
        <w:ind w:right="80" w:firstLine="762"/>
        <w:spacing w:after="0" w:line="251" w:lineRule="auto"/>
        <w:rPr>
          <w:sz w:val="20"/>
          <w:szCs w:val="20"/>
          <w:color w:val="auto"/>
        </w:rPr>
      </w:pPr>
      <w:r>
        <w:rPr>
          <w:rFonts w:ascii="Arial" w:cs="Arial" w:eastAsia="Arial" w:hAnsi="Arial"/>
          <w:sz w:val="17"/>
          <w:szCs w:val="17"/>
          <w:color w:val="auto"/>
        </w:rPr>
        <w:t>Ecommerce units sold increased 15,543, or 82.0%, from 18,945 in 2019 to 34,488 in 2020. This increase was driven by higher inventory levels, our national advertising campaign which continues to strengthen our national brand awareness as well as greater consumer acceptance of our business model as a result of disruptions caused by the COVID-19 pandemic, and process improvements in our ecommerce platform. Average monthly unique visitors to our website grew from 653,216 in 2019 to 969,890 in 2020, representing year over year growth of 48.5%. We expect ecommerce units sold to continue to grow in the future as we increase our inventory selection and marketing efforts as well as improve conversion.</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Vehicle Revenue</w:t>
      </w:r>
    </w:p>
    <w:p>
      <w:pPr>
        <w:spacing w:after="0" w:line="103" w:lineRule="exact"/>
        <w:rPr>
          <w:sz w:val="20"/>
          <w:szCs w:val="20"/>
          <w:color w:val="auto"/>
        </w:rPr>
      </w:pPr>
    </w:p>
    <w:p>
      <w:pPr>
        <w:ind w:right="60" w:firstLine="762"/>
        <w:spacing w:after="0" w:line="249" w:lineRule="auto"/>
        <w:rPr>
          <w:sz w:val="20"/>
          <w:szCs w:val="20"/>
          <w:color w:val="auto"/>
        </w:rPr>
      </w:pPr>
      <w:r>
        <w:rPr>
          <w:rFonts w:ascii="Arial" w:cs="Arial" w:eastAsia="Arial" w:hAnsi="Arial"/>
          <w:sz w:val="17"/>
          <w:szCs w:val="17"/>
          <w:color w:val="auto"/>
        </w:rPr>
        <w:t>Ecommerce vehicle revenue increased $307.6 million, or 53.3%, from $577.0 million in 2019 to $884.6 million in 2020. The increase in ecommerce vehicle revenue was primarily attributable to the 15,543 increase in ecommerce units sold, which increased vehicle revenue by $473.4 million, partially offset by a lower ASP per unit, which decreased from $30,456 in 2019 to $25,648 in 2020 and decreased vehicle revenue by $165.8 million. The decrease in ASP per unit was driven by demand predicted by our data analytics and by our ability to source and recondition lower priced vehicles while maintaining target gross profit per units as a result of our expanding VRC network. We expect to continue to sell vehicles with a lower ASP per unit than historical levels and that ecommerce vehicle revenue will continue to grow driven by increases in ecommerce units sold.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Revenue</w:t>
      </w:r>
    </w:p>
    <w:p>
      <w:pPr>
        <w:spacing w:after="0" w:line="103" w:lineRule="exact"/>
        <w:rPr>
          <w:sz w:val="20"/>
          <w:szCs w:val="20"/>
          <w:color w:val="auto"/>
        </w:rPr>
      </w:pPr>
    </w:p>
    <w:p>
      <w:pPr>
        <w:ind w:right="60" w:firstLine="762"/>
        <w:spacing w:after="0" w:line="250" w:lineRule="auto"/>
        <w:rPr>
          <w:sz w:val="20"/>
          <w:szCs w:val="20"/>
          <w:color w:val="auto"/>
        </w:rPr>
      </w:pPr>
      <w:r>
        <w:rPr>
          <w:rFonts w:ascii="Arial" w:cs="Arial" w:eastAsia="Arial" w:hAnsi="Arial"/>
          <w:sz w:val="17"/>
          <w:szCs w:val="17"/>
          <w:color w:val="auto"/>
        </w:rPr>
        <w:t>Ecommerce product revenue increased $19.8 million, or 177.9%, from $11.1 million in 2019 to $30.9 million in 2020. The increase in ecommerce product revenue was primarily attributable to a $309 increase in product revenue per unit, which increased product revenue by $10.7 million and the 15,543 increase in ecommerce units sold, which increased product revenue by $9.1 million. The increase in product revenue per unit was primarily due to higher attachment rates, improved financing features in our ecommerce platform as well as our strategic lender partnerships. We expect ecommerce product revenue will continue to grow in the future driven by increases in ecommerce units sold, new product offerings, initiatives to improve product attachment rates and increases in per unit profit.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Vehicle Gross Profit</w:t>
      </w:r>
    </w:p>
    <w:p>
      <w:pPr>
        <w:spacing w:after="0" w:line="103" w:lineRule="exact"/>
        <w:rPr>
          <w:sz w:val="20"/>
          <w:szCs w:val="20"/>
          <w:color w:val="auto"/>
        </w:rPr>
      </w:pPr>
    </w:p>
    <w:p>
      <w:pPr>
        <w:ind w:right="40" w:firstLine="762"/>
        <w:spacing w:after="0" w:line="253" w:lineRule="auto"/>
        <w:rPr>
          <w:sz w:val="20"/>
          <w:szCs w:val="20"/>
          <w:color w:val="auto"/>
        </w:rPr>
      </w:pPr>
      <w:r>
        <w:rPr>
          <w:rFonts w:ascii="Arial" w:cs="Arial" w:eastAsia="Arial" w:hAnsi="Arial"/>
          <w:sz w:val="17"/>
          <w:szCs w:val="17"/>
          <w:color w:val="auto"/>
        </w:rPr>
        <w:t>Ecommerce vehicle gross profit increased $9.0 million, or 42.6%, from $21.0 million in 2019 to $30.0 million in 2020. The increase in vehicle gross profit was primarily attributable to the 15,543 increase in ecommerce units sold, which increased vehicle gross profit by $17.2 million, partially offset by a $240 decrease in vehicle gross profit per unit, which decreased vehicle gross profit by $8.2 million. Vehicle gross profit per unit decreased from $1,109 in 2019 to $869 in 2020, primarily attributable to lower sales margins (sales price less purchase price of vehicles sold), partially offset by improvements in inbound logistics and reconditioning costs.</w:t>
      </w:r>
    </w:p>
    <w:p>
      <w:pPr>
        <w:spacing w:after="0" w:line="160" w:lineRule="exact"/>
        <w:rPr>
          <w:sz w:val="20"/>
          <w:szCs w:val="20"/>
          <w:color w:val="auto"/>
        </w:rPr>
      </w:pPr>
    </w:p>
    <w:p>
      <w:pPr>
        <w:ind w:right="40" w:firstLine="762"/>
        <w:spacing w:after="0" w:line="290" w:lineRule="auto"/>
        <w:rPr>
          <w:sz w:val="20"/>
          <w:szCs w:val="20"/>
          <w:color w:val="auto"/>
        </w:rPr>
      </w:pPr>
      <w:r>
        <w:rPr>
          <w:rFonts w:ascii="Arial" w:cs="Arial" w:eastAsia="Arial" w:hAnsi="Arial"/>
          <w:sz w:val="17"/>
          <w:szCs w:val="17"/>
          <w:color w:val="auto"/>
        </w:rPr>
        <w:t>As we continue to mature our infrastructure, increase and optimize our network of VRCs, we expect ecommerce vehicle gross profit per unit to increase in the future driven by reduced costs across acquisitions, logistics and reconditioning.</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Gross Profit</w:t>
      </w:r>
    </w:p>
    <w:p>
      <w:pPr>
        <w:spacing w:after="0" w:line="103" w:lineRule="exact"/>
        <w:rPr>
          <w:sz w:val="20"/>
          <w:szCs w:val="20"/>
          <w:color w:val="auto"/>
        </w:rPr>
      </w:pPr>
    </w:p>
    <w:p>
      <w:pPr>
        <w:ind w:right="60" w:firstLine="762"/>
        <w:spacing w:after="0" w:line="250" w:lineRule="auto"/>
        <w:rPr>
          <w:sz w:val="20"/>
          <w:szCs w:val="20"/>
          <w:color w:val="auto"/>
        </w:rPr>
      </w:pPr>
      <w:r>
        <w:rPr>
          <w:rFonts w:ascii="Arial" w:cs="Arial" w:eastAsia="Arial" w:hAnsi="Arial"/>
          <w:sz w:val="17"/>
          <w:szCs w:val="17"/>
          <w:color w:val="auto"/>
        </w:rPr>
        <w:t>Ecommerce product gross profit increased $19.8 million, or 177.9%, from $11.1 million in 2019 to $30.9 million in 2020. The increase in ecommerce product gross profit was primarily attributable to a $309 increase in product gross profit per unit which increased product gross profit by $10.7 million and the 15,543 increase in ecommerce units sold which increased product gross profit by $ 9.1 million. The increase in product gross profit per unit was primarily attributable to higher attachment rates, improved financing features in our ecommerce platform as well as our strategic lender partnerships. We expect ecommerce product gross profit will continue to grow in the future driven by increases in ecommerce units sold, new product offerings, initiatives to improve product attachment rates and increases in per unit profit.</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Wholesale</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presents our Wholesale segment results of operations for the periods indicated: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34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4"/>
                <w:szCs w:val="14"/>
                <w:color w:val="auto"/>
              </w:rPr>
            </w:pPr>
          </w:p>
        </w:tc>
        <w:tc>
          <w:tcPr>
            <w:tcW w:w="860" w:type="dxa"/>
            <w:vAlign w:val="bottom"/>
          </w:tcPr>
          <w:p>
            <w:pPr>
              <w:jc w:val="right"/>
              <w:ind w:right="456"/>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7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500" w:type="dxa"/>
            <w:vAlign w:val="bottom"/>
            <w:tcBorders>
              <w:top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(in thousands, except unit data)</w:t>
            </w: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Arial" w:cs="Arial" w:eastAsia="Arial" w:hAnsi="Arial"/>
                <w:sz w:val="17"/>
                <w:szCs w:val="17"/>
                <w:color w:val="auto"/>
              </w:rPr>
              <w:t>Wholesale units sold</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01"/>
              <w:spacing w:after="0"/>
              <w:rPr>
                <w:sz w:val="20"/>
                <w:szCs w:val="20"/>
                <w:color w:val="auto"/>
              </w:rPr>
            </w:pPr>
            <w:r>
              <w:rPr>
                <w:rFonts w:ascii="Arial" w:cs="Arial" w:eastAsia="Arial" w:hAnsi="Arial"/>
                <w:sz w:val="17"/>
                <w:szCs w:val="17"/>
                <w:color w:val="auto"/>
              </w:rPr>
              <w:t>21,108</w:t>
            </w: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20,197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911</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20"/>
                <w:szCs w:val="20"/>
                <w:color w:val="auto"/>
              </w:rPr>
            </w:pPr>
            <w:r>
              <w:rPr>
                <w:rFonts w:ascii="Arial" w:cs="Arial" w:eastAsia="Arial" w:hAnsi="Arial"/>
                <w:sz w:val="17"/>
                <w:szCs w:val="17"/>
                <w:color w:val="auto"/>
              </w:rPr>
              <w:t>Wholesale revenue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01"/>
              <w:spacing w:after="0"/>
              <w:rPr>
                <w:sz w:val="20"/>
                <w:szCs w:val="20"/>
                <w:color w:val="auto"/>
              </w:rPr>
            </w:pPr>
            <w:r>
              <w:rPr>
                <w:rFonts w:ascii="Arial" w:cs="Arial" w:eastAsia="Arial" w:hAnsi="Arial"/>
                <w:sz w:val="17"/>
                <w:szCs w:val="17"/>
                <w:color w:val="auto"/>
              </w:rPr>
              <w:t>245,580</w:t>
            </w:r>
          </w:p>
        </w:tc>
        <w:tc>
          <w:tcPr>
            <w:tcW w:w="48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6"/>
              <w:spacing w:after="0"/>
              <w:rPr>
                <w:sz w:val="20"/>
                <w:szCs w:val="20"/>
                <w:color w:val="auto"/>
              </w:rPr>
            </w:pPr>
            <w:r>
              <w:rPr>
                <w:rFonts w:ascii="Arial" w:cs="Arial" w:eastAsia="Arial" w:hAnsi="Arial"/>
                <w:sz w:val="17"/>
                <w:szCs w:val="17"/>
                <w:color w:val="auto"/>
              </w:rPr>
              <w:t>213,464</w:t>
            </w:r>
          </w:p>
        </w:tc>
        <w:tc>
          <w:tcPr>
            <w:tcW w:w="14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32,116</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Arial" w:cs="Arial" w:eastAsia="Arial" w:hAnsi="Arial"/>
                <w:sz w:val="17"/>
                <w:szCs w:val="17"/>
                <w:color w:val="auto"/>
              </w:rPr>
              <w:t>Wholesale gross (loss) profit</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(1,432)</w:t>
            </w:r>
          </w:p>
        </w:tc>
        <w:tc>
          <w:tcPr>
            <w:tcW w:w="480" w:type="dxa"/>
            <w:vAlign w:val="bottom"/>
            <w:shd w:val="clear" w:color="auto" w:fill="CFF0FC"/>
          </w:tcPr>
          <w:p>
            <w:pPr>
              <w:jc w:val="right"/>
              <w:ind w:right="213"/>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340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(1,772)</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(521.2)%</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20"/>
                <w:szCs w:val="20"/>
                <w:color w:val="auto"/>
              </w:rPr>
            </w:pPr>
            <w:r>
              <w:rPr>
                <w:rFonts w:ascii="Arial" w:cs="Arial" w:eastAsia="Arial" w:hAnsi="Arial"/>
                <w:sz w:val="17"/>
                <w:szCs w:val="17"/>
                <w:color w:val="auto"/>
              </w:rPr>
              <w:t>Average selling price per unit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01"/>
              <w:spacing w:after="0"/>
              <w:rPr>
                <w:sz w:val="20"/>
                <w:szCs w:val="20"/>
                <w:color w:val="auto"/>
              </w:rPr>
            </w:pPr>
            <w:r>
              <w:rPr>
                <w:rFonts w:ascii="Arial" w:cs="Arial" w:eastAsia="Arial" w:hAnsi="Arial"/>
                <w:sz w:val="17"/>
                <w:szCs w:val="17"/>
                <w:color w:val="auto"/>
              </w:rPr>
              <w:t>11,634</w:t>
            </w:r>
          </w:p>
        </w:tc>
        <w:tc>
          <w:tcPr>
            <w:tcW w:w="48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6"/>
              <w:spacing w:after="0"/>
              <w:rPr>
                <w:sz w:val="20"/>
                <w:szCs w:val="20"/>
                <w:color w:val="auto"/>
              </w:rPr>
            </w:pPr>
            <w:r>
              <w:rPr>
                <w:rFonts w:ascii="Arial" w:cs="Arial" w:eastAsia="Arial" w:hAnsi="Arial"/>
                <w:sz w:val="17"/>
                <w:szCs w:val="17"/>
                <w:color w:val="auto"/>
              </w:rPr>
              <w:t>10,569</w:t>
            </w:r>
          </w:p>
        </w:tc>
        <w:tc>
          <w:tcPr>
            <w:tcW w:w="14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1,065</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Arial" w:cs="Arial" w:eastAsia="Arial" w:hAnsi="Arial"/>
                <w:sz w:val="17"/>
                <w:szCs w:val="17"/>
                <w:color w:val="auto"/>
              </w:rPr>
              <w:t>Wholesale gross (loss) profit per unit</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(68)</w:t>
            </w:r>
          </w:p>
        </w:tc>
        <w:tc>
          <w:tcPr>
            <w:tcW w:w="480" w:type="dxa"/>
            <w:vAlign w:val="bottom"/>
            <w:shd w:val="clear" w:color="auto" w:fill="CFF0FC"/>
          </w:tcPr>
          <w:p>
            <w:pPr>
              <w:jc w:val="right"/>
              <w:ind w:right="213"/>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Wholesale Units</w:t>
      </w:r>
    </w:p>
    <w:p>
      <w:pPr>
        <w:spacing w:after="0" w:line="103" w:lineRule="exact"/>
        <w:rPr>
          <w:sz w:val="20"/>
          <w:szCs w:val="20"/>
          <w:color w:val="auto"/>
        </w:rPr>
      </w:pPr>
    </w:p>
    <w:p>
      <w:pPr>
        <w:ind w:right="320" w:firstLine="762"/>
        <w:spacing w:after="0" w:line="257" w:lineRule="auto"/>
        <w:rPr>
          <w:sz w:val="20"/>
          <w:szCs w:val="20"/>
          <w:color w:val="auto"/>
        </w:rPr>
      </w:pPr>
      <w:r>
        <w:rPr>
          <w:rFonts w:ascii="Arial" w:cs="Arial" w:eastAsia="Arial" w:hAnsi="Arial"/>
          <w:sz w:val="17"/>
          <w:szCs w:val="17"/>
          <w:color w:val="auto"/>
        </w:rPr>
        <w:t>Wholesale units sold increased 911, or 4.5%, from 20,197 in 2019 to 21,108 in 2020, primarily driven by the sale of retail quality vehicles through wholesale channels in order to reduce inventory risk during the early days of the COVID-19 pandemic as well as in the fourth quarter of 2020, partially offset by a decrease in trade-in vehicles due to a lower volume of ecommerce units sold during the early days of the pandemic.</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Wholesale Revenue</w:t>
      </w:r>
    </w:p>
    <w:p>
      <w:pPr>
        <w:spacing w:after="0" w:line="103" w:lineRule="exact"/>
        <w:rPr>
          <w:sz w:val="20"/>
          <w:szCs w:val="20"/>
          <w:color w:val="auto"/>
        </w:rPr>
      </w:pPr>
    </w:p>
    <w:p>
      <w:pPr>
        <w:ind w:right="60" w:firstLine="762"/>
        <w:spacing w:after="0" w:line="265" w:lineRule="auto"/>
        <w:rPr>
          <w:sz w:val="20"/>
          <w:szCs w:val="20"/>
          <w:color w:val="auto"/>
        </w:rPr>
      </w:pPr>
      <w:r>
        <w:rPr>
          <w:rFonts w:ascii="Arial" w:cs="Arial" w:eastAsia="Arial" w:hAnsi="Arial"/>
          <w:sz w:val="17"/>
          <w:szCs w:val="17"/>
          <w:color w:val="auto"/>
        </w:rPr>
        <w:t>Wholesale revenue increased $32.1 million, or 15.0%, from $213.5 million in 2019 to $245.6 million in 2020. The increase was primarily attributable to a higher ASP per wholesale unit, which increased from $ 10,569 in 2019 to $11,634 in 2020 and increased wholesale revenue by $22.5 million as well as the 911 increase in wholesale units sold, which increased wholesale revenue by $9.6 million.</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Wholesale Gross (Loss) Profit</w:t>
      </w:r>
    </w:p>
    <w:p>
      <w:pPr>
        <w:spacing w:after="0" w:line="103" w:lineRule="exact"/>
        <w:rPr>
          <w:sz w:val="20"/>
          <w:szCs w:val="20"/>
          <w:color w:val="auto"/>
        </w:rPr>
      </w:pPr>
    </w:p>
    <w:p>
      <w:pPr>
        <w:ind w:right="320" w:firstLine="762"/>
        <w:spacing w:after="0" w:line="265" w:lineRule="auto"/>
        <w:rPr>
          <w:sz w:val="20"/>
          <w:szCs w:val="20"/>
          <w:color w:val="auto"/>
        </w:rPr>
      </w:pPr>
      <w:r>
        <w:rPr>
          <w:rFonts w:ascii="Arial" w:cs="Arial" w:eastAsia="Arial" w:hAnsi="Arial"/>
          <w:sz w:val="17"/>
          <w:szCs w:val="17"/>
          <w:color w:val="auto"/>
        </w:rPr>
        <w:t>Wholesale gross profit decreased $1.8 million from gross profit of $0.4 million in 2019 to gross loss of $(1.4) million in 2020. The decrease was primarily attributable to a $85 decrease in wholesale gross profit per unit, which decreased primarily as the result of lower sales margin as a result of liquidating aged inventory during the initial phase of the COVID-19 pandemic as well as in the fourth quarter of 2020.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TDA</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presents our TDA segment results of operations for the periods indicated: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8"/>
              </w:rPr>
              <w:t>Year Ended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98"/>
              </w:rPr>
              <w:t>December 31,</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3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4"/>
          </w:tcPr>
          <w:p>
            <w:pPr>
              <w:jc w:val="center"/>
              <w:ind w:right="214"/>
              <w:spacing w:after="0" w:line="150" w:lineRule="exact"/>
              <w:rPr>
                <w:sz w:val="20"/>
                <w:szCs w:val="20"/>
                <w:color w:val="auto"/>
              </w:rPr>
            </w:pPr>
            <w:r>
              <w:rPr>
                <w:rFonts w:ascii="Arial" w:cs="Arial" w:eastAsia="Arial" w:hAnsi="Arial"/>
                <w:sz w:val="14"/>
                <w:szCs w:val="14"/>
                <w:b w:val="1"/>
                <w:bCs w:val="1"/>
                <w:color w:val="auto"/>
              </w:rPr>
              <w:t>(in thousands, except unit</w:t>
            </w: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9"/>
              </w:rPr>
              <w:t>data and average days to sale)</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Arial" w:cs="Arial" w:eastAsia="Arial" w:hAnsi="Arial"/>
                <w:sz w:val="17"/>
                <w:szCs w:val="17"/>
                <w:color w:val="auto"/>
              </w:rPr>
              <w:t>TDA units sold</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7,385</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13,018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(5,633)</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20"/>
                <w:szCs w:val="20"/>
                <w:color w:val="auto"/>
              </w:rPr>
            </w:pPr>
            <w:r>
              <w:rPr>
                <w:rFonts w:ascii="Arial" w:cs="Arial" w:eastAsia="Arial" w:hAnsi="Arial"/>
                <w:sz w:val="17"/>
                <w:szCs w:val="17"/>
                <w:color w:val="auto"/>
              </w:rPr>
              <w:t>TDA revenue: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Vehicle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187,991</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375,912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(187,921)</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9"/>
        </w:trPr>
        <w:tc>
          <w:tcPr>
            <w:tcW w:w="5700" w:type="dxa"/>
            <w:vAlign w:val="bottom"/>
          </w:tcPr>
          <w:p>
            <w:pPr>
              <w:ind w:left="240"/>
              <w:spacing w:after="0"/>
              <w:rPr>
                <w:sz w:val="20"/>
                <w:szCs w:val="20"/>
                <w:color w:val="auto"/>
              </w:rPr>
            </w:pPr>
            <w:r>
              <w:rPr>
                <w:rFonts w:ascii="Arial" w:cs="Arial" w:eastAsia="Arial" w:hAnsi="Arial"/>
                <w:sz w:val="17"/>
                <w:szCs w:val="17"/>
                <w:color w:val="auto"/>
              </w:rPr>
              <w:t>Product revenue</w:t>
            </w:r>
          </w:p>
        </w:tc>
        <w:tc>
          <w:tcPr>
            <w:tcW w:w="18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7,304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12,592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(5,288)</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(42.0)%</w:t>
            </w: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1,374</w:t>
            </w:r>
          </w:p>
        </w:tc>
        <w:tc>
          <w:tcPr>
            <w:tcW w:w="1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1,739</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(365)</w:t>
            </w:r>
          </w:p>
        </w:tc>
        <w:tc>
          <w:tcPr>
            <w:tcW w:w="140" w:type="dxa"/>
            <w:vAlign w:val="bottom"/>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42"/>
        </w:trPr>
        <w:tc>
          <w:tcPr>
            <w:tcW w:w="57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TDA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196,669</w:t>
            </w:r>
          </w:p>
        </w:tc>
        <w:tc>
          <w:tcPr>
            <w:tcW w:w="14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390,243</w:t>
            </w:r>
          </w:p>
        </w:tc>
        <w:tc>
          <w:tcPr>
            <w:tcW w:w="1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(193,574)</w:t>
            </w:r>
          </w:p>
        </w:tc>
        <w:tc>
          <w:tcPr>
            <w:tcW w:w="140" w:type="dxa"/>
            <w:vAlign w:val="bottom"/>
            <w:tcBorders>
              <w:bottom w:val="single" w:sz="8" w:color="CFF0FC"/>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TDA gross profit:</w:t>
            </w: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240"/>
              <w:spacing w:after="0"/>
              <w:rPr>
                <w:sz w:val="20"/>
                <w:szCs w:val="20"/>
                <w:color w:val="auto"/>
              </w:rPr>
            </w:pPr>
            <w:r>
              <w:rPr>
                <w:rFonts w:ascii="Arial" w:cs="Arial" w:eastAsia="Arial" w:hAnsi="Arial"/>
                <w:sz w:val="17"/>
                <w:szCs w:val="17"/>
                <w:color w:val="auto"/>
              </w:rPr>
              <w:t>Vehicle gross profit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4,373</w:t>
            </w:r>
          </w:p>
        </w:tc>
        <w:tc>
          <w:tcPr>
            <w:tcW w:w="14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12,069</w:t>
            </w:r>
          </w:p>
        </w:tc>
        <w:tc>
          <w:tcPr>
            <w:tcW w:w="14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(7,696)</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(63.8)%</w:t>
            </w: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Product gross profit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7,304</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12,592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(5,288)</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(42.0)%</w:t>
            </w:r>
          </w:p>
        </w:tc>
        <w:tc>
          <w:tcPr>
            <w:tcW w:w="0" w:type="dxa"/>
            <w:vAlign w:val="bottom"/>
          </w:tcPr>
          <w:p>
            <w:pPr>
              <w:spacing w:after="0"/>
              <w:rPr>
                <w:sz w:val="1"/>
                <w:szCs w:val="1"/>
                <w:color w:val="auto"/>
              </w:rPr>
            </w:pPr>
          </w:p>
        </w:tc>
      </w:tr>
      <w:tr>
        <w:trPr>
          <w:trHeight w:val="209"/>
        </w:trPr>
        <w:tc>
          <w:tcPr>
            <w:tcW w:w="57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Other gross profit</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439</w:t>
            </w:r>
          </w:p>
        </w:tc>
        <w:tc>
          <w:tcPr>
            <w:tcW w:w="1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731</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w:t>
            </w:r>
          </w:p>
        </w:tc>
        <w:tc>
          <w:tcPr>
            <w:tcW w:w="14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202"/>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TDA gross profit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12,116</w:t>
            </w:r>
          </w:p>
        </w:tc>
        <w:tc>
          <w:tcPr>
            <w:tcW w:w="1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1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25,392</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(13,276)</w:t>
            </w:r>
          </w:p>
        </w:tc>
        <w:tc>
          <w:tcPr>
            <w:tcW w:w="1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(52.3)%</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7"/>
                <w:szCs w:val="17"/>
                <w:color w:val="auto"/>
              </w:rPr>
              <w:t>Average vehicle selling price per TDA unit</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700" w:type="dxa"/>
            <w:vAlign w:val="bottom"/>
            <w:vMerge w:val="continue"/>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tcPr>
          <w:p>
            <w:pPr>
              <w:jc w:val="right"/>
              <w:ind w:right="37"/>
              <w:spacing w:after="0" w:line="189" w:lineRule="exact"/>
              <w:rPr>
                <w:sz w:val="20"/>
                <w:szCs w:val="20"/>
                <w:color w:val="auto"/>
              </w:rPr>
            </w:pPr>
            <w:r>
              <w:rPr>
                <w:rFonts w:ascii="Arial" w:cs="Arial" w:eastAsia="Arial" w:hAnsi="Arial"/>
                <w:sz w:val="17"/>
                <w:szCs w:val="17"/>
                <w:color w:val="auto"/>
              </w:rPr>
              <w:t>25,456</w:t>
            </w:r>
          </w:p>
        </w:tc>
        <w:tc>
          <w:tcPr>
            <w:tcW w:w="140" w:type="dxa"/>
            <w:vAlign w:val="bottom"/>
          </w:tcPr>
          <w:p>
            <w:pPr>
              <w:spacing w:after="0"/>
              <w:rPr>
                <w:sz w:val="16"/>
                <w:szCs w:val="16"/>
                <w:color w:val="auto"/>
              </w:rPr>
            </w:pPr>
          </w:p>
        </w:tc>
        <w:tc>
          <w:tcPr>
            <w:tcW w:w="380" w:type="dxa"/>
            <w:vAlign w:val="bottom"/>
          </w:tcPr>
          <w:p>
            <w:pPr>
              <w:jc w:val="right"/>
              <w:ind w:right="193"/>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tcPr>
          <w:p>
            <w:pPr>
              <w:jc w:val="right"/>
              <w:ind w:right="34"/>
              <w:spacing w:after="0" w:line="189" w:lineRule="exact"/>
              <w:rPr>
                <w:sz w:val="20"/>
                <w:szCs w:val="20"/>
                <w:color w:val="auto"/>
              </w:rPr>
            </w:pPr>
            <w:r>
              <w:rPr>
                <w:rFonts w:ascii="Arial" w:cs="Arial" w:eastAsia="Arial" w:hAnsi="Arial"/>
                <w:sz w:val="17"/>
                <w:szCs w:val="17"/>
                <w:color w:val="auto"/>
              </w:rPr>
              <w:t>28,876</w:t>
            </w:r>
          </w:p>
        </w:tc>
        <w:tc>
          <w:tcPr>
            <w:tcW w:w="140" w:type="dxa"/>
            <w:vAlign w:val="bottom"/>
          </w:tcPr>
          <w:p>
            <w:pPr>
              <w:spacing w:after="0"/>
              <w:rPr>
                <w:sz w:val="16"/>
                <w:szCs w:val="16"/>
                <w:color w:val="auto"/>
              </w:rPr>
            </w:pPr>
          </w:p>
        </w:tc>
        <w:tc>
          <w:tcPr>
            <w:tcW w:w="240" w:type="dxa"/>
            <w:vAlign w:val="bottom"/>
          </w:tcPr>
          <w:p>
            <w:pPr>
              <w:jc w:val="right"/>
              <w:ind w:right="53"/>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(3,420)</w:t>
            </w:r>
          </w:p>
        </w:tc>
        <w:tc>
          <w:tcPr>
            <w:tcW w:w="14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Arial" w:cs="Arial" w:eastAsia="Arial" w:hAnsi="Arial"/>
                <w:sz w:val="17"/>
                <w:szCs w:val="17"/>
                <w:color w:val="auto"/>
              </w:rPr>
              <w:t>Gross profit per TDA unit: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240"/>
              <w:spacing w:after="0"/>
              <w:rPr>
                <w:sz w:val="20"/>
                <w:szCs w:val="20"/>
                <w:color w:val="auto"/>
              </w:rPr>
            </w:pPr>
            <w:r>
              <w:rPr>
                <w:rFonts w:ascii="Arial" w:cs="Arial" w:eastAsia="Arial" w:hAnsi="Arial"/>
                <w:sz w:val="17"/>
                <w:szCs w:val="17"/>
                <w:color w:val="auto"/>
              </w:rPr>
              <w:t>Vehicle gross profit per TDA unit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592</w:t>
            </w:r>
          </w:p>
        </w:tc>
        <w:tc>
          <w:tcPr>
            <w:tcW w:w="14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927</w:t>
            </w:r>
          </w:p>
        </w:tc>
        <w:tc>
          <w:tcPr>
            <w:tcW w:w="14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(335)</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(36.1)%</w:t>
            </w: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Product gross profit per TDA unit</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989</w:t>
            </w:r>
          </w:p>
        </w:tc>
        <w:tc>
          <w:tcPr>
            <w:tcW w:w="1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967</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22</w:t>
            </w:r>
          </w:p>
        </w:tc>
        <w:tc>
          <w:tcPr>
            <w:tcW w:w="140" w:type="dxa"/>
            <w:vAlign w:val="bottom"/>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42"/>
        </w:trPr>
        <w:tc>
          <w:tcPr>
            <w:tcW w:w="57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gross profit per TDA unit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1,581</w:t>
            </w:r>
          </w:p>
        </w:tc>
        <w:tc>
          <w:tcPr>
            <w:tcW w:w="14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1,894</w:t>
            </w:r>
          </w:p>
        </w:tc>
        <w:tc>
          <w:tcPr>
            <w:tcW w:w="1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w:t>
            </w:r>
          </w:p>
        </w:tc>
        <w:tc>
          <w:tcPr>
            <w:tcW w:w="140" w:type="dxa"/>
            <w:vAlign w:val="bottom"/>
            <w:tcBorders>
              <w:bottom w:val="single" w:sz="8" w:color="CFF0FC"/>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TDA average days to sale</w:t>
            </w: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7"/>
              <w:spacing w:after="0" w:line="189" w:lineRule="exact"/>
              <w:rPr>
                <w:sz w:val="20"/>
                <w:szCs w:val="20"/>
                <w:color w:val="auto"/>
              </w:rPr>
            </w:pPr>
            <w:r>
              <w:rPr>
                <w:rFonts w:ascii="Arial" w:cs="Arial" w:eastAsia="Arial" w:hAnsi="Arial"/>
                <w:sz w:val="17"/>
                <w:szCs w:val="17"/>
                <w:color w:val="auto"/>
              </w:rPr>
              <w:t>46</w:t>
            </w:r>
          </w:p>
        </w:tc>
        <w:tc>
          <w:tcPr>
            <w:tcW w:w="1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4"/>
              <w:spacing w:after="0" w:line="189" w:lineRule="exact"/>
              <w:rPr>
                <w:sz w:val="20"/>
                <w:szCs w:val="20"/>
                <w:color w:val="auto"/>
              </w:rPr>
            </w:pPr>
            <w:r>
              <w:rPr>
                <w:rFonts w:ascii="Arial" w:cs="Arial" w:eastAsia="Arial" w:hAnsi="Arial"/>
                <w:sz w:val="17"/>
                <w:szCs w:val="17"/>
                <w:color w:val="auto"/>
              </w:rPr>
              <w:t>50</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TDA units</w:t>
      </w:r>
    </w:p>
    <w:p>
      <w:pPr>
        <w:spacing w:after="0" w:line="103" w:lineRule="exact"/>
        <w:rPr>
          <w:sz w:val="20"/>
          <w:szCs w:val="20"/>
          <w:color w:val="auto"/>
        </w:rPr>
      </w:pPr>
    </w:p>
    <w:p>
      <w:pPr>
        <w:ind w:right="180" w:firstLine="762"/>
        <w:spacing w:after="0" w:line="265" w:lineRule="auto"/>
        <w:rPr>
          <w:sz w:val="20"/>
          <w:szCs w:val="20"/>
          <w:color w:val="auto"/>
        </w:rPr>
      </w:pPr>
      <w:r>
        <w:rPr>
          <w:rFonts w:ascii="Arial" w:cs="Arial" w:eastAsia="Arial" w:hAnsi="Arial"/>
          <w:sz w:val="17"/>
          <w:szCs w:val="17"/>
          <w:color w:val="auto"/>
        </w:rPr>
        <w:t>TDA units sold decreased 5,633, or 43.3%, from 13,018 in 2019 to 7,385 in 2020. The decrease was a result of a significant reduction in foot traffic due to the COVID-19 pandemic. Additionally, TDA units sold was impacted by reduced inventory at the TDA location as the ecommerce business continues to scale.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Vehicle Revenue</w:t>
      </w:r>
    </w:p>
    <w:p>
      <w:pPr>
        <w:spacing w:after="0" w:line="103" w:lineRule="exact"/>
        <w:rPr>
          <w:sz w:val="20"/>
          <w:szCs w:val="20"/>
          <w:color w:val="auto"/>
        </w:rPr>
      </w:pPr>
    </w:p>
    <w:p>
      <w:pPr>
        <w:jc w:val="both"/>
        <w:ind w:right="120" w:firstLine="762"/>
        <w:spacing w:after="0" w:line="265" w:lineRule="auto"/>
        <w:rPr>
          <w:sz w:val="20"/>
          <w:szCs w:val="20"/>
          <w:color w:val="auto"/>
        </w:rPr>
      </w:pPr>
      <w:r>
        <w:rPr>
          <w:rFonts w:ascii="Arial" w:cs="Arial" w:eastAsia="Arial" w:hAnsi="Arial"/>
          <w:sz w:val="17"/>
          <w:szCs w:val="17"/>
          <w:color w:val="auto"/>
        </w:rPr>
        <w:t>TDA vehicle revenue decreased $187.9 million, or 50.0%, from $375.9 million in 2019 to $188.0 million in 2020. The decrease in TDA vehicle revenue was primarily due to the 5,633 decrease in TDA units sold, which decreased TDA vehicle revenue by $162.7 million and a lower ASP per unit, which decreased from $28,876 in 2019 to $25,456 in 2020 and decreased revenue by $25.2 million.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Revenue</w:t>
      </w:r>
    </w:p>
    <w:p>
      <w:pPr>
        <w:spacing w:after="0" w:line="103" w:lineRule="exact"/>
        <w:rPr>
          <w:sz w:val="20"/>
          <w:szCs w:val="20"/>
          <w:color w:val="auto"/>
        </w:rPr>
      </w:pPr>
    </w:p>
    <w:p>
      <w:pPr>
        <w:jc w:val="both"/>
        <w:ind w:right="20" w:firstLine="762"/>
        <w:spacing w:after="0" w:line="265" w:lineRule="auto"/>
        <w:rPr>
          <w:sz w:val="20"/>
          <w:szCs w:val="20"/>
          <w:color w:val="auto"/>
        </w:rPr>
      </w:pPr>
      <w:r>
        <w:rPr>
          <w:rFonts w:ascii="Arial" w:cs="Arial" w:eastAsia="Arial" w:hAnsi="Arial"/>
          <w:sz w:val="17"/>
          <w:szCs w:val="17"/>
          <w:color w:val="auto"/>
        </w:rPr>
        <w:t>TDA product revenue decreased $5.3 million, or 42.0%, from $12.6 million in 2019 to $7.3 million in 2020. The decrease in TDA product revenue was primarily attributable to the 5,633 decrease in TDA units sold, which decreased TDA product revenue by $5.4 million, partially offset by the increase in product revenue per unit which increased revenue by $0.1 million.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Revenue</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TDA other revenue decreased $0.3 million, or 21.0%, from $1.7 million in 2019 to $1.4 million in 2020.</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Vehicle Gross Profit</w:t>
      </w:r>
    </w:p>
    <w:p>
      <w:pPr>
        <w:spacing w:after="0" w:line="103" w:lineRule="exact"/>
        <w:rPr>
          <w:sz w:val="20"/>
          <w:szCs w:val="20"/>
          <w:color w:val="auto"/>
        </w:rPr>
      </w:pPr>
    </w:p>
    <w:p>
      <w:pPr>
        <w:ind w:right="240" w:firstLine="762"/>
        <w:spacing w:after="0" w:line="257" w:lineRule="auto"/>
        <w:rPr>
          <w:sz w:val="20"/>
          <w:szCs w:val="20"/>
          <w:color w:val="auto"/>
        </w:rPr>
      </w:pPr>
      <w:r>
        <w:rPr>
          <w:rFonts w:ascii="Arial" w:cs="Arial" w:eastAsia="Arial" w:hAnsi="Arial"/>
          <w:sz w:val="17"/>
          <w:szCs w:val="17"/>
          <w:color w:val="auto"/>
        </w:rPr>
        <w:t>TDA vehicle gross profit decreased $7.7 million, or 63.8%, from $12.1 million in 2019 to $4.4 million in 2020. The decrease in vehicle gross profit was primarily attributable to the 5,633 decrease in TDA units sold, which decreased TDA vehicle gross profit by $5.2 million and a $335 decrease in TDA vehicle gross profit per unit, which decreased vehicle gross profit by $2.5 million. Vehicle gross profit per unit decreased from $927 in 2019 to $592 in 2020, primarily due to lower sales margin.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Gross Profit</w:t>
      </w:r>
    </w:p>
    <w:p>
      <w:pPr>
        <w:spacing w:after="0" w:line="103" w:lineRule="exact"/>
        <w:rPr>
          <w:sz w:val="20"/>
          <w:szCs w:val="20"/>
          <w:color w:val="auto"/>
        </w:rPr>
      </w:pPr>
    </w:p>
    <w:p>
      <w:pPr>
        <w:ind w:right="100" w:firstLine="762"/>
        <w:spacing w:after="0" w:line="265" w:lineRule="auto"/>
        <w:rPr>
          <w:sz w:val="20"/>
          <w:szCs w:val="20"/>
          <w:color w:val="auto"/>
        </w:rPr>
      </w:pPr>
      <w:r>
        <w:rPr>
          <w:rFonts w:ascii="Arial" w:cs="Arial" w:eastAsia="Arial" w:hAnsi="Arial"/>
          <w:sz w:val="17"/>
          <w:szCs w:val="17"/>
          <w:color w:val="auto"/>
        </w:rPr>
        <w:t>TDA product gross profit decreased $5.3 million, or 42.0% from $12.6 million in 2019 to $7.3 million in 2020. The decrease in TDA product gross profit was primarily attributable to the 5,633 decrease in TDA units sold, which decreased TDA product gross profit by $5.4 million, partially offset by the increase in product gross profit per unit which increased gross profit by $0.1 million.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gross profit</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TDA other gross profit decreased $0.3 million, or 39.9%, from $0.7 million in 2019 to $0.4 million in 2020.</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3"/>
          </w:tcPr>
          <w:p>
            <w:pPr>
              <w:jc w:val="center"/>
              <w:ind w:left="479"/>
              <w:spacing w:after="0"/>
              <w:rPr>
                <w:sz w:val="20"/>
                <w:szCs w:val="20"/>
                <w:color w:val="auto"/>
              </w:rPr>
            </w:pPr>
            <w:r>
              <w:rPr>
                <w:rFonts w:ascii="Arial" w:cs="Arial" w:eastAsia="Arial" w:hAnsi="Arial"/>
                <w:sz w:val="14"/>
                <w:szCs w:val="14"/>
                <w:b w:val="1"/>
                <w:bCs w:val="1"/>
                <w:color w:val="auto"/>
                <w:w w:val="98"/>
              </w:rPr>
              <w:t>Year Ended</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4"/>
                <w:szCs w:val="14"/>
                <w:b w:val="1"/>
                <w:bCs w:val="1"/>
                <w:color w:val="auto"/>
                <w:w w:val="98"/>
              </w:rPr>
              <w:t>December 31,</w:t>
            </w: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3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7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3"/>
          </w:tcPr>
          <w:p>
            <w:pPr>
              <w:jc w:val="center"/>
              <w:ind w:left="479"/>
              <w:spacing w:after="0"/>
              <w:rPr>
                <w:sz w:val="20"/>
                <w:szCs w:val="20"/>
                <w:color w:val="auto"/>
              </w:rPr>
            </w:pPr>
            <w:r>
              <w:rPr>
                <w:rFonts w:ascii="Arial" w:cs="Arial" w:eastAsia="Arial" w:hAnsi="Arial"/>
                <w:sz w:val="14"/>
                <w:szCs w:val="14"/>
                <w:b w:val="1"/>
                <w:bCs w:val="1"/>
                <w:color w:val="auto"/>
                <w:w w:val="99"/>
              </w:rPr>
              <w:t>(in thousands)</w:t>
            </w:r>
          </w:p>
        </w:tc>
        <w:tc>
          <w:tcPr>
            <w:tcW w:w="8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Arial" w:cs="Arial" w:eastAsia="Arial" w:hAnsi="Arial"/>
                <w:sz w:val="17"/>
                <w:szCs w:val="17"/>
                <w:color w:val="auto"/>
              </w:rPr>
              <w:t>Compensation &amp; benefits</w:t>
            </w: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92,205</w:t>
            </w:r>
          </w:p>
        </w:tc>
        <w:tc>
          <w:tcPr>
            <w:tcW w:w="600" w:type="dxa"/>
            <w:vAlign w:val="bottom"/>
            <w:gridSpan w:val="2"/>
            <w:shd w:val="clear" w:color="auto" w:fill="CFF0FC"/>
          </w:tcPr>
          <w:p>
            <w:pPr>
              <w:jc w:val="right"/>
              <w:ind w:right="273"/>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72,473</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19,732</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09"/>
        </w:trPr>
        <w:tc>
          <w:tcPr>
            <w:tcW w:w="5780" w:type="dxa"/>
            <w:vAlign w:val="bottom"/>
          </w:tcPr>
          <w:p>
            <w:pPr>
              <w:spacing w:after="0"/>
              <w:rPr>
                <w:sz w:val="20"/>
                <w:szCs w:val="20"/>
                <w:color w:val="auto"/>
              </w:rPr>
            </w:pPr>
            <w:r>
              <w:rPr>
                <w:rFonts w:ascii="Arial" w:cs="Arial" w:eastAsia="Arial" w:hAnsi="Arial"/>
                <w:sz w:val="17"/>
                <w:szCs w:val="17"/>
                <w:color w:val="auto"/>
              </w:rPr>
              <w:t>Marketing expense</w:t>
            </w:r>
          </w:p>
        </w:tc>
        <w:tc>
          <w:tcPr>
            <w:tcW w:w="3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7"/>
                <w:szCs w:val="17"/>
                <w:color w:val="auto"/>
              </w:rPr>
              <w:t>62,393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49,866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12,527</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Arial" w:cs="Arial" w:eastAsia="Arial" w:hAnsi="Arial"/>
                <w:sz w:val="17"/>
                <w:szCs w:val="17"/>
                <w:color w:val="auto"/>
              </w:rPr>
              <w:t>Outbound logistics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30,262</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13,950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16,312</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116.9%</w:t>
            </w:r>
          </w:p>
        </w:tc>
        <w:tc>
          <w:tcPr>
            <w:tcW w:w="0" w:type="dxa"/>
            <w:vAlign w:val="bottom"/>
          </w:tcPr>
          <w:p>
            <w:pPr>
              <w:spacing w:after="0"/>
              <w:rPr>
                <w:sz w:val="1"/>
                <w:szCs w:val="1"/>
                <w:color w:val="auto"/>
              </w:rPr>
            </w:pPr>
          </w:p>
        </w:tc>
      </w:tr>
      <w:tr>
        <w:trPr>
          <w:trHeight w:val="209"/>
        </w:trPr>
        <w:tc>
          <w:tcPr>
            <w:tcW w:w="5780" w:type="dxa"/>
            <w:vAlign w:val="bottom"/>
          </w:tcPr>
          <w:p>
            <w:pPr>
              <w:spacing w:after="0"/>
              <w:rPr>
                <w:sz w:val="20"/>
                <w:szCs w:val="20"/>
                <w:color w:val="auto"/>
              </w:rPr>
            </w:pPr>
            <w:r>
              <w:rPr>
                <w:rFonts w:ascii="Arial" w:cs="Arial" w:eastAsia="Arial" w:hAnsi="Arial"/>
                <w:sz w:val="17"/>
                <w:szCs w:val="17"/>
                <w:color w:val="auto"/>
              </w:rPr>
              <w:t>Occupancy and related costs</w:t>
            </w:r>
          </w:p>
        </w:tc>
        <w:tc>
          <w:tcPr>
            <w:tcW w:w="3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7"/>
                <w:szCs w:val="17"/>
                <w:color w:val="auto"/>
              </w:rPr>
              <w:t>10,784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11,335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(551)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Arial" w:cs="Arial" w:eastAsia="Arial" w:hAnsi="Arial"/>
                <w:sz w:val="17"/>
                <w:szCs w:val="17"/>
                <w:color w:val="auto"/>
              </w:rPr>
              <w:t>Professional fees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10,560</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11,560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(1,000)</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09"/>
        </w:trPr>
        <w:tc>
          <w:tcPr>
            <w:tcW w:w="57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39,342</w:t>
            </w:r>
          </w:p>
        </w:tc>
        <w:tc>
          <w:tcPr>
            <w:tcW w:w="14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25,804</w:t>
            </w: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13,538</w:t>
            </w:r>
          </w:p>
        </w:tc>
        <w:tc>
          <w:tcPr>
            <w:tcW w:w="12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w:t>
            </w:r>
          </w:p>
        </w:tc>
        <w:tc>
          <w:tcPr>
            <w:tcW w:w="0" w:type="dxa"/>
            <w:vAlign w:val="bottom"/>
          </w:tcPr>
          <w:p>
            <w:pPr>
              <w:spacing w:after="0"/>
              <w:rPr>
                <w:sz w:val="1"/>
                <w:szCs w:val="1"/>
                <w:color w:val="auto"/>
              </w:rPr>
            </w:pPr>
          </w:p>
        </w:tc>
      </w:tr>
      <w:tr>
        <w:trPr>
          <w:trHeight w:val="202"/>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selling, general &amp; administrative expenses</w:t>
            </w:r>
          </w:p>
        </w:tc>
        <w:tc>
          <w:tcPr>
            <w:tcW w:w="300" w:type="dxa"/>
            <w:vAlign w:val="bottom"/>
            <w:tcBorders>
              <w:bottom w:val="single" w:sz="8" w:color="auto"/>
            </w:tcBorders>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7"/>
                <w:szCs w:val="17"/>
                <w:color w:val="auto"/>
              </w:rPr>
              <w:t>245,546</w:t>
            </w:r>
          </w:p>
        </w:tc>
        <w:tc>
          <w:tcPr>
            <w:tcW w:w="14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ind w:right="273"/>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184,988</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60,558</w:t>
            </w:r>
          </w:p>
        </w:tc>
        <w:tc>
          <w:tcPr>
            <w:tcW w:w="12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Selling, general and administrative expenses increased $60.5 million, or 32.7%, from $185.0 million in 2019 to $245.5 million in 2020.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increase was primarily due to:</w:t>
      </w:r>
    </w:p>
    <w:p>
      <w:pPr>
        <w:spacing w:after="0" w:line="1" w:lineRule="exact"/>
        <w:rPr>
          <w:sz w:val="20"/>
          <w:szCs w:val="20"/>
          <w:color w:val="auto"/>
        </w:rPr>
      </w:pPr>
    </w:p>
    <w:p>
      <w:pPr>
        <w:ind w:left="1120" w:right="40" w:hanging="356"/>
        <w:spacing w:after="0"/>
        <w:tabs>
          <w:tab w:leader="none" w:pos="11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a $19.7 million increase in compensation and benefits as a result of an increase in headcount as well as a $10.5 million increase in stock-based compensation from $2.8 million in 2019 to $13.3 million in 2020;</w:t>
      </w:r>
    </w:p>
    <w:p>
      <w:pPr>
        <w:ind w:left="1120" w:right="180" w:hanging="356"/>
        <w:spacing w:after="0"/>
        <w:tabs>
          <w:tab w:leader="none" w:pos="11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a $16.3 million increase in outbound logistics costs attributable to the growth in ecommerce units sold, which increased outbound logistics costs by $11.4 million, and increases in market rates of logistics providers, which increased outbound logistics costs by $4.9 million;</w:t>
      </w:r>
    </w:p>
    <w:p>
      <w:pPr>
        <w:spacing w:after="0" w:line="1" w:lineRule="exact"/>
        <w:rPr>
          <w:rFonts w:ascii="Times New Roman" w:cs="Times New Roman" w:eastAsia="Times New Roman" w:hAnsi="Times New Roman"/>
          <w:sz w:val="17"/>
          <w:szCs w:val="17"/>
          <w:color w:val="auto"/>
        </w:rPr>
      </w:pPr>
    </w:p>
    <w:p>
      <w:pPr>
        <w:ind w:left="1120" w:hanging="356"/>
        <w:spacing w:after="0"/>
        <w:tabs>
          <w:tab w:leader="none" w:pos="11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a $13.5 million increase in other selling, general, and administrative expenses primarily related to $3.9 million of additional insurance costs associated with being a publicly traded company and volume-based subscription fees as our business continues to scale; and</w:t>
      </w:r>
    </w:p>
    <w:p>
      <w:pPr>
        <w:spacing w:after="0" w:line="197" w:lineRule="exact"/>
        <w:rPr>
          <w:rFonts w:ascii="Times New Roman" w:cs="Times New Roman" w:eastAsia="Times New Roman" w:hAnsi="Times New Roman"/>
          <w:sz w:val="17"/>
          <w:szCs w:val="17"/>
          <w:color w:val="auto"/>
        </w:rPr>
      </w:pPr>
    </w:p>
    <w:p>
      <w:pPr>
        <w:ind w:left="1120" w:hanging="356"/>
        <w:spacing w:after="0"/>
        <w:tabs>
          <w:tab w:leader="none" w:pos="11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a $12.5 million increase in marketing expense as we expanded our national broad-reach advertising.</w:t>
      </w:r>
    </w:p>
    <w:p>
      <w:pPr>
        <w:spacing w:after="0" w:line="227"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color w:val="auto"/>
        </w:rPr>
        <w:t>These increases were partially offset by a $ 1.0 million decrease in professional fees due to a reduction in consulting expenses, primarily in the finance and reconditioning departments, as a result of completion of certain process improvement projects and hiring more employees. The decrease in professional fees was partially offset by $2.1 million in costs related to the CarStory acquisition.</w:t>
      </w:r>
    </w:p>
    <w:p>
      <w:pPr>
        <w:spacing w:after="0" w:line="177" w:lineRule="exact"/>
        <w:rPr>
          <w:sz w:val="20"/>
          <w:szCs w:val="20"/>
          <w:color w:val="auto"/>
        </w:rPr>
      </w:pPr>
    </w:p>
    <w:p>
      <w:pPr>
        <w:jc w:val="both"/>
        <w:ind w:right="160" w:firstLine="762"/>
        <w:spacing w:after="0" w:line="265" w:lineRule="auto"/>
        <w:rPr>
          <w:sz w:val="20"/>
          <w:szCs w:val="20"/>
          <w:color w:val="auto"/>
        </w:rPr>
      </w:pPr>
      <w:r>
        <w:rPr>
          <w:rFonts w:ascii="Arial" w:cs="Arial" w:eastAsia="Arial" w:hAnsi="Arial"/>
          <w:sz w:val="17"/>
          <w:szCs w:val="17"/>
          <w:color w:val="auto"/>
        </w:rPr>
        <w:t>We expect selling, general and administrative expenses to increase in the future as we scale our business and sell more ecommerce units. We will also continue to invest in and improve our customer experience and invest in expanding our proprietary logistics network including our last-mile delivery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103" w:lineRule="exact"/>
        <w:rPr>
          <w:sz w:val="20"/>
          <w:szCs w:val="20"/>
          <w:color w:val="auto"/>
        </w:rPr>
      </w:pPr>
    </w:p>
    <w:p>
      <w:pPr>
        <w:ind w:right="640" w:firstLine="762"/>
        <w:spacing w:after="0" w:line="290" w:lineRule="auto"/>
        <w:rPr>
          <w:sz w:val="20"/>
          <w:szCs w:val="20"/>
          <w:color w:val="auto"/>
        </w:rPr>
      </w:pPr>
      <w:r>
        <w:rPr>
          <w:rFonts w:ascii="Arial" w:cs="Arial" w:eastAsia="Arial" w:hAnsi="Arial"/>
          <w:sz w:val="17"/>
          <w:szCs w:val="17"/>
          <w:color w:val="auto"/>
        </w:rPr>
        <w:t>Depreciation and amortization expenses decreased $1.4 million, or 23.6%, from $6.0 million in 2019 to $4.6 million in 2020. The decrease was primarily due to reduced amortization expense as certain intangible assets were fully amortized.</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03" w:lineRule="exact"/>
        <w:rPr>
          <w:sz w:val="20"/>
          <w:szCs w:val="20"/>
          <w:color w:val="auto"/>
        </w:rPr>
      </w:pPr>
    </w:p>
    <w:p>
      <w:pPr>
        <w:ind w:right="520" w:firstLine="762"/>
        <w:spacing w:after="0" w:line="265" w:lineRule="auto"/>
        <w:rPr>
          <w:sz w:val="20"/>
          <w:szCs w:val="20"/>
          <w:color w:val="auto"/>
        </w:rPr>
      </w:pPr>
      <w:r>
        <w:rPr>
          <w:rFonts w:ascii="Arial" w:cs="Arial" w:eastAsia="Arial" w:hAnsi="Arial"/>
          <w:sz w:val="17"/>
          <w:szCs w:val="17"/>
          <w:color w:val="auto"/>
        </w:rPr>
        <w:t>Interest expense decreased $4.9 million, or 33.8%, from $14.6 million in 2019 to $9.7 million in 2020. The decrease was primarily attributable to lower interest rates for the 2020 Vehicle Floorplan Facility as a result of decreases in the1-Month LIBOR rate as well as the repayment of our term loan facility in December 2019.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21" w:lineRule="exact"/>
        <w:rPr>
          <w:sz w:val="20"/>
          <w:szCs w:val="20"/>
          <w:color w:val="auto"/>
        </w:rPr>
      </w:pPr>
    </w:p>
    <w:p>
      <w:pPr>
        <w:ind w:right="140" w:firstLine="762"/>
        <w:spacing w:after="0" w:line="252" w:lineRule="auto"/>
        <w:rPr>
          <w:sz w:val="20"/>
          <w:szCs w:val="20"/>
          <w:color w:val="auto"/>
        </w:rPr>
      </w:pPr>
      <w:r>
        <w:rPr>
          <w:rFonts w:ascii="Arial" w:cs="Arial" w:eastAsia="Arial" w:hAnsi="Arial"/>
          <w:sz w:val="17"/>
          <w:szCs w:val="17"/>
          <w:color w:val="auto"/>
        </w:rPr>
        <w:t>Interest income increased $0.3 million, or 5.2%, from $ 5.6 million in 2019 to $5.9 million in 2020. The increase in interest income was primarily driven by higher cash and cash equivalent balances as a result of the IPO and follow-on public offering, partially offset by lower interest rates.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Liquidity and Capital Resources</w:t>
      </w:r>
    </w:p>
    <w:p>
      <w:pPr>
        <w:spacing w:after="0" w:line="212" w:lineRule="exact"/>
        <w:rPr>
          <w:sz w:val="20"/>
          <w:szCs w:val="20"/>
          <w:color w:val="auto"/>
        </w:rPr>
      </w:pPr>
    </w:p>
    <w:p>
      <w:pPr>
        <w:ind w:firstLine="762"/>
        <w:spacing w:after="0" w:line="250" w:lineRule="auto"/>
        <w:rPr>
          <w:sz w:val="20"/>
          <w:szCs w:val="20"/>
          <w:color w:val="auto"/>
        </w:rPr>
      </w:pPr>
      <w:r>
        <w:rPr>
          <w:rFonts w:ascii="Arial" w:cs="Arial" w:eastAsia="Arial" w:hAnsi="Arial"/>
          <w:sz w:val="17"/>
          <w:szCs w:val="17"/>
          <w:color w:val="auto"/>
        </w:rPr>
        <w:t>Our operations historically have been financed primarily from the sale of redeemable convertible preferred stock and borrowings under our Vehicle Floorplan Facility. On June 11, 2020, we completed our IPO in which we sold 24,437,500 shares of our common stock, which included 3,187,500 shares sold pursuant to the exercise by the underwriters of an over-allotment option to purchase additional shares, for proceeds of $504.0 million, net of the underwriting discount and before deducting offering expenses of $7.5 million. On September 15, 2020, we completed our follow-on public offering in which we sold 10,800,000 shares of common stock for proceeds of $569.5 million, net of the underwriting discount and before deducting offering expenses of $1.5 million. As of December 31, 2020, we had cash and cash equivalents of $1,056.2 million.</w:t>
      </w:r>
    </w:p>
    <w:p>
      <w:pPr>
        <w:spacing w:after="0" w:line="165" w:lineRule="exact"/>
        <w:rPr>
          <w:sz w:val="20"/>
          <w:szCs w:val="20"/>
          <w:color w:val="auto"/>
        </w:rPr>
      </w:pPr>
    </w:p>
    <w:p>
      <w:pPr>
        <w:ind w:right="100" w:firstLine="762"/>
        <w:spacing w:after="0" w:line="257" w:lineRule="auto"/>
        <w:rPr>
          <w:sz w:val="20"/>
          <w:szCs w:val="20"/>
          <w:color w:val="auto"/>
        </w:rPr>
      </w:pPr>
      <w:r>
        <w:rPr>
          <w:rFonts w:ascii="Arial" w:cs="Arial" w:eastAsia="Arial" w:hAnsi="Arial"/>
          <w:sz w:val="17"/>
          <w:szCs w:val="17"/>
          <w:color w:val="auto"/>
        </w:rPr>
        <w:t>We anticipate that our existing cash and cash equivalents and the 2020 Vehicle Floorplan Facility will be sufficient to support our working capital and capital expenditure requirements for at least the next twelve months from the date of this Annual Report on Form 10-K. For the year ended December 31, 2020, we had negative cash flow from operations and generated a net loss. We have not been profitable since our inception in 2012. We expect to incur additional losses in the future.</w:t>
      </w:r>
    </w:p>
    <w:p>
      <w:pPr>
        <w:spacing w:after="0" w:line="157" w:lineRule="exact"/>
        <w:rPr>
          <w:sz w:val="20"/>
          <w:szCs w:val="20"/>
          <w:color w:val="auto"/>
        </w:rPr>
      </w:pPr>
    </w:p>
    <w:p>
      <w:pPr>
        <w:ind w:right="20" w:firstLine="762"/>
        <w:spacing w:after="0" w:line="247" w:lineRule="auto"/>
        <w:rPr>
          <w:sz w:val="20"/>
          <w:szCs w:val="20"/>
          <w:color w:val="auto"/>
        </w:rPr>
      </w:pPr>
      <w:r>
        <w:rPr>
          <w:rFonts w:ascii="Arial" w:cs="Arial" w:eastAsia="Arial" w:hAnsi="Arial"/>
          <w:sz w:val="17"/>
          <w:szCs w:val="17"/>
          <w:color w:val="auto"/>
        </w:rPr>
        <w:t>We historically have funded vehicle inventory purchases primarily through our floorplan financing arrangements. Our cash flows from operations may differ substantially from our net loss due to non-cash charges or due to changes in balance sheet accounts. The timing of our cash flows from operating activities can also vary among periods due to the timing of payments made or received. Our future capital requirements will depend on many factors, including our rate of revenue growth, our efforts to reduce costs per unit, the expansion of our inventory and sales and marketing activities, investment in our reconditioning, logistics and customer experience operations, enhancements to our ecommerce platform, and increased hiring efforts. We may be required to seek additional equity or debt financing in the future to fund our operations or to fund our needs for capital expenditures. In the event that additional financing is required, we may not be able to raise it on terms acceptable to us, or at all. If we are unable to raise additional capital or generate cash flows necessary to expand our operations, our business, results of operations and financial condition could be adversely affected.</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Vehicle Financing</w:t>
      </w:r>
    </w:p>
    <w:p>
      <w:pPr>
        <w:spacing w:after="0" w:line="103" w:lineRule="exact"/>
        <w:rPr>
          <w:sz w:val="20"/>
          <w:szCs w:val="20"/>
          <w:color w:val="auto"/>
        </w:rPr>
      </w:pPr>
    </w:p>
    <w:p>
      <w:pPr>
        <w:ind w:right="40" w:firstLine="762"/>
        <w:spacing w:after="0" w:line="290" w:lineRule="auto"/>
        <w:rPr>
          <w:sz w:val="20"/>
          <w:szCs w:val="20"/>
          <w:color w:val="auto"/>
        </w:rPr>
      </w:pPr>
      <w:r>
        <w:rPr>
          <w:rFonts w:ascii="Arial" w:cs="Arial" w:eastAsia="Arial" w:hAnsi="Arial"/>
          <w:sz w:val="17"/>
          <w:szCs w:val="17"/>
          <w:color w:val="auto"/>
        </w:rPr>
        <w:t>As of December 31, 2020, we finance our inventory with a vehicle floorplan facility (the “2020 Vehicle Floorplan Facility”) with Ally Bank, which provides a committed credit line of up to $450.0 million.</w:t>
      </w:r>
    </w:p>
    <w:p>
      <w:pPr>
        <w:spacing w:after="0" w:line="129" w:lineRule="exact"/>
        <w:rPr>
          <w:sz w:val="20"/>
          <w:szCs w:val="20"/>
          <w:color w:val="auto"/>
        </w:rPr>
      </w:pPr>
    </w:p>
    <w:p>
      <w:pPr>
        <w:ind w:right="140" w:firstLine="762"/>
        <w:spacing w:after="0" w:line="248" w:lineRule="auto"/>
        <w:rPr>
          <w:sz w:val="20"/>
          <w:szCs w:val="20"/>
          <w:color w:val="auto"/>
        </w:rPr>
      </w:pPr>
      <w:r>
        <w:rPr>
          <w:rFonts w:ascii="Arial" w:cs="Arial" w:eastAsia="Arial" w:hAnsi="Arial"/>
          <w:sz w:val="17"/>
          <w:szCs w:val="17"/>
          <w:color w:val="auto"/>
        </w:rPr>
        <w:t>The amount of credit available to us under the 2020 Vehicle Floorplan Facility is determined on a monthly basis based on a calculation that considers average outstanding borrowings and vehicle units paid off by us within the three immediately preceding months. Approximately $27.7 million was available under this facility as of December 31, 2020. In October 2020, we amended our 2020 Vehicle Floorplan Facility to extend the maturity date to September 30, 2022. The amendment requires us to pay an availability fee on the average unused capacity from the prior quarter if it was greater than 50% of the calculated floorplan allowance, as defined. We are subject to financial covenants that require us to maintain a certain level of equity in the vehicles that are financed, to maintain at least 7.5% of the credit line in cash and cash equivalents and to maintain 10% of the monthly daily floorplan principal balance outstanding on deposit with Ally Bank. We were required to pay an upfront commitment fee upon execution of the amendment.</w:t>
      </w:r>
    </w:p>
    <w:p>
      <w:pPr>
        <w:spacing w:after="0" w:line="163" w:lineRule="exact"/>
        <w:rPr>
          <w:sz w:val="20"/>
          <w:szCs w:val="20"/>
          <w:color w:val="auto"/>
        </w:rPr>
      </w:pPr>
    </w:p>
    <w:p>
      <w:pPr>
        <w:ind w:right="40" w:firstLine="762"/>
        <w:spacing w:after="0" w:line="290" w:lineRule="auto"/>
        <w:rPr>
          <w:sz w:val="20"/>
          <w:szCs w:val="20"/>
          <w:color w:val="auto"/>
        </w:rPr>
      </w:pPr>
      <w:r>
        <w:rPr>
          <w:rFonts w:ascii="Arial" w:cs="Arial" w:eastAsia="Arial" w:hAnsi="Arial"/>
          <w:sz w:val="17"/>
          <w:szCs w:val="17"/>
          <w:color w:val="auto"/>
        </w:rPr>
        <w:t>Outstanding borrowings are due as the vehicles financed are sold, or in any event, on the maturity date. The 2020 Vehicle Floorplan Facility bears interest at a rate equal to the 1-Month LIBOR rate applicable in the immediately preceding month plus a spread of 425 basis points.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Cash Flows from Operating, Investing, and Financing Activities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summarizes our cash flows for the years ended December 31, 2020, 2019, and 2018:</w:t>
      </w:r>
    </w:p>
    <w:p>
      <w:pPr>
        <w:spacing w:after="0" w:line="259"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Year Ended</w:t>
      </w:r>
    </w:p>
    <w:p>
      <w:pPr>
        <w:spacing w:after="0" w:line="5"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63"/>
        </w:trPr>
        <w:tc>
          <w:tcPr>
            <w:tcW w:w="5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163"/>
        </w:trPr>
        <w:tc>
          <w:tcPr>
            <w:tcW w:w="5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197"/>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9"/>
        </w:trPr>
        <w:tc>
          <w:tcPr>
            <w:tcW w:w="5960" w:type="dxa"/>
            <w:vAlign w:val="bottom"/>
            <w:shd w:val="clear" w:color="auto" w:fill="CFF0FC"/>
          </w:tcPr>
          <w:p>
            <w:pPr>
              <w:spacing w:after="0"/>
              <w:rPr>
                <w:sz w:val="20"/>
                <w:szCs w:val="20"/>
                <w:color w:val="auto"/>
              </w:rPr>
            </w:pPr>
            <w:r>
              <w:rPr>
                <w:rFonts w:ascii="Arial" w:cs="Arial" w:eastAsia="Arial" w:hAnsi="Arial"/>
                <w:sz w:val="17"/>
                <w:szCs w:val="17"/>
                <w:color w:val="auto"/>
              </w:rPr>
              <w:t>Net cash used in operating activities</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(355,254)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(215,636)</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11"/>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(64,911)</w:t>
            </w:r>
          </w:p>
        </w:tc>
      </w:tr>
      <w:tr>
        <w:trPr>
          <w:trHeight w:val="209"/>
        </w:trPr>
        <w:tc>
          <w:tcPr>
            <w:tcW w:w="5960" w:type="dxa"/>
            <w:vAlign w:val="bottom"/>
          </w:tcPr>
          <w:p>
            <w:pPr>
              <w:spacing w:after="0"/>
              <w:rPr>
                <w:sz w:val="20"/>
                <w:szCs w:val="20"/>
                <w:color w:val="auto"/>
              </w:rPr>
            </w:pPr>
            <w:r>
              <w:rPr>
                <w:rFonts w:ascii="Arial" w:cs="Arial" w:eastAsia="Arial" w:hAnsi="Arial"/>
                <w:sz w:val="17"/>
                <w:szCs w:val="17"/>
                <w:color w:val="auto"/>
              </w:rPr>
              <w:t>Net cash (used in) provided by investing activities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(11,329)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(3,528)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12,788</w:t>
            </w:r>
          </w:p>
        </w:tc>
      </w:tr>
      <w:tr>
        <w:trPr>
          <w:trHeight w:val="209"/>
        </w:trPr>
        <w:tc>
          <w:tcPr>
            <w:tcW w:w="596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6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1,237,035</w:t>
            </w: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7"/>
                <w:szCs w:val="17"/>
                <w:color w:val="auto"/>
              </w:rPr>
              <w:t>275,242</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132,375</w:t>
            </w:r>
          </w:p>
        </w:tc>
      </w:tr>
      <w:tr>
        <w:trPr>
          <w:trHeight w:val="202"/>
        </w:trPr>
        <w:tc>
          <w:tcPr>
            <w:tcW w:w="5960" w:type="dxa"/>
            <w:vAlign w:val="bottom"/>
          </w:tcPr>
          <w:p>
            <w:pPr>
              <w:spacing w:after="0"/>
              <w:rPr>
                <w:sz w:val="20"/>
                <w:szCs w:val="20"/>
                <w:color w:val="auto"/>
              </w:rPr>
            </w:pPr>
            <w:r>
              <w:rPr>
                <w:rFonts w:ascii="Arial" w:cs="Arial" w:eastAsia="Arial" w:hAnsi="Arial"/>
                <w:sz w:val="17"/>
                <w:szCs w:val="17"/>
                <w:color w:val="auto"/>
              </w:rPr>
              <w:t>Net increase in cash and cash equivalents and restricted cash</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870,452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56,078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80,252</w:t>
            </w:r>
          </w:p>
        </w:tc>
      </w:tr>
      <w:tr>
        <w:trPr>
          <w:trHeight w:val="209"/>
        </w:trPr>
        <w:tc>
          <w:tcPr>
            <w:tcW w:w="596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 and restricted cash at beginning of period</w:t>
            </w:r>
          </w:p>
        </w:tc>
        <w:tc>
          <w:tcPr>
            <w:tcW w:w="6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219,587</w:t>
            </w: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7"/>
                <w:szCs w:val="17"/>
                <w:color w:val="auto"/>
              </w:rPr>
              <w:t>163,509</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83,257</w:t>
            </w:r>
          </w:p>
        </w:tc>
      </w:tr>
      <w:tr>
        <w:trPr>
          <w:trHeight w:val="202"/>
        </w:trPr>
        <w:tc>
          <w:tcPr>
            <w:tcW w:w="5960" w:type="dxa"/>
            <w:vAlign w:val="bottom"/>
          </w:tcPr>
          <w:p>
            <w:pPr>
              <w:spacing w:after="0"/>
              <w:rPr>
                <w:sz w:val="20"/>
                <w:szCs w:val="20"/>
                <w:color w:val="auto"/>
              </w:rPr>
            </w:pPr>
            <w:r>
              <w:rPr>
                <w:rFonts w:ascii="Arial" w:cs="Arial" w:eastAsia="Arial" w:hAnsi="Arial"/>
                <w:sz w:val="17"/>
                <w:szCs w:val="17"/>
                <w:color w:val="auto"/>
              </w:rPr>
              <w:t>Cash and cash equivalents and restricted cash at end of period</w:t>
            </w:r>
          </w:p>
        </w:tc>
        <w:tc>
          <w:tcPr>
            <w:tcW w:w="6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1,090,039</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219,587</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163,509</w:t>
            </w:r>
          </w:p>
        </w:tc>
      </w:tr>
      <w:tr>
        <w:trPr>
          <w:trHeight w:val="20"/>
        </w:trPr>
        <w:tc>
          <w:tcPr>
            <w:tcW w:w="5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08" w:lineRule="exact"/>
        <w:rPr>
          <w:sz w:val="20"/>
          <w:szCs w:val="20"/>
          <w:color w:val="auto"/>
        </w:rPr>
      </w:pPr>
    </w:p>
    <w:p>
      <w:pPr>
        <w:ind w:right="360" w:firstLine="762"/>
        <w:spacing w:after="0" w:line="257" w:lineRule="auto"/>
        <w:rPr>
          <w:sz w:val="20"/>
          <w:szCs w:val="20"/>
          <w:color w:val="auto"/>
        </w:rPr>
      </w:pPr>
      <w:r>
        <w:rPr>
          <w:rFonts w:ascii="Arial" w:cs="Arial" w:eastAsia="Arial" w:hAnsi="Arial"/>
          <w:sz w:val="17"/>
          <w:szCs w:val="17"/>
          <w:color w:val="auto"/>
        </w:rPr>
        <w:t>Net cash flows used in operating activities increased $139.7 million, or 64.8%, from $215.6 million in 2019 to $355.3 million in 2020. The increase is primarily attributable to an increase in working capital, primarily related to higher inventory levels as we continue to scale our business, resulting in an increase in the use of cash of $131.6 million, as well as $27.0 million in incremental net loss after reconciling adjustments in 2020 as compared to 2019.</w:t>
      </w:r>
    </w:p>
    <w:p>
      <w:pPr>
        <w:spacing w:after="0" w:line="157" w:lineRule="exact"/>
        <w:rPr>
          <w:sz w:val="20"/>
          <w:szCs w:val="20"/>
          <w:color w:val="auto"/>
        </w:rPr>
      </w:pPr>
    </w:p>
    <w:p>
      <w:pPr>
        <w:ind w:right="200" w:firstLine="762"/>
        <w:spacing w:after="0" w:line="274" w:lineRule="auto"/>
        <w:rPr>
          <w:sz w:val="20"/>
          <w:szCs w:val="20"/>
          <w:color w:val="auto"/>
        </w:rPr>
      </w:pPr>
      <w:r>
        <w:rPr>
          <w:rFonts w:ascii="Arial" w:cs="Arial" w:eastAsia="Arial" w:hAnsi="Arial"/>
          <w:sz w:val="17"/>
          <w:szCs w:val="17"/>
          <w:color w:val="auto"/>
        </w:rPr>
        <w:t>We finance substantially all our inventories with the Vehicle Floorplan Facility. In accordance with U.S. GAAP relating to the statement of cash flows, we report all cash flows arising in connection with the Vehicle Floorplan Facility, as a financing activity in our statement of cash flows.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08" w:lineRule="exact"/>
        <w:rPr>
          <w:sz w:val="20"/>
          <w:szCs w:val="20"/>
          <w:color w:val="auto"/>
        </w:rPr>
      </w:pPr>
    </w:p>
    <w:p>
      <w:pPr>
        <w:ind w:right="120" w:firstLine="762"/>
        <w:spacing w:after="0" w:line="290" w:lineRule="auto"/>
        <w:rPr>
          <w:sz w:val="20"/>
          <w:szCs w:val="20"/>
          <w:color w:val="auto"/>
        </w:rPr>
      </w:pPr>
      <w:r>
        <w:rPr>
          <w:rFonts w:ascii="Arial" w:cs="Arial" w:eastAsia="Arial" w:hAnsi="Arial"/>
          <w:sz w:val="17"/>
          <w:szCs w:val="17"/>
          <w:color w:val="auto"/>
        </w:rPr>
        <w:t>Net cash flows used in investing activities increased $7.8 million, from $ 3.5 million in 2019 to $11.3 million in 2020, primarily as a result of an increase in capitalization of software development costs and the acquisition of trucks for our proprietary logistics network.</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17" w:lineRule="exact"/>
        <w:rPr>
          <w:sz w:val="20"/>
          <w:szCs w:val="20"/>
          <w:color w:val="auto"/>
        </w:rPr>
      </w:pPr>
    </w:p>
    <w:p>
      <w:pPr>
        <w:ind w:right="40" w:firstLine="762"/>
        <w:spacing w:after="0" w:line="249" w:lineRule="auto"/>
        <w:rPr>
          <w:sz w:val="20"/>
          <w:szCs w:val="20"/>
          <w:color w:val="auto"/>
        </w:rPr>
      </w:pPr>
      <w:r>
        <w:rPr>
          <w:rFonts w:ascii="Arial" w:cs="Arial" w:eastAsia="Arial" w:hAnsi="Arial"/>
          <w:sz w:val="17"/>
          <w:szCs w:val="17"/>
          <w:color w:val="auto"/>
        </w:rPr>
        <w:t>Net cash flows provided by financing activities increased $961.8 million from $275.2 million in 2019 to $1,237.0 million in 2020. The increase was primarily related to $497.2 million of net proceeds received upon completion of the IPO net of cash paid for offering expenses, $568.0 million of net proceeds received upon completion of the follow-on public offering net of cash paid for offering expenses, a net increase in cash of $74.9 million related to our Vehicle Floorplan Facility, and a net increase in cash related to the $25.7 million repayment of our long-term debt in 2019. These increases were partially offset by a decrease in cash flows provided by financing activities related to the issuance of Series H preferred stock, net of issuance costs paid. Net cash flows provided by financing activities in 2020 included the issuance of $21.7 million of Series H preferred stock, as compared to the issuance of $227.5 million in 2019.</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summarizes our contractual obligations and commitments as of December 31,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9"/>
              </w:rPr>
              <w:t>Payments Due by Year</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0"/>
        </w:trPr>
        <w:tc>
          <w:tcPr>
            <w:tcW w:w="3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279"/>
              <w:spacing w:after="0" w:line="150" w:lineRule="exact"/>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40"/>
              <w:spacing w:after="0" w:line="150" w:lineRule="exact"/>
              <w:rPr>
                <w:sz w:val="20"/>
                <w:szCs w:val="20"/>
                <w:color w:val="auto"/>
              </w:rPr>
            </w:pPr>
            <w:r>
              <w:rPr>
                <w:rFonts w:ascii="Arial" w:cs="Arial" w:eastAsia="Arial" w:hAnsi="Arial"/>
                <w:sz w:val="14"/>
                <w:szCs w:val="14"/>
                <w:b w:val="1"/>
                <w:bCs w:val="1"/>
                <w:color w:val="auto"/>
                <w:w w:val="98"/>
              </w:rPr>
              <w:t>More than</w:t>
            </w:r>
          </w:p>
        </w:tc>
        <w:tc>
          <w:tcPr>
            <w:tcW w:w="20" w:type="dxa"/>
            <w:vAlign w:val="bottom"/>
          </w:tcPr>
          <w:p>
            <w:pPr>
              <w:spacing w:after="0"/>
              <w:rPr>
                <w:sz w:val="13"/>
                <w:szCs w:val="13"/>
                <w:color w:val="auto"/>
              </w:rPr>
            </w:pPr>
          </w:p>
        </w:tc>
      </w:tr>
      <w:tr>
        <w:trPr>
          <w:trHeight w:val="170"/>
        </w:trPr>
        <w:tc>
          <w:tcPr>
            <w:tcW w:w="3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1 year</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1-3 years</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3-5 years</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5 years</w:t>
            </w:r>
          </w:p>
        </w:tc>
        <w:tc>
          <w:tcPr>
            <w:tcW w:w="20" w:type="dxa"/>
            <w:vAlign w:val="bottom"/>
          </w:tcPr>
          <w:p>
            <w:pPr>
              <w:spacing w:after="0"/>
              <w:rPr>
                <w:sz w:val="14"/>
                <w:szCs w:val="14"/>
                <w:color w:val="auto"/>
              </w:rPr>
            </w:pPr>
          </w:p>
        </w:tc>
      </w:tr>
      <w:tr>
        <w:trPr>
          <w:trHeight w:val="163"/>
        </w:trPr>
        <w:tc>
          <w:tcPr>
            <w:tcW w:w="3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(in thousands)</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7"/>
        </w:trPr>
        <w:tc>
          <w:tcPr>
            <w:tcW w:w="3540" w:type="dxa"/>
            <w:vAlign w:val="bottom"/>
            <w:shd w:val="clear" w:color="auto" w:fill="CFF0FC"/>
          </w:tcPr>
          <w:p>
            <w:pPr>
              <w:spacing w:after="0" w:line="186" w:lineRule="exact"/>
              <w:rPr>
                <w:sz w:val="20"/>
                <w:szCs w:val="20"/>
                <w:color w:val="auto"/>
              </w:rPr>
            </w:pPr>
            <w:r>
              <w:rPr>
                <w:rFonts w:ascii="Arial" w:cs="Arial" w:eastAsia="Arial" w:hAnsi="Arial"/>
                <w:sz w:val="17"/>
                <w:szCs w:val="17"/>
                <w:color w:val="auto"/>
              </w:rPr>
              <w:t>Vehicle Floorplan Facility (excluding</w:t>
            </w: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3540" w:type="dxa"/>
            <w:vAlign w:val="bottom"/>
            <w:shd w:val="clear" w:color="auto" w:fill="CFF0FC"/>
          </w:tcPr>
          <w:p>
            <w:pPr>
              <w:spacing w:after="0"/>
              <w:rPr>
                <w:sz w:val="20"/>
                <w:szCs w:val="20"/>
                <w:color w:val="auto"/>
              </w:rPr>
            </w:pPr>
            <w:r>
              <w:rPr>
                <w:rFonts w:ascii="Arial" w:cs="Arial" w:eastAsia="Arial" w:hAnsi="Arial"/>
                <w:sz w:val="17"/>
                <w:szCs w:val="17"/>
                <w:color w:val="auto"/>
              </w:rPr>
              <w:t>interest)</w:t>
            </w: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329,231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329,231</w:t>
            </w:r>
          </w:p>
        </w:tc>
        <w:tc>
          <w:tcPr>
            <w:tcW w:w="340" w:type="dxa"/>
            <w:vAlign w:val="bottom"/>
            <w:gridSpan w:val="2"/>
            <w:shd w:val="clear" w:color="auto" w:fill="CFF0FC"/>
          </w:tcPr>
          <w:p>
            <w:pPr>
              <w:jc w:val="right"/>
              <w:ind w:right="27"/>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FF0FC"/>
          </w:tcPr>
          <w:p>
            <w:pPr>
              <w:jc w:val="right"/>
              <w:ind w:right="7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FF0FC"/>
          </w:tcPr>
          <w:p>
            <w:pPr>
              <w:jc w:val="right"/>
              <w:ind w:right="8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ind w:left="9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09"/>
        </w:trPr>
        <w:tc>
          <w:tcPr>
            <w:tcW w:w="35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Operating leases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18,145</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6,052</w:t>
            </w: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8,171</w:t>
            </w:r>
          </w:p>
        </w:tc>
        <w:tc>
          <w:tcPr>
            <w:tcW w:w="10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3,922</w:t>
            </w:r>
          </w:p>
        </w:tc>
        <w:tc>
          <w:tcPr>
            <w:tcW w:w="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202"/>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347,376</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7"/>
                <w:szCs w:val="17"/>
                <w:color w:val="auto"/>
              </w:rPr>
              <w:t>335,283</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7"/>
                <w:szCs w:val="17"/>
                <w:color w:val="auto"/>
              </w:rPr>
              <w:t>8,171</w:t>
            </w:r>
          </w:p>
        </w:tc>
        <w:tc>
          <w:tcPr>
            <w:tcW w:w="10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3,922</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ind w:left="9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1"/>
        </w:trPr>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699"/>
              <w:spacing w:after="0"/>
              <w:rPr>
                <w:sz w:val="20"/>
                <w:szCs w:val="20"/>
                <w:color w:val="auto"/>
              </w:rPr>
            </w:pPr>
            <w:r>
              <w:rPr>
                <w:rFonts w:ascii="Arial" w:cs="Arial" w:eastAsia="Arial" w:hAnsi="Arial"/>
                <w:sz w:val="17"/>
                <w:szCs w:val="17"/>
                <w:color w:val="auto"/>
              </w:rPr>
              <w:t>75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35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-7620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Off Balance Sheet Arrangements</w:t>
      </w:r>
    </w:p>
    <w:p>
      <w:pPr>
        <w:spacing w:after="0" w:line="212" w:lineRule="exact"/>
        <w:rPr>
          <w:sz w:val="20"/>
          <w:szCs w:val="20"/>
          <w:color w:val="auto"/>
        </w:rPr>
      </w:pPr>
    </w:p>
    <w:p>
      <w:pPr>
        <w:ind w:right="20" w:firstLine="762"/>
        <w:spacing w:after="0" w:line="290" w:lineRule="auto"/>
        <w:rPr>
          <w:sz w:val="20"/>
          <w:szCs w:val="20"/>
          <w:color w:val="auto"/>
        </w:rPr>
      </w:pPr>
      <w:r>
        <w:rPr>
          <w:rFonts w:ascii="Arial" w:cs="Arial" w:eastAsia="Arial" w:hAnsi="Arial"/>
          <w:sz w:val="17"/>
          <w:szCs w:val="17"/>
          <w:color w:val="auto"/>
        </w:rPr>
        <w:t>We do not have any off 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12" w:lineRule="exact"/>
        <w:rPr>
          <w:sz w:val="20"/>
          <w:szCs w:val="20"/>
          <w:color w:val="auto"/>
        </w:rPr>
      </w:pPr>
    </w:p>
    <w:p>
      <w:pPr>
        <w:ind w:right="120" w:firstLine="637"/>
        <w:spacing w:after="0" w:line="250" w:lineRule="auto"/>
        <w:rPr>
          <w:sz w:val="20"/>
          <w:szCs w:val="20"/>
          <w:color w:val="auto"/>
        </w:rPr>
      </w:pPr>
      <w:r>
        <w:rPr>
          <w:rFonts w:ascii="Arial" w:cs="Arial" w:eastAsia="Arial" w:hAnsi="Arial"/>
          <w:sz w:val="17"/>
          <w:szCs w:val="17"/>
          <w:color w:val="auto"/>
        </w:rPr>
        <w:t>Our consolidated financial statements are prepared in accordance with GAAP. The preparation of consolidated financial statements requires us to make estimates, assumptions and judgments that affect the reported amounts of assets, liabilities, revenue, and expenses and related disclosures. On an ongoing basis, we evaluate our estimates, including, among others, those related to income taxes, the realizability of inventory, stock-based compensation, revenue-related reserves, as well as impairment of goodwill and long-lived assets. We base our estimates on historical experience, market conditions and on various other assumptions that are believed to be reasonable. Actual results may differ from these estimates.</w:t>
      </w:r>
    </w:p>
    <w:p>
      <w:pPr>
        <w:spacing w:after="0" w:line="165" w:lineRule="exact"/>
        <w:rPr>
          <w:sz w:val="20"/>
          <w:szCs w:val="20"/>
          <w:color w:val="auto"/>
        </w:rPr>
      </w:pPr>
    </w:p>
    <w:p>
      <w:pPr>
        <w:ind w:right="100" w:firstLine="637"/>
        <w:spacing w:after="0" w:line="250" w:lineRule="auto"/>
        <w:rPr>
          <w:sz w:val="20"/>
          <w:szCs w:val="20"/>
          <w:color w:val="auto"/>
        </w:rPr>
      </w:pPr>
      <w:r>
        <w:rPr>
          <w:rFonts w:ascii="Arial" w:cs="Arial" w:eastAsia="Arial" w:hAnsi="Arial"/>
          <w:sz w:val="17"/>
          <w:szCs w:val="17"/>
          <w:color w:val="auto"/>
        </w:rPr>
        <w:t>Beginning in the first quarter of 2020, the COVID-19 pandemic negatively impacted, and may continue to negatively impact, the macroeconomic environment in the United States and globally, as well as our business, financial condition and results of operations. Due to the evolving and uncertain nature of COVID-19, it is reasonably possible that it could materially impact our estimates, particularly those noted above that require consideration of forecasted financial information, in the near to medium term. The ultimate impact will depend on numerous evolving factors that we may not be able to accurately predict, including the duration and extent of the pandemic, the impact of federal, state, local and foreign governmental actions, consumer behavior in response to the pandemic and other economic and operational conditions that we may face.</w:t>
      </w:r>
    </w:p>
    <w:p>
      <w:pPr>
        <w:spacing w:after="0" w:line="165" w:lineRule="exact"/>
        <w:rPr>
          <w:sz w:val="20"/>
          <w:szCs w:val="20"/>
          <w:color w:val="auto"/>
        </w:rPr>
      </w:pPr>
    </w:p>
    <w:p>
      <w:pPr>
        <w:ind w:firstLine="637"/>
        <w:spacing w:after="0" w:line="257" w:lineRule="auto"/>
        <w:rPr>
          <w:sz w:val="20"/>
          <w:szCs w:val="20"/>
          <w:color w:val="auto"/>
        </w:rPr>
      </w:pPr>
      <w:r>
        <w:rPr>
          <w:rFonts w:ascii="Arial" w:cs="Arial" w:eastAsia="Arial" w:hAnsi="Arial"/>
          <w:sz w:val="17"/>
          <w:szCs w:val="17"/>
          <w:color w:val="auto"/>
        </w:rPr>
        <w:t>We believe that the accounting policies described below involve a significant degree of judgment and complexity. Accordingly, we believe these are the most critical to aid in fully understanding and evaluating our financial condition and results of operations. For further information, see “Note 2—Summary of Significant Accounting Policies” and “Note 3—Revenue Recognition” in the Notes to Consolidated Financial Statements included elsewhere in this Annual Report on Form 10-K.</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3" w:lineRule="exact"/>
        <w:rPr>
          <w:sz w:val="20"/>
          <w:szCs w:val="20"/>
          <w:color w:val="auto"/>
        </w:rPr>
      </w:pPr>
    </w:p>
    <w:p>
      <w:pPr>
        <w:ind w:right="900" w:firstLine="637"/>
        <w:spacing w:after="0" w:line="290" w:lineRule="auto"/>
        <w:rPr>
          <w:sz w:val="20"/>
          <w:szCs w:val="20"/>
          <w:color w:val="auto"/>
        </w:rPr>
      </w:pPr>
      <w:r>
        <w:rPr>
          <w:rFonts w:ascii="Arial" w:cs="Arial" w:eastAsia="Arial" w:hAnsi="Arial"/>
          <w:sz w:val="17"/>
          <w:szCs w:val="17"/>
          <w:color w:val="auto"/>
        </w:rPr>
        <w:t xml:space="preserve">We adopted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as of January 1, 2018 utilizing the modified retrospective approach applied only to contracts not completed as of the date of adoption.</w:t>
      </w:r>
    </w:p>
    <w:p>
      <w:pPr>
        <w:spacing w:after="0" w:line="129" w:lineRule="exact"/>
        <w:rPr>
          <w:sz w:val="20"/>
          <w:szCs w:val="20"/>
          <w:color w:val="auto"/>
        </w:rPr>
      </w:pPr>
    </w:p>
    <w:p>
      <w:pPr>
        <w:ind w:right="140" w:firstLine="637"/>
        <w:spacing w:after="0" w:line="290" w:lineRule="auto"/>
        <w:rPr>
          <w:sz w:val="20"/>
          <w:szCs w:val="20"/>
          <w:color w:val="auto"/>
        </w:rPr>
      </w:pPr>
      <w:r>
        <w:rPr>
          <w:rFonts w:ascii="Arial" w:cs="Arial" w:eastAsia="Arial" w:hAnsi="Arial"/>
          <w:sz w:val="17"/>
          <w:szCs w:val="17"/>
          <w:color w:val="auto"/>
        </w:rPr>
        <w:t>We recognized a net decrease to accumulated deficit of approximately $1.7 million as of January 1, 2018 due to the cumulative effect of adopting Topic 606.</w:t>
      </w:r>
    </w:p>
    <w:p>
      <w:pPr>
        <w:spacing w:after="0" w:line="129" w:lineRule="exact"/>
        <w:rPr>
          <w:sz w:val="20"/>
          <w:szCs w:val="20"/>
          <w:color w:val="auto"/>
        </w:rPr>
      </w:pPr>
    </w:p>
    <w:p>
      <w:pPr>
        <w:ind w:right="80" w:firstLine="637"/>
        <w:spacing w:after="0" w:line="265" w:lineRule="auto"/>
        <w:rPr>
          <w:sz w:val="20"/>
          <w:szCs w:val="20"/>
          <w:color w:val="auto"/>
        </w:rPr>
      </w:pPr>
      <w:r>
        <w:rPr>
          <w:rFonts w:ascii="Arial" w:cs="Arial" w:eastAsia="Arial" w:hAnsi="Arial"/>
          <w:sz w:val="17"/>
          <w:szCs w:val="17"/>
          <w:color w:val="auto"/>
        </w:rPr>
        <w:t>Revenue consists of retail vehicle sales through our ecommerce platform and TDA retail location, wholesale vehicle sales and other revenues. Revenue also includes delivery charges. Our product revenue consists of fees earned on customer vehicle financing from third-party lenders and fees earned on sales of other value-added products, such as vehicle service contracts, GAP protection and tire and wheel coverage.</w:t>
      </w:r>
    </w:p>
    <w:p>
      <w:pPr>
        <w:spacing w:after="0" w:line="151" w:lineRule="exact"/>
        <w:rPr>
          <w:sz w:val="20"/>
          <w:szCs w:val="20"/>
          <w:color w:val="auto"/>
        </w:rPr>
      </w:pPr>
    </w:p>
    <w:p>
      <w:pPr>
        <w:ind w:right="40" w:firstLine="637"/>
        <w:spacing w:after="0" w:line="259" w:lineRule="auto"/>
        <w:rPr>
          <w:sz w:val="20"/>
          <w:szCs w:val="20"/>
          <w:color w:val="auto"/>
        </w:rPr>
      </w:pPr>
      <w:r>
        <w:rPr>
          <w:rFonts w:ascii="Arial" w:cs="Arial" w:eastAsia="Arial" w:hAnsi="Arial"/>
          <w:sz w:val="17"/>
          <w:szCs w:val="17"/>
          <w:color w:val="auto"/>
        </w:rPr>
        <w:t>We recognize revenue upon transfer of control of goods or services to customers, in an amount that reflects the consideration to which we expect to be entitled in exchange for those goods or services. We may collect sales taxes and other taxes from customers on behalf of governmental authorities at the time of sale as required. These taxes are accounted for on a net basis and are not included in revenues or cost of sales.</w:t>
      </w:r>
    </w:p>
    <w:p>
      <w:pPr>
        <w:spacing w:after="0" w:line="3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revenue is disaggregated within the consolidated statement of operations and is generated from customers throughout the United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States.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Retail Vehicle Revenue</w:t>
      </w:r>
    </w:p>
    <w:p>
      <w:pPr>
        <w:spacing w:after="0" w:line="103" w:lineRule="exact"/>
        <w:rPr>
          <w:sz w:val="20"/>
          <w:szCs w:val="20"/>
          <w:color w:val="auto"/>
        </w:rPr>
      </w:pPr>
    </w:p>
    <w:p>
      <w:pPr>
        <w:ind w:right="60" w:firstLine="637"/>
        <w:spacing w:after="0" w:line="250" w:lineRule="auto"/>
        <w:rPr>
          <w:sz w:val="20"/>
          <w:szCs w:val="20"/>
          <w:color w:val="auto"/>
        </w:rPr>
      </w:pPr>
      <w:r>
        <w:rPr>
          <w:rFonts w:ascii="Arial" w:cs="Arial" w:eastAsia="Arial" w:hAnsi="Arial"/>
          <w:sz w:val="17"/>
          <w:szCs w:val="17"/>
          <w:color w:val="auto"/>
        </w:rPr>
        <w:t>We sell vehicles to our retail customers through our Ecommerce segment and our TDA segment. The transaction price for vehicles is a fixed amount as set forth within the customer contract at the time of sale. Customers frequently trade-in their existing vehicle to apply the amount received for such vehicle towards the transaction price of a purchased vehicle. Trade-in vehicles represent noncash consideration, which we measure at an agreed upon price based on fair value, which is based on external and internal market data for each specific vehicle. We generally satisfy our performance obligation and recognize revenue for vehicle sales at a point in time when the vehicles are delivered to the customers for ecommerce sales or picked up by the customer for TDA sales. The revenue recognized by us includes the agreed upon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5"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transaction price, including any delivery charges stated within the customer contract. Revenue excludes any sales taxes, title and registration fees, and other government fees that are collected from customers.</w:t>
      </w:r>
    </w:p>
    <w:p>
      <w:pPr>
        <w:spacing w:after="0" w:line="90" w:lineRule="exact"/>
        <w:rPr>
          <w:sz w:val="20"/>
          <w:szCs w:val="20"/>
          <w:color w:val="auto"/>
        </w:rPr>
      </w:pPr>
    </w:p>
    <w:p>
      <w:pPr>
        <w:ind w:right="40" w:firstLine="637"/>
        <w:spacing w:after="0" w:line="265" w:lineRule="auto"/>
        <w:rPr>
          <w:sz w:val="20"/>
          <w:szCs w:val="20"/>
          <w:color w:val="auto"/>
        </w:rPr>
      </w:pPr>
      <w:r>
        <w:rPr>
          <w:rFonts w:ascii="Arial" w:cs="Arial" w:eastAsia="Arial" w:hAnsi="Arial"/>
          <w:sz w:val="17"/>
          <w:szCs w:val="17"/>
          <w:color w:val="auto"/>
        </w:rPr>
        <w:t>We receive payment for vehicle sales directly from the customer at the time of sale or from third-party financial institutions within a short period of time following the sale if the customer obtains financing. Payments received prior to delivery or pick-up of used vehicles are recorded as “Deferred revenue” within the consolidated balance sheet.</w:t>
      </w:r>
    </w:p>
    <w:p>
      <w:pPr>
        <w:spacing w:after="0" w:line="151" w:lineRule="exact"/>
        <w:rPr>
          <w:sz w:val="20"/>
          <w:szCs w:val="20"/>
          <w:color w:val="auto"/>
        </w:rPr>
      </w:pPr>
    </w:p>
    <w:p>
      <w:pPr>
        <w:jc w:val="both"/>
        <w:ind w:right="500" w:firstLine="637"/>
        <w:spacing w:after="0" w:line="265" w:lineRule="auto"/>
        <w:rPr>
          <w:sz w:val="20"/>
          <w:szCs w:val="20"/>
          <w:color w:val="auto"/>
        </w:rPr>
      </w:pPr>
      <w:r>
        <w:rPr>
          <w:rFonts w:ascii="Arial" w:cs="Arial" w:eastAsia="Arial" w:hAnsi="Arial"/>
          <w:sz w:val="17"/>
          <w:szCs w:val="17"/>
          <w:color w:val="auto"/>
        </w:rPr>
        <w:t>We offer a return program for used vehicle sales and establish a provision for estimated returns based on historical information and current trends. The reserve for estimated returns is presented gross on the consolidated balance sheet, with an asset recorded in “Prepaid expenses and other current assets” and a refund liability recorded in “Other current liabilities.”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Wholesale Vehicle Revenue</w:t>
      </w:r>
    </w:p>
    <w:p>
      <w:pPr>
        <w:spacing w:after="0" w:line="103" w:lineRule="exact"/>
        <w:rPr>
          <w:sz w:val="20"/>
          <w:szCs w:val="20"/>
          <w:color w:val="auto"/>
        </w:rPr>
      </w:pPr>
    </w:p>
    <w:p>
      <w:pPr>
        <w:ind w:right="240" w:firstLine="637"/>
        <w:spacing w:after="0" w:line="253" w:lineRule="auto"/>
        <w:rPr>
          <w:sz w:val="20"/>
          <w:szCs w:val="20"/>
          <w:color w:val="auto"/>
        </w:rPr>
      </w:pPr>
      <w:r>
        <w:rPr>
          <w:rFonts w:ascii="Arial" w:cs="Arial" w:eastAsia="Arial" w:hAnsi="Arial"/>
          <w:sz w:val="17"/>
          <w:szCs w:val="17"/>
          <w:color w:val="auto"/>
        </w:rPr>
        <w:t>We sell vehicles that do not meet our Vroom retail sales criteria primarily through wholesale channels. Vehicles sold through wholesale channels are acquired from customers who trade-in their vehicles when making a purchase from us and also from customers who sell their vehicles to us in direct-buy transactions. The transaction price for a wholesale vehicle is a fixed amount. We satisfy our performance obligation and recognize revenue for wholesale vehicle sales when the vehicle is sold. The transaction price is typically due and collected within a short period of time following the vehicle sales.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Revenue</w:t>
      </w:r>
    </w:p>
    <w:p>
      <w:pPr>
        <w:spacing w:after="0" w:line="103" w:lineRule="exact"/>
        <w:rPr>
          <w:sz w:val="20"/>
          <w:szCs w:val="20"/>
          <w:color w:val="auto"/>
        </w:rPr>
      </w:pPr>
    </w:p>
    <w:p>
      <w:pPr>
        <w:ind w:firstLine="637"/>
        <w:spacing w:after="0" w:line="250" w:lineRule="auto"/>
        <w:rPr>
          <w:sz w:val="20"/>
          <w:szCs w:val="20"/>
          <w:color w:val="auto"/>
        </w:rPr>
      </w:pPr>
      <w:r>
        <w:rPr>
          <w:rFonts w:ascii="Arial" w:cs="Arial" w:eastAsia="Arial" w:hAnsi="Arial"/>
          <w:sz w:val="17"/>
          <w:szCs w:val="17"/>
          <w:color w:val="auto"/>
        </w:rPr>
        <w:t>Our product revenue consists of fees earned on customer vehicle financing from third-party lenders and fees earned on sales of other value-added products such as vehicle service contracts, GAP protection and tire and wheel coverage. We sell these products pursuant to arrangements with the third parties that provide these products and are responsible for their fulfilment. We concluded that we are an agent for these transactions because we do not control the products before they are transferred to the customer. As an agent, our performance obligation is to arrange for the third party to provide the products. We recognize product revenues on a net basis when the customer enters into an arrangement for the products, which is typically at the time of a used vehicle sale.</w:t>
      </w:r>
    </w:p>
    <w:p>
      <w:pPr>
        <w:spacing w:after="0" w:line="165" w:lineRule="exact"/>
        <w:rPr>
          <w:sz w:val="20"/>
          <w:szCs w:val="20"/>
          <w:color w:val="auto"/>
        </w:rPr>
      </w:pPr>
    </w:p>
    <w:p>
      <w:pPr>
        <w:ind w:right="80" w:firstLine="637"/>
        <w:spacing w:after="0" w:line="257" w:lineRule="auto"/>
        <w:rPr>
          <w:sz w:val="20"/>
          <w:szCs w:val="20"/>
          <w:color w:val="auto"/>
        </w:rPr>
      </w:pPr>
      <w:r>
        <w:rPr>
          <w:rFonts w:ascii="Arial" w:cs="Arial" w:eastAsia="Arial" w:hAnsi="Arial"/>
          <w:sz w:val="17"/>
          <w:szCs w:val="17"/>
          <w:color w:val="auto"/>
        </w:rPr>
        <w:t>Customers may enter into retail installment sales contracts to finance the purchase of used vehicles. We sell these contracts on a non-recourse basis to various financial institutions. We receive fees from the financial institution based on the difference between the interest rate charged to the customer that purchased the vehicle and the interest rate set by the financial institution. These fees are recognized upon sale and assignment of the installment sales contract to the financial institution.</w:t>
      </w:r>
    </w:p>
    <w:p>
      <w:pPr>
        <w:spacing w:after="0" w:line="157" w:lineRule="exact"/>
        <w:rPr>
          <w:sz w:val="20"/>
          <w:szCs w:val="20"/>
          <w:color w:val="auto"/>
        </w:rPr>
      </w:pPr>
    </w:p>
    <w:p>
      <w:pPr>
        <w:ind w:firstLine="637"/>
        <w:spacing w:after="0" w:line="253" w:lineRule="auto"/>
        <w:rPr>
          <w:sz w:val="20"/>
          <w:szCs w:val="20"/>
          <w:color w:val="auto"/>
        </w:rPr>
      </w:pPr>
      <w:r>
        <w:rPr>
          <w:rFonts w:ascii="Arial" w:cs="Arial" w:eastAsia="Arial" w:hAnsi="Arial"/>
          <w:sz w:val="17"/>
          <w:szCs w:val="17"/>
          <w:color w:val="auto"/>
        </w:rPr>
        <w:t>A portion of the fees earned on these products is subject to chargebacks in the event of early termination, default, or prepayment of the contracts by end-customers. Our exposure for these events is limited to fees that we receive. An estimated refund liability for chargebacks against the revenue recognized from sales of these products is recorded in the period in which the related revenue is recognized and is based primarily on our historical chargeback experience. We update our estimates at each reporting date. As of December 31, 2020 and 2019, our reserve for chargebacks was approximately $3.8 million and $3.3 million, respectively.</w:t>
      </w:r>
    </w:p>
    <w:p>
      <w:pPr>
        <w:spacing w:after="0" w:line="160" w:lineRule="exact"/>
        <w:rPr>
          <w:sz w:val="20"/>
          <w:szCs w:val="20"/>
          <w:color w:val="auto"/>
        </w:rPr>
      </w:pPr>
    </w:p>
    <w:p>
      <w:pPr>
        <w:ind w:right="120" w:firstLine="637"/>
        <w:spacing w:after="0" w:line="250" w:lineRule="auto"/>
        <w:rPr>
          <w:sz w:val="20"/>
          <w:szCs w:val="20"/>
          <w:color w:val="auto"/>
        </w:rPr>
      </w:pPr>
      <w:r>
        <w:rPr>
          <w:rFonts w:ascii="Arial" w:cs="Arial" w:eastAsia="Arial" w:hAnsi="Arial"/>
          <w:sz w:val="17"/>
          <w:szCs w:val="17"/>
          <w:color w:val="auto"/>
        </w:rPr>
        <w:t>We also are contractually entitled to receive profit-sharing revenues based on the performance of the protection policies once a required claims period has passed. We recognize profit-sharing revenue to the extent it is probable that it will not result in a significant revenue reversal. We estimate the revenue based on historical claims and cancellation data from our customers, as well as other qualitative assumptions. We reassess the estimate at each reporting period with any changes reflected as an adjustment to revenues in the period identified. As of December 31, 2020 and 2019, we had recognized approximately $11.5 million and $6.9 million, respectively, related to cumulative profit-sharing payments to which we expect to be entitled.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Revenue</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Other revenue primarily consists of labor and parts revenue earned by us for vehicle repair services at TDA.</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03" w:lineRule="exact"/>
        <w:rPr>
          <w:sz w:val="20"/>
          <w:szCs w:val="20"/>
          <w:color w:val="auto"/>
        </w:rPr>
      </w:pPr>
    </w:p>
    <w:p>
      <w:pPr>
        <w:ind w:right="100" w:firstLine="637"/>
        <w:spacing w:after="0" w:line="265" w:lineRule="auto"/>
        <w:rPr>
          <w:sz w:val="20"/>
          <w:szCs w:val="20"/>
          <w:color w:val="auto"/>
        </w:rPr>
      </w:pPr>
      <w:r>
        <w:rPr>
          <w:rFonts w:ascii="Arial" w:cs="Arial" w:eastAsia="Arial" w:hAnsi="Arial"/>
          <w:sz w:val="17"/>
          <w:szCs w:val="17"/>
          <w:color w:val="auto"/>
        </w:rPr>
        <w:t>Inventory consists of vehicles and parts and accessories and is stated at the lower of cost or net realizable value. Inventory cost is determined by specific identification and includes acquisition cost, direct and indirect reconditioning costs, and in-bound transportation costs. Net realizable value is the estimated selling price less costs to complete, dispose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5"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transport the vehicles. We recognize any necessary adjustments to reflect inventory at the lower of cost or net realizable value in cost of sales in the consolidated statements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Shipping and Handling</w:t>
      </w:r>
    </w:p>
    <w:p>
      <w:pPr>
        <w:spacing w:after="0" w:line="103" w:lineRule="exact"/>
        <w:rPr>
          <w:sz w:val="20"/>
          <w:szCs w:val="20"/>
          <w:color w:val="auto"/>
        </w:rPr>
      </w:pPr>
    </w:p>
    <w:p>
      <w:pPr>
        <w:ind w:firstLine="637"/>
        <w:spacing w:after="0" w:line="253" w:lineRule="auto"/>
        <w:rPr>
          <w:sz w:val="20"/>
          <w:szCs w:val="20"/>
          <w:color w:val="auto"/>
        </w:rPr>
      </w:pPr>
      <w:r>
        <w:rPr>
          <w:rFonts w:ascii="Arial" w:cs="Arial" w:eastAsia="Arial" w:hAnsi="Arial"/>
          <w:sz w:val="17"/>
          <w:szCs w:val="17"/>
          <w:color w:val="auto"/>
        </w:rPr>
        <w:t>Our logistics costs relate to transporting vehicle inventory and are primarily third-party transportation fees. The portion of these costs related to inbound transportation from the point of acquisition to the relevant reconditioning facility is included within inventory and reclassified into cost of sales when the related vehicle is sold. Logistics costs related to delivering vehicles sold to customers are accounted for as costs to fulfil contracts with customers and are included in “Selling, general and administrative expenses” in the consolidated statement of operations and were approximately $30.3 million, $14.0 million, and $6.4 million for the years ended December 31, 2020, 2019, and 2018, respectively.</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03" w:lineRule="exact"/>
        <w:rPr>
          <w:sz w:val="20"/>
          <w:szCs w:val="20"/>
          <w:color w:val="auto"/>
        </w:rPr>
      </w:pPr>
    </w:p>
    <w:p>
      <w:pPr>
        <w:ind w:right="20" w:firstLine="637"/>
        <w:spacing w:after="0" w:line="265" w:lineRule="auto"/>
        <w:rPr>
          <w:sz w:val="20"/>
          <w:szCs w:val="20"/>
          <w:color w:val="auto"/>
        </w:rPr>
      </w:pPr>
      <w:r>
        <w:rPr>
          <w:rFonts w:ascii="Arial" w:cs="Arial" w:eastAsia="Arial" w:hAnsi="Arial"/>
          <w:sz w:val="17"/>
          <w:szCs w:val="17"/>
          <w:color w:val="auto"/>
        </w:rPr>
        <w:t>We adopted Topic 842 as of January 1, 2020 using the modified retrospective approach with any cumulative-effect adjustment to opening retained earnings (accumulated deficit) with no restatement of comparative periods. Upon adoption, we recognized $18.4 million of operating lease liabilities and $17.4 million of operating lease right-of-use assets.</w:t>
      </w:r>
    </w:p>
    <w:p>
      <w:pPr>
        <w:spacing w:after="0" w:line="151" w:lineRule="exact"/>
        <w:rPr>
          <w:sz w:val="20"/>
          <w:szCs w:val="20"/>
          <w:color w:val="auto"/>
        </w:rPr>
      </w:pPr>
    </w:p>
    <w:p>
      <w:pPr>
        <w:jc w:val="both"/>
        <w:ind w:right="280" w:firstLine="637"/>
        <w:spacing w:after="0" w:line="265" w:lineRule="auto"/>
        <w:rPr>
          <w:sz w:val="20"/>
          <w:szCs w:val="20"/>
          <w:color w:val="auto"/>
        </w:rPr>
      </w:pPr>
      <w:r>
        <w:rPr>
          <w:rFonts w:ascii="Arial" w:cs="Arial" w:eastAsia="Arial" w:hAnsi="Arial"/>
          <w:sz w:val="17"/>
          <w:szCs w:val="17"/>
          <w:color w:val="auto"/>
        </w:rPr>
        <w:t>The adoption of Topic 842 did not result in a cumulative effect adjustment to accumulated deficit. We elected to utilize the package of practical expedients for transition which permitted us to not reassess our prior conclusions regarding whether a contract is or contains a lease, lease classification and initial direct costs.</w:t>
      </w:r>
    </w:p>
    <w:p>
      <w:pPr>
        <w:spacing w:after="0" w:line="151" w:lineRule="exact"/>
        <w:rPr>
          <w:sz w:val="20"/>
          <w:szCs w:val="20"/>
          <w:color w:val="auto"/>
        </w:rPr>
      </w:pPr>
    </w:p>
    <w:p>
      <w:pPr>
        <w:ind w:right="20" w:firstLine="637"/>
        <w:spacing w:after="0" w:line="290" w:lineRule="auto"/>
        <w:rPr>
          <w:sz w:val="20"/>
          <w:szCs w:val="20"/>
          <w:color w:val="auto"/>
        </w:rPr>
      </w:pPr>
      <w:r>
        <w:rPr>
          <w:rFonts w:ascii="Arial" w:cs="Arial" w:eastAsia="Arial" w:hAnsi="Arial"/>
          <w:sz w:val="17"/>
          <w:szCs w:val="17"/>
          <w:color w:val="auto"/>
        </w:rPr>
        <w:t>We did not elect the hindsight practical expedient to determine lease terms. We elected the short-term lease recognition exemption for all leases that qualify and the practical expedient to not separate lease and non-lease components of leases.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03" w:lineRule="exact"/>
        <w:rPr>
          <w:sz w:val="20"/>
          <w:szCs w:val="20"/>
          <w:color w:val="auto"/>
        </w:rPr>
      </w:pPr>
    </w:p>
    <w:p>
      <w:pPr>
        <w:ind w:right="60" w:firstLine="637"/>
        <w:spacing w:after="0" w:line="265" w:lineRule="auto"/>
        <w:rPr>
          <w:sz w:val="20"/>
          <w:szCs w:val="20"/>
          <w:color w:val="auto"/>
        </w:rPr>
      </w:pPr>
      <w:r>
        <w:rPr>
          <w:rFonts w:ascii="Arial" w:cs="Arial" w:eastAsia="Arial" w:hAnsi="Arial"/>
          <w:sz w:val="17"/>
          <w:szCs w:val="17"/>
          <w:color w:val="auto"/>
        </w:rPr>
        <w:t>Goodwill represents the excess of the consideration transferred over the fair value of the identifiable assets acquired and liabilities assumed in business combinations. Goodwill is tested for impairment annually as of October 1, or whenever events or changes in circumstances indicate that an impairment may exist.</w:t>
      </w:r>
    </w:p>
    <w:p>
      <w:pPr>
        <w:spacing w:after="0" w:line="151" w:lineRule="exact"/>
        <w:rPr>
          <w:sz w:val="20"/>
          <w:szCs w:val="20"/>
          <w:color w:val="auto"/>
        </w:rPr>
      </w:pPr>
    </w:p>
    <w:p>
      <w:pPr>
        <w:ind w:right="100" w:firstLine="637"/>
        <w:spacing w:after="0" w:line="250" w:lineRule="auto"/>
        <w:rPr>
          <w:sz w:val="20"/>
          <w:szCs w:val="20"/>
          <w:color w:val="auto"/>
        </w:rPr>
      </w:pPr>
      <w:r>
        <w:rPr>
          <w:rFonts w:ascii="Arial" w:cs="Arial" w:eastAsia="Arial" w:hAnsi="Arial"/>
          <w:sz w:val="17"/>
          <w:szCs w:val="17"/>
          <w:color w:val="auto"/>
        </w:rPr>
        <w:t>We have three reporting units: Ecommerce, Wholesale and TDA. In performing our annual goodwill impairment test, we first review qualitative factors to determine whether it is more likely than not that the fair value of a reporting unit is less than its carrying amount. If, after assessing qualitative factors, we determine that it is not more likely than not that the fair value of a reporting unit is less than its carrying amount, then performing the quantitative test is unnecessary and our goodwill is not considered to be impaired. However, if based on the qualitative assessment we conclude that it is more likely than not that the fair value of the reporting unit is less than its carrying amount, or if we elect to bypass the optional qualitative assessment as provided for under GAAP, we proceed with performing the quantitative impairment test.</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 goodwill impairment was determined to exist for the years ended December 31, 2020, 2019, and 2018.</w:t>
      </w:r>
    </w:p>
    <w:p>
      <w:pPr>
        <w:spacing w:after="0" w:line="210" w:lineRule="exact"/>
        <w:rPr>
          <w:sz w:val="20"/>
          <w:szCs w:val="20"/>
          <w:color w:val="auto"/>
        </w:rPr>
      </w:pPr>
    </w:p>
    <w:p>
      <w:pPr>
        <w:ind w:right="120" w:firstLine="637"/>
        <w:spacing w:after="0" w:line="265" w:lineRule="auto"/>
        <w:rPr>
          <w:sz w:val="20"/>
          <w:szCs w:val="20"/>
          <w:color w:val="auto"/>
        </w:rPr>
      </w:pPr>
      <w:r>
        <w:rPr>
          <w:rFonts w:ascii="Arial" w:cs="Arial" w:eastAsia="Arial" w:hAnsi="Arial"/>
          <w:sz w:val="17"/>
          <w:szCs w:val="17"/>
          <w:color w:val="auto"/>
        </w:rPr>
        <w:t>In connection with its annual goodwill impairment test as of October 1, 2020, the Company performed impairment assessments for each of its reporting units. The results of the assessments indicated that it was not more likely than not that the fair value of the reporting units were less than the carrying values.</w:t>
      </w:r>
    </w:p>
    <w:p>
      <w:pPr>
        <w:spacing w:after="0" w:line="151" w:lineRule="exact"/>
        <w:rPr>
          <w:sz w:val="20"/>
          <w:szCs w:val="20"/>
          <w:color w:val="auto"/>
        </w:rPr>
      </w:pPr>
    </w:p>
    <w:p>
      <w:pPr>
        <w:ind w:firstLine="637"/>
        <w:spacing w:after="0" w:line="245" w:lineRule="auto"/>
        <w:rPr>
          <w:sz w:val="20"/>
          <w:szCs w:val="20"/>
          <w:color w:val="auto"/>
        </w:rPr>
      </w:pPr>
      <w:r>
        <w:rPr>
          <w:rFonts w:ascii="Arial" w:cs="Arial" w:eastAsia="Arial" w:hAnsi="Arial"/>
          <w:sz w:val="17"/>
          <w:szCs w:val="17"/>
          <w:color w:val="auto"/>
        </w:rPr>
        <w:t>The quantitative goodwill impairment test requires a determination of whether the estimated fair value of a reporting unit is less than its carrying value. We estimate the fair value of our reporting units using an income valuation approach. The income valuation approach is applied using the discounted cash flow method which requires (1) estimating future cash flows for a discrete projection period (2) estimating the terminal value, which reflects the remaining value that the reporting unit is expected to generate beyond the projection period and (3) discounting those amounts to present value at a discount rate which is based on a weighted average cost of capital that considers the relative risk of the cash flows. The income valuation approach requires the use of significant estimates and assumptions, which include revenue growth rates, future gross profit margins and operating expenses used to calculate projected future cash flows, determination of the weighted average cost of capital, and future economic and market conditions. The terminal value is based on an exit multiple which requires significant assumptions regarding the selection of appropriate multiples that consider relevant market trading data. We base our estimates and assumptions on our knowledge of the automotive and ecommerce industries, our recent performance, our expectations of future performance and other assumptions we believe to be reasonable. Actual future results may differ from those estimates. We also make certain judgments and assumptions in allocating shared assets and liabilities to determine the carrying values for each of our reporting units.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03" w:lineRule="exact"/>
        <w:rPr>
          <w:sz w:val="20"/>
          <w:szCs w:val="20"/>
          <w:color w:val="auto"/>
        </w:rPr>
      </w:pPr>
    </w:p>
    <w:p>
      <w:pPr>
        <w:ind w:right="20" w:firstLine="637"/>
        <w:spacing w:after="0" w:line="247" w:lineRule="auto"/>
        <w:rPr>
          <w:sz w:val="20"/>
          <w:szCs w:val="20"/>
          <w:color w:val="auto"/>
        </w:rPr>
      </w:pPr>
      <w:r>
        <w:rPr>
          <w:rFonts w:ascii="Arial" w:cs="Arial" w:eastAsia="Arial" w:hAnsi="Arial"/>
          <w:sz w:val="17"/>
          <w:szCs w:val="17"/>
          <w:color w:val="auto"/>
        </w:rPr>
        <w:t>We account for income taxes under the asset and liability method. We recognize deferred tax assets and liabilities for the future tax consequences attributable to differences between the financial statement carrying amounts of existing assets and liabilities and their respective tax basis, as well as for operating loss and tax credit carry forwards. We measure deferred tax assets and liabilities using enacted tax rates expected to apply to taxable income in the years in which we expect to recover or settle those temporary differences. We recognize the effect of a change in tax rates on deferred tax assets and liabilities in the results of operations in the period that includes the enactment date. We reduce the measurement of a deferred tax asset, if necessary, by a valuation allowance if it is “more-likely-than-not” that we will not realize some or all of the deferred tax asset. We maintained a full valuation allowance against net deferred tax assets because we determined that is it more likely than not that these assets will not be fully realized based on a current evaluation of expected future taxable income and we are in a cumulative loss position.</w:t>
      </w:r>
    </w:p>
    <w:p>
      <w:pPr>
        <w:spacing w:after="0" w:line="366" w:lineRule="exact"/>
        <w:rPr>
          <w:sz w:val="20"/>
          <w:szCs w:val="20"/>
          <w:color w:val="auto"/>
        </w:rPr>
      </w:pPr>
    </w:p>
    <w:p>
      <w:pPr>
        <w:ind w:right="260" w:firstLine="637"/>
        <w:spacing w:after="0" w:line="265" w:lineRule="auto"/>
        <w:rPr>
          <w:sz w:val="20"/>
          <w:szCs w:val="20"/>
          <w:color w:val="auto"/>
        </w:rPr>
      </w:pPr>
      <w:r>
        <w:rPr>
          <w:rFonts w:ascii="Arial" w:cs="Arial" w:eastAsia="Arial" w:hAnsi="Arial"/>
          <w:sz w:val="17"/>
          <w:szCs w:val="17"/>
          <w:color w:val="auto"/>
        </w:rPr>
        <w:t>We account for uncertain tax positions by recognizing the financial statement effects of a tax position only when, based upon technical merits, it is “more likely than not” that the position will be sustained upon examination. Potential interest and penalties associated with unrecognized tax positions are recognized in income tax expense.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03" w:lineRule="exact"/>
        <w:rPr>
          <w:sz w:val="20"/>
          <w:szCs w:val="20"/>
          <w:color w:val="auto"/>
        </w:rPr>
      </w:pPr>
    </w:p>
    <w:p>
      <w:pPr>
        <w:ind w:firstLine="637"/>
        <w:spacing w:after="0" w:line="250" w:lineRule="auto"/>
        <w:rPr>
          <w:sz w:val="20"/>
          <w:szCs w:val="20"/>
          <w:color w:val="auto"/>
        </w:rPr>
      </w:pPr>
      <w:r>
        <w:rPr>
          <w:rFonts w:ascii="Arial" w:cs="Arial" w:eastAsia="Arial" w:hAnsi="Arial"/>
          <w:sz w:val="17"/>
          <w:szCs w:val="17"/>
          <w:color w:val="auto"/>
        </w:rPr>
        <w:t>We recognize the cost of employee services received in exchange for stock awards based on the fair value of those awards at the date of grant over the requisite service period. We use the Black-Scholes-Merton option-pricing model, which we refer to as Black Scholes option-pricing model, to determine the fair value of our stock-based awards. Estimating the fair value of stock-based awards requires the input of subjective assumptions, including the estimated fair value of our common stock, the expected life of the options, stock price volatility, the risk-free interest rate and expected dividends. The assumptions used in the Black-Scholes option-pricing model represent our best estimates and involve a number of variables, uncertainties and assumptions and the application of management’s judgment, as they are inherently subjective.</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Recently Issued and Adopted Accounting Pronouncements</w:t>
      </w:r>
    </w:p>
    <w:p>
      <w:pPr>
        <w:spacing w:after="0" w:line="212" w:lineRule="exact"/>
        <w:rPr>
          <w:sz w:val="20"/>
          <w:szCs w:val="20"/>
          <w:color w:val="auto"/>
        </w:rPr>
      </w:pPr>
    </w:p>
    <w:p>
      <w:pPr>
        <w:ind w:right="120" w:firstLine="762"/>
        <w:spacing w:after="0" w:line="290" w:lineRule="auto"/>
        <w:rPr>
          <w:sz w:val="20"/>
          <w:szCs w:val="20"/>
          <w:color w:val="auto"/>
        </w:rPr>
      </w:pPr>
      <w:r>
        <w:rPr>
          <w:rFonts w:ascii="Arial" w:cs="Arial" w:eastAsia="Arial" w:hAnsi="Arial"/>
          <w:sz w:val="17"/>
          <w:szCs w:val="17"/>
          <w:color w:val="auto"/>
        </w:rPr>
        <w:t>See “Note 2—Summary of Significant Accounting Policies” in Part II, Item 8 of this Annual Report on Form 10-K for a discussion about new accounting pronouncements adopted and not yet adopted as of the date of this report.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 About Market Risk</w:t>
      </w:r>
    </w:p>
    <w:p>
      <w:pPr>
        <w:spacing w:after="0" w:line="107" w:lineRule="exact"/>
        <w:rPr>
          <w:sz w:val="20"/>
          <w:szCs w:val="20"/>
          <w:color w:val="auto"/>
        </w:rPr>
      </w:pPr>
    </w:p>
    <w:p>
      <w:pPr>
        <w:ind w:right="380" w:firstLine="762"/>
        <w:spacing w:after="0" w:line="290" w:lineRule="auto"/>
        <w:rPr>
          <w:sz w:val="20"/>
          <w:szCs w:val="20"/>
          <w:color w:val="auto"/>
        </w:rPr>
      </w:pPr>
      <w:r>
        <w:rPr>
          <w:rFonts w:ascii="Arial" w:cs="Arial" w:eastAsia="Arial" w:hAnsi="Arial"/>
          <w:sz w:val="17"/>
          <w:szCs w:val="17"/>
          <w:color w:val="auto"/>
        </w:rPr>
        <w:t>Market risk is the risk of economic losses due to adverse changes in financial market prices and rates. Our primary market risk has been interest rate risk. We do not have material exposure to commodity risk.</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03" w:lineRule="exact"/>
        <w:rPr>
          <w:sz w:val="20"/>
          <w:szCs w:val="20"/>
          <w:color w:val="auto"/>
        </w:rPr>
      </w:pPr>
    </w:p>
    <w:p>
      <w:pPr>
        <w:ind w:firstLine="762"/>
        <w:spacing w:after="0" w:line="257" w:lineRule="auto"/>
        <w:rPr>
          <w:sz w:val="20"/>
          <w:szCs w:val="20"/>
          <w:color w:val="auto"/>
        </w:rPr>
      </w:pPr>
      <w:r>
        <w:rPr>
          <w:rFonts w:ascii="Arial" w:cs="Arial" w:eastAsia="Arial" w:hAnsi="Arial"/>
          <w:sz w:val="17"/>
          <w:szCs w:val="17"/>
          <w:color w:val="auto"/>
        </w:rPr>
        <w:t>As of December 31, 2020, we had an outstanding balance under the 2020 Vehicle Floorplan Facility of $ 329.2 million. The 2020 Vehicle Floorplan Facility bears interest at a rate equal to the 1-Month LIBOR rate applicable in the immediately preceding month, plus a spread of 425 basis points. A hypothetical 10% change in interest rates during the year ended December 31, 2020 would result in a change to interest expense of $0.9 million.</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 Risk</w:t>
      </w:r>
    </w:p>
    <w:p>
      <w:pPr>
        <w:spacing w:after="0" w:line="103" w:lineRule="exact"/>
        <w:rPr>
          <w:sz w:val="20"/>
          <w:szCs w:val="20"/>
          <w:color w:val="auto"/>
        </w:rPr>
      </w:pPr>
    </w:p>
    <w:p>
      <w:pPr>
        <w:ind w:right="180" w:firstLine="762"/>
        <w:spacing w:after="0" w:line="257" w:lineRule="auto"/>
        <w:rPr>
          <w:sz w:val="20"/>
          <w:szCs w:val="20"/>
          <w:color w:val="auto"/>
        </w:rPr>
      </w:pPr>
      <w:r>
        <w:rPr>
          <w:rFonts w:ascii="Arial" w:cs="Arial" w:eastAsia="Arial" w:hAnsi="Arial"/>
          <w:sz w:val="17"/>
          <w:szCs w:val="17"/>
          <w:color w:val="auto"/>
        </w:rPr>
        <w:t>Inflationary factors such as increases in overhead costs may adversely affect our operating results. Although we do not believe that inflation has had a material impact on our financial position or results of operations to date, a high rate of inflation in the future may have an adverse effect on our ability to maintain current levels of operating expenses as a percentage of revenue, if the selling prices of our products do not increase with these increased costs.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8"/>
        </w:trPr>
        <w:tc>
          <w:tcPr>
            <w:tcW w:w="10460" w:type="dxa"/>
            <w:vAlign w:val="bottom"/>
            <w:gridSpan w:val="3"/>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10460" w:type="dxa"/>
            <w:vAlign w:val="bottom"/>
            <w:gridSpan w:val="3"/>
          </w:tcPr>
          <w:p>
            <w:pPr>
              <w:spacing w:after="0"/>
              <w:rPr>
                <w:sz w:val="20"/>
                <w:szCs w:val="20"/>
                <w:color w:val="auto"/>
              </w:rPr>
            </w:pPr>
            <w:r>
              <w:rPr>
                <w:rFonts w:ascii="Arial" w:cs="Arial" w:eastAsia="Arial" w:hAnsi="Arial"/>
                <w:sz w:val="17"/>
                <w:szCs w:val="17"/>
                <w:b w:val="1"/>
                <w:bCs w:val="1"/>
                <w:color w:val="auto"/>
              </w:rPr>
              <w:t>Item 8.Financial Statements and Supplementary Data</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3340" w:type="dxa"/>
            <w:vAlign w:val="bottom"/>
          </w:tcPr>
          <w:p>
            <w:pPr>
              <w:spacing w:after="0"/>
              <w:rPr>
                <w:sz w:val="24"/>
                <w:szCs w:val="24"/>
                <w:color w:val="auto"/>
              </w:rPr>
            </w:pPr>
          </w:p>
        </w:tc>
        <w:tc>
          <w:tcPr>
            <w:tcW w:w="7120" w:type="dxa"/>
            <w:vAlign w:val="bottom"/>
            <w:gridSpan w:val="2"/>
          </w:tcPr>
          <w:p>
            <w:pPr>
              <w:ind w:left="60"/>
              <w:spacing w:after="0"/>
              <w:rPr>
                <w:sz w:val="20"/>
                <w:szCs w:val="20"/>
                <w:color w:val="auto"/>
              </w:rPr>
            </w:pPr>
            <w:r>
              <w:rPr>
                <w:rFonts w:ascii="Arial" w:cs="Arial" w:eastAsia="Arial" w:hAnsi="Arial"/>
                <w:sz w:val="17"/>
                <w:szCs w:val="17"/>
                <w:b w:val="1"/>
                <w:bCs w:val="1"/>
                <w:color w:val="auto"/>
              </w:rPr>
              <w:t>INDEX TO CONSOLIDATED FINANCIAL STATEMENTS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33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460" w:type="dxa"/>
            <w:vAlign w:val="bottom"/>
            <w:gridSpan w:val="3"/>
          </w:tcPr>
          <w:p>
            <w:pPr>
              <w:spacing w:after="0"/>
              <w:rPr>
                <w:rFonts w:ascii="Arial" w:cs="Arial" w:eastAsia="Arial" w:hAnsi="Arial"/>
                <w:sz w:val="17"/>
                <w:szCs w:val="17"/>
                <w:u w:val="single" w:color="auto"/>
                <w:color w:val="0000EE"/>
              </w:rPr>
            </w:pPr>
            <w:hyperlink w:anchor="page81">
              <w:r>
                <w:rPr>
                  <w:rFonts w:ascii="Arial" w:cs="Arial" w:eastAsia="Arial" w:hAnsi="Arial"/>
                  <w:sz w:val="17"/>
                  <w:szCs w:val="17"/>
                  <w:u w:val="single" w:color="auto"/>
                  <w:color w:val="0000EE"/>
                </w:rPr>
                <w:t>Report of Independent Registered Public Accounting Firm</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196"/>
        </w:trPr>
        <w:tc>
          <w:tcPr>
            <w:tcW w:w="10460" w:type="dxa"/>
            <w:vAlign w:val="bottom"/>
            <w:gridSpan w:val="3"/>
          </w:tcPr>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Consolidated Balance Sheets as of December 31, 2020 and 2019</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196"/>
        </w:trPr>
        <w:tc>
          <w:tcPr>
            <w:tcW w:w="10460" w:type="dxa"/>
            <w:vAlign w:val="bottom"/>
            <w:gridSpan w:val="3"/>
          </w:tcPr>
          <w:p>
            <w:pPr>
              <w:spacing w:after="0"/>
              <w:rPr>
                <w:rFonts w:ascii="Arial" w:cs="Arial" w:eastAsia="Arial" w:hAnsi="Arial"/>
                <w:sz w:val="17"/>
                <w:szCs w:val="17"/>
                <w:u w:val="single" w:color="auto"/>
                <w:color w:val="0000EE"/>
              </w:rPr>
            </w:pPr>
            <w:hyperlink w:anchor="page84">
              <w:r>
                <w:rPr>
                  <w:rFonts w:ascii="Arial" w:cs="Arial" w:eastAsia="Arial" w:hAnsi="Arial"/>
                  <w:sz w:val="17"/>
                  <w:szCs w:val="17"/>
                  <w:u w:val="single" w:color="auto"/>
                  <w:color w:val="0000EE"/>
                </w:rPr>
                <w:t>Consolidated Statements of Operations for the Years Ended December 31, 2020, 2019 and 2018</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193"/>
        </w:trPr>
        <w:tc>
          <w:tcPr>
            <w:tcW w:w="10460" w:type="dxa"/>
            <w:vAlign w:val="bottom"/>
            <w:gridSpan w:val="3"/>
          </w:tcPr>
          <w:p>
            <w:pPr>
              <w:spacing w:after="0" w:line="193" w:lineRule="exact"/>
              <w:rPr>
                <w:rFonts w:ascii="Arial" w:cs="Arial" w:eastAsia="Arial" w:hAnsi="Arial"/>
                <w:sz w:val="17"/>
                <w:szCs w:val="17"/>
                <w:color w:val="0000EE"/>
              </w:rPr>
            </w:pPr>
            <w:hyperlink w:anchor="page85">
              <w:r>
                <w:rPr>
                  <w:rFonts w:ascii="Arial" w:cs="Arial" w:eastAsia="Arial" w:hAnsi="Arial"/>
                  <w:sz w:val="17"/>
                  <w:szCs w:val="17"/>
                  <w:color w:val="0000EE"/>
                </w:rPr>
                <w:t>Consolidated Statements of Changes in Redeemable Convertible Preferred Stock and Stockholders' Equity (Deficit) for the Years</w:t>
              </w:r>
            </w:hyperlink>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176"/>
        </w:trPr>
        <w:tc>
          <w:tcPr>
            <w:tcW w:w="9940" w:type="dxa"/>
            <w:vAlign w:val="bottom"/>
            <w:tcBorders>
              <w:top w:val="single" w:sz="8" w:color="0000EE"/>
            </w:tcBorders>
            <w:gridSpan w:val="2"/>
          </w:tcPr>
          <w:p>
            <w:pPr>
              <w:spacing w:after="0" w:line="176" w:lineRule="exact"/>
              <w:rPr>
                <w:rFonts w:ascii="Arial" w:cs="Arial" w:eastAsia="Arial" w:hAnsi="Arial"/>
                <w:sz w:val="17"/>
                <w:szCs w:val="17"/>
                <w:color w:val="0000EE"/>
              </w:rPr>
            </w:pPr>
            <w:hyperlink w:anchor="page85">
              <w:r>
                <w:rPr>
                  <w:rFonts w:ascii="Arial" w:cs="Arial" w:eastAsia="Arial" w:hAnsi="Arial"/>
                  <w:sz w:val="17"/>
                  <w:szCs w:val="17"/>
                  <w:color w:val="0000EE"/>
                </w:rPr>
                <w:t>Ended December 31, 2020, 2019 and 2018</w:t>
              </w:r>
            </w:hyperlink>
          </w:p>
        </w:tc>
        <w:tc>
          <w:tcPr>
            <w:tcW w:w="5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40" w:type="dxa"/>
            <w:vAlign w:val="bottom"/>
            <w:tcBorders>
              <w:top w:val="single" w:sz="8" w:color="0000EE"/>
            </w:tcBorders>
          </w:tcPr>
          <w:p>
            <w:pPr>
              <w:spacing w:after="0" w:line="180" w:lineRule="exact"/>
              <w:rPr>
                <w:rFonts w:ascii="Arial" w:cs="Arial" w:eastAsia="Arial" w:hAnsi="Arial"/>
                <w:sz w:val="17"/>
                <w:szCs w:val="17"/>
                <w:u w:val="single" w:color="auto"/>
                <w:color w:val="0000EE"/>
              </w:rPr>
            </w:pPr>
            <w:hyperlink w:anchor="page86">
              <w:r>
                <w:rPr>
                  <w:rFonts w:ascii="Arial" w:cs="Arial" w:eastAsia="Arial" w:hAnsi="Arial"/>
                  <w:sz w:val="17"/>
                  <w:szCs w:val="17"/>
                  <w:u w:val="single" w:color="auto"/>
                  <w:color w:val="0000EE"/>
                </w:rPr>
                <w:t>Consolidated Statements of Cash Flows for</w:t>
              </w:r>
            </w:hyperlink>
          </w:p>
        </w:tc>
        <w:tc>
          <w:tcPr>
            <w:tcW w:w="7120" w:type="dxa"/>
            <w:vAlign w:val="bottom"/>
            <w:gridSpan w:val="2"/>
          </w:tcPr>
          <w:p>
            <w:pPr>
              <w:ind w:left="60"/>
              <w:spacing w:after="0" w:line="180" w:lineRule="exact"/>
              <w:rPr>
                <w:rFonts w:ascii="Arial" w:cs="Arial" w:eastAsia="Arial" w:hAnsi="Arial"/>
                <w:sz w:val="17"/>
                <w:szCs w:val="17"/>
                <w:u w:val="single" w:color="auto"/>
                <w:color w:val="0000EE"/>
              </w:rPr>
            </w:pPr>
            <w:hyperlink w:anchor="page86">
              <w:r>
                <w:rPr>
                  <w:rFonts w:ascii="Arial" w:cs="Arial" w:eastAsia="Arial" w:hAnsi="Arial"/>
                  <w:sz w:val="17"/>
                  <w:szCs w:val="17"/>
                  <w:u w:val="single" w:color="auto"/>
                  <w:color w:val="0000EE"/>
                </w:rPr>
                <w:t>the Years Ended December 31, 2020, 2019 and 2018</w:t>
              </w:r>
            </w:hyperlink>
          </w:p>
        </w:tc>
        <w:tc>
          <w:tcPr>
            <w:tcW w:w="800" w:type="dxa"/>
            <w:vAlign w:val="bottom"/>
            <w:gridSpan w:val="2"/>
          </w:tcPr>
          <w:p>
            <w:pPr>
              <w:jc w:val="right"/>
              <w:ind w:right="20"/>
              <w:spacing w:after="0" w:line="180" w:lineRule="exact"/>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36"/>
        </w:trPr>
        <w:tc>
          <w:tcPr>
            <w:tcW w:w="10460" w:type="dxa"/>
            <w:vAlign w:val="bottom"/>
            <w:gridSpan w:val="3"/>
          </w:tcPr>
          <w:p>
            <w:pPr>
              <w:spacing w:after="0"/>
              <w:rPr>
                <w:rFonts w:ascii="Arial" w:cs="Arial" w:eastAsia="Arial" w:hAnsi="Arial"/>
                <w:sz w:val="17"/>
                <w:szCs w:val="17"/>
                <w:u w:val="single" w:color="auto"/>
                <w:color w:val="0000EE"/>
              </w:rPr>
            </w:pPr>
            <w:hyperlink w:anchor="page88">
              <w:r>
                <w:rPr>
                  <w:rFonts w:ascii="Arial" w:cs="Arial" w:eastAsia="Arial" w:hAnsi="Arial"/>
                  <w:sz w:val="17"/>
                  <w:szCs w:val="17"/>
                  <w:u w:val="single" w:color="auto"/>
                  <w:color w:val="0000EE"/>
                </w:rPr>
                <w:t>Notes to Consolidated Financial Statements</w:t>
              </w:r>
            </w:hyperlink>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824"/>
        </w:trPr>
        <w:tc>
          <w:tcPr>
            <w:tcW w:w="9940" w:type="dxa"/>
            <w:vAlign w:val="bottom"/>
            <w:gridSpan w:val="2"/>
          </w:tcPr>
          <w:p>
            <w:pPr>
              <w:ind w:left="5520"/>
              <w:spacing w:after="0"/>
              <w:rPr>
                <w:sz w:val="20"/>
                <w:szCs w:val="20"/>
                <w:color w:val="auto"/>
              </w:rPr>
            </w:pPr>
            <w:r>
              <w:rPr>
                <w:rFonts w:ascii="Arial" w:cs="Arial" w:eastAsia="Arial" w:hAnsi="Arial"/>
                <w:sz w:val="17"/>
                <w:szCs w:val="17"/>
                <w:color w:val="auto"/>
              </w:rPr>
              <w:t>80</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3340" w:type="dxa"/>
            <w:vAlign w:val="bottom"/>
            <w:tcBorders>
              <w:bottom w:val="single" w:sz="8" w:color="9A9A9A"/>
            </w:tcBorders>
          </w:tcPr>
          <w:p>
            <w:pPr>
              <w:spacing w:after="0"/>
              <w:rPr>
                <w:sz w:val="8"/>
                <w:szCs w:val="8"/>
                <w:color w:val="auto"/>
              </w:rPr>
            </w:pPr>
          </w:p>
        </w:tc>
        <w:tc>
          <w:tcPr>
            <w:tcW w:w="66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-7620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38" w:lineRule="exact"/>
        <w:rPr>
          <w:sz w:val="20"/>
          <w:szCs w:val="20"/>
          <w:color w:val="auto"/>
        </w:rPr>
      </w:pPr>
    </w:p>
    <w:p>
      <w:pPr>
        <w:ind w:right="3180" w:firstLine="3212"/>
        <w:spacing w:after="0" w:line="492"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Board of Directors and Stockholders of Vroom, Inc.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208"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We have audited the accompanying consolidated balance sheets of Vroom, Inc. and its subsidiaries (the “Company”) as of December 31, 2020 and 2019, and the related consolidated statements of operations, of changes in redeemable convertible preferred stock and stockholders' equity (deficit) and of cash flows for each of the three years in the period ended December 31, 2020,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208"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51"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21" w:lineRule="exact"/>
        <w:rPr>
          <w:sz w:val="20"/>
          <w:szCs w:val="20"/>
          <w:color w:val="auto"/>
        </w:rPr>
      </w:pPr>
    </w:p>
    <w:p>
      <w:pPr>
        <w:ind w:right="400"/>
        <w:spacing w:after="0" w:line="246" w:lineRule="auto"/>
        <w:rPr>
          <w:sz w:val="20"/>
          <w:szCs w:val="20"/>
          <w:color w:val="auto"/>
        </w:rPr>
      </w:pPr>
      <w:r>
        <w:rPr>
          <w:rFonts w:ascii="Arial" w:cs="Arial" w:eastAsia="Arial" w:hAnsi="Arial"/>
          <w:sz w:val="17"/>
          <w:szCs w:val="17"/>
          <w:color w:val="auto"/>
        </w:rPr>
        <w:t>As described in Notes 2 and 3 to the consolidated financial statements, revenue consists of retail used vehicle sales, wholesale used vehicle sales, fees earned on sales of value-added products to customers in connection with vehicle sales, and other revenues. The Company recognizes revenue upon the transfer of control of goods or services to customers, in an amount that reflects the consideration to which the Company expects to be entitled in exchange for those goods or services. The Company’s revenue was $1,357.7 million for the year ended December 31, 2020.</w:t>
      </w:r>
    </w:p>
    <w:p>
      <w:pPr>
        <w:spacing w:after="0" w:line="167" w:lineRule="exact"/>
        <w:rPr>
          <w:sz w:val="20"/>
          <w:szCs w:val="20"/>
          <w:color w:val="auto"/>
        </w:rPr>
      </w:pPr>
    </w:p>
    <w:p>
      <w:pPr>
        <w:jc w:val="both"/>
        <w:ind w:right="120"/>
        <w:spacing w:after="0" w:line="265" w:lineRule="auto"/>
        <w:rPr>
          <w:sz w:val="20"/>
          <w:szCs w:val="20"/>
          <w:color w:val="auto"/>
        </w:rPr>
      </w:pPr>
      <w:r>
        <w:rPr>
          <w:rFonts w:ascii="Arial" w:cs="Arial" w:eastAsia="Arial" w:hAnsi="Arial"/>
          <w:sz w:val="17"/>
          <w:szCs w:val="17"/>
          <w:color w:val="auto"/>
        </w:rPr>
        <w:t>The principal considerations for our determination that performing procedures relating to revenue recognition is a critical audit matter are a high degree of auditor effort in performing procedures and evaluating audit evidence related to revenue recognition after consideration of the material weaknesses identified by the Company in its internal control environment.</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among others, (i) evaluating the recognition of revenue for a sample of revenue transactions by obtaining and inspecting source documents, including invoices, sales contracts, shipping and delivery documents and cash receipts and (ii) testing the cutoff of revenue transactions. These procedures also included evaluating the nature and extent of audit procedures performed and evidence obtained.</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7"/>
          <w:szCs w:val="17"/>
          <w:color w:val="auto"/>
        </w:rPr>
        <w:t>/s/ PricewaterhouseCoopers LLP</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March 3, 2021</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040"/>
          </w:cols>
          <w:pgMar w:left="320" w:top="126" w:right="5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3"/>
          </w:tcPr>
          <w:p>
            <w:pPr>
              <w:jc w:val="right"/>
              <w:ind w:right="367"/>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60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9"/>
        </w:trPr>
        <w:tc>
          <w:tcPr>
            <w:tcW w:w="76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00" w:type="dxa"/>
            <w:vAlign w:val="bottom"/>
          </w:tcPr>
          <w:p>
            <w:pPr>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FF0FC"/>
          </w:tcPr>
          <w:p>
            <w:pPr>
              <w:jc w:val="right"/>
              <w:ind w:right="20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1,056,213</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217,734</w:t>
            </w:r>
          </w:p>
        </w:tc>
        <w:tc>
          <w:tcPr>
            <w:tcW w:w="0" w:type="dxa"/>
            <w:vAlign w:val="bottom"/>
          </w:tcPr>
          <w:p>
            <w:pPr>
              <w:spacing w:after="0"/>
              <w:rPr>
                <w:sz w:val="1"/>
                <w:szCs w:val="1"/>
                <w:color w:val="auto"/>
              </w:rPr>
            </w:pPr>
          </w:p>
        </w:tc>
      </w:tr>
      <w:tr>
        <w:trPr>
          <w:trHeight w:val="196"/>
        </w:trPr>
        <w:tc>
          <w:tcPr>
            <w:tcW w:w="7600" w:type="dxa"/>
            <w:vAlign w:val="bottom"/>
          </w:tcPr>
          <w:p>
            <w:pPr>
              <w:ind w:left="240"/>
              <w:spacing w:after="0"/>
              <w:rPr>
                <w:sz w:val="20"/>
                <w:szCs w:val="20"/>
                <w:color w:val="auto"/>
              </w:rPr>
            </w:pPr>
            <w:r>
              <w:rPr>
                <w:rFonts w:ascii="Arial" w:cs="Arial" w:eastAsia="Arial" w:hAnsi="Arial"/>
                <w:sz w:val="16"/>
                <w:szCs w:val="16"/>
                <w:color w:val="auto"/>
              </w:rPr>
              <w:t>Restricted cash</w:t>
            </w:r>
          </w:p>
        </w:tc>
        <w:tc>
          <w:tcPr>
            <w:tcW w:w="380" w:type="dxa"/>
            <w:vAlign w:val="bottom"/>
          </w:tcPr>
          <w:p>
            <w:pPr>
              <w:spacing w:after="0"/>
              <w:rPr>
                <w:sz w:val="17"/>
                <w:szCs w:val="17"/>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33,826</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1,853</w:t>
            </w: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 net of allowance of $2,803 and $789, respectively</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60,576</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30,848</w:t>
            </w:r>
          </w:p>
        </w:tc>
        <w:tc>
          <w:tcPr>
            <w:tcW w:w="0" w:type="dxa"/>
            <w:vAlign w:val="bottom"/>
          </w:tcPr>
          <w:p>
            <w:pPr>
              <w:spacing w:after="0"/>
              <w:rPr>
                <w:sz w:val="1"/>
                <w:szCs w:val="1"/>
                <w:color w:val="auto"/>
              </w:rPr>
            </w:pPr>
          </w:p>
        </w:tc>
      </w:tr>
      <w:tr>
        <w:trPr>
          <w:trHeight w:val="196"/>
        </w:trPr>
        <w:tc>
          <w:tcPr>
            <w:tcW w:w="7600" w:type="dxa"/>
            <w:vAlign w:val="bottom"/>
          </w:tcPr>
          <w:p>
            <w:pPr>
              <w:ind w:left="240"/>
              <w:spacing w:after="0"/>
              <w:rPr>
                <w:sz w:val="20"/>
                <w:szCs w:val="20"/>
                <w:color w:val="auto"/>
              </w:rPr>
            </w:pPr>
            <w:r>
              <w:rPr>
                <w:rFonts w:ascii="Arial" w:cs="Arial" w:eastAsia="Arial" w:hAnsi="Arial"/>
                <w:sz w:val="16"/>
                <w:szCs w:val="16"/>
                <w:color w:val="auto"/>
              </w:rPr>
              <w:t>Inventory</w:t>
            </w:r>
          </w:p>
        </w:tc>
        <w:tc>
          <w:tcPr>
            <w:tcW w:w="380" w:type="dxa"/>
            <w:vAlign w:val="bottom"/>
          </w:tcPr>
          <w:p>
            <w:pPr>
              <w:spacing w:after="0"/>
              <w:rPr>
                <w:sz w:val="17"/>
                <w:szCs w:val="17"/>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423,647</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205,746</w:t>
            </w: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23,617</w:t>
            </w:r>
          </w:p>
        </w:tc>
        <w:tc>
          <w:tcPr>
            <w:tcW w:w="160" w:type="dxa"/>
            <w:vAlign w:val="bottom"/>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9,149</w:t>
            </w:r>
          </w:p>
        </w:tc>
        <w:tc>
          <w:tcPr>
            <w:tcW w:w="0" w:type="dxa"/>
            <w:vAlign w:val="bottom"/>
          </w:tcPr>
          <w:p>
            <w:pPr>
              <w:spacing w:after="0"/>
              <w:rPr>
                <w:sz w:val="1"/>
                <w:szCs w:val="1"/>
                <w:color w:val="auto"/>
              </w:rPr>
            </w:pPr>
          </w:p>
        </w:tc>
      </w:tr>
      <w:tr>
        <w:trPr>
          <w:trHeight w:val="189"/>
        </w:trPr>
        <w:tc>
          <w:tcPr>
            <w:tcW w:w="7600" w:type="dxa"/>
            <w:vAlign w:val="bottom"/>
          </w:tcPr>
          <w:p>
            <w:pPr>
              <w:ind w:left="480"/>
              <w:spacing w:after="0"/>
              <w:rPr>
                <w:sz w:val="20"/>
                <w:szCs w:val="20"/>
                <w:color w:val="auto"/>
              </w:rPr>
            </w:pPr>
            <w:r>
              <w:rPr>
                <w:rFonts w:ascii="Arial" w:cs="Arial" w:eastAsia="Arial" w:hAnsi="Arial"/>
                <w:sz w:val="16"/>
                <w:szCs w:val="16"/>
                <w:color w:val="auto"/>
              </w:rPr>
              <w:t>Total current assets</w:t>
            </w:r>
          </w:p>
        </w:tc>
        <w:tc>
          <w:tcPr>
            <w:tcW w:w="380" w:type="dxa"/>
            <w:vAlign w:val="bottom"/>
          </w:tcPr>
          <w:p>
            <w:pPr>
              <w:spacing w:after="0"/>
              <w:rPr>
                <w:sz w:val="16"/>
                <w:szCs w:val="16"/>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1,597,879</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465,330</w:t>
            </w: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15,092</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7,828</w:t>
            </w:r>
          </w:p>
        </w:tc>
        <w:tc>
          <w:tcPr>
            <w:tcW w:w="0" w:type="dxa"/>
            <w:vAlign w:val="bottom"/>
          </w:tcPr>
          <w:p>
            <w:pPr>
              <w:spacing w:after="0"/>
              <w:rPr>
                <w:sz w:val="1"/>
                <w:szCs w:val="1"/>
                <w:color w:val="auto"/>
              </w:rPr>
            </w:pPr>
          </w:p>
        </w:tc>
      </w:tr>
      <w:tr>
        <w:trPr>
          <w:trHeight w:val="196"/>
        </w:trPr>
        <w:tc>
          <w:tcPr>
            <w:tcW w:w="7600" w:type="dxa"/>
            <w:vAlign w:val="bottom"/>
          </w:tcPr>
          <w:p>
            <w:pPr>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17"/>
                <w:szCs w:val="17"/>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78,172</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78,172</w:t>
            </w: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17,137</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15,776</w:t>
            </w:r>
          </w:p>
        </w:tc>
        <w:tc>
          <w:tcPr>
            <w:tcW w:w="16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12,057</w:t>
            </w:r>
          </w:p>
        </w:tc>
        <w:tc>
          <w:tcPr>
            <w:tcW w:w="0" w:type="dxa"/>
            <w:vAlign w:val="bottom"/>
          </w:tcPr>
          <w:p>
            <w:pPr>
              <w:spacing w:after="0"/>
              <w:rPr>
                <w:sz w:val="1"/>
                <w:szCs w:val="1"/>
                <w:color w:val="auto"/>
              </w:rPr>
            </w:pPr>
          </w:p>
        </w:tc>
      </w:tr>
      <w:tr>
        <w:trPr>
          <w:trHeight w:val="189"/>
        </w:trPr>
        <w:tc>
          <w:tcPr>
            <w:tcW w:w="76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shd w:val="clear" w:color="auto" w:fill="CFF0FC"/>
          </w:tcPr>
          <w:p>
            <w:pPr>
              <w:jc w:val="right"/>
              <w:ind w:right="20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1,724,056</w:t>
            </w:r>
          </w:p>
        </w:tc>
        <w:tc>
          <w:tcPr>
            <w:tcW w:w="16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563,387</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REDEEMABLE CONVERTIBLE PREFERRED STOCK AND STOCKHOLDERS’ EQUITY</w:t>
            </w: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20"/>
                <w:szCs w:val="20"/>
                <w:color w:val="auto"/>
              </w:rPr>
            </w:pPr>
            <w:r>
              <w:rPr>
                <w:rFonts w:ascii="Arial" w:cs="Arial" w:eastAsia="Arial" w:hAnsi="Arial"/>
                <w:sz w:val="16"/>
                <w:szCs w:val="16"/>
                <w:b w:val="1"/>
                <w:bCs w:val="1"/>
                <w:color w:val="auto"/>
              </w:rPr>
              <w:t>(DEFICIT)</w:t>
            </w: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32,925</w:t>
            </w:r>
          </w:p>
        </w:tc>
        <w:tc>
          <w:tcPr>
            <w:tcW w:w="160" w:type="dxa"/>
            <w:vAlign w:val="bottom"/>
          </w:tcPr>
          <w:p>
            <w:pPr>
              <w:spacing w:after="0"/>
              <w:rPr>
                <w:sz w:val="17"/>
                <w:szCs w:val="17"/>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18,987</w:t>
            </w: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expenses</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59,405</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38,491</w:t>
            </w:r>
          </w:p>
        </w:tc>
        <w:tc>
          <w:tcPr>
            <w:tcW w:w="0" w:type="dxa"/>
            <w:vAlign w:val="bottom"/>
          </w:tcPr>
          <w:p>
            <w:pPr>
              <w:spacing w:after="0"/>
              <w:rPr>
                <w:sz w:val="1"/>
                <w:szCs w:val="1"/>
                <w:color w:val="auto"/>
              </w:rPr>
            </w:pPr>
          </w:p>
        </w:tc>
      </w:tr>
      <w:tr>
        <w:trPr>
          <w:trHeight w:val="196"/>
        </w:trPr>
        <w:tc>
          <w:tcPr>
            <w:tcW w:w="7600" w:type="dxa"/>
            <w:vAlign w:val="bottom"/>
          </w:tcPr>
          <w:p>
            <w:pPr>
              <w:ind w:left="240"/>
              <w:spacing w:after="0"/>
              <w:rPr>
                <w:sz w:val="20"/>
                <w:szCs w:val="20"/>
                <w:color w:val="auto"/>
              </w:rPr>
            </w:pPr>
            <w:r>
              <w:rPr>
                <w:rFonts w:ascii="Arial" w:cs="Arial" w:eastAsia="Arial" w:hAnsi="Arial"/>
                <w:sz w:val="16"/>
                <w:szCs w:val="16"/>
                <w:color w:val="auto"/>
              </w:rPr>
              <w:t>Vehicle floorplan</w:t>
            </w:r>
          </w:p>
        </w:tc>
        <w:tc>
          <w:tcPr>
            <w:tcW w:w="380" w:type="dxa"/>
            <w:vAlign w:val="bottom"/>
          </w:tcPr>
          <w:p>
            <w:pPr>
              <w:spacing w:after="0"/>
              <w:rPr>
                <w:sz w:val="17"/>
                <w:szCs w:val="17"/>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329,231</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173,461</w:t>
            </w: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revenue</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24,822</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17,323</w:t>
            </w:r>
          </w:p>
        </w:tc>
        <w:tc>
          <w:tcPr>
            <w:tcW w:w="0" w:type="dxa"/>
            <w:vAlign w:val="bottom"/>
          </w:tcPr>
          <w:p>
            <w:pPr>
              <w:spacing w:after="0"/>
              <w:rPr>
                <w:sz w:val="1"/>
                <w:szCs w:val="1"/>
                <w:color w:val="auto"/>
              </w:rPr>
            </w:pPr>
          </w:p>
        </w:tc>
      </w:tr>
      <w:tr>
        <w:trPr>
          <w:trHeight w:val="196"/>
        </w:trPr>
        <w:tc>
          <w:tcPr>
            <w:tcW w:w="7600" w:type="dxa"/>
            <w:vAlign w:val="bottom"/>
          </w:tcPr>
          <w:p>
            <w:pPr>
              <w:ind w:left="240"/>
              <w:spacing w:after="0"/>
              <w:rPr>
                <w:sz w:val="20"/>
                <w:szCs w:val="20"/>
                <w:color w:val="auto"/>
              </w:rPr>
            </w:pPr>
            <w:r>
              <w:rPr>
                <w:rFonts w:ascii="Arial" w:cs="Arial" w:eastAsia="Arial" w:hAnsi="Arial"/>
                <w:sz w:val="16"/>
                <w:szCs w:val="16"/>
                <w:color w:val="auto"/>
              </w:rPr>
              <w:t>Operating lease liabilities, current</w:t>
            </w:r>
          </w:p>
        </w:tc>
        <w:tc>
          <w:tcPr>
            <w:tcW w:w="380" w:type="dxa"/>
            <w:vAlign w:val="bottom"/>
          </w:tcPr>
          <w:p>
            <w:pPr>
              <w:spacing w:after="0"/>
              <w:rPr>
                <w:sz w:val="17"/>
                <w:szCs w:val="17"/>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6,052</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current liabilities</w:t>
            </w:r>
          </w:p>
        </w:tc>
        <w:tc>
          <w:tcPr>
            <w:tcW w:w="3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30,275</w:t>
            </w:r>
          </w:p>
        </w:tc>
        <w:tc>
          <w:tcPr>
            <w:tcW w:w="160" w:type="dxa"/>
            <w:vAlign w:val="bottom"/>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11,572</w:t>
            </w:r>
          </w:p>
        </w:tc>
        <w:tc>
          <w:tcPr>
            <w:tcW w:w="0" w:type="dxa"/>
            <w:vAlign w:val="bottom"/>
          </w:tcPr>
          <w:p>
            <w:pPr>
              <w:spacing w:after="0"/>
              <w:rPr>
                <w:sz w:val="1"/>
                <w:szCs w:val="1"/>
                <w:color w:val="auto"/>
              </w:rPr>
            </w:pPr>
          </w:p>
        </w:tc>
      </w:tr>
      <w:tr>
        <w:trPr>
          <w:trHeight w:val="189"/>
        </w:trPr>
        <w:tc>
          <w:tcPr>
            <w:tcW w:w="760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380" w:type="dxa"/>
            <w:vAlign w:val="bottom"/>
          </w:tcPr>
          <w:p>
            <w:pPr>
              <w:spacing w:after="0"/>
              <w:rPr>
                <w:sz w:val="16"/>
                <w:szCs w:val="16"/>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482,710</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259,834</w:t>
            </w: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 excluding current portion</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12,093</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long-term liabilities</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2,151</w:t>
            </w:r>
          </w:p>
        </w:tc>
        <w:tc>
          <w:tcPr>
            <w:tcW w:w="16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3,073</w:t>
            </w:r>
          </w:p>
        </w:tc>
        <w:tc>
          <w:tcPr>
            <w:tcW w:w="0" w:type="dxa"/>
            <w:vAlign w:val="bottom"/>
          </w:tcPr>
          <w:p>
            <w:pPr>
              <w:spacing w:after="0"/>
              <w:rPr>
                <w:sz w:val="1"/>
                <w:szCs w:val="1"/>
                <w:color w:val="auto"/>
              </w:rPr>
            </w:pPr>
          </w:p>
        </w:tc>
      </w:tr>
      <w:tr>
        <w:trPr>
          <w:trHeight w:val="189"/>
        </w:trPr>
        <w:tc>
          <w:tcPr>
            <w:tcW w:w="76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liabilities</w:t>
            </w:r>
          </w:p>
        </w:tc>
        <w:tc>
          <w:tcPr>
            <w:tcW w:w="38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496,954</w:t>
            </w:r>
          </w:p>
        </w:tc>
        <w:tc>
          <w:tcPr>
            <w:tcW w:w="160" w:type="dxa"/>
            <w:vAlign w:val="bottom"/>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262,907</w:t>
            </w:r>
          </w:p>
        </w:tc>
        <w:tc>
          <w:tcPr>
            <w:tcW w:w="0" w:type="dxa"/>
            <w:vAlign w:val="bottom"/>
          </w:tcPr>
          <w:p>
            <w:pPr>
              <w:spacing w:after="0"/>
              <w:rPr>
                <w:sz w:val="1"/>
                <w:szCs w:val="1"/>
                <w:color w:val="auto"/>
              </w:rPr>
            </w:pPr>
          </w:p>
        </w:tc>
      </w:tr>
      <w:tr>
        <w:trPr>
          <w:trHeight w:val="189"/>
        </w:trPr>
        <w:tc>
          <w:tcPr>
            <w:tcW w:w="7600" w:type="dxa"/>
            <w:vAlign w:val="bottom"/>
          </w:tcPr>
          <w:p>
            <w:pPr>
              <w:spacing w:after="0"/>
              <w:rPr>
                <w:sz w:val="20"/>
                <w:szCs w:val="20"/>
                <w:color w:val="auto"/>
              </w:rPr>
            </w:pPr>
            <w:r>
              <w:rPr>
                <w:rFonts w:ascii="Arial" w:cs="Arial" w:eastAsia="Arial" w:hAnsi="Arial"/>
                <w:sz w:val="16"/>
                <w:szCs w:val="16"/>
                <w:color w:val="auto"/>
              </w:rPr>
              <w:t>Commitments and contingencies (Note 9)</w:t>
            </w: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600" w:type="dxa"/>
            <w:vAlign w:val="bottom"/>
            <w:shd w:val="clear" w:color="auto" w:fill="CFF0FC"/>
          </w:tcPr>
          <w:p>
            <w:pPr>
              <w:ind w:left="240"/>
              <w:spacing w:after="0" w:line="178" w:lineRule="exact"/>
              <w:rPr>
                <w:sz w:val="20"/>
                <w:szCs w:val="20"/>
                <w:color w:val="auto"/>
              </w:rPr>
            </w:pPr>
            <w:r>
              <w:rPr>
                <w:rFonts w:ascii="Arial" w:cs="Arial" w:eastAsia="Arial" w:hAnsi="Arial"/>
                <w:sz w:val="16"/>
                <w:szCs w:val="16"/>
                <w:color w:val="auto"/>
              </w:rPr>
              <w:t>Redeemable convertible preferred stock, $0.001 par value; 10,000,000 and 86,123,364 shares</w:t>
            </w:r>
          </w:p>
        </w:tc>
        <w:tc>
          <w:tcPr>
            <w:tcW w:w="3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authorized as of December 31, 2020 and 2019, respectively; zero and 83,568,628 shares issued and</w:t>
            </w:r>
          </w:p>
        </w:tc>
        <w:tc>
          <w:tcPr>
            <w:tcW w:w="3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6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outstanding as of December 31, 2020 and 2019, respectively</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874,332</w:t>
            </w:r>
          </w:p>
        </w:tc>
        <w:tc>
          <w:tcPr>
            <w:tcW w:w="0" w:type="dxa"/>
            <w:vAlign w:val="bottom"/>
          </w:tcPr>
          <w:p>
            <w:pPr>
              <w:spacing w:after="0"/>
              <w:rPr>
                <w:sz w:val="1"/>
                <w:szCs w:val="1"/>
                <w:color w:val="auto"/>
              </w:rPr>
            </w:pPr>
          </w:p>
        </w:tc>
      </w:tr>
      <w:tr>
        <w:trPr>
          <w:trHeight w:val="189"/>
        </w:trPr>
        <w:tc>
          <w:tcPr>
            <w:tcW w:w="7600" w:type="dxa"/>
            <w:vAlign w:val="bottom"/>
          </w:tcPr>
          <w:p>
            <w:pPr>
              <w:spacing w:after="0"/>
              <w:rPr>
                <w:sz w:val="20"/>
                <w:szCs w:val="20"/>
                <w:color w:val="auto"/>
              </w:rPr>
            </w:pPr>
            <w:r>
              <w:rPr>
                <w:rFonts w:ascii="Arial" w:cs="Arial" w:eastAsia="Arial" w:hAnsi="Arial"/>
                <w:sz w:val="16"/>
                <w:szCs w:val="16"/>
                <w:color w:val="auto"/>
              </w:rPr>
              <w:t>Stockholders’ equity (deficit):</w:t>
            </w:r>
          </w:p>
        </w:tc>
        <w:tc>
          <w:tcPr>
            <w:tcW w:w="3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600" w:type="dxa"/>
            <w:vAlign w:val="bottom"/>
            <w:shd w:val="clear" w:color="auto" w:fill="CFF0FC"/>
          </w:tcPr>
          <w:p>
            <w:pPr>
              <w:ind w:left="240"/>
              <w:spacing w:after="0" w:line="178" w:lineRule="exact"/>
              <w:rPr>
                <w:sz w:val="20"/>
                <w:szCs w:val="20"/>
                <w:color w:val="auto"/>
              </w:rPr>
            </w:pPr>
            <w:r>
              <w:rPr>
                <w:rFonts w:ascii="Arial" w:cs="Arial" w:eastAsia="Arial" w:hAnsi="Arial"/>
                <w:sz w:val="16"/>
                <w:szCs w:val="16"/>
                <w:color w:val="auto"/>
              </w:rPr>
              <w:t>Common stock, $0.001 par value; 500,000,000 and 113,443,854 shares authorized as of December 31,</w:t>
            </w:r>
          </w:p>
        </w:tc>
        <w:tc>
          <w:tcPr>
            <w:tcW w:w="3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2020 and 2019, respectively; 134,043,969 and 8,650,922 shares issued and outstanding as of</w:t>
            </w:r>
          </w:p>
        </w:tc>
        <w:tc>
          <w:tcPr>
            <w:tcW w:w="3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6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December 31, 2020 and 2019, respectively</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132</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6"/>
        </w:trPr>
        <w:tc>
          <w:tcPr>
            <w:tcW w:w="7600" w:type="dxa"/>
            <w:vAlign w:val="bottom"/>
          </w:tcPr>
          <w:p>
            <w:pPr>
              <w:ind w:left="240"/>
              <w:spacing w:after="0"/>
              <w:rPr>
                <w:sz w:val="20"/>
                <w:szCs w:val="20"/>
                <w:color w:val="auto"/>
              </w:rPr>
            </w:pPr>
            <w:r>
              <w:rPr>
                <w:rFonts w:ascii="Arial" w:cs="Arial" w:eastAsia="Arial" w:hAnsi="Arial"/>
                <w:sz w:val="16"/>
                <w:szCs w:val="16"/>
                <w:color w:val="auto"/>
              </w:rPr>
              <w:t>Additional paid-in-capital</w:t>
            </w:r>
          </w:p>
        </w:tc>
        <w:tc>
          <w:tcPr>
            <w:tcW w:w="380" w:type="dxa"/>
            <w:vAlign w:val="bottom"/>
          </w:tcPr>
          <w:p>
            <w:pPr>
              <w:spacing w:after="0"/>
              <w:rPr>
                <w:sz w:val="17"/>
                <w:szCs w:val="17"/>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2,004,841</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Accumulated deficit</w:t>
            </w:r>
          </w:p>
        </w:tc>
        <w:tc>
          <w:tcPr>
            <w:tcW w:w="3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(777,871)</w:t>
            </w:r>
          </w:p>
        </w:tc>
        <w:tc>
          <w:tcPr>
            <w:tcW w:w="160" w:type="dxa"/>
            <w:vAlign w:val="bottom"/>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(573,860)</w:t>
            </w:r>
          </w:p>
        </w:tc>
        <w:tc>
          <w:tcPr>
            <w:tcW w:w="0" w:type="dxa"/>
            <w:vAlign w:val="bottom"/>
          </w:tcPr>
          <w:p>
            <w:pPr>
              <w:spacing w:after="0"/>
              <w:rPr>
                <w:sz w:val="1"/>
                <w:szCs w:val="1"/>
                <w:color w:val="auto"/>
              </w:rPr>
            </w:pPr>
          </w:p>
        </w:tc>
      </w:tr>
      <w:tr>
        <w:trPr>
          <w:trHeight w:val="189"/>
        </w:trPr>
        <w:tc>
          <w:tcPr>
            <w:tcW w:w="760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Total stockholders’ equity (deficit)</w:t>
            </w: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1,227,102</w:t>
            </w:r>
          </w:p>
        </w:tc>
        <w:tc>
          <w:tcPr>
            <w:tcW w:w="160" w:type="dxa"/>
            <w:vAlign w:val="bottom"/>
            <w:tcBorders>
              <w:bottom w:val="single" w:sz="8" w:color="CFF0FC"/>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(573,852)</w:t>
            </w:r>
          </w:p>
        </w:tc>
        <w:tc>
          <w:tcPr>
            <w:tcW w:w="0" w:type="dxa"/>
            <w:vAlign w:val="bottom"/>
          </w:tcPr>
          <w:p>
            <w:pPr>
              <w:spacing w:after="0"/>
              <w:rPr>
                <w:sz w:val="1"/>
                <w:szCs w:val="1"/>
                <w:color w:val="auto"/>
              </w:rPr>
            </w:pPr>
          </w:p>
        </w:tc>
      </w:tr>
      <w:tr>
        <w:trPr>
          <w:trHeight w:val="189"/>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liabilities, redeemable convertible preferred stock and stockholders’ equity (deficit)</w:t>
            </w:r>
          </w:p>
        </w:tc>
        <w:tc>
          <w:tcPr>
            <w:tcW w:w="380" w:type="dxa"/>
            <w:vAlign w:val="bottom"/>
            <w:tcBorders>
              <w:bottom w:val="single" w:sz="8" w:color="auto"/>
            </w:tcBorders>
            <w:shd w:val="clear" w:color="auto" w:fill="CFF0FC"/>
          </w:tcPr>
          <w:p>
            <w:pPr>
              <w:jc w:val="right"/>
              <w:ind w:right="20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1,724,056</w:t>
            </w:r>
          </w:p>
        </w:tc>
        <w:tc>
          <w:tcPr>
            <w:tcW w:w="16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563,387</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these consolidated financial statements</w:t>
      </w:r>
      <w:r>
        <w:rPr>
          <w:rFonts w:ascii="Arial" w:cs="Arial" w:eastAsia="Arial" w:hAnsi="Arial"/>
          <w:sz w:val="17"/>
          <w:szCs w:val="17"/>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33"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Year Ended</w:t>
      </w:r>
    </w:p>
    <w:p>
      <w:pPr>
        <w:spacing w:after="0" w:line="5"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63"/>
        </w:trPr>
        <w:tc>
          <w:tcPr>
            <w:tcW w:w="60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9"/>
        </w:trPr>
        <w:tc>
          <w:tcPr>
            <w:tcW w:w="602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20" w:type="dxa"/>
            <w:vAlign w:val="bottom"/>
          </w:tcPr>
          <w:p>
            <w:pPr>
              <w:ind w:left="240"/>
              <w:spacing w:after="0"/>
              <w:rPr>
                <w:sz w:val="20"/>
                <w:szCs w:val="20"/>
                <w:color w:val="auto"/>
              </w:rPr>
            </w:pPr>
            <w:r>
              <w:rPr>
                <w:rFonts w:ascii="Arial" w:cs="Arial" w:eastAsia="Arial" w:hAnsi="Arial"/>
                <w:sz w:val="16"/>
                <w:szCs w:val="16"/>
                <w:color w:val="auto"/>
              </w:rPr>
              <w:t>Retail vehicle, net</w:t>
            </w:r>
          </w:p>
        </w:tc>
        <w:tc>
          <w:tcPr>
            <w:tcW w:w="460" w:type="dxa"/>
            <w:vAlign w:val="bottom"/>
            <w:gridSpan w:val="2"/>
          </w:tcPr>
          <w:p>
            <w:pPr>
              <w:jc w:val="right"/>
              <w:ind w:right="167"/>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1,072,551</w:t>
            </w:r>
          </w:p>
        </w:tc>
        <w:tc>
          <w:tcPr>
            <w:tcW w:w="160" w:type="dxa"/>
            <w:vAlign w:val="bottom"/>
          </w:tcPr>
          <w:p>
            <w:pPr>
              <w:spacing w:after="0"/>
              <w:rPr>
                <w:sz w:val="17"/>
                <w:szCs w:val="17"/>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952,910</w:t>
            </w:r>
          </w:p>
        </w:tc>
        <w:tc>
          <w:tcPr>
            <w:tcW w:w="14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656,928</w:t>
            </w:r>
          </w:p>
        </w:tc>
        <w:tc>
          <w:tcPr>
            <w:tcW w:w="0" w:type="dxa"/>
            <w:vAlign w:val="bottom"/>
          </w:tcPr>
          <w:p>
            <w:pPr>
              <w:spacing w:after="0"/>
              <w:rPr>
                <w:sz w:val="1"/>
                <w:szCs w:val="1"/>
                <w:color w:val="auto"/>
              </w:rPr>
            </w:pPr>
          </w:p>
        </w:tc>
      </w:tr>
      <w:tr>
        <w:trPr>
          <w:trHeight w:val="196"/>
        </w:trPr>
        <w:tc>
          <w:tcPr>
            <w:tcW w:w="6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Wholesale vehicle</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245,580</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213,464</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174,514</w:t>
            </w:r>
          </w:p>
        </w:tc>
        <w:tc>
          <w:tcPr>
            <w:tcW w:w="0" w:type="dxa"/>
            <w:vAlign w:val="bottom"/>
          </w:tcPr>
          <w:p>
            <w:pPr>
              <w:spacing w:after="0"/>
              <w:rPr>
                <w:sz w:val="1"/>
                <w:szCs w:val="1"/>
                <w:color w:val="auto"/>
              </w:rPr>
            </w:pPr>
          </w:p>
        </w:tc>
      </w:tr>
      <w:tr>
        <w:trPr>
          <w:trHeight w:val="196"/>
        </w:trPr>
        <w:tc>
          <w:tcPr>
            <w:tcW w:w="6020" w:type="dxa"/>
            <w:vAlign w:val="bottom"/>
          </w:tcPr>
          <w:p>
            <w:pPr>
              <w:ind w:left="240"/>
              <w:spacing w:after="0"/>
              <w:rPr>
                <w:sz w:val="20"/>
                <w:szCs w:val="20"/>
                <w:color w:val="auto"/>
              </w:rPr>
            </w:pPr>
            <w:r>
              <w:rPr>
                <w:rFonts w:ascii="Arial" w:cs="Arial" w:eastAsia="Arial" w:hAnsi="Arial"/>
                <w:sz w:val="16"/>
                <w:szCs w:val="16"/>
                <w:color w:val="auto"/>
              </w:rPr>
              <w:t>Product, net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38,195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23,708</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19,653</w:t>
            </w:r>
          </w:p>
        </w:tc>
        <w:tc>
          <w:tcPr>
            <w:tcW w:w="0" w:type="dxa"/>
            <w:vAlign w:val="bottom"/>
          </w:tcPr>
          <w:p>
            <w:pPr>
              <w:spacing w:after="0"/>
              <w:rPr>
                <w:sz w:val="1"/>
                <w:szCs w:val="1"/>
                <w:color w:val="auto"/>
              </w:rPr>
            </w:pPr>
          </w:p>
        </w:tc>
      </w:tr>
      <w:tr>
        <w:trPr>
          <w:trHeight w:val="196"/>
        </w:trPr>
        <w:tc>
          <w:tcPr>
            <w:tcW w:w="6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1,374</w:t>
            </w:r>
          </w:p>
        </w:tc>
        <w:tc>
          <w:tcPr>
            <w:tcW w:w="16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1,739</w:t>
            </w:r>
          </w:p>
        </w:tc>
        <w:tc>
          <w:tcPr>
            <w:tcW w:w="14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4,334</w:t>
            </w:r>
          </w:p>
        </w:tc>
        <w:tc>
          <w:tcPr>
            <w:tcW w:w="0" w:type="dxa"/>
            <w:vAlign w:val="bottom"/>
          </w:tcPr>
          <w:p>
            <w:pPr>
              <w:spacing w:after="0"/>
              <w:rPr>
                <w:sz w:val="1"/>
                <w:szCs w:val="1"/>
                <w:color w:val="auto"/>
              </w:rPr>
            </w:pPr>
          </w:p>
        </w:tc>
      </w:tr>
      <w:tr>
        <w:trPr>
          <w:trHeight w:val="189"/>
        </w:trPr>
        <w:tc>
          <w:tcPr>
            <w:tcW w:w="6020" w:type="dxa"/>
            <w:vAlign w:val="bottom"/>
          </w:tcPr>
          <w:p>
            <w:pPr>
              <w:spacing w:after="0"/>
              <w:rPr>
                <w:sz w:val="20"/>
                <w:szCs w:val="20"/>
                <w:color w:val="auto"/>
              </w:rPr>
            </w:pPr>
            <w:r>
              <w:rPr>
                <w:rFonts w:ascii="Arial" w:cs="Arial" w:eastAsia="Arial" w:hAnsi="Arial"/>
                <w:sz w:val="16"/>
                <w:szCs w:val="16"/>
                <w:color w:val="auto"/>
              </w:rPr>
              <w:t>Total revenue</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1,357,700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1,191,821</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855,429</w:t>
            </w:r>
          </w:p>
        </w:tc>
        <w:tc>
          <w:tcPr>
            <w:tcW w:w="0" w:type="dxa"/>
            <w:vAlign w:val="bottom"/>
          </w:tcPr>
          <w:p>
            <w:pPr>
              <w:spacing w:after="0"/>
              <w:rPr>
                <w:sz w:val="1"/>
                <w:szCs w:val="1"/>
                <w:color w:val="auto"/>
              </w:rPr>
            </w:pPr>
          </w:p>
        </w:tc>
      </w:tr>
      <w:tr>
        <w:trPr>
          <w:trHeight w:val="196"/>
        </w:trPr>
        <w:tc>
          <w:tcPr>
            <w:tcW w:w="6020" w:type="dxa"/>
            <w:vAlign w:val="bottom"/>
            <w:shd w:val="clear" w:color="auto" w:fill="CFF0FC"/>
          </w:tcPr>
          <w:p>
            <w:pPr>
              <w:spacing w:after="0"/>
              <w:rPr>
                <w:sz w:val="20"/>
                <w:szCs w:val="20"/>
                <w:color w:val="auto"/>
              </w:rPr>
            </w:pPr>
            <w:r>
              <w:rPr>
                <w:rFonts w:ascii="Arial" w:cs="Arial" w:eastAsia="Arial" w:hAnsi="Arial"/>
                <w:sz w:val="16"/>
                <w:szCs w:val="16"/>
                <w:color w:val="auto"/>
              </w:rPr>
              <w:t>Cost of sales</w:t>
            </w:r>
          </w:p>
        </w:tc>
        <w:tc>
          <w:tcPr>
            <w:tcW w:w="14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1,286,155</w:t>
            </w:r>
          </w:p>
        </w:tc>
        <w:tc>
          <w:tcPr>
            <w:tcW w:w="16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1,133,962</w:t>
            </w:r>
          </w:p>
        </w:tc>
        <w:tc>
          <w:tcPr>
            <w:tcW w:w="14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794,622</w:t>
            </w:r>
          </w:p>
        </w:tc>
        <w:tc>
          <w:tcPr>
            <w:tcW w:w="0" w:type="dxa"/>
            <w:vAlign w:val="bottom"/>
          </w:tcPr>
          <w:p>
            <w:pPr>
              <w:spacing w:after="0"/>
              <w:rPr>
                <w:sz w:val="1"/>
                <w:szCs w:val="1"/>
                <w:color w:val="auto"/>
              </w:rPr>
            </w:pPr>
          </w:p>
        </w:tc>
      </w:tr>
      <w:tr>
        <w:trPr>
          <w:trHeight w:val="189"/>
        </w:trPr>
        <w:tc>
          <w:tcPr>
            <w:tcW w:w="6020" w:type="dxa"/>
            <w:vAlign w:val="bottom"/>
          </w:tcPr>
          <w:p>
            <w:pPr>
              <w:spacing w:after="0"/>
              <w:rPr>
                <w:sz w:val="20"/>
                <w:szCs w:val="20"/>
                <w:color w:val="auto"/>
              </w:rPr>
            </w:pPr>
            <w:r>
              <w:rPr>
                <w:rFonts w:ascii="Arial" w:cs="Arial" w:eastAsia="Arial" w:hAnsi="Arial"/>
                <w:sz w:val="16"/>
                <w:szCs w:val="16"/>
                <w:color w:val="auto"/>
              </w:rPr>
              <w:t>Total gross profit</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71,545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57,859</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60,807</w:t>
            </w:r>
          </w:p>
        </w:tc>
        <w:tc>
          <w:tcPr>
            <w:tcW w:w="0" w:type="dxa"/>
            <w:vAlign w:val="bottom"/>
          </w:tcPr>
          <w:p>
            <w:pPr>
              <w:spacing w:after="0"/>
              <w:rPr>
                <w:sz w:val="1"/>
                <w:szCs w:val="1"/>
                <w:color w:val="auto"/>
              </w:rPr>
            </w:pPr>
          </w:p>
        </w:tc>
      </w:tr>
      <w:tr>
        <w:trPr>
          <w:trHeight w:val="196"/>
        </w:trPr>
        <w:tc>
          <w:tcPr>
            <w:tcW w:w="602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245,546</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184,988</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133,842</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4,598</w:t>
            </w:r>
          </w:p>
        </w:tc>
        <w:tc>
          <w:tcPr>
            <w:tcW w:w="16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6,019</w:t>
            </w:r>
          </w:p>
        </w:tc>
        <w:tc>
          <w:tcPr>
            <w:tcW w:w="14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6,857</w:t>
            </w:r>
          </w:p>
        </w:tc>
        <w:tc>
          <w:tcPr>
            <w:tcW w:w="0" w:type="dxa"/>
            <w:vAlign w:val="bottom"/>
          </w:tcPr>
          <w:p>
            <w:pPr>
              <w:spacing w:after="0"/>
              <w:rPr>
                <w:sz w:val="1"/>
                <w:szCs w:val="1"/>
                <w:color w:val="auto"/>
              </w:rPr>
            </w:pPr>
          </w:p>
        </w:tc>
      </w:tr>
      <w:tr>
        <w:trPr>
          <w:trHeight w:val="189"/>
        </w:trPr>
        <w:tc>
          <w:tcPr>
            <w:tcW w:w="602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(178,599)</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(133,148)</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(79,892)</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9,656</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14,596</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8,513</w:t>
            </w:r>
          </w:p>
        </w:tc>
        <w:tc>
          <w:tcPr>
            <w:tcW w:w="0" w:type="dxa"/>
            <w:vAlign w:val="bottom"/>
          </w:tcPr>
          <w:p>
            <w:pPr>
              <w:spacing w:after="0"/>
              <w:rPr>
                <w:sz w:val="1"/>
                <w:szCs w:val="1"/>
                <w:color w:val="auto"/>
              </w:rPr>
            </w:pPr>
          </w:p>
        </w:tc>
      </w:tr>
      <w:tr>
        <w:trPr>
          <w:trHeight w:val="196"/>
        </w:trPr>
        <w:tc>
          <w:tcPr>
            <w:tcW w:w="602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(5,896)</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(5,607)</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(3,135)</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20"/>
                <w:szCs w:val="20"/>
                <w:color w:val="auto"/>
              </w:rPr>
            </w:pPr>
            <w:r>
              <w:rPr>
                <w:rFonts w:ascii="Arial" w:cs="Arial" w:eastAsia="Arial" w:hAnsi="Arial"/>
                <w:sz w:val="16"/>
                <w:szCs w:val="16"/>
                <w:color w:val="auto"/>
              </w:rPr>
              <w:t>Revaluation of preferred stock warrant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20,470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769</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196"/>
        </w:trPr>
        <w:tc>
          <w:tcPr>
            <w:tcW w:w="6020" w:type="dxa"/>
            <w:vAlign w:val="bottom"/>
            <w:shd w:val="clear" w:color="auto" w:fill="CFF0FC"/>
          </w:tcPr>
          <w:p>
            <w:pPr>
              <w:spacing w:after="0"/>
              <w:rPr>
                <w:sz w:val="20"/>
                <w:szCs w:val="20"/>
                <w:color w:val="auto"/>
              </w:rPr>
            </w:pPr>
            <w:r>
              <w:rPr>
                <w:rFonts w:ascii="Arial" w:cs="Arial" w:eastAsia="Arial" w:hAnsi="Arial"/>
                <w:sz w:val="16"/>
                <w:szCs w:val="16"/>
                <w:color w:val="auto"/>
              </w:rPr>
              <w:t>Other income, net</w:t>
            </w:r>
          </w:p>
        </w:tc>
        <w:tc>
          <w:tcPr>
            <w:tcW w:w="14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16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4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189"/>
        </w:trPr>
        <w:tc>
          <w:tcPr>
            <w:tcW w:w="6020" w:type="dxa"/>
            <w:vAlign w:val="bottom"/>
          </w:tcPr>
          <w:p>
            <w:pPr>
              <w:spacing w:after="0"/>
              <w:rPr>
                <w:sz w:val="20"/>
                <w:szCs w:val="20"/>
                <w:color w:val="auto"/>
              </w:rPr>
            </w:pPr>
            <w:r>
              <w:rPr>
                <w:rFonts w:ascii="Arial" w:cs="Arial" w:eastAsia="Arial" w:hAnsi="Arial"/>
                <w:sz w:val="16"/>
                <w:szCs w:val="16"/>
                <w:color w:val="auto"/>
              </w:rPr>
              <w:t>Loss before provision for income taxes</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(202,715)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(142,810)</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(84,949)</w:t>
            </w:r>
          </w:p>
        </w:tc>
        <w:tc>
          <w:tcPr>
            <w:tcW w:w="0" w:type="dxa"/>
            <w:vAlign w:val="bottom"/>
          </w:tcPr>
          <w:p>
            <w:pPr>
              <w:spacing w:after="0"/>
              <w:rPr>
                <w:sz w:val="1"/>
                <w:szCs w:val="1"/>
                <w:color w:val="auto"/>
              </w:rPr>
            </w:pPr>
          </w:p>
        </w:tc>
      </w:tr>
      <w:tr>
        <w:trPr>
          <w:trHeight w:val="196"/>
        </w:trPr>
        <w:tc>
          <w:tcPr>
            <w:tcW w:w="602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4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84</w:t>
            </w:r>
          </w:p>
        </w:tc>
        <w:tc>
          <w:tcPr>
            <w:tcW w:w="16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168</w:t>
            </w:r>
          </w:p>
        </w:tc>
        <w:tc>
          <w:tcPr>
            <w:tcW w:w="14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(202,799)</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(142,978)</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(85,178)</w:t>
            </w:r>
          </w:p>
        </w:tc>
        <w:tc>
          <w:tcPr>
            <w:tcW w:w="0" w:type="dxa"/>
            <w:vAlign w:val="bottom"/>
          </w:tcPr>
          <w:p>
            <w:pPr>
              <w:spacing w:after="0"/>
              <w:rPr>
                <w:sz w:val="1"/>
                <w:szCs w:val="1"/>
                <w:color w:val="auto"/>
              </w:rPr>
            </w:pPr>
          </w:p>
        </w:tc>
      </w:tr>
      <w:tr>
        <w:trPr>
          <w:trHeight w:val="176"/>
        </w:trPr>
        <w:tc>
          <w:tcPr>
            <w:tcW w:w="602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Accretion of redeemable convertible preferred stock</w:t>
            </w:r>
          </w:p>
        </w:tc>
        <w:tc>
          <w:tcPr>
            <w:tcW w:w="14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42"/>
              <w:spacing w:after="0" w:line="175" w:lineRule="exact"/>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line="175" w:lineRule="exact"/>
              <w:rPr>
                <w:sz w:val="20"/>
                <w:szCs w:val="20"/>
                <w:color w:val="auto"/>
              </w:rPr>
            </w:pPr>
            <w:r>
              <w:rPr>
                <w:rFonts w:ascii="Arial" w:cs="Arial" w:eastAsia="Arial" w:hAnsi="Arial"/>
                <w:sz w:val="16"/>
                <w:szCs w:val="16"/>
                <w:color w:val="auto"/>
              </w:rPr>
              <w:t>(132,750)</w:t>
            </w:r>
          </w:p>
        </w:tc>
        <w:tc>
          <w:tcPr>
            <w:tcW w:w="14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75" w:lineRule="exact"/>
              <w:rPr>
                <w:sz w:val="20"/>
                <w:szCs w:val="20"/>
                <w:color w:val="auto"/>
              </w:rPr>
            </w:pPr>
            <w:r>
              <w:rPr>
                <w:rFonts w:ascii="Arial" w:cs="Arial" w:eastAsia="Arial" w:hAnsi="Arial"/>
                <w:sz w:val="16"/>
                <w:szCs w:val="16"/>
                <w:color w:val="auto"/>
              </w:rPr>
              <w:t>(13,036)</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loss attributable to common stockholders</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(202,799)</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(275,728)</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(98,214)</w:t>
            </w:r>
          </w:p>
        </w:tc>
        <w:tc>
          <w:tcPr>
            <w:tcW w:w="0" w:type="dxa"/>
            <w:vAlign w:val="bottom"/>
          </w:tcPr>
          <w:p>
            <w:pPr>
              <w:spacing w:after="0"/>
              <w:rPr>
                <w:sz w:val="1"/>
                <w:szCs w:val="1"/>
                <w:color w:val="auto"/>
              </w:rPr>
            </w:pPr>
          </w:p>
        </w:tc>
      </w:tr>
      <w:tr>
        <w:trPr>
          <w:trHeight w:val="176"/>
        </w:trPr>
        <w:tc>
          <w:tcPr>
            <w:tcW w:w="6020" w:type="dxa"/>
            <w:vAlign w:val="bottom"/>
            <w:tcBorders>
              <w:bottom w:val="single" w:sz="8" w:color="CFF0FC"/>
            </w:tcBorders>
            <w:shd w:val="clear" w:color="auto" w:fill="CFF0FC"/>
          </w:tcPr>
          <w:p>
            <w:pPr>
              <w:spacing w:after="0" w:line="175" w:lineRule="exact"/>
              <w:rPr>
                <w:sz w:val="20"/>
                <w:szCs w:val="20"/>
                <w:color w:val="auto"/>
              </w:rPr>
            </w:pPr>
            <w:r>
              <w:rPr>
                <w:rFonts w:ascii="Arial" w:cs="Arial" w:eastAsia="Arial" w:hAnsi="Arial"/>
                <w:sz w:val="16"/>
                <w:szCs w:val="16"/>
                <w:color w:val="auto"/>
              </w:rPr>
              <w:t>Net loss per share attributable to common stockholders, basic and diluted</w:t>
            </w:r>
          </w:p>
        </w:tc>
        <w:tc>
          <w:tcPr>
            <w:tcW w:w="1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line="175" w:lineRule="exact"/>
              <w:rPr>
                <w:sz w:val="20"/>
                <w:szCs w:val="20"/>
                <w:color w:val="auto"/>
              </w:rPr>
            </w:pPr>
            <w:r>
              <w:rPr>
                <w:rFonts w:ascii="Arial" w:cs="Arial" w:eastAsia="Arial" w:hAnsi="Arial"/>
                <w:sz w:val="16"/>
                <w:szCs w:val="16"/>
                <w:color w:val="auto"/>
              </w:rPr>
              <w:t>(2.76)</w:t>
            </w:r>
          </w:p>
        </w:tc>
        <w:tc>
          <w:tcPr>
            <w:tcW w:w="1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line="175" w:lineRule="exact"/>
              <w:rPr>
                <w:sz w:val="20"/>
                <w:szCs w:val="20"/>
                <w:color w:val="auto"/>
              </w:rPr>
            </w:pPr>
            <w:r>
              <w:rPr>
                <w:rFonts w:ascii="Arial" w:cs="Arial" w:eastAsia="Arial" w:hAnsi="Arial"/>
                <w:sz w:val="16"/>
                <w:szCs w:val="16"/>
                <w:color w:val="auto"/>
              </w:rPr>
              <w:t>(32.04)</w:t>
            </w:r>
          </w:p>
        </w:tc>
        <w:tc>
          <w:tcPr>
            <w:tcW w:w="1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161"/>
              <w:spacing w:after="0" w:line="175"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spacing w:after="0" w:line="175" w:lineRule="exact"/>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6"/>
                <w:szCs w:val="16"/>
                <w:color w:val="auto"/>
                <w:w w:val="99"/>
              </w:rPr>
              <w:t>Weighted-average number of shares outstanding used to compute net loss per share</w:t>
            </w: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6020" w:type="dxa"/>
            <w:vAlign w:val="bottom"/>
          </w:tcPr>
          <w:p>
            <w:pPr>
              <w:spacing w:after="0"/>
              <w:rPr>
                <w:sz w:val="20"/>
                <w:szCs w:val="20"/>
                <w:color w:val="auto"/>
              </w:rPr>
            </w:pPr>
            <w:r>
              <w:rPr>
                <w:rFonts w:ascii="Arial" w:cs="Arial" w:eastAsia="Arial" w:hAnsi="Arial"/>
                <w:sz w:val="16"/>
                <w:szCs w:val="16"/>
                <w:color w:val="auto"/>
              </w:rPr>
              <w:t>attributable to common stockholders, basic and diluted</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73,345,569</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8,605,962</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8,540,778</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these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CHANGES IN REDEEMABLE CONVERTIBLE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PREFERRED STOCK AND STOCKHOLDERS’ EQUITY (DEFICIT)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 amounts)</w:t>
      </w:r>
    </w:p>
    <w:p>
      <w:pPr>
        <w:sectPr>
          <w:pgSz w:w="11900" w:h="16838" w:orient="portrait"/>
          <w:cols w:equalWidth="0" w:num="1">
            <w:col w:w="11240"/>
          </w:cols>
          <w:pgMar w:left="320" w:top="126" w:right="339" w:bottom="1440" w:gutter="0" w:footer="0" w:header="0"/>
        </w:sectPr>
      </w:pPr>
    </w:p>
    <w:p>
      <w:pPr>
        <w:spacing w:after="0" w:line="205" w:lineRule="exact"/>
        <w:rPr>
          <w:sz w:val="20"/>
          <w:szCs w:val="20"/>
          <w:color w:val="auto"/>
        </w:rPr>
      </w:pPr>
    </w:p>
    <w:p>
      <w:pPr>
        <w:jc w:val="center"/>
        <w:ind w:left="2820"/>
        <w:spacing w:after="0"/>
        <w:rPr>
          <w:sz w:val="20"/>
          <w:szCs w:val="20"/>
          <w:color w:val="auto"/>
        </w:rPr>
      </w:pPr>
      <w:r>
        <w:rPr>
          <w:rFonts w:ascii="Arial" w:cs="Arial" w:eastAsia="Arial" w:hAnsi="Arial"/>
          <w:sz w:val="13"/>
          <w:szCs w:val="13"/>
          <w:b w:val="1"/>
          <w:bCs w:val="1"/>
          <w:color w:val="auto"/>
        </w:rPr>
        <w:t>Redeemable Convertible</w:t>
      </w:r>
    </w:p>
    <w:p>
      <w:pPr>
        <w:spacing w:after="0" w:line="12" w:lineRule="exact"/>
        <w:rPr>
          <w:sz w:val="20"/>
          <w:szCs w:val="20"/>
          <w:color w:val="auto"/>
        </w:rPr>
      </w:pPr>
    </w:p>
    <w:p>
      <w:pPr>
        <w:jc w:val="center"/>
        <w:ind w:left="2820"/>
        <w:spacing w:after="0"/>
        <w:rPr>
          <w:sz w:val="20"/>
          <w:szCs w:val="20"/>
          <w:color w:val="auto"/>
        </w:rPr>
      </w:pPr>
      <w:r>
        <w:rPr>
          <w:rFonts w:ascii="Arial" w:cs="Arial" w:eastAsia="Arial" w:hAnsi="Arial"/>
          <w:sz w:val="13"/>
          <w:szCs w:val="13"/>
          <w:b w:val="1"/>
          <w:bCs w:val="1"/>
          <w:color w:val="auto"/>
        </w:rPr>
        <w:t>Preferred Stock</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940" w:type="dxa"/>
            <w:vAlign w:val="bottom"/>
            <w:vMerge w:val="restart"/>
          </w:tcPr>
          <w:p>
            <w:pPr>
              <w:spacing w:after="0"/>
              <w:rPr>
                <w:sz w:val="20"/>
                <w:szCs w:val="20"/>
                <w:color w:val="auto"/>
              </w:rPr>
            </w:pPr>
            <w:r>
              <w:rPr>
                <w:rFonts w:ascii="Arial" w:cs="Arial" w:eastAsia="Arial" w:hAnsi="Arial"/>
                <w:sz w:val="13"/>
                <w:szCs w:val="13"/>
                <w:color w:val="auto"/>
              </w:rPr>
              <w:t>Balance at January 1, 2018</w:t>
            </w:r>
          </w:p>
        </w:tc>
        <w:tc>
          <w:tcPr>
            <w:tcW w:w="122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4"/>
                <w:szCs w:val="14"/>
                <w:color w:val="auto"/>
              </w:rPr>
            </w:pPr>
          </w:p>
        </w:tc>
        <w:tc>
          <w:tcPr>
            <w:tcW w:w="940" w:type="dxa"/>
            <w:vAlign w:val="bottom"/>
          </w:tcPr>
          <w:p>
            <w:pPr>
              <w:jc w:val="right"/>
              <w:ind w:right="295"/>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50"/>
        </w:trPr>
        <w:tc>
          <w:tcPr>
            <w:tcW w:w="2940" w:type="dxa"/>
            <w:vAlign w:val="bottom"/>
            <w:vMerge w:val="continue"/>
          </w:tcPr>
          <w:p>
            <w:pPr>
              <w:spacing w:after="0"/>
              <w:rPr>
                <w:sz w:val="13"/>
                <w:szCs w:val="13"/>
                <w:color w:val="auto"/>
              </w:rPr>
            </w:pPr>
          </w:p>
        </w:tc>
        <w:tc>
          <w:tcPr>
            <w:tcW w:w="11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50,545,260</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360,165</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240"/>
              <w:spacing w:after="0"/>
              <w:rPr>
                <w:sz w:val="20"/>
                <w:szCs w:val="20"/>
                <w:color w:val="auto"/>
              </w:rPr>
            </w:pPr>
            <w:r>
              <w:rPr>
                <w:rFonts w:ascii="Arial" w:cs="Arial" w:eastAsia="Arial" w:hAnsi="Arial"/>
                <w:sz w:val="13"/>
                <w:szCs w:val="13"/>
                <w:color w:val="auto"/>
              </w:rPr>
              <w:t>Cumulative effect of accounting change -</w:t>
            </w: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9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revenue recognition</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Stock-based compensation</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Exercise of stock options</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Vesting of restricted stock awards</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940" w:type="dxa"/>
            <w:vAlign w:val="bottom"/>
          </w:tcPr>
          <w:p>
            <w:pPr>
              <w:ind w:left="240"/>
              <w:spacing w:after="0" w:line="144" w:lineRule="exact"/>
              <w:rPr>
                <w:sz w:val="20"/>
                <w:szCs w:val="20"/>
                <w:color w:val="auto"/>
              </w:rPr>
            </w:pPr>
            <w:r>
              <w:rPr>
                <w:rFonts w:ascii="Arial" w:cs="Arial" w:eastAsia="Arial" w:hAnsi="Arial"/>
                <w:sz w:val="13"/>
                <w:szCs w:val="13"/>
                <w:color w:val="auto"/>
              </w:rPr>
              <w:t>Issuance of Series G redeemable</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40" w:type="dxa"/>
            <w:vAlign w:val="bottom"/>
          </w:tcPr>
          <w:p>
            <w:pPr>
              <w:ind w:left="240"/>
              <w:spacing w:after="0" w:line="144" w:lineRule="exact"/>
              <w:rPr>
                <w:sz w:val="20"/>
                <w:szCs w:val="20"/>
                <w:color w:val="auto"/>
              </w:rPr>
            </w:pPr>
            <w:r>
              <w:rPr>
                <w:rFonts w:ascii="Arial" w:cs="Arial" w:eastAsia="Arial" w:hAnsi="Arial"/>
                <w:sz w:val="13"/>
                <w:szCs w:val="13"/>
                <w:color w:val="auto"/>
              </w:rPr>
              <w:t>convertible preferred stock, net of issuance</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costs</w:t>
            </w:r>
          </w:p>
        </w:tc>
        <w:tc>
          <w:tcPr>
            <w:tcW w:w="1100" w:type="dxa"/>
            <w:vAlign w:val="bottom"/>
          </w:tcPr>
          <w:p>
            <w:pPr>
              <w:jc w:val="right"/>
              <w:ind w:right="55"/>
              <w:spacing w:after="0"/>
              <w:rPr>
                <w:sz w:val="20"/>
                <w:szCs w:val="20"/>
                <w:color w:val="auto"/>
              </w:rPr>
            </w:pPr>
            <w:r>
              <w:rPr>
                <w:rFonts w:ascii="Arial" w:cs="Arial" w:eastAsia="Arial" w:hAnsi="Arial"/>
                <w:sz w:val="13"/>
                <w:szCs w:val="13"/>
                <w:color w:val="auto"/>
              </w:rPr>
              <w:t>16,280,040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145,899</w:t>
            </w:r>
          </w:p>
        </w:tc>
        <w:tc>
          <w:tcPr>
            <w:tcW w:w="0" w:type="dxa"/>
            <w:vAlign w:val="bottom"/>
          </w:tcPr>
          <w:p>
            <w:pPr>
              <w:spacing w:after="0"/>
              <w:rPr>
                <w:sz w:val="1"/>
                <w:szCs w:val="1"/>
                <w:color w:val="auto"/>
              </w:rPr>
            </w:pPr>
          </w:p>
        </w:tc>
      </w:tr>
      <w:tr>
        <w:trPr>
          <w:trHeight w:val="144"/>
        </w:trPr>
        <w:tc>
          <w:tcPr>
            <w:tcW w:w="2940" w:type="dxa"/>
            <w:vAlign w:val="bottom"/>
          </w:tcPr>
          <w:p>
            <w:pPr>
              <w:ind w:left="240"/>
              <w:spacing w:after="0" w:line="144" w:lineRule="exact"/>
              <w:rPr>
                <w:sz w:val="20"/>
                <w:szCs w:val="20"/>
                <w:color w:val="auto"/>
              </w:rPr>
            </w:pPr>
            <w:r>
              <w:rPr>
                <w:rFonts w:ascii="Arial" w:cs="Arial" w:eastAsia="Arial" w:hAnsi="Arial"/>
                <w:sz w:val="13"/>
                <w:szCs w:val="13"/>
                <w:color w:val="auto"/>
              </w:rPr>
              <w:t>Accretion of redeemable convertible</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preferred stock</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13,036</w:t>
            </w:r>
          </w:p>
        </w:tc>
        <w:tc>
          <w:tcPr>
            <w:tcW w:w="0" w:type="dxa"/>
            <w:vAlign w:val="bottom"/>
          </w:tcPr>
          <w:p>
            <w:pPr>
              <w:spacing w:after="0"/>
              <w:rPr>
                <w:sz w:val="1"/>
                <w:szCs w:val="1"/>
                <w:color w:val="auto"/>
              </w:rPr>
            </w:pPr>
          </w:p>
        </w:tc>
      </w:tr>
      <w:tr>
        <w:trPr>
          <w:trHeight w:val="161"/>
        </w:trPr>
        <w:tc>
          <w:tcPr>
            <w:tcW w:w="2940" w:type="dxa"/>
            <w:vAlign w:val="bottom"/>
          </w:tcPr>
          <w:p>
            <w:pPr>
              <w:ind w:left="240"/>
              <w:spacing w:after="0"/>
              <w:rPr>
                <w:sz w:val="20"/>
                <w:szCs w:val="20"/>
                <w:color w:val="auto"/>
              </w:rPr>
            </w:pPr>
            <w:r>
              <w:rPr>
                <w:rFonts w:ascii="Arial" w:cs="Arial" w:eastAsia="Arial" w:hAnsi="Arial"/>
                <w:sz w:val="13"/>
                <w:szCs w:val="13"/>
                <w:color w:val="auto"/>
              </w:rPr>
              <w:t>Net loss</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2940" w:type="dxa"/>
            <w:vAlign w:val="bottom"/>
          </w:tcPr>
          <w:p>
            <w:pPr>
              <w:spacing w:after="0"/>
              <w:rPr>
                <w:sz w:val="20"/>
                <w:szCs w:val="20"/>
                <w:color w:val="auto"/>
              </w:rPr>
            </w:pPr>
            <w:r>
              <w:rPr>
                <w:rFonts w:ascii="Arial" w:cs="Arial" w:eastAsia="Arial" w:hAnsi="Arial"/>
                <w:sz w:val="13"/>
                <w:szCs w:val="13"/>
                <w:color w:val="auto"/>
              </w:rPr>
              <w:t>Balance at December 31, 2018</w:t>
            </w:r>
          </w:p>
        </w:tc>
        <w:tc>
          <w:tcPr>
            <w:tcW w:w="11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66,825,300</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519,100</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240"/>
              <w:spacing w:after="0"/>
              <w:rPr>
                <w:sz w:val="20"/>
                <w:szCs w:val="20"/>
                <w:color w:val="auto"/>
              </w:rPr>
            </w:pPr>
            <w:r>
              <w:rPr>
                <w:rFonts w:ascii="Arial" w:cs="Arial" w:eastAsia="Arial" w:hAnsi="Arial"/>
                <w:sz w:val="13"/>
                <w:szCs w:val="13"/>
                <w:color w:val="auto"/>
              </w:rPr>
              <w:t>Stock-based compensation</w:t>
            </w:r>
          </w:p>
        </w:tc>
        <w:tc>
          <w:tcPr>
            <w:tcW w:w="1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940" w:type="dxa"/>
            <w:vAlign w:val="bottom"/>
            <w:vMerge w:val="continue"/>
          </w:tcPr>
          <w:p>
            <w:pPr>
              <w:spacing w:after="0"/>
              <w:rPr>
                <w:sz w:val="11"/>
                <w:szCs w:val="11"/>
                <w:color w:val="auto"/>
              </w:rPr>
            </w:pPr>
          </w:p>
        </w:tc>
        <w:tc>
          <w:tcPr>
            <w:tcW w:w="1100" w:type="dxa"/>
            <w:vAlign w:val="bottom"/>
            <w:tcBorders>
              <w:top w:val="single" w:sz="8" w:color="auto"/>
            </w:tcBorders>
          </w:tcPr>
          <w:p>
            <w:pPr>
              <w:jc w:val="right"/>
              <w:ind w:right="55"/>
              <w:spacing w:after="0" w:line="13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Borders>
              <w:top w:val="single" w:sz="8" w:color="auto"/>
            </w:tcBorders>
          </w:tcPr>
          <w:p>
            <w:pPr>
              <w:jc w:val="right"/>
              <w:ind w:right="15"/>
              <w:spacing w:after="0" w:line="133" w:lineRule="exact"/>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ind w:right="55"/>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Exercise of stock options</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Vesting of restricted stock awards</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Repurchase of common stock</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940" w:type="dxa"/>
            <w:vAlign w:val="bottom"/>
          </w:tcPr>
          <w:p>
            <w:pPr>
              <w:ind w:left="240"/>
              <w:spacing w:after="0" w:line="144" w:lineRule="exact"/>
              <w:rPr>
                <w:sz w:val="20"/>
                <w:szCs w:val="20"/>
                <w:color w:val="auto"/>
              </w:rPr>
            </w:pPr>
            <w:r>
              <w:rPr>
                <w:rFonts w:ascii="Arial" w:cs="Arial" w:eastAsia="Arial" w:hAnsi="Arial"/>
                <w:sz w:val="13"/>
                <w:szCs w:val="13"/>
                <w:color w:val="auto"/>
              </w:rPr>
              <w:t>Issuance of Series H redeemable</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40" w:type="dxa"/>
            <w:vAlign w:val="bottom"/>
          </w:tcPr>
          <w:p>
            <w:pPr>
              <w:ind w:left="240"/>
              <w:spacing w:after="0" w:line="144" w:lineRule="exact"/>
              <w:rPr>
                <w:sz w:val="20"/>
                <w:szCs w:val="20"/>
                <w:color w:val="auto"/>
              </w:rPr>
            </w:pPr>
            <w:r>
              <w:rPr>
                <w:rFonts w:ascii="Arial" w:cs="Arial" w:eastAsia="Arial" w:hAnsi="Arial"/>
                <w:sz w:val="13"/>
                <w:szCs w:val="13"/>
                <w:color w:val="auto"/>
              </w:rPr>
              <w:t>convertible preferred stock, net of issuance</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costs</w:t>
            </w:r>
          </w:p>
        </w:tc>
        <w:tc>
          <w:tcPr>
            <w:tcW w:w="1100" w:type="dxa"/>
            <w:vAlign w:val="bottom"/>
          </w:tcPr>
          <w:p>
            <w:pPr>
              <w:jc w:val="right"/>
              <w:ind w:right="55"/>
              <w:spacing w:after="0"/>
              <w:rPr>
                <w:sz w:val="20"/>
                <w:szCs w:val="20"/>
                <w:color w:val="auto"/>
              </w:rPr>
            </w:pPr>
            <w:r>
              <w:rPr>
                <w:rFonts w:ascii="Arial" w:cs="Arial" w:eastAsia="Arial" w:hAnsi="Arial"/>
                <w:sz w:val="13"/>
                <w:szCs w:val="13"/>
                <w:color w:val="auto"/>
              </w:rPr>
              <w:t>16,743,328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222,482</w:t>
            </w:r>
          </w:p>
        </w:tc>
        <w:tc>
          <w:tcPr>
            <w:tcW w:w="0" w:type="dxa"/>
            <w:vAlign w:val="bottom"/>
          </w:tcPr>
          <w:p>
            <w:pPr>
              <w:spacing w:after="0"/>
              <w:rPr>
                <w:sz w:val="1"/>
                <w:szCs w:val="1"/>
                <w:color w:val="auto"/>
              </w:rPr>
            </w:pPr>
          </w:p>
        </w:tc>
      </w:tr>
      <w:tr>
        <w:trPr>
          <w:trHeight w:val="144"/>
        </w:trPr>
        <w:tc>
          <w:tcPr>
            <w:tcW w:w="2940" w:type="dxa"/>
            <w:vAlign w:val="bottom"/>
          </w:tcPr>
          <w:p>
            <w:pPr>
              <w:ind w:left="240"/>
              <w:spacing w:after="0" w:line="144" w:lineRule="exact"/>
              <w:rPr>
                <w:sz w:val="20"/>
                <w:szCs w:val="20"/>
                <w:color w:val="auto"/>
              </w:rPr>
            </w:pPr>
            <w:r>
              <w:rPr>
                <w:rFonts w:ascii="Arial" w:cs="Arial" w:eastAsia="Arial" w:hAnsi="Arial"/>
                <w:sz w:val="13"/>
                <w:szCs w:val="13"/>
                <w:color w:val="auto"/>
              </w:rPr>
              <w:t>Accretion of redeemable convertible</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preferred stock</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132,750</w:t>
            </w:r>
          </w:p>
        </w:tc>
        <w:tc>
          <w:tcPr>
            <w:tcW w:w="0" w:type="dxa"/>
            <w:vAlign w:val="bottom"/>
          </w:tcPr>
          <w:p>
            <w:pPr>
              <w:spacing w:after="0"/>
              <w:rPr>
                <w:sz w:val="1"/>
                <w:szCs w:val="1"/>
                <w:color w:val="auto"/>
              </w:rPr>
            </w:pPr>
          </w:p>
        </w:tc>
      </w:tr>
      <w:tr>
        <w:trPr>
          <w:trHeight w:val="161"/>
        </w:trPr>
        <w:tc>
          <w:tcPr>
            <w:tcW w:w="2940" w:type="dxa"/>
            <w:vAlign w:val="bottom"/>
          </w:tcPr>
          <w:p>
            <w:pPr>
              <w:ind w:left="240"/>
              <w:spacing w:after="0"/>
              <w:rPr>
                <w:sz w:val="20"/>
                <w:szCs w:val="20"/>
                <w:color w:val="auto"/>
              </w:rPr>
            </w:pPr>
            <w:r>
              <w:rPr>
                <w:rFonts w:ascii="Arial" w:cs="Arial" w:eastAsia="Arial" w:hAnsi="Arial"/>
                <w:sz w:val="13"/>
                <w:szCs w:val="13"/>
                <w:color w:val="auto"/>
              </w:rPr>
              <w:t>Net loss</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2940" w:type="dxa"/>
            <w:vAlign w:val="bottom"/>
          </w:tcPr>
          <w:p>
            <w:pPr>
              <w:spacing w:after="0"/>
              <w:rPr>
                <w:sz w:val="20"/>
                <w:szCs w:val="20"/>
                <w:color w:val="auto"/>
              </w:rPr>
            </w:pPr>
            <w:r>
              <w:rPr>
                <w:rFonts w:ascii="Arial" w:cs="Arial" w:eastAsia="Arial" w:hAnsi="Arial"/>
                <w:sz w:val="13"/>
                <w:szCs w:val="13"/>
                <w:color w:val="auto"/>
              </w:rPr>
              <w:t>Balance at December 31, 2019</w:t>
            </w:r>
          </w:p>
        </w:tc>
        <w:tc>
          <w:tcPr>
            <w:tcW w:w="11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83,568,628</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874,332</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240"/>
              <w:spacing w:after="0"/>
              <w:rPr>
                <w:sz w:val="20"/>
                <w:szCs w:val="20"/>
                <w:color w:val="auto"/>
              </w:rPr>
            </w:pPr>
            <w:r>
              <w:rPr>
                <w:rFonts w:ascii="Arial" w:cs="Arial" w:eastAsia="Arial" w:hAnsi="Arial"/>
                <w:sz w:val="13"/>
                <w:szCs w:val="13"/>
                <w:color w:val="auto"/>
              </w:rPr>
              <w:t>Issuance of common stock</w:t>
            </w:r>
          </w:p>
        </w:tc>
        <w:tc>
          <w:tcPr>
            <w:tcW w:w="1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940" w:type="dxa"/>
            <w:vAlign w:val="bottom"/>
            <w:vMerge w:val="continue"/>
          </w:tcPr>
          <w:p>
            <w:pPr>
              <w:spacing w:after="0"/>
              <w:rPr>
                <w:sz w:val="11"/>
                <w:szCs w:val="11"/>
                <w:color w:val="auto"/>
              </w:rPr>
            </w:pPr>
          </w:p>
        </w:tc>
        <w:tc>
          <w:tcPr>
            <w:tcW w:w="1100" w:type="dxa"/>
            <w:vAlign w:val="bottom"/>
            <w:tcBorders>
              <w:top w:val="single" w:sz="8" w:color="auto"/>
            </w:tcBorders>
          </w:tcPr>
          <w:p>
            <w:pPr>
              <w:jc w:val="right"/>
              <w:ind w:right="55"/>
              <w:spacing w:after="0" w:line="13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Borders>
              <w:top w:val="single" w:sz="8" w:color="auto"/>
            </w:tcBorders>
          </w:tcPr>
          <w:p>
            <w:pPr>
              <w:jc w:val="right"/>
              <w:ind w:right="15"/>
              <w:spacing w:after="0" w:line="133" w:lineRule="exact"/>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ind w:right="55"/>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940" w:type="dxa"/>
            <w:vAlign w:val="bottom"/>
          </w:tcPr>
          <w:p>
            <w:pPr>
              <w:ind w:left="240"/>
              <w:spacing w:after="0" w:line="144" w:lineRule="exact"/>
              <w:rPr>
                <w:sz w:val="20"/>
                <w:szCs w:val="20"/>
                <w:color w:val="auto"/>
              </w:rPr>
            </w:pPr>
            <w:r>
              <w:rPr>
                <w:rFonts w:ascii="Arial" w:cs="Arial" w:eastAsia="Arial" w:hAnsi="Arial"/>
                <w:sz w:val="13"/>
                <w:szCs w:val="13"/>
                <w:color w:val="auto"/>
              </w:rPr>
              <w:t>Issuance of Series H redeemable</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40" w:type="dxa"/>
            <w:vAlign w:val="bottom"/>
          </w:tcPr>
          <w:p>
            <w:pPr>
              <w:ind w:left="240"/>
              <w:spacing w:after="0" w:line="144" w:lineRule="exact"/>
              <w:rPr>
                <w:sz w:val="20"/>
                <w:szCs w:val="20"/>
                <w:color w:val="auto"/>
              </w:rPr>
            </w:pPr>
            <w:r>
              <w:rPr>
                <w:rFonts w:ascii="Arial" w:cs="Arial" w:eastAsia="Arial" w:hAnsi="Arial"/>
                <w:sz w:val="13"/>
                <w:szCs w:val="13"/>
                <w:color w:val="auto"/>
              </w:rPr>
              <w:t>convertible preferred stock, net of issuance</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costs</w:t>
            </w:r>
          </w:p>
        </w:tc>
        <w:tc>
          <w:tcPr>
            <w:tcW w:w="1100" w:type="dxa"/>
            <w:vAlign w:val="bottom"/>
          </w:tcPr>
          <w:p>
            <w:pPr>
              <w:jc w:val="right"/>
              <w:ind w:right="55"/>
              <w:spacing w:after="0"/>
              <w:rPr>
                <w:sz w:val="20"/>
                <w:szCs w:val="20"/>
                <w:color w:val="auto"/>
              </w:rPr>
            </w:pPr>
            <w:r>
              <w:rPr>
                <w:rFonts w:ascii="Arial" w:cs="Arial" w:eastAsia="Arial" w:hAnsi="Arial"/>
                <w:sz w:val="13"/>
                <w:szCs w:val="13"/>
                <w:color w:val="auto"/>
              </w:rPr>
              <w:t>1,964,766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26,714</w:t>
            </w:r>
          </w:p>
        </w:tc>
        <w:tc>
          <w:tcPr>
            <w:tcW w:w="0" w:type="dxa"/>
            <w:vAlign w:val="bottom"/>
          </w:tcPr>
          <w:p>
            <w:pPr>
              <w:spacing w:after="0"/>
              <w:rPr>
                <w:sz w:val="1"/>
                <w:szCs w:val="1"/>
                <w:color w:val="auto"/>
              </w:rPr>
            </w:pPr>
          </w:p>
        </w:tc>
      </w:tr>
      <w:tr>
        <w:trPr>
          <w:trHeight w:val="144"/>
        </w:trPr>
        <w:tc>
          <w:tcPr>
            <w:tcW w:w="2940" w:type="dxa"/>
            <w:vAlign w:val="bottom"/>
          </w:tcPr>
          <w:p>
            <w:pPr>
              <w:ind w:left="240"/>
              <w:spacing w:after="0" w:line="144" w:lineRule="exact"/>
              <w:rPr>
                <w:sz w:val="20"/>
                <w:szCs w:val="20"/>
                <w:color w:val="auto"/>
              </w:rPr>
            </w:pPr>
            <w:r>
              <w:rPr>
                <w:rFonts w:ascii="Arial" w:cs="Arial" w:eastAsia="Arial" w:hAnsi="Arial"/>
                <w:sz w:val="13"/>
                <w:szCs w:val="13"/>
                <w:color w:val="auto"/>
              </w:rPr>
              <w:t>Conversion of redeemable convertible</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preferred stock to common stock</w:t>
            </w:r>
          </w:p>
        </w:tc>
        <w:tc>
          <w:tcPr>
            <w:tcW w:w="1100" w:type="dxa"/>
            <w:vAlign w:val="bottom"/>
          </w:tcPr>
          <w:p>
            <w:pPr>
              <w:jc w:val="right"/>
              <w:spacing w:after="0"/>
              <w:rPr>
                <w:sz w:val="20"/>
                <w:szCs w:val="20"/>
                <w:color w:val="auto"/>
              </w:rPr>
            </w:pPr>
            <w:r>
              <w:rPr>
                <w:rFonts w:ascii="Arial" w:cs="Arial" w:eastAsia="Arial" w:hAnsi="Arial"/>
                <w:sz w:val="13"/>
                <w:szCs w:val="13"/>
                <w:color w:val="auto"/>
              </w:rPr>
              <w:t>(85,533,394)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(901,046)</w:t>
            </w:r>
          </w:p>
        </w:tc>
        <w:tc>
          <w:tcPr>
            <w:tcW w:w="0" w:type="dxa"/>
            <w:vAlign w:val="bottom"/>
          </w:tcPr>
          <w:p>
            <w:pPr>
              <w:spacing w:after="0"/>
              <w:rPr>
                <w:sz w:val="1"/>
                <w:szCs w:val="1"/>
                <w:color w:val="auto"/>
              </w:rPr>
            </w:pPr>
          </w:p>
        </w:tc>
      </w:tr>
      <w:tr>
        <w:trPr>
          <w:trHeight w:val="144"/>
        </w:trPr>
        <w:tc>
          <w:tcPr>
            <w:tcW w:w="2940" w:type="dxa"/>
            <w:vAlign w:val="bottom"/>
          </w:tcPr>
          <w:p>
            <w:pPr>
              <w:ind w:left="240"/>
              <w:spacing w:after="0" w:line="144" w:lineRule="exact"/>
              <w:rPr>
                <w:sz w:val="20"/>
                <w:szCs w:val="20"/>
                <w:color w:val="auto"/>
              </w:rPr>
            </w:pPr>
            <w:r>
              <w:rPr>
                <w:rFonts w:ascii="Arial" w:cs="Arial" w:eastAsia="Arial" w:hAnsi="Arial"/>
                <w:sz w:val="13"/>
                <w:szCs w:val="13"/>
                <w:color w:val="auto"/>
              </w:rPr>
              <w:t>Conversion of redeemable convertible</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40" w:type="dxa"/>
            <w:vAlign w:val="bottom"/>
          </w:tcPr>
          <w:p>
            <w:pPr>
              <w:ind w:left="240"/>
              <w:spacing w:after="0" w:line="144" w:lineRule="exact"/>
              <w:rPr>
                <w:sz w:val="20"/>
                <w:szCs w:val="20"/>
                <w:color w:val="auto"/>
              </w:rPr>
            </w:pPr>
            <w:r>
              <w:rPr>
                <w:rFonts w:ascii="Arial" w:cs="Arial" w:eastAsia="Arial" w:hAnsi="Arial"/>
                <w:sz w:val="13"/>
                <w:szCs w:val="13"/>
                <w:color w:val="auto"/>
              </w:rPr>
              <w:t>preferred stock warrant to common stock</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warrant</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940" w:type="dxa"/>
            <w:vAlign w:val="bottom"/>
          </w:tcPr>
          <w:p>
            <w:pPr>
              <w:ind w:left="240"/>
              <w:spacing w:after="0" w:line="144" w:lineRule="exact"/>
              <w:rPr>
                <w:sz w:val="20"/>
                <w:szCs w:val="20"/>
                <w:color w:val="auto"/>
              </w:rPr>
            </w:pPr>
            <w:r>
              <w:rPr>
                <w:rFonts w:ascii="Arial" w:cs="Arial" w:eastAsia="Arial" w:hAnsi="Arial"/>
                <w:sz w:val="13"/>
                <w:szCs w:val="13"/>
                <w:color w:val="auto"/>
              </w:rPr>
              <w:t>Issuance of common stock in IPO, net of</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offering costs</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940" w:type="dxa"/>
            <w:vAlign w:val="bottom"/>
          </w:tcPr>
          <w:p>
            <w:pPr>
              <w:ind w:left="240"/>
              <w:spacing w:after="0" w:line="144" w:lineRule="exact"/>
              <w:rPr>
                <w:sz w:val="20"/>
                <w:szCs w:val="20"/>
                <w:color w:val="auto"/>
              </w:rPr>
            </w:pPr>
            <w:r>
              <w:rPr>
                <w:rFonts w:ascii="Arial" w:cs="Arial" w:eastAsia="Arial" w:hAnsi="Arial"/>
                <w:sz w:val="13"/>
                <w:szCs w:val="13"/>
                <w:color w:val="auto"/>
              </w:rPr>
              <w:t>Issuance of common stock in follow-on</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40" w:type="dxa"/>
            <w:vAlign w:val="bottom"/>
          </w:tcPr>
          <w:p>
            <w:pPr>
              <w:ind w:left="240"/>
              <w:spacing w:after="0" w:line="144" w:lineRule="exact"/>
              <w:rPr>
                <w:sz w:val="20"/>
                <w:szCs w:val="20"/>
                <w:color w:val="auto"/>
              </w:rPr>
            </w:pPr>
            <w:r>
              <w:rPr>
                <w:rFonts w:ascii="Arial" w:cs="Arial" w:eastAsia="Arial" w:hAnsi="Arial"/>
                <w:sz w:val="13"/>
                <w:szCs w:val="13"/>
                <w:color w:val="auto"/>
              </w:rPr>
              <w:t>public offering,</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net of offering costs</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Repurchase of common stock</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Vesting of restricted stock awards</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Stock-based compensation</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Exercise of stock options</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Exercise of common stock warrants</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Vesting of restricted stock units</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940" w:type="dxa"/>
            <w:vAlign w:val="bottom"/>
          </w:tcPr>
          <w:p>
            <w:pPr>
              <w:ind w:left="240"/>
              <w:spacing w:after="0" w:line="144" w:lineRule="exact"/>
              <w:rPr>
                <w:sz w:val="20"/>
                <w:szCs w:val="20"/>
                <w:color w:val="auto"/>
              </w:rPr>
            </w:pPr>
            <w:r>
              <w:rPr>
                <w:rFonts w:ascii="Arial" w:cs="Arial" w:eastAsia="Arial" w:hAnsi="Arial"/>
                <w:sz w:val="13"/>
                <w:szCs w:val="13"/>
                <w:color w:val="auto"/>
              </w:rPr>
              <w:t>Common stock shares withheld to satisfy</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240"/>
              <w:spacing w:after="0"/>
              <w:rPr>
                <w:sz w:val="20"/>
                <w:szCs w:val="20"/>
                <w:color w:val="auto"/>
              </w:rPr>
            </w:pPr>
            <w:r>
              <w:rPr>
                <w:rFonts w:ascii="Arial" w:cs="Arial" w:eastAsia="Arial" w:hAnsi="Arial"/>
                <w:sz w:val="13"/>
                <w:szCs w:val="13"/>
                <w:color w:val="auto"/>
              </w:rPr>
              <w:t>employee tax withholding obligations</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940" w:type="dxa"/>
            <w:vAlign w:val="bottom"/>
          </w:tcPr>
          <w:p>
            <w:pPr>
              <w:ind w:left="240"/>
              <w:spacing w:after="0"/>
              <w:rPr>
                <w:sz w:val="20"/>
                <w:szCs w:val="20"/>
                <w:color w:val="auto"/>
              </w:rPr>
            </w:pPr>
            <w:r>
              <w:rPr>
                <w:rFonts w:ascii="Arial" w:cs="Arial" w:eastAsia="Arial" w:hAnsi="Arial"/>
                <w:sz w:val="13"/>
                <w:szCs w:val="13"/>
                <w:color w:val="auto"/>
              </w:rPr>
              <w:t>Net loss</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2940" w:type="dxa"/>
            <w:vAlign w:val="bottom"/>
          </w:tcPr>
          <w:p>
            <w:pPr>
              <w:spacing w:after="0"/>
              <w:rPr>
                <w:sz w:val="20"/>
                <w:szCs w:val="20"/>
                <w:color w:val="auto"/>
              </w:rPr>
            </w:pPr>
            <w:r>
              <w:rPr>
                <w:rFonts w:ascii="Arial" w:cs="Arial" w:eastAsia="Arial" w:hAnsi="Arial"/>
                <w:sz w:val="13"/>
                <w:szCs w:val="13"/>
                <w:color w:val="auto"/>
              </w:rPr>
              <w:t>Balance at December 31, 2020</w:t>
            </w:r>
          </w:p>
        </w:tc>
        <w:tc>
          <w:tcPr>
            <w:tcW w:w="11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940" w:type="dxa"/>
            <w:vAlign w:val="bottom"/>
            <w:gridSpan w:val="3"/>
            <w:vMerge w:val="restart"/>
          </w:tcPr>
          <w:p>
            <w:pPr>
              <w:jc w:val="right"/>
              <w:ind w:right="329"/>
              <w:spacing w:after="0"/>
              <w:rPr>
                <w:sz w:val="20"/>
                <w:szCs w:val="20"/>
                <w:color w:val="auto"/>
              </w:rPr>
            </w:pPr>
            <w:r>
              <w:rPr>
                <w:rFonts w:ascii="Arial" w:cs="Arial" w:eastAsia="Arial" w:hAnsi="Arial"/>
                <w:sz w:val="13"/>
                <w:szCs w:val="13"/>
                <w:b w:val="1"/>
                <w:bCs w:val="1"/>
                <w:color w:val="auto"/>
              </w:rPr>
              <w:t>Common Stock</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Additional</w:t>
            </w: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175"/>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3"/>
        </w:trPr>
        <w:tc>
          <w:tcPr>
            <w:tcW w:w="194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Paid-in</w:t>
            </w:r>
          </w:p>
        </w:tc>
        <w:tc>
          <w:tcPr>
            <w:tcW w:w="11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tcPr>
          <w:p>
            <w:pPr>
              <w:jc w:val="center"/>
              <w:ind w:right="35"/>
              <w:spacing w:after="0"/>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31"/>
        </w:trPr>
        <w:tc>
          <w:tcPr>
            <w:tcW w:w="1100" w:type="dxa"/>
            <w:vAlign w:val="bottom"/>
            <w:vMerge w:val="restart"/>
          </w:tcPr>
          <w:p>
            <w:pPr>
              <w:jc w:val="right"/>
              <w:ind w:right="335"/>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rPr>
              <w:t>Capital</w:t>
            </w:r>
          </w:p>
        </w:tc>
        <w:tc>
          <w:tcPr>
            <w:tcW w:w="180" w:type="dxa"/>
            <w:vAlign w:val="bottom"/>
          </w:tcPr>
          <w:p>
            <w:pPr>
              <w:spacing w:after="0"/>
              <w:rPr>
                <w:sz w:val="11"/>
                <w:szCs w:val="11"/>
                <w:color w:val="auto"/>
              </w:rPr>
            </w:pPr>
          </w:p>
        </w:tc>
        <w:tc>
          <w:tcPr>
            <w:tcW w:w="98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155"/>
              <w:spacing w:after="0" w:line="132"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155"/>
              <w:spacing w:after="0"/>
              <w:rPr>
                <w:sz w:val="20"/>
                <w:szCs w:val="20"/>
                <w:color w:val="auto"/>
              </w:rPr>
            </w:pPr>
            <w:r>
              <w:rPr>
                <w:rFonts w:ascii="Arial" w:cs="Arial" w:eastAsia="Arial" w:hAnsi="Arial"/>
                <w:sz w:val="13"/>
                <w:szCs w:val="13"/>
                <w:b w:val="1"/>
                <w:bCs w:val="1"/>
                <w:color w:val="auto"/>
                <w:w w:val="99"/>
              </w:rPr>
              <w:t>(Deficit)</w:t>
            </w:r>
          </w:p>
        </w:tc>
        <w:tc>
          <w:tcPr>
            <w:tcW w:w="0" w:type="dxa"/>
            <w:vAlign w:val="bottom"/>
          </w:tcPr>
          <w:p>
            <w:pPr>
              <w:spacing w:after="0"/>
              <w:rPr>
                <w:sz w:val="1"/>
                <w:szCs w:val="1"/>
                <w:color w:val="auto"/>
              </w:rPr>
            </w:pPr>
          </w:p>
        </w:tc>
      </w:tr>
      <w:tr>
        <w:trPr>
          <w:trHeight w:val="150"/>
        </w:trPr>
        <w:tc>
          <w:tcPr>
            <w:tcW w:w="11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rPr>
              <w:t>8,522,110</w:t>
            </w:r>
          </w:p>
        </w:tc>
        <w:tc>
          <w:tcPr>
            <w:tcW w:w="1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(201,507)</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(201,499)</w:t>
            </w:r>
          </w:p>
        </w:tc>
        <w:tc>
          <w:tcPr>
            <w:tcW w:w="0" w:type="dxa"/>
            <w:vAlign w:val="bottom"/>
          </w:tcPr>
          <w:p>
            <w:pPr>
              <w:spacing w:after="0"/>
              <w:rPr>
                <w:sz w:val="1"/>
                <w:szCs w:val="1"/>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9"/>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5"/>
              <w:spacing w:after="0"/>
              <w:rPr>
                <w:sz w:val="20"/>
                <w:szCs w:val="20"/>
                <w:color w:val="auto"/>
              </w:rPr>
            </w:pPr>
            <w:r>
              <w:rPr>
                <w:rFonts w:ascii="Arial" w:cs="Arial" w:eastAsia="Arial" w:hAnsi="Arial"/>
                <w:sz w:val="13"/>
                <w:szCs w:val="13"/>
                <w:color w:val="auto"/>
              </w:rPr>
              <w:t>1,658</w:t>
            </w:r>
          </w:p>
        </w:tc>
        <w:tc>
          <w:tcPr>
            <w:tcW w:w="100" w:type="dxa"/>
            <w:vAlign w:val="bottom"/>
          </w:tcPr>
          <w:p>
            <w:pPr>
              <w:spacing w:after="0"/>
              <w:rPr>
                <w:sz w:val="24"/>
                <w:szCs w:val="24"/>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1,658</w:t>
            </w:r>
          </w:p>
        </w:tc>
        <w:tc>
          <w:tcPr>
            <w:tcW w:w="0" w:type="dxa"/>
            <w:vAlign w:val="bottom"/>
          </w:tcPr>
          <w:p>
            <w:pPr>
              <w:spacing w:after="0"/>
              <w:rPr>
                <w:sz w:val="1"/>
                <w:szCs w:val="1"/>
                <w:color w:val="auto"/>
              </w:rPr>
            </w:pPr>
          </w:p>
        </w:tc>
      </w:tr>
      <w:tr>
        <w:trPr>
          <w:trHeight w:val="157"/>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1,158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1,158</w:t>
            </w:r>
          </w:p>
        </w:tc>
        <w:tc>
          <w:tcPr>
            <w:tcW w:w="0" w:type="dxa"/>
            <w:vAlign w:val="bottom"/>
          </w:tcPr>
          <w:p>
            <w:pPr>
              <w:spacing w:after="0"/>
              <w:rPr>
                <w:sz w:val="1"/>
                <w:szCs w:val="1"/>
                <w:color w:val="auto"/>
              </w:rPr>
            </w:pPr>
          </w:p>
        </w:tc>
      </w:tr>
      <w:tr>
        <w:trPr>
          <w:trHeight w:val="157"/>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12,502</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76"/>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36,774</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45"/>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2"/>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(1,189)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(11,847)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(13,036)</w:t>
            </w:r>
          </w:p>
        </w:tc>
        <w:tc>
          <w:tcPr>
            <w:tcW w:w="0" w:type="dxa"/>
            <w:vAlign w:val="bottom"/>
          </w:tcPr>
          <w:p>
            <w:pPr>
              <w:spacing w:after="0"/>
              <w:rPr>
                <w:sz w:val="1"/>
                <w:szCs w:val="1"/>
                <w:color w:val="auto"/>
              </w:rPr>
            </w:pPr>
          </w:p>
        </w:tc>
      </w:tr>
      <w:tr>
        <w:trPr>
          <w:trHeight w:val="161"/>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(85,178)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(85,178)</w:t>
            </w:r>
          </w:p>
        </w:tc>
        <w:tc>
          <w:tcPr>
            <w:tcW w:w="0" w:type="dxa"/>
            <w:vAlign w:val="bottom"/>
          </w:tcPr>
          <w:p>
            <w:pPr>
              <w:spacing w:after="0"/>
              <w:rPr>
                <w:sz w:val="1"/>
                <w:szCs w:val="1"/>
                <w:color w:val="auto"/>
              </w:rPr>
            </w:pPr>
          </w:p>
        </w:tc>
      </w:tr>
      <w:tr>
        <w:trPr>
          <w:trHeight w:val="150"/>
        </w:trPr>
        <w:tc>
          <w:tcPr>
            <w:tcW w:w="11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rPr>
              <w:t>8,571,386</w:t>
            </w:r>
          </w:p>
        </w:tc>
        <w:tc>
          <w:tcPr>
            <w:tcW w:w="1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(296,874)</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(296,866)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00" w:type="dxa"/>
            <w:vAlign w:val="bottom"/>
            <w:tcBorders>
              <w:top w:val="single" w:sz="8" w:color="auto"/>
            </w:tcBorders>
          </w:tcPr>
          <w:p>
            <w:pPr>
              <w:jc w:val="right"/>
              <w:ind w:right="75"/>
              <w:spacing w:after="0" w:line="13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tcBorders>
              <w:top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tcPr>
          <w:p>
            <w:pPr>
              <w:jc w:val="right"/>
              <w:ind w:right="35"/>
              <w:spacing w:after="0" w:line="13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ind w:right="55"/>
              <w:spacing w:after="0" w:line="133" w:lineRule="exact"/>
              <w:rPr>
                <w:sz w:val="20"/>
                <w:szCs w:val="20"/>
                <w:color w:val="auto"/>
              </w:rPr>
            </w:pPr>
            <w:r>
              <w:rPr>
                <w:rFonts w:ascii="Arial" w:cs="Arial" w:eastAsia="Arial" w:hAnsi="Arial"/>
                <w:sz w:val="13"/>
                <w:szCs w:val="13"/>
                <w:color w:val="auto"/>
              </w:rPr>
              <w:t>2,756</w:t>
            </w: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35"/>
              <w:spacing w:after="0" w:line="133"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ind w:right="55"/>
              <w:spacing w:after="0" w:line="13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ind w:right="15"/>
              <w:spacing w:after="0" w:line="133" w:lineRule="exact"/>
              <w:rPr>
                <w:sz w:val="20"/>
                <w:szCs w:val="20"/>
                <w:color w:val="auto"/>
              </w:rPr>
            </w:pPr>
            <w:r>
              <w:rPr>
                <w:rFonts w:ascii="Arial" w:cs="Arial" w:eastAsia="Arial" w:hAnsi="Arial"/>
                <w:sz w:val="13"/>
                <w:szCs w:val="13"/>
                <w:color w:val="auto"/>
              </w:rPr>
              <w:t>2,756</w:t>
            </w:r>
          </w:p>
        </w:tc>
        <w:tc>
          <w:tcPr>
            <w:tcW w:w="0" w:type="dxa"/>
            <w:vAlign w:val="bottom"/>
          </w:tcPr>
          <w:p>
            <w:pPr>
              <w:spacing w:after="0"/>
              <w:rPr>
                <w:sz w:val="1"/>
                <w:szCs w:val="1"/>
                <w:color w:val="auto"/>
              </w:rPr>
            </w:pPr>
          </w:p>
        </w:tc>
      </w:tr>
      <w:tr>
        <w:trPr>
          <w:trHeight w:val="157"/>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135,950</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466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466</w:t>
            </w:r>
          </w:p>
        </w:tc>
        <w:tc>
          <w:tcPr>
            <w:tcW w:w="0" w:type="dxa"/>
            <w:vAlign w:val="bottom"/>
          </w:tcPr>
          <w:p>
            <w:pPr>
              <w:spacing w:after="0"/>
              <w:rPr>
                <w:sz w:val="1"/>
                <w:szCs w:val="1"/>
                <w:color w:val="auto"/>
              </w:rPr>
            </w:pPr>
          </w:p>
        </w:tc>
      </w:tr>
      <w:tr>
        <w:trPr>
          <w:trHeight w:val="157"/>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623,832</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1,344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1,344</w:t>
            </w:r>
          </w:p>
        </w:tc>
        <w:tc>
          <w:tcPr>
            <w:tcW w:w="0" w:type="dxa"/>
            <w:vAlign w:val="bottom"/>
          </w:tcPr>
          <w:p>
            <w:pPr>
              <w:spacing w:after="0"/>
              <w:rPr>
                <w:sz w:val="1"/>
                <w:szCs w:val="1"/>
                <w:color w:val="auto"/>
              </w:rPr>
            </w:pPr>
          </w:p>
        </w:tc>
      </w:tr>
      <w:tr>
        <w:trPr>
          <w:trHeight w:val="176"/>
        </w:trPr>
        <w:tc>
          <w:tcPr>
            <w:tcW w:w="1100" w:type="dxa"/>
            <w:vAlign w:val="bottom"/>
          </w:tcPr>
          <w:p>
            <w:pPr>
              <w:jc w:val="right"/>
              <w:ind w:right="15"/>
              <w:spacing w:after="0"/>
              <w:rPr>
                <w:sz w:val="20"/>
                <w:szCs w:val="20"/>
                <w:color w:val="auto"/>
              </w:rPr>
            </w:pPr>
            <w:r>
              <w:rPr>
                <w:rFonts w:ascii="Arial" w:cs="Arial" w:eastAsia="Arial" w:hAnsi="Arial"/>
                <w:sz w:val="13"/>
                <w:szCs w:val="13"/>
                <w:color w:val="auto"/>
              </w:rPr>
              <w:t>(680,246)</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(4,566)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(1,258)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(5,824)</w:t>
            </w:r>
          </w:p>
        </w:tc>
        <w:tc>
          <w:tcPr>
            <w:tcW w:w="0" w:type="dxa"/>
            <w:vAlign w:val="bottom"/>
          </w:tcPr>
          <w:p>
            <w:pPr>
              <w:spacing w:after="0"/>
              <w:rPr>
                <w:sz w:val="1"/>
                <w:szCs w:val="1"/>
                <w:color w:val="auto"/>
              </w:rPr>
            </w:pPr>
          </w:p>
        </w:tc>
      </w:tr>
      <w:tr>
        <w:trPr>
          <w:trHeight w:val="445"/>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2"/>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(132,750)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(132,750)</w:t>
            </w:r>
          </w:p>
        </w:tc>
        <w:tc>
          <w:tcPr>
            <w:tcW w:w="0" w:type="dxa"/>
            <w:vAlign w:val="bottom"/>
          </w:tcPr>
          <w:p>
            <w:pPr>
              <w:spacing w:after="0"/>
              <w:rPr>
                <w:sz w:val="1"/>
                <w:szCs w:val="1"/>
                <w:color w:val="auto"/>
              </w:rPr>
            </w:pPr>
          </w:p>
        </w:tc>
      </w:tr>
      <w:tr>
        <w:trPr>
          <w:trHeight w:val="161"/>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(142,978)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(142,978)</w:t>
            </w:r>
          </w:p>
        </w:tc>
        <w:tc>
          <w:tcPr>
            <w:tcW w:w="0" w:type="dxa"/>
            <w:vAlign w:val="bottom"/>
          </w:tcPr>
          <w:p>
            <w:pPr>
              <w:spacing w:after="0"/>
              <w:rPr>
                <w:sz w:val="1"/>
                <w:szCs w:val="1"/>
                <w:color w:val="auto"/>
              </w:rPr>
            </w:pPr>
          </w:p>
        </w:tc>
      </w:tr>
      <w:tr>
        <w:trPr>
          <w:trHeight w:val="150"/>
        </w:trPr>
        <w:tc>
          <w:tcPr>
            <w:tcW w:w="11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rPr>
              <w:t>8,650,922</w:t>
            </w:r>
          </w:p>
        </w:tc>
        <w:tc>
          <w:tcPr>
            <w:tcW w:w="1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(573,860)</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(573,852)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00" w:type="dxa"/>
            <w:vAlign w:val="bottom"/>
            <w:tcBorders>
              <w:top w:val="single" w:sz="8" w:color="auto"/>
            </w:tcBorders>
          </w:tcPr>
          <w:p>
            <w:pPr>
              <w:jc w:val="right"/>
              <w:ind w:right="75"/>
              <w:spacing w:after="0"/>
              <w:rPr>
                <w:sz w:val="20"/>
                <w:szCs w:val="20"/>
                <w:color w:val="auto"/>
              </w:rPr>
            </w:pPr>
            <w:r>
              <w:rPr>
                <w:rFonts w:ascii="Arial" w:cs="Arial" w:eastAsia="Arial" w:hAnsi="Arial"/>
                <w:sz w:val="13"/>
                <w:szCs w:val="13"/>
                <w:color w:val="auto"/>
              </w:rPr>
              <w:t>183,870</w:t>
            </w:r>
          </w:p>
        </w:tc>
        <w:tc>
          <w:tcPr>
            <w:tcW w:w="120" w:type="dxa"/>
            <w:vAlign w:val="bottom"/>
          </w:tcPr>
          <w:p>
            <w:pPr>
              <w:spacing w:after="0"/>
              <w:rPr>
                <w:sz w:val="13"/>
                <w:szCs w:val="13"/>
                <w:color w:val="auto"/>
              </w:rPr>
            </w:pPr>
          </w:p>
        </w:tc>
        <w:tc>
          <w:tcPr>
            <w:tcW w:w="720" w:type="dxa"/>
            <w:vAlign w:val="bottom"/>
            <w:tcBorders>
              <w:top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2,127</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3"/>
                <w:szCs w:val="13"/>
                <w:color w:val="auto"/>
              </w:rPr>
              <w:t>2,127</w:t>
            </w:r>
          </w:p>
        </w:tc>
        <w:tc>
          <w:tcPr>
            <w:tcW w:w="0" w:type="dxa"/>
            <w:vAlign w:val="bottom"/>
          </w:tcPr>
          <w:p>
            <w:pPr>
              <w:spacing w:after="0"/>
              <w:rPr>
                <w:sz w:val="1"/>
                <w:szCs w:val="1"/>
                <w:color w:val="auto"/>
              </w:rPr>
            </w:pPr>
          </w:p>
        </w:tc>
      </w:tr>
      <w:tr>
        <w:trPr>
          <w:trHeight w:val="441"/>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1"/>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85,533,394</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900,960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901,046</w:t>
            </w:r>
          </w:p>
        </w:tc>
        <w:tc>
          <w:tcPr>
            <w:tcW w:w="0" w:type="dxa"/>
            <w:vAlign w:val="bottom"/>
          </w:tcPr>
          <w:p>
            <w:pPr>
              <w:spacing w:after="0"/>
              <w:rPr>
                <w:sz w:val="1"/>
                <w:szCs w:val="1"/>
                <w:color w:val="auto"/>
              </w:rPr>
            </w:pPr>
          </w:p>
        </w:tc>
      </w:tr>
      <w:tr>
        <w:trPr>
          <w:trHeight w:val="445"/>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21,873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21,873</w:t>
            </w:r>
          </w:p>
        </w:tc>
        <w:tc>
          <w:tcPr>
            <w:tcW w:w="0" w:type="dxa"/>
            <w:vAlign w:val="bottom"/>
          </w:tcPr>
          <w:p>
            <w:pPr>
              <w:spacing w:after="0"/>
              <w:rPr>
                <w:sz w:val="1"/>
                <w:szCs w:val="1"/>
                <w:color w:val="auto"/>
              </w:rPr>
            </w:pPr>
          </w:p>
        </w:tc>
      </w:tr>
      <w:tr>
        <w:trPr>
          <w:trHeight w:val="301"/>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24,437,500</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496,486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496,510</w:t>
            </w:r>
          </w:p>
        </w:tc>
        <w:tc>
          <w:tcPr>
            <w:tcW w:w="0" w:type="dxa"/>
            <w:vAlign w:val="bottom"/>
          </w:tcPr>
          <w:p>
            <w:pPr>
              <w:spacing w:after="0"/>
              <w:rPr>
                <w:sz w:val="1"/>
                <w:szCs w:val="1"/>
                <w:color w:val="auto"/>
              </w:rPr>
            </w:pPr>
          </w:p>
        </w:tc>
      </w:tr>
      <w:tr>
        <w:trPr>
          <w:trHeight w:val="425"/>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10,800,000</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567,941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567,952</w:t>
            </w:r>
          </w:p>
        </w:tc>
        <w:tc>
          <w:tcPr>
            <w:tcW w:w="0" w:type="dxa"/>
            <w:vAlign w:val="bottom"/>
          </w:tcPr>
          <w:p>
            <w:pPr>
              <w:spacing w:after="0"/>
              <w:rPr>
                <w:sz w:val="1"/>
                <w:szCs w:val="1"/>
                <w:color w:val="auto"/>
              </w:rPr>
            </w:pPr>
          </w:p>
        </w:tc>
      </w:tr>
      <w:tr>
        <w:trPr>
          <w:trHeight w:val="157"/>
        </w:trPr>
        <w:tc>
          <w:tcPr>
            <w:tcW w:w="1100" w:type="dxa"/>
            <w:vAlign w:val="bottom"/>
          </w:tcPr>
          <w:p>
            <w:pPr>
              <w:jc w:val="right"/>
              <w:ind w:right="15"/>
              <w:spacing w:after="0"/>
              <w:rPr>
                <w:sz w:val="20"/>
                <w:szCs w:val="20"/>
                <w:color w:val="auto"/>
              </w:rPr>
            </w:pPr>
            <w:r>
              <w:rPr>
                <w:rFonts w:ascii="Arial" w:cs="Arial" w:eastAsia="Arial" w:hAnsi="Arial"/>
                <w:sz w:val="13"/>
                <w:szCs w:val="13"/>
                <w:color w:val="auto"/>
              </w:rPr>
              <w:t>(200,000)</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(606)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(1,212)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(1,818)</w:t>
            </w:r>
          </w:p>
        </w:tc>
        <w:tc>
          <w:tcPr>
            <w:tcW w:w="0" w:type="dxa"/>
            <w:vAlign w:val="bottom"/>
          </w:tcPr>
          <w:p>
            <w:pPr>
              <w:spacing w:after="0"/>
              <w:rPr>
                <w:sz w:val="1"/>
                <w:szCs w:val="1"/>
                <w:color w:val="auto"/>
              </w:rPr>
            </w:pPr>
          </w:p>
        </w:tc>
      </w:tr>
      <w:tr>
        <w:trPr>
          <w:trHeight w:val="157"/>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3,249,346</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3,381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3,383</w:t>
            </w:r>
          </w:p>
        </w:tc>
        <w:tc>
          <w:tcPr>
            <w:tcW w:w="0" w:type="dxa"/>
            <w:vAlign w:val="bottom"/>
          </w:tcPr>
          <w:p>
            <w:pPr>
              <w:spacing w:after="0"/>
              <w:rPr>
                <w:sz w:val="1"/>
                <w:szCs w:val="1"/>
                <w:color w:val="auto"/>
              </w:rPr>
            </w:pPr>
          </w:p>
        </w:tc>
      </w:tr>
      <w:tr>
        <w:trPr>
          <w:trHeight w:val="157"/>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13,254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13,254</w:t>
            </w:r>
          </w:p>
        </w:tc>
        <w:tc>
          <w:tcPr>
            <w:tcW w:w="0" w:type="dxa"/>
            <w:vAlign w:val="bottom"/>
          </w:tcPr>
          <w:p>
            <w:pPr>
              <w:spacing w:after="0"/>
              <w:rPr>
                <w:sz w:val="1"/>
                <w:szCs w:val="1"/>
                <w:color w:val="auto"/>
              </w:rPr>
            </w:pPr>
          </w:p>
        </w:tc>
      </w:tr>
      <w:tr>
        <w:trPr>
          <w:trHeight w:val="157"/>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598,406</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2,340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2,341</w:t>
            </w:r>
          </w:p>
        </w:tc>
        <w:tc>
          <w:tcPr>
            <w:tcW w:w="0" w:type="dxa"/>
            <w:vAlign w:val="bottom"/>
          </w:tcPr>
          <w:p>
            <w:pPr>
              <w:spacing w:after="0"/>
              <w:rPr>
                <w:sz w:val="1"/>
                <w:szCs w:val="1"/>
                <w:color w:val="auto"/>
              </w:rPr>
            </w:pPr>
          </w:p>
        </w:tc>
      </w:tr>
      <w:tr>
        <w:trPr>
          <w:trHeight w:val="157"/>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636,112</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237,334</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2"/>
        </w:trPr>
        <w:tc>
          <w:tcPr>
            <w:tcW w:w="1100" w:type="dxa"/>
            <w:vAlign w:val="bottom"/>
          </w:tcPr>
          <w:p>
            <w:pPr>
              <w:jc w:val="right"/>
              <w:ind w:right="15"/>
              <w:spacing w:after="0"/>
              <w:rPr>
                <w:sz w:val="20"/>
                <w:szCs w:val="20"/>
                <w:color w:val="auto"/>
              </w:rPr>
            </w:pPr>
            <w:r>
              <w:rPr>
                <w:rFonts w:ascii="Arial" w:cs="Arial" w:eastAsia="Arial" w:hAnsi="Arial"/>
                <w:sz w:val="13"/>
                <w:szCs w:val="13"/>
                <w:color w:val="auto"/>
              </w:rPr>
              <w:t>(82,915)</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(2,915)</w:t>
            </w:r>
          </w:p>
        </w:tc>
        <w:tc>
          <w:tcPr>
            <w:tcW w:w="0" w:type="dxa"/>
            <w:vAlign w:val="bottom"/>
          </w:tcPr>
          <w:p>
            <w:pPr>
              <w:spacing w:after="0"/>
              <w:rPr>
                <w:sz w:val="1"/>
                <w:szCs w:val="1"/>
                <w:color w:val="auto"/>
              </w:rPr>
            </w:pPr>
          </w:p>
        </w:tc>
      </w:tr>
      <w:tr>
        <w:trPr>
          <w:trHeight w:val="161"/>
        </w:trPr>
        <w:tc>
          <w:tcPr>
            <w:tcW w:w="110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(202,799)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(202,799)</w:t>
            </w:r>
          </w:p>
        </w:tc>
        <w:tc>
          <w:tcPr>
            <w:tcW w:w="0" w:type="dxa"/>
            <w:vAlign w:val="bottom"/>
          </w:tcPr>
          <w:p>
            <w:pPr>
              <w:spacing w:after="0"/>
              <w:rPr>
                <w:sz w:val="1"/>
                <w:szCs w:val="1"/>
                <w:color w:val="auto"/>
              </w:rPr>
            </w:pPr>
          </w:p>
        </w:tc>
      </w:tr>
      <w:tr>
        <w:trPr>
          <w:trHeight w:val="150"/>
        </w:trPr>
        <w:tc>
          <w:tcPr>
            <w:tcW w:w="11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rPr>
              <w:t>134,043,969</w:t>
            </w:r>
          </w:p>
        </w:tc>
        <w:tc>
          <w:tcPr>
            <w:tcW w:w="1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2,004,841</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(777,871)</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1,227,102</w:t>
            </w:r>
          </w:p>
        </w:tc>
        <w:tc>
          <w:tcPr>
            <w:tcW w:w="0" w:type="dxa"/>
            <w:vAlign w:val="bottom"/>
          </w:tcPr>
          <w:p>
            <w:pPr>
              <w:spacing w:after="0"/>
              <w:rPr>
                <w:sz w:val="1"/>
                <w:szCs w:val="1"/>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-5175250</wp:posOffset>
            </wp:positionV>
            <wp:extent cx="7136765" cy="51758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765" cy="517588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5260" w:space="240"/>
            <w:col w:w="5740"/>
          </w:cols>
          <w:pgMar w:left="320" w:top="126"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i w:val="1"/>
          <w:iCs w:val="1"/>
          <w:color w:val="auto"/>
        </w:rPr>
        <w:t>See accompanying notes to these consolidated financial statements</w:t>
      </w:r>
      <w:r>
        <w:rPr>
          <w:rFonts w:ascii="Arial" w:cs="Arial" w:eastAsia="Arial" w:hAnsi="Arial"/>
          <w:sz w:val="17"/>
          <w:szCs w:val="17"/>
          <w:color w:val="auto"/>
        </w:rPr>
        <w: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5" w:lineRule="exact"/>
        <w:rPr>
          <w:sz w:val="20"/>
          <w:szCs w:val="20"/>
          <w:color w:val="auto"/>
        </w:rPr>
      </w:pPr>
    </w:p>
    <w:p>
      <w:pPr>
        <w:jc w:val="center"/>
        <w:ind w:left="6200"/>
        <w:spacing w:after="0"/>
        <w:rPr>
          <w:sz w:val="20"/>
          <w:szCs w:val="20"/>
          <w:color w:val="auto"/>
        </w:rPr>
      </w:pPr>
      <w:r>
        <w:rPr>
          <w:rFonts w:ascii="Arial" w:cs="Arial" w:eastAsia="Arial" w:hAnsi="Arial"/>
          <w:sz w:val="14"/>
          <w:szCs w:val="14"/>
          <w:b w:val="1"/>
          <w:bCs w:val="1"/>
          <w:color w:val="auto"/>
        </w:rPr>
        <w:t>Year Ended</w:t>
      </w:r>
    </w:p>
    <w:p>
      <w:pPr>
        <w:jc w:val="center"/>
        <w:ind w:left="6200"/>
        <w:spacing w:after="0" w:line="227"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63"/>
        </w:trPr>
        <w:tc>
          <w:tcPr>
            <w:tcW w:w="6360" w:type="dxa"/>
            <w:vAlign w:val="bottom"/>
            <w:tcBorders>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4"/>
                <w:szCs w:val="14"/>
                <w:color w:val="auto"/>
              </w:rPr>
            </w:pPr>
          </w:p>
        </w:tc>
        <w:tc>
          <w:tcPr>
            <w:tcW w:w="20" w:type="dxa"/>
            <w:vAlign w:val="bottom"/>
            <w:tcBorders>
              <w:top w:val="single" w:sz="8" w:color="auto"/>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2018</w:t>
            </w:r>
          </w:p>
        </w:tc>
      </w:tr>
      <w:tr>
        <w:trPr>
          <w:trHeight w:val="189"/>
        </w:trPr>
        <w:tc>
          <w:tcPr>
            <w:tcW w:w="63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r>
      <w:tr>
        <w:trPr>
          <w:trHeight w:val="196"/>
        </w:trPr>
        <w:tc>
          <w:tcPr>
            <w:tcW w:w="6360" w:type="dxa"/>
            <w:vAlign w:val="bottom"/>
          </w:tcPr>
          <w:p>
            <w:pPr>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(202,799)</w:t>
            </w:r>
          </w:p>
        </w:tc>
        <w:tc>
          <w:tcPr>
            <w:tcW w:w="460" w:type="dxa"/>
            <w:vAlign w:val="bottom"/>
            <w:gridSpan w:val="2"/>
          </w:tcPr>
          <w:p>
            <w:pPr>
              <w:jc w:val="right"/>
              <w:ind w:right="141"/>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(142,978)</w:t>
            </w:r>
          </w:p>
        </w:tc>
        <w:tc>
          <w:tcPr>
            <w:tcW w:w="140" w:type="dxa"/>
            <w:vAlign w:val="bottom"/>
          </w:tcPr>
          <w:p>
            <w:pPr>
              <w:spacing w:after="0"/>
              <w:rPr>
                <w:sz w:val="17"/>
                <w:szCs w:val="17"/>
                <w:color w:val="auto"/>
              </w:rPr>
            </w:pP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(85,178)</w:t>
            </w:r>
          </w:p>
        </w:tc>
      </w:tr>
      <w:tr>
        <w:trPr>
          <w:trHeight w:val="196"/>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196"/>
        </w:trPr>
        <w:tc>
          <w:tcPr>
            <w:tcW w:w="636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4,654</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6,157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6,932</w:t>
            </w:r>
          </w:p>
        </w:tc>
      </w:tr>
      <w:tr>
        <w:trPr>
          <w:trHeight w:val="196"/>
        </w:trPr>
        <w:tc>
          <w:tcPr>
            <w:tcW w:w="63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938</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357</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279</w:t>
            </w:r>
          </w:p>
        </w:tc>
      </w:tr>
      <w:tr>
        <w:trPr>
          <w:trHeight w:val="196"/>
        </w:trPr>
        <w:tc>
          <w:tcPr>
            <w:tcW w:w="6360" w:type="dxa"/>
            <w:vAlign w:val="bottom"/>
          </w:tcPr>
          <w:p>
            <w:pPr>
              <w:ind w:left="24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1,031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196"/>
        </w:trPr>
        <w:tc>
          <w:tcPr>
            <w:tcW w:w="63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Stock-based compensation expense</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13,254</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2,756</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1,158</w:t>
            </w:r>
          </w:p>
        </w:tc>
      </w:tr>
      <w:tr>
        <w:trPr>
          <w:trHeight w:val="196"/>
        </w:trPr>
        <w:tc>
          <w:tcPr>
            <w:tcW w:w="6360" w:type="dxa"/>
            <w:vAlign w:val="bottom"/>
          </w:tcPr>
          <w:p>
            <w:pPr>
              <w:ind w:left="240"/>
              <w:spacing w:after="0"/>
              <w:rPr>
                <w:sz w:val="20"/>
                <w:szCs w:val="20"/>
                <w:color w:val="auto"/>
              </w:rPr>
            </w:pPr>
            <w:r>
              <w:rPr>
                <w:rFonts w:ascii="Arial" w:cs="Arial" w:eastAsia="Arial" w:hAnsi="Arial"/>
                <w:sz w:val="16"/>
                <w:szCs w:val="16"/>
                <w:color w:val="auto"/>
              </w:rPr>
              <w:t>Loss on disposal of property and equipment</w:t>
            </w:r>
          </w:p>
        </w:tc>
        <w:tc>
          <w:tcPr>
            <w:tcW w:w="30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789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3,198</w:t>
            </w:r>
          </w:p>
        </w:tc>
      </w:tr>
      <w:tr>
        <w:trPr>
          <w:trHeight w:val="196"/>
        </w:trPr>
        <w:tc>
          <w:tcPr>
            <w:tcW w:w="63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Provision for inventory obsolescence</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6,588</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2,682</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(1,069)</w:t>
            </w:r>
          </w:p>
        </w:tc>
      </w:tr>
      <w:tr>
        <w:trPr>
          <w:trHeight w:val="196"/>
        </w:trPr>
        <w:tc>
          <w:tcPr>
            <w:tcW w:w="6360" w:type="dxa"/>
            <w:vAlign w:val="bottom"/>
          </w:tcPr>
          <w:p>
            <w:pPr>
              <w:ind w:left="240"/>
              <w:spacing w:after="0"/>
              <w:rPr>
                <w:sz w:val="20"/>
                <w:szCs w:val="20"/>
                <w:color w:val="auto"/>
              </w:rPr>
            </w:pPr>
            <w:r>
              <w:rPr>
                <w:rFonts w:ascii="Arial" w:cs="Arial" w:eastAsia="Arial" w:hAnsi="Arial"/>
                <w:sz w:val="16"/>
                <w:szCs w:val="16"/>
                <w:color w:val="auto"/>
              </w:rPr>
              <w:t>Revaluation of preferred stock warrant</w:t>
            </w:r>
          </w:p>
        </w:tc>
        <w:tc>
          <w:tcPr>
            <w:tcW w:w="30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20,470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769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174</w:t>
            </w:r>
          </w:p>
        </w:tc>
      </w:tr>
      <w:tr>
        <w:trPr>
          <w:trHeight w:val="196"/>
        </w:trPr>
        <w:tc>
          <w:tcPr>
            <w:tcW w:w="63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2,329</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789</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r>
      <w:tr>
        <w:trPr>
          <w:trHeight w:val="196"/>
        </w:trPr>
        <w:tc>
          <w:tcPr>
            <w:tcW w:w="636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3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(32,068)</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(18,430)</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9,049</w:t>
            </w:r>
          </w:p>
        </w:tc>
      </w:tr>
      <w:tr>
        <w:trPr>
          <w:trHeight w:val="196"/>
        </w:trPr>
        <w:tc>
          <w:tcPr>
            <w:tcW w:w="6360" w:type="dxa"/>
            <w:vAlign w:val="bottom"/>
          </w:tcPr>
          <w:p>
            <w:pPr>
              <w:ind w:left="240"/>
              <w:spacing w:after="0"/>
              <w:rPr>
                <w:sz w:val="20"/>
                <w:szCs w:val="20"/>
                <w:color w:val="auto"/>
              </w:rPr>
            </w:pPr>
            <w:r>
              <w:rPr>
                <w:rFonts w:ascii="Arial" w:cs="Arial" w:eastAsia="Arial" w:hAnsi="Arial"/>
                <w:sz w:val="16"/>
                <w:szCs w:val="16"/>
                <w:color w:val="auto"/>
              </w:rPr>
              <w:t>Inventory</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(224,489)</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(92,877)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11,902</w:t>
            </w:r>
          </w:p>
        </w:tc>
      </w:tr>
      <w:tr>
        <w:trPr>
          <w:trHeight w:val="196"/>
        </w:trPr>
        <w:tc>
          <w:tcPr>
            <w:tcW w:w="63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(9,117)</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(3,935)</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(2,916)</w:t>
            </w:r>
          </w:p>
        </w:tc>
      </w:tr>
      <w:tr>
        <w:trPr>
          <w:trHeight w:val="196"/>
        </w:trPr>
        <w:tc>
          <w:tcPr>
            <w:tcW w:w="636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(4,556)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(3,487)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(3,105)</w:t>
            </w:r>
          </w:p>
        </w:tc>
      </w:tr>
      <w:tr>
        <w:trPr>
          <w:trHeight w:val="196"/>
        </w:trPr>
        <w:tc>
          <w:tcPr>
            <w:tcW w:w="63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14,066</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4,035</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(6,527)</w:t>
            </w:r>
          </w:p>
        </w:tc>
      </w:tr>
      <w:tr>
        <w:trPr>
          <w:trHeight w:val="196"/>
        </w:trPr>
        <w:tc>
          <w:tcPr>
            <w:tcW w:w="636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30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28,431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10,131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6,291</w:t>
            </w:r>
          </w:p>
        </w:tc>
      </w:tr>
      <w:tr>
        <w:trPr>
          <w:trHeight w:val="196"/>
        </w:trPr>
        <w:tc>
          <w:tcPr>
            <w:tcW w:w="63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revenue</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7,499</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10,902</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860</w:t>
            </w:r>
          </w:p>
        </w:tc>
      </w:tr>
      <w:tr>
        <w:trPr>
          <w:trHeight w:val="196"/>
        </w:trPr>
        <w:tc>
          <w:tcPr>
            <w:tcW w:w="636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19,500</w:t>
            </w:r>
          </w:p>
        </w:tc>
        <w:tc>
          <w:tcPr>
            <w:tcW w:w="14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5,673</w:t>
            </w:r>
          </w:p>
        </w:tc>
        <w:tc>
          <w:tcPr>
            <w:tcW w:w="1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(5,959)</w:t>
            </w:r>
          </w:p>
        </w:tc>
      </w:tr>
      <w:tr>
        <w:trPr>
          <w:trHeight w:val="189"/>
        </w:trPr>
        <w:tc>
          <w:tcPr>
            <w:tcW w:w="63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(355,254)</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(215,636)</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(64,911)</w:t>
            </w:r>
          </w:p>
        </w:tc>
      </w:tr>
      <w:tr>
        <w:trPr>
          <w:trHeight w:val="196"/>
        </w:trPr>
        <w:tc>
          <w:tcPr>
            <w:tcW w:w="636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Purchase of property and equipment</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(11,329)</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(3,528)</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(2,062)</w:t>
            </w:r>
          </w:p>
        </w:tc>
      </w:tr>
      <w:tr>
        <w:trPr>
          <w:trHeight w:val="196"/>
        </w:trPr>
        <w:tc>
          <w:tcPr>
            <w:tcW w:w="6360" w:type="dxa"/>
            <w:vAlign w:val="bottom"/>
          </w:tcPr>
          <w:p>
            <w:pPr>
              <w:spacing w:after="0"/>
              <w:rPr>
                <w:sz w:val="20"/>
                <w:szCs w:val="20"/>
                <w:color w:val="auto"/>
              </w:rPr>
            </w:pPr>
            <w:r>
              <w:rPr>
                <w:rFonts w:ascii="Arial" w:cs="Arial" w:eastAsia="Arial" w:hAnsi="Arial"/>
                <w:sz w:val="16"/>
                <w:szCs w:val="16"/>
                <w:color w:val="auto"/>
              </w:rPr>
              <w:t>Proceeds from the sale of property and equipment</w:t>
            </w:r>
          </w:p>
        </w:tc>
        <w:tc>
          <w:tcPr>
            <w:tcW w:w="30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14,850</w:t>
            </w:r>
          </w:p>
        </w:tc>
      </w:tr>
      <w:tr>
        <w:trPr>
          <w:trHeight w:val="189"/>
        </w:trPr>
        <w:tc>
          <w:tcPr>
            <w:tcW w:w="63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(11,329)</w:t>
            </w:r>
          </w:p>
        </w:tc>
        <w:tc>
          <w:tcPr>
            <w:tcW w:w="14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(3,528)</w:t>
            </w:r>
          </w:p>
        </w:tc>
        <w:tc>
          <w:tcPr>
            <w:tcW w:w="14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12,788</w:t>
            </w:r>
          </w:p>
        </w:tc>
      </w:tr>
      <w:tr>
        <w:trPr>
          <w:trHeight w:val="196"/>
        </w:trPr>
        <w:tc>
          <w:tcPr>
            <w:tcW w:w="636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Repayments of long-term debt</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(25,000)</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(5,506)</w:t>
            </w:r>
          </w:p>
        </w:tc>
      </w:tr>
      <w:tr>
        <w:trPr>
          <w:trHeight w:val="196"/>
        </w:trPr>
        <w:tc>
          <w:tcPr>
            <w:tcW w:w="6360" w:type="dxa"/>
            <w:vAlign w:val="bottom"/>
          </w:tcPr>
          <w:p>
            <w:pPr>
              <w:spacing w:after="0"/>
              <w:rPr>
                <w:sz w:val="20"/>
                <w:szCs w:val="20"/>
                <w:color w:val="auto"/>
              </w:rPr>
            </w:pPr>
            <w:r>
              <w:rPr>
                <w:rFonts w:ascii="Arial" w:cs="Arial" w:eastAsia="Arial" w:hAnsi="Arial"/>
                <w:sz w:val="16"/>
                <w:szCs w:val="16"/>
                <w:color w:val="auto"/>
              </w:rPr>
              <w:t>Payments of debt extinguishment costs</w:t>
            </w:r>
          </w:p>
        </w:tc>
        <w:tc>
          <w:tcPr>
            <w:tcW w:w="30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196"/>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vehicle floorplan</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1,242,736</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992,179</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648,309</w:t>
            </w:r>
          </w:p>
        </w:tc>
      </w:tr>
      <w:tr>
        <w:trPr>
          <w:trHeight w:val="196"/>
        </w:trPr>
        <w:tc>
          <w:tcPr>
            <w:tcW w:w="6360" w:type="dxa"/>
            <w:vAlign w:val="bottom"/>
          </w:tcPr>
          <w:p>
            <w:pPr>
              <w:spacing w:after="0"/>
              <w:rPr>
                <w:sz w:val="20"/>
                <w:szCs w:val="20"/>
                <w:color w:val="auto"/>
              </w:rPr>
            </w:pPr>
            <w:r>
              <w:rPr>
                <w:rFonts w:ascii="Arial" w:cs="Arial" w:eastAsia="Arial" w:hAnsi="Arial"/>
                <w:sz w:val="16"/>
                <w:szCs w:val="16"/>
                <w:color w:val="auto"/>
              </w:rPr>
              <w:t>Repayments of vehicle floorplan</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(1,086,966)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(914,200)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(656,194)</w:t>
            </w:r>
          </w:p>
        </w:tc>
      </w:tr>
      <w:tr>
        <w:trPr>
          <w:trHeight w:val="196"/>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Payment of vehicle floorplan upfront commitment fees</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(2,906)</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r>
      <w:tr>
        <w:trPr>
          <w:trHeight w:val="196"/>
        </w:trPr>
        <w:tc>
          <w:tcPr>
            <w:tcW w:w="6360" w:type="dxa"/>
            <w:vAlign w:val="bottom"/>
          </w:tcPr>
          <w:p>
            <w:pPr>
              <w:spacing w:after="0"/>
              <w:rPr>
                <w:sz w:val="20"/>
                <w:szCs w:val="20"/>
                <w:color w:val="auto"/>
              </w:rPr>
            </w:pPr>
            <w:r>
              <w:rPr>
                <w:rFonts w:ascii="Arial" w:cs="Arial" w:eastAsia="Arial" w:hAnsi="Arial"/>
                <w:sz w:val="16"/>
                <w:szCs w:val="16"/>
                <w:color w:val="auto"/>
              </w:rPr>
              <w:t>Proceeds from the issuance of redeemable convertible preferred stock, net</w:t>
            </w:r>
          </w:p>
        </w:tc>
        <w:tc>
          <w:tcPr>
            <w:tcW w:w="30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21,694</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227,502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145,899</w:t>
            </w:r>
          </w:p>
        </w:tc>
      </w:tr>
      <w:tr>
        <w:trPr>
          <w:trHeight w:val="196"/>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Repurchase of common stock</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(1,818)</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(5,824)</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r>
      <w:tr>
        <w:trPr>
          <w:trHeight w:val="196"/>
        </w:trPr>
        <w:tc>
          <w:tcPr>
            <w:tcW w:w="6360" w:type="dxa"/>
            <w:vAlign w:val="bottom"/>
          </w:tcPr>
          <w:p>
            <w:pPr>
              <w:spacing w:after="0"/>
              <w:rPr>
                <w:sz w:val="20"/>
                <w:szCs w:val="20"/>
                <w:color w:val="auto"/>
              </w:rPr>
            </w:pPr>
            <w:r>
              <w:rPr>
                <w:rFonts w:ascii="Arial" w:cs="Arial" w:eastAsia="Arial" w:hAnsi="Arial"/>
                <w:sz w:val="16"/>
                <w:szCs w:val="16"/>
                <w:color w:val="auto"/>
              </w:rPr>
              <w:t>Common stock shares withheld to satisfy employee tax withholding obligations</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(2,915)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178"/>
        </w:trPr>
        <w:tc>
          <w:tcPr>
            <w:tcW w:w="636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Proceeds from the issuance of common stock in connection with IPO, net of underwriting</w:t>
            </w:r>
          </w:p>
        </w:tc>
        <w:tc>
          <w:tcPr>
            <w:tcW w:w="3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r>
      <w:tr>
        <w:trPr>
          <w:trHeight w:val="201"/>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discount</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504,024</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r>
      <w:tr>
        <w:trPr>
          <w:trHeight w:val="196"/>
        </w:trPr>
        <w:tc>
          <w:tcPr>
            <w:tcW w:w="6360" w:type="dxa"/>
            <w:vAlign w:val="bottom"/>
          </w:tcPr>
          <w:p>
            <w:pPr>
              <w:spacing w:after="0"/>
              <w:rPr>
                <w:sz w:val="20"/>
                <w:szCs w:val="20"/>
                <w:color w:val="auto"/>
              </w:rPr>
            </w:pPr>
            <w:r>
              <w:rPr>
                <w:rFonts w:ascii="Arial" w:cs="Arial" w:eastAsia="Arial" w:hAnsi="Arial"/>
                <w:sz w:val="16"/>
                <w:szCs w:val="16"/>
                <w:color w:val="auto"/>
              </w:rPr>
              <w:t>Payments of costs related to IPO</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(6,791)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178"/>
        </w:trPr>
        <w:tc>
          <w:tcPr>
            <w:tcW w:w="636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Proceeds from the issuance of common stock in connection with follow-on public</w:t>
            </w:r>
          </w:p>
        </w:tc>
        <w:tc>
          <w:tcPr>
            <w:tcW w:w="3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r>
      <w:tr>
        <w:trPr>
          <w:trHeight w:val="201"/>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offering, net of underwriting discount</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569,471</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r>
      <w:tr>
        <w:trPr>
          <w:trHeight w:val="196"/>
        </w:trPr>
        <w:tc>
          <w:tcPr>
            <w:tcW w:w="6360" w:type="dxa"/>
            <w:vAlign w:val="bottom"/>
          </w:tcPr>
          <w:p>
            <w:pPr>
              <w:spacing w:after="0"/>
              <w:rPr>
                <w:sz w:val="20"/>
                <w:szCs w:val="20"/>
                <w:color w:val="auto"/>
              </w:rPr>
            </w:pPr>
            <w:r>
              <w:rPr>
                <w:rFonts w:ascii="Arial" w:cs="Arial" w:eastAsia="Arial" w:hAnsi="Arial"/>
                <w:sz w:val="16"/>
                <w:szCs w:val="16"/>
                <w:color w:val="auto"/>
              </w:rPr>
              <w:t>Payments of costs related to follow-on public offering</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(1,519)</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196"/>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2,341</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1,810</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31</w:t>
            </w:r>
          </w:p>
        </w:tc>
      </w:tr>
      <w:tr>
        <w:trPr>
          <w:trHeight w:val="196"/>
        </w:trPr>
        <w:tc>
          <w:tcPr>
            <w:tcW w:w="6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financing activities</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4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183</w:t>
            </w:r>
          </w:p>
        </w:tc>
        <w:tc>
          <w:tcPr>
            <w:tcW w:w="1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r>
      <w:tr>
        <w:trPr>
          <w:trHeight w:val="189"/>
        </w:trPr>
        <w:tc>
          <w:tcPr>
            <w:tcW w:w="63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1,237,035</w:t>
            </w:r>
          </w:p>
        </w:tc>
        <w:tc>
          <w:tcPr>
            <w:tcW w:w="14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275,242</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132,375</w:t>
            </w:r>
          </w:p>
        </w:tc>
      </w:tr>
      <w:tr>
        <w:trPr>
          <w:trHeight w:val="189"/>
        </w:trPr>
        <w:tc>
          <w:tcPr>
            <w:tcW w:w="6360" w:type="dxa"/>
            <w:vAlign w:val="bottom"/>
          </w:tcPr>
          <w:p>
            <w:pPr>
              <w:spacing w:after="0"/>
              <w:rPr>
                <w:sz w:val="20"/>
                <w:szCs w:val="20"/>
                <w:color w:val="auto"/>
              </w:rPr>
            </w:pPr>
            <w:r>
              <w:rPr>
                <w:rFonts w:ascii="Arial" w:cs="Arial" w:eastAsia="Arial" w:hAnsi="Arial"/>
                <w:sz w:val="16"/>
                <w:szCs w:val="16"/>
                <w:b w:val="1"/>
                <w:bCs w:val="1"/>
                <w:color w:val="auto"/>
              </w:rPr>
              <w:t>Net increase in cash, cash equivalents and restricted cash</w:t>
            </w:r>
          </w:p>
        </w:tc>
        <w:tc>
          <w:tcPr>
            <w:tcW w:w="300" w:type="dxa"/>
            <w:vAlign w:val="bottom"/>
          </w:tcPr>
          <w:p>
            <w:pPr>
              <w:spacing w:after="0"/>
              <w:rPr>
                <w:sz w:val="16"/>
                <w:szCs w:val="16"/>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870,452</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56,078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80,252</w:t>
            </w:r>
          </w:p>
        </w:tc>
      </w:tr>
      <w:tr>
        <w:trPr>
          <w:trHeight w:val="196"/>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the beginning of period</w:t>
            </w:r>
          </w:p>
        </w:tc>
        <w:tc>
          <w:tcPr>
            <w:tcW w:w="3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219,587</w:t>
            </w:r>
          </w:p>
        </w:tc>
        <w:tc>
          <w:tcPr>
            <w:tcW w:w="14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163,509</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83,257</w:t>
            </w:r>
          </w:p>
        </w:tc>
      </w:tr>
      <w:tr>
        <w:trPr>
          <w:trHeight w:val="189"/>
        </w:trPr>
        <w:tc>
          <w:tcPr>
            <w:tcW w:w="636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at the end of period</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1,090,039</w:t>
            </w:r>
          </w:p>
        </w:tc>
        <w:tc>
          <w:tcPr>
            <w:tcW w:w="140" w:type="dxa"/>
            <w:vAlign w:val="bottom"/>
          </w:tcPr>
          <w:p>
            <w:pPr>
              <w:spacing w:after="0"/>
              <w:rPr>
                <w:sz w:val="16"/>
                <w:szCs w:val="16"/>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219,587</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163,509</w:t>
            </w: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88"/>
        </w:trPr>
        <w:tc>
          <w:tcPr>
            <w:tcW w:w="6080" w:type="dxa"/>
            <w:vAlign w:val="bottom"/>
            <w:gridSpan w:val="2"/>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vMerge w:val="restart"/>
          </w:tcPr>
          <w:p>
            <w:pPr>
              <w:spacing w:after="0"/>
              <w:rPr>
                <w:sz w:val="10"/>
                <w:szCs w:val="10"/>
                <w:color w:val="auto"/>
              </w:rPr>
            </w:pPr>
          </w:p>
        </w:tc>
        <w:tc>
          <w:tcPr>
            <w:tcW w:w="6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Cash paid for interest</w:t>
            </w:r>
          </w:p>
        </w:tc>
        <w:tc>
          <w:tcPr>
            <w:tcW w:w="800" w:type="dxa"/>
            <w:vAlign w:val="bottom"/>
            <w:gridSpan w:val="2"/>
          </w:tcPr>
          <w:p>
            <w:pPr>
              <w:jc w:val="right"/>
              <w:ind w:right="347"/>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8,540</w:t>
            </w:r>
          </w:p>
        </w:tc>
        <w:tc>
          <w:tcPr>
            <w:tcW w:w="600" w:type="dxa"/>
            <w:vAlign w:val="bottom"/>
            <w:gridSpan w:val="2"/>
          </w:tcPr>
          <w:p>
            <w:pPr>
              <w:jc w:val="right"/>
              <w:ind w:right="307"/>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12,607</w:t>
            </w:r>
          </w:p>
        </w:tc>
        <w:tc>
          <w:tcPr>
            <w:tcW w:w="140" w:type="dxa"/>
            <w:vAlign w:val="bottom"/>
          </w:tcPr>
          <w:p>
            <w:pPr>
              <w:spacing w:after="0"/>
              <w:rPr>
                <w:sz w:val="20"/>
                <w:szCs w:val="20"/>
                <w:color w:val="auto"/>
              </w:rPr>
            </w:pPr>
          </w:p>
        </w:tc>
        <w:tc>
          <w:tcPr>
            <w:tcW w:w="500" w:type="dxa"/>
            <w:vAlign w:val="bottom"/>
            <w:gridSpan w:val="2"/>
          </w:tcPr>
          <w:p>
            <w:pPr>
              <w:jc w:val="right"/>
              <w:ind w:right="3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7,743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Borders>
              <w:top w:val="single" w:sz="8" w:color="CFF0FC"/>
              <w:bottom w:val="single" w:sz="8" w:color="CFF0FC"/>
            </w:tcBorders>
            <w:shd w:val="clear" w:color="auto" w:fill="CFF0FC"/>
          </w:tcPr>
          <w:p>
            <w:pPr>
              <w:ind w:left="220"/>
              <w:spacing w:after="0" w:line="175" w:lineRule="exact"/>
              <w:rPr>
                <w:sz w:val="20"/>
                <w:szCs w:val="20"/>
                <w:color w:val="auto"/>
              </w:rPr>
            </w:pPr>
            <w:r>
              <w:rPr>
                <w:rFonts w:ascii="Arial" w:cs="Arial" w:eastAsia="Arial" w:hAnsi="Arial"/>
                <w:sz w:val="16"/>
                <w:szCs w:val="16"/>
                <w:color w:val="auto"/>
              </w:rPr>
              <w:t>Cash paid for income taxes</w:t>
            </w:r>
          </w:p>
        </w:tc>
        <w:tc>
          <w:tcPr>
            <w:tcW w:w="300" w:type="dxa"/>
            <w:vAlign w:val="bottom"/>
            <w:tcBorders>
              <w:top w:val="single" w:sz="8" w:color="CFF0FC"/>
              <w:bottom w:val="single" w:sz="8" w:color="CFF0FC"/>
            </w:tcBorders>
            <w:shd w:val="clear" w:color="auto" w:fill="CFF0FC"/>
          </w:tcPr>
          <w:p>
            <w:pPr>
              <w:spacing w:after="0"/>
              <w:rPr>
                <w:sz w:val="15"/>
                <w:szCs w:val="15"/>
                <w:color w:val="auto"/>
              </w:rPr>
            </w:pPr>
          </w:p>
        </w:tc>
        <w:tc>
          <w:tcPr>
            <w:tcW w:w="500" w:type="dxa"/>
            <w:vAlign w:val="bottom"/>
            <w:tcBorders>
              <w:top w:val="single" w:sz="8" w:color="auto"/>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ind w:right="41"/>
              <w:spacing w:after="0" w:line="175" w:lineRule="exact"/>
              <w:rPr>
                <w:sz w:val="20"/>
                <w:szCs w:val="20"/>
                <w:color w:val="auto"/>
              </w:rPr>
            </w:pPr>
            <w:r>
              <w:rPr>
                <w:rFonts w:ascii="Arial" w:cs="Arial" w:eastAsia="Arial" w:hAnsi="Arial"/>
                <w:sz w:val="16"/>
                <w:szCs w:val="16"/>
                <w:color w:val="auto"/>
              </w:rPr>
              <w:t>163</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460" w:type="dxa"/>
            <w:vAlign w:val="bottom"/>
            <w:tcBorders>
              <w:top w:val="single" w:sz="8" w:color="auto"/>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ind w:right="41"/>
              <w:spacing w:after="0" w:line="175" w:lineRule="exact"/>
              <w:rPr>
                <w:sz w:val="20"/>
                <w:szCs w:val="20"/>
                <w:color w:val="auto"/>
              </w:rPr>
            </w:pPr>
            <w:r>
              <w:rPr>
                <w:rFonts w:ascii="Arial" w:cs="Arial" w:eastAsia="Arial" w:hAnsi="Arial"/>
                <w:sz w:val="16"/>
                <w:szCs w:val="16"/>
                <w:color w:val="auto"/>
              </w:rPr>
              <w:t>157</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0" w:type="dxa"/>
            <w:vAlign w:val="bottom"/>
            <w:tcBorders>
              <w:top w:val="single" w:sz="8" w:color="CFF0FC"/>
              <w:bottom w:val="single" w:sz="8" w:color="CFF0FC"/>
            </w:tcBorders>
            <w:shd w:val="clear" w:color="auto" w:fill="CFF0FC"/>
          </w:tcPr>
          <w:p>
            <w:pPr>
              <w:spacing w:after="0"/>
              <w:rPr>
                <w:sz w:val="15"/>
                <w:szCs w:val="15"/>
                <w:color w:val="auto"/>
              </w:rPr>
            </w:pPr>
          </w:p>
        </w:tc>
        <w:tc>
          <w:tcPr>
            <w:tcW w:w="48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ind w:right="41"/>
              <w:spacing w:after="0" w:line="175" w:lineRule="exact"/>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Accretion of redeemable convertible preferred stock</w:t>
            </w:r>
          </w:p>
        </w:tc>
        <w:tc>
          <w:tcPr>
            <w:tcW w:w="800" w:type="dxa"/>
            <w:vAlign w:val="bottom"/>
            <w:gridSpan w:val="2"/>
            <w:shd w:val="clear" w:color="auto" w:fill="CFF0FC"/>
          </w:tcPr>
          <w:p>
            <w:pPr>
              <w:jc w:val="right"/>
              <w:ind w:right="347"/>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FF0FC"/>
          </w:tcPr>
          <w:p>
            <w:pPr>
              <w:jc w:val="right"/>
              <w:ind w:right="307"/>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132,750</w:t>
            </w:r>
          </w:p>
        </w:tc>
        <w:tc>
          <w:tcPr>
            <w:tcW w:w="14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37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FF0FC"/>
              <w:bottom w:val="single" w:sz="8" w:color="CFF0FC"/>
            </w:tcBorders>
            <w:vMerge w:val="restart"/>
          </w:tcPr>
          <w:p>
            <w:pPr>
              <w:ind w:left="220"/>
              <w:spacing w:after="0"/>
              <w:rPr>
                <w:sz w:val="20"/>
                <w:szCs w:val="20"/>
                <w:color w:val="auto"/>
              </w:rPr>
            </w:pPr>
            <w:r>
              <w:rPr>
                <w:rFonts w:ascii="Arial" w:cs="Arial" w:eastAsia="Arial" w:hAnsi="Arial"/>
                <w:sz w:val="16"/>
                <w:szCs w:val="16"/>
                <w:color w:val="auto"/>
              </w:rPr>
              <w:t>Series H preferred stock issuance costs included in accrued expenses</w:t>
            </w:r>
          </w:p>
        </w:tc>
        <w:tc>
          <w:tcPr>
            <w:tcW w:w="3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FF0FC"/>
            </w:tcBorders>
            <w:vMerge w:val="continue"/>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41"/>
              <w:spacing w:after="0" w:line="175"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41"/>
              <w:spacing w:after="0" w:line="175" w:lineRule="exact"/>
              <w:rPr>
                <w:sz w:val="20"/>
                <w:szCs w:val="20"/>
                <w:color w:val="auto"/>
              </w:rPr>
            </w:pPr>
            <w:r>
              <w:rPr>
                <w:rFonts w:ascii="Arial" w:cs="Arial" w:eastAsia="Arial" w:hAnsi="Arial"/>
                <w:sz w:val="16"/>
                <w:szCs w:val="16"/>
                <w:color w:val="auto"/>
              </w:rPr>
              <w:t>5,020</w:t>
            </w: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41"/>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Borders>
              <w:bottom w:val="single" w:sz="8" w:color="CFF0FC"/>
            </w:tcBorders>
            <w:shd w:val="clear" w:color="auto" w:fill="CFF0FC"/>
          </w:tcPr>
          <w:p>
            <w:pPr>
              <w:ind w:left="220"/>
              <w:spacing w:after="0" w:line="175" w:lineRule="exact"/>
              <w:rPr>
                <w:sz w:val="20"/>
                <w:szCs w:val="20"/>
                <w:color w:val="auto"/>
              </w:rPr>
            </w:pPr>
            <w:r>
              <w:rPr>
                <w:rFonts w:ascii="Arial" w:cs="Arial" w:eastAsia="Arial" w:hAnsi="Arial"/>
                <w:sz w:val="16"/>
                <w:szCs w:val="16"/>
                <w:color w:val="auto"/>
              </w:rPr>
              <w:t>Costs related to IPO included in accrued expenses and accounts payable</w:t>
            </w:r>
          </w:p>
        </w:tc>
        <w:tc>
          <w:tcPr>
            <w:tcW w:w="30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41"/>
              <w:spacing w:after="0" w:line="175"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41"/>
              <w:spacing w:after="0" w:line="175" w:lineRule="exact"/>
              <w:rPr>
                <w:sz w:val="20"/>
                <w:szCs w:val="20"/>
                <w:color w:val="auto"/>
              </w:rPr>
            </w:pPr>
            <w:r>
              <w:rPr>
                <w:rFonts w:ascii="Arial" w:cs="Arial" w:eastAsia="Arial" w:hAnsi="Arial"/>
                <w:sz w:val="16"/>
                <w:szCs w:val="16"/>
                <w:color w:val="auto"/>
              </w:rPr>
              <w:t>1,703</w:t>
            </w:r>
          </w:p>
        </w:tc>
        <w:tc>
          <w:tcPr>
            <w:tcW w:w="14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ind w:right="41"/>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220"/>
              <w:spacing w:after="0"/>
              <w:rPr>
                <w:sz w:val="20"/>
                <w:szCs w:val="20"/>
                <w:color w:val="auto"/>
              </w:rPr>
            </w:pPr>
            <w:r>
              <w:rPr>
                <w:rFonts w:ascii="Arial" w:cs="Arial" w:eastAsia="Arial" w:hAnsi="Arial"/>
                <w:sz w:val="16"/>
                <w:szCs w:val="16"/>
                <w:color w:val="auto"/>
              </w:rPr>
              <w:t>Conversion of redeemable convertible preferred stock warrant to common stock</w:t>
            </w: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0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warrant</w:t>
            </w:r>
          </w:p>
        </w:tc>
        <w:tc>
          <w:tcPr>
            <w:tcW w:w="800" w:type="dxa"/>
            <w:vAlign w:val="bottom"/>
            <w:gridSpan w:val="2"/>
          </w:tcPr>
          <w:p>
            <w:pPr>
              <w:jc w:val="right"/>
              <w:ind w:right="347"/>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21,873</w:t>
            </w:r>
          </w:p>
        </w:tc>
        <w:tc>
          <w:tcPr>
            <w:tcW w:w="600" w:type="dxa"/>
            <w:vAlign w:val="bottom"/>
            <w:gridSpan w:val="2"/>
          </w:tcPr>
          <w:p>
            <w:pPr>
              <w:jc w:val="right"/>
              <w:ind w:right="307"/>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3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Borders>
              <w:top w:val="single" w:sz="8" w:color="CFF0FC"/>
              <w:bottom w:val="single" w:sz="8" w:color="CFF0FC"/>
            </w:tcBorders>
            <w:shd w:val="clear" w:color="auto" w:fill="CFF0FC"/>
          </w:tcPr>
          <w:p>
            <w:pPr>
              <w:ind w:left="220"/>
              <w:spacing w:after="0" w:line="175" w:lineRule="exact"/>
              <w:rPr>
                <w:sz w:val="20"/>
                <w:szCs w:val="20"/>
                <w:color w:val="auto"/>
              </w:rPr>
            </w:pPr>
            <w:r>
              <w:rPr>
                <w:rFonts w:ascii="Arial" w:cs="Arial" w:eastAsia="Arial" w:hAnsi="Arial"/>
                <w:sz w:val="16"/>
                <w:szCs w:val="16"/>
                <w:color w:val="auto"/>
              </w:rPr>
              <w:t>Issuance of common stock as upfront payment to nonemployee</w:t>
            </w:r>
          </w:p>
        </w:tc>
        <w:tc>
          <w:tcPr>
            <w:tcW w:w="300" w:type="dxa"/>
            <w:vAlign w:val="bottom"/>
            <w:tcBorders>
              <w:top w:val="single" w:sz="8" w:color="CFF0FC"/>
              <w:bottom w:val="single" w:sz="8" w:color="CFF0FC"/>
            </w:tcBorders>
            <w:shd w:val="clear" w:color="auto" w:fill="CFF0FC"/>
          </w:tcPr>
          <w:p>
            <w:pPr>
              <w:spacing w:after="0"/>
              <w:rPr>
                <w:sz w:val="15"/>
                <w:szCs w:val="15"/>
                <w:color w:val="auto"/>
              </w:rPr>
            </w:pPr>
          </w:p>
        </w:tc>
        <w:tc>
          <w:tcPr>
            <w:tcW w:w="500" w:type="dxa"/>
            <w:vAlign w:val="bottom"/>
            <w:tcBorders>
              <w:top w:val="single" w:sz="8" w:color="auto"/>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ind w:right="41"/>
              <w:spacing w:after="0" w:line="175" w:lineRule="exact"/>
              <w:rPr>
                <w:sz w:val="20"/>
                <w:szCs w:val="20"/>
                <w:color w:val="auto"/>
              </w:rPr>
            </w:pPr>
            <w:r>
              <w:rPr>
                <w:rFonts w:ascii="Arial" w:cs="Arial" w:eastAsia="Arial" w:hAnsi="Arial"/>
                <w:sz w:val="16"/>
                <w:szCs w:val="16"/>
                <w:color w:val="auto"/>
              </w:rPr>
              <w:t>2,127</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460" w:type="dxa"/>
            <w:vAlign w:val="bottom"/>
            <w:tcBorders>
              <w:top w:val="single" w:sz="8" w:color="auto"/>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ind w:right="41"/>
              <w:spacing w:after="0" w:line="175"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0" w:type="dxa"/>
            <w:vAlign w:val="bottom"/>
            <w:tcBorders>
              <w:top w:val="single" w:sz="8" w:color="CFF0FC"/>
              <w:bottom w:val="single" w:sz="8" w:color="CFF0FC"/>
            </w:tcBorders>
            <w:shd w:val="clear" w:color="auto" w:fill="CFF0FC"/>
          </w:tcPr>
          <w:p>
            <w:pPr>
              <w:spacing w:after="0"/>
              <w:rPr>
                <w:sz w:val="15"/>
                <w:szCs w:val="15"/>
                <w:color w:val="auto"/>
              </w:rPr>
            </w:pPr>
          </w:p>
        </w:tc>
        <w:tc>
          <w:tcPr>
            <w:tcW w:w="48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ind w:right="41"/>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220"/>
              <w:spacing w:after="0"/>
              <w:rPr>
                <w:sz w:val="20"/>
                <w:szCs w:val="20"/>
                <w:color w:val="auto"/>
              </w:rPr>
            </w:pPr>
            <w:r>
              <w:rPr>
                <w:rFonts w:ascii="Arial" w:cs="Arial" w:eastAsia="Arial" w:hAnsi="Arial"/>
                <w:sz w:val="16"/>
                <w:szCs w:val="16"/>
                <w:color w:val="auto"/>
              </w:rPr>
              <w:t>Accrued property and equipment expenditures</w:t>
            </w:r>
          </w:p>
        </w:tc>
        <w:tc>
          <w:tcPr>
            <w:tcW w:w="8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41"/>
              <w:spacing w:after="0" w:line="175" w:lineRule="exact"/>
              <w:rPr>
                <w:sz w:val="20"/>
                <w:szCs w:val="20"/>
                <w:color w:val="auto"/>
              </w:rPr>
            </w:pPr>
            <w:r>
              <w:rPr>
                <w:rFonts w:ascii="Arial" w:cs="Arial" w:eastAsia="Arial" w:hAnsi="Arial"/>
                <w:sz w:val="16"/>
                <w:szCs w:val="16"/>
                <w:color w:val="auto"/>
              </w:rPr>
              <w:t>97</w:t>
            </w:r>
          </w:p>
        </w:tc>
        <w:tc>
          <w:tcPr>
            <w:tcW w:w="14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41"/>
              <w:spacing w:after="0" w:line="175" w:lineRule="exact"/>
              <w:rPr>
                <w:sz w:val="20"/>
                <w:szCs w:val="20"/>
                <w:color w:val="auto"/>
              </w:rPr>
            </w:pPr>
            <w:r>
              <w:rPr>
                <w:rFonts w:ascii="Arial" w:cs="Arial" w:eastAsia="Arial" w:hAnsi="Arial"/>
                <w:sz w:val="16"/>
                <w:szCs w:val="16"/>
                <w:color w:val="auto"/>
              </w:rPr>
              <w:t>200</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ind w:right="41"/>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these consolidated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82" w:lineRule="exact"/>
        <w:rPr>
          <w:sz w:val="20"/>
          <w:szCs w:val="20"/>
          <w:color w:val="auto"/>
        </w:rPr>
      </w:pPr>
    </w:p>
    <w:p>
      <w:pPr>
        <w:ind w:right="6860" w:firstLine="5"/>
        <w:spacing w:after="0" w:line="370" w:lineRule="auto"/>
        <w:tabs>
          <w:tab w:leader="none" w:pos="194"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Description of Business and Basis of Presentation </w:t>
      </w:r>
      <w:r>
        <w:rPr>
          <w:rFonts w:ascii="Arial" w:cs="Arial" w:eastAsia="Arial" w:hAnsi="Arial"/>
          <w:sz w:val="17"/>
          <w:szCs w:val="17"/>
          <w:b w:val="1"/>
          <w:bCs w:val="1"/>
          <w:i w:val="1"/>
          <w:iCs w:val="1"/>
          <w:color w:val="auto"/>
        </w:rPr>
        <w:t>Description of Business and Organization</w:t>
      </w:r>
    </w:p>
    <w:p>
      <w:pPr>
        <w:spacing w:after="0" w:line="1" w:lineRule="exact"/>
        <w:rPr>
          <w:sz w:val="20"/>
          <w:szCs w:val="20"/>
          <w:color w:val="auto"/>
        </w:rPr>
      </w:pPr>
    </w:p>
    <w:p>
      <w:pPr>
        <w:ind w:right="320" w:firstLine="762"/>
        <w:spacing w:after="0" w:line="290" w:lineRule="auto"/>
        <w:rPr>
          <w:sz w:val="20"/>
          <w:szCs w:val="20"/>
          <w:color w:val="auto"/>
        </w:rPr>
      </w:pPr>
      <w:r>
        <w:rPr>
          <w:rFonts w:ascii="Arial" w:cs="Arial" w:eastAsia="Arial" w:hAnsi="Arial"/>
          <w:sz w:val="17"/>
          <w:szCs w:val="17"/>
          <w:color w:val="auto"/>
        </w:rPr>
        <w:t>Vroom, Inc., and its wholly owned subsidiaries (collectively, “the Company”) is an innovative, end-to-end ecommerce platform that is transforming the used vehicle industry by offering a better way to buy and a better way to sell used vehicles.</w:t>
      </w:r>
    </w:p>
    <w:p>
      <w:pPr>
        <w:spacing w:after="0" w:line="129" w:lineRule="exact"/>
        <w:rPr>
          <w:sz w:val="20"/>
          <w:szCs w:val="20"/>
          <w:color w:val="auto"/>
        </w:rPr>
      </w:pPr>
    </w:p>
    <w:p>
      <w:pPr>
        <w:ind w:right="160" w:firstLine="762"/>
        <w:spacing w:after="0" w:line="257" w:lineRule="auto"/>
        <w:rPr>
          <w:sz w:val="20"/>
          <w:szCs w:val="20"/>
          <w:color w:val="auto"/>
        </w:rPr>
      </w:pPr>
      <w:r>
        <w:rPr>
          <w:rFonts w:ascii="Arial" w:cs="Arial" w:eastAsia="Arial" w:hAnsi="Arial"/>
          <w:sz w:val="17"/>
          <w:szCs w:val="17"/>
          <w:color w:val="auto"/>
        </w:rPr>
        <w:t>In December 2015, the Company acquired Houston-based Left Gate Property Holding, LLC (d/b/a Texas Direct Auto and Vroom). The acquisition included the Company's proprietary vehicle reconditioning center, the Texas Direct Auto ("TDA") dealership, and Sell Us Your Car® centers. Left Gate Property Holding, LLC was renamed Vroom Automotive, LLC in March 2021, and is the primary operating entity for the Company's purchases and sales of used vehicles.</w:t>
      </w:r>
    </w:p>
    <w:p>
      <w:pPr>
        <w:spacing w:after="0" w:line="157" w:lineRule="exact"/>
        <w:rPr>
          <w:sz w:val="20"/>
          <w:szCs w:val="20"/>
          <w:color w:val="auto"/>
        </w:rPr>
      </w:pPr>
    </w:p>
    <w:p>
      <w:pPr>
        <w:ind w:right="100" w:firstLine="762"/>
        <w:spacing w:after="0" w:line="253" w:lineRule="auto"/>
        <w:rPr>
          <w:sz w:val="20"/>
          <w:szCs w:val="20"/>
          <w:color w:val="auto"/>
        </w:rPr>
      </w:pPr>
      <w:r>
        <w:rPr>
          <w:rFonts w:ascii="Arial" w:cs="Arial" w:eastAsia="Arial" w:hAnsi="Arial"/>
          <w:sz w:val="17"/>
          <w:szCs w:val="17"/>
          <w:color w:val="auto"/>
        </w:rPr>
        <w:t>The Company currently is organized into three reportable segments: Ecommerce, Wholesale, and TDA. The Ecommerce reportable segment represents retail sales of used vehicles through the Company’s ecommerce platform and fees earned on sales of value-added products associated with those vehicles sales. The Wholesale reportable segment represents sales of used vehicles through wholesale channels. The TDA reportable segment represents retail sales of used vehicles from TDA and fees earned on sales of value-added products associated with those vehicles sales.</w:t>
      </w:r>
    </w:p>
    <w:p>
      <w:pPr>
        <w:spacing w:after="0" w:line="160" w:lineRule="exact"/>
        <w:rPr>
          <w:sz w:val="20"/>
          <w:szCs w:val="20"/>
          <w:color w:val="auto"/>
        </w:rPr>
      </w:pPr>
    </w:p>
    <w:p>
      <w:pPr>
        <w:ind w:right="480" w:firstLine="762"/>
        <w:spacing w:after="0" w:line="290" w:lineRule="auto"/>
        <w:rPr>
          <w:sz w:val="20"/>
          <w:szCs w:val="20"/>
          <w:color w:val="auto"/>
        </w:rPr>
      </w:pPr>
      <w:r>
        <w:rPr>
          <w:rFonts w:ascii="Arial" w:cs="Arial" w:eastAsia="Arial" w:hAnsi="Arial"/>
          <w:sz w:val="17"/>
          <w:szCs w:val="17"/>
          <w:color w:val="auto"/>
        </w:rPr>
        <w:t>The Company was incorporated in Delaware on January 31, 2012 under the name BCM Partners III, Corp. On June 25, 2013, the Company changed its name to Auto America, Inc. and on July 9, 2015, the Company changed its name to Vroom, Inc.</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Split</w:t>
      </w:r>
    </w:p>
    <w:p>
      <w:pPr>
        <w:spacing w:after="0" w:line="103" w:lineRule="exact"/>
        <w:rPr>
          <w:sz w:val="20"/>
          <w:szCs w:val="20"/>
          <w:color w:val="auto"/>
        </w:rPr>
      </w:pPr>
    </w:p>
    <w:p>
      <w:pPr>
        <w:ind w:right="120" w:firstLine="762"/>
        <w:spacing w:after="0" w:line="257" w:lineRule="auto"/>
        <w:rPr>
          <w:sz w:val="20"/>
          <w:szCs w:val="20"/>
          <w:color w:val="auto"/>
        </w:rPr>
      </w:pPr>
      <w:r>
        <w:rPr>
          <w:rFonts w:ascii="Arial" w:cs="Arial" w:eastAsia="Arial" w:hAnsi="Arial"/>
          <w:sz w:val="17"/>
          <w:szCs w:val="17"/>
          <w:color w:val="auto"/>
        </w:rPr>
        <w:t>In connection with the closing of the Company’s initial public offering (“IPO”) on June 11, 2020, the Company effected a 2-for-1 forward stock split of the Company’s common stock, which became effective immediately prior to the consummation of the IPO. All shares of the Company’s common stock, stock-based instruments, and per-share data included in these consolidated financial statements have been retroactively adjusted as though the stock split has been effected prior to all periods presented.</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Company closed its IPO on June 11, 2020 in which it sold 24,437,500 shares of common stock at the public offering price</w:t>
      </w:r>
    </w:p>
    <w:p>
      <w:pPr>
        <w:spacing w:after="0" w:line="23"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of $22.00 per share, including 3,187,500 shares sold pursuant to exercise by the underwriters of their option to purchase additional shares. The Company received proceeds of $504.0 million from the IPO, net of the underwriting discount and before deducting offering expenses of $7.5 million. In addition, in accordance with their terms and consistent with the conversion rates discussed in Note 11 - Redeemable Convertible Preferred Stock and Stockholders’ Equity (Deficit), all shares of the Company’s outstanding redeemable convertible preferred stock were automatically converted into common stock upon the closing of the IPO.</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Follow-on Public Offering</w:t>
      </w:r>
    </w:p>
    <w:p>
      <w:pPr>
        <w:spacing w:after="0" w:line="103" w:lineRule="exact"/>
        <w:rPr>
          <w:sz w:val="20"/>
          <w:szCs w:val="20"/>
          <w:color w:val="auto"/>
        </w:rPr>
      </w:pPr>
    </w:p>
    <w:p>
      <w:pPr>
        <w:ind w:firstLine="762"/>
        <w:spacing w:after="0" w:line="265" w:lineRule="auto"/>
        <w:rPr>
          <w:sz w:val="20"/>
          <w:szCs w:val="20"/>
          <w:color w:val="auto"/>
        </w:rPr>
      </w:pPr>
      <w:r>
        <w:rPr>
          <w:rFonts w:ascii="Arial" w:cs="Arial" w:eastAsia="Arial" w:hAnsi="Arial"/>
          <w:sz w:val="17"/>
          <w:szCs w:val="17"/>
          <w:color w:val="auto"/>
        </w:rPr>
        <w:t>The Company closed its follow-on public offering on September 15, 2020 in which it sold 10,800,000 shares of common stock at the public offering price of $54.50 per share. The Company received proceeds of $569.5 million from the offering, net of the underwriting discount and before deducting offering expenses of $1.5 million.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03" w:lineRule="exact"/>
        <w:rPr>
          <w:sz w:val="20"/>
          <w:szCs w:val="20"/>
          <w:color w:val="auto"/>
        </w:rPr>
      </w:pPr>
    </w:p>
    <w:p>
      <w:pPr>
        <w:ind w:right="380" w:firstLine="762"/>
        <w:spacing w:after="0" w:line="290" w:lineRule="auto"/>
        <w:rPr>
          <w:sz w:val="20"/>
          <w:szCs w:val="20"/>
          <w:color w:val="auto"/>
        </w:rPr>
      </w:pPr>
      <w:r>
        <w:rPr>
          <w:rFonts w:ascii="Arial" w:cs="Arial" w:eastAsia="Arial" w:hAnsi="Arial"/>
          <w:sz w:val="17"/>
          <w:szCs w:val="17"/>
          <w:color w:val="auto"/>
        </w:rPr>
        <w:t>The consolidated financial statements of the Company have been prepared in accordance with U.S. generally accepted accounting principles (“U.S. GAAP”). Certain prior year amounts have been reclassified to conform to the current year presentation.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153275"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03" w:lineRule="exact"/>
        <w:rPr>
          <w:sz w:val="20"/>
          <w:szCs w:val="20"/>
          <w:color w:val="auto"/>
        </w:rPr>
      </w:pPr>
    </w:p>
    <w:p>
      <w:pPr>
        <w:ind w:right="500" w:firstLine="762"/>
        <w:spacing w:after="0" w:line="290" w:lineRule="auto"/>
        <w:rPr>
          <w:sz w:val="20"/>
          <w:szCs w:val="20"/>
          <w:color w:val="auto"/>
        </w:rPr>
      </w:pPr>
      <w:r>
        <w:rPr>
          <w:rFonts w:ascii="Arial" w:cs="Arial" w:eastAsia="Arial" w:hAnsi="Arial"/>
          <w:sz w:val="17"/>
          <w:szCs w:val="17"/>
          <w:color w:val="auto"/>
        </w:rPr>
        <w:t>The accompanying consolidated financial statements include the accounts of the Company and its wholly owned subsidiaries. All intercompany accounts and transactions have been eliminated in consolidation.</w:t>
      </w:r>
    </w:p>
    <w:p>
      <w:pPr>
        <w:spacing w:after="0" w:line="232" w:lineRule="exact"/>
        <w:rPr>
          <w:sz w:val="20"/>
          <w:szCs w:val="20"/>
          <w:color w:val="auto"/>
        </w:rPr>
      </w:pPr>
    </w:p>
    <w:p>
      <w:pPr>
        <w:ind w:right="7340" w:firstLine="5"/>
        <w:spacing w:after="0" w:line="370" w:lineRule="auto"/>
        <w:tabs>
          <w:tab w:leader="none" w:pos="194"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Use of Estimates</w:t>
      </w:r>
    </w:p>
    <w:p>
      <w:pPr>
        <w:spacing w:after="0" w:line="1" w:lineRule="exact"/>
        <w:rPr>
          <w:sz w:val="20"/>
          <w:szCs w:val="20"/>
          <w:color w:val="auto"/>
        </w:rPr>
      </w:pPr>
    </w:p>
    <w:p>
      <w:pPr>
        <w:ind w:right="20" w:firstLine="762"/>
        <w:spacing w:after="0" w:line="250" w:lineRule="auto"/>
        <w:rPr>
          <w:sz w:val="20"/>
          <w:szCs w:val="20"/>
          <w:color w:val="auto"/>
        </w:rPr>
      </w:pPr>
      <w:r>
        <w:rPr>
          <w:rFonts w:ascii="Arial" w:cs="Arial" w:eastAsia="Arial" w:hAnsi="Arial"/>
          <w:sz w:val="17"/>
          <w:szCs w:val="17"/>
          <w:color w:val="auto"/>
        </w:rPr>
        <w:t>The preparation of consolidated financial statements in accordance with U.S. GAAP requires management to make estimates, assumptions and judgments that affect the reported amounts of assets, liabilities, revenue, and expenses and related disclosures. On an ongoing basis, the Company evaluates its estimates, including, among others, those related to income taxes, the realizability of inventory, stock-based compensation, contingencies, revenue-related reserves, fair value measurements, goodwill, and useful lives of property and equipment and intangible assets. The Company bases its estimates on historical experience, market conditions, and on various other assumptions that are believed to be reasonable. Actual results may differ from these estimates.</w:t>
      </w:r>
    </w:p>
    <w:p>
      <w:pPr>
        <w:spacing w:after="0" w:line="165" w:lineRule="exact"/>
        <w:rPr>
          <w:sz w:val="20"/>
          <w:szCs w:val="20"/>
          <w:color w:val="auto"/>
        </w:rPr>
      </w:pPr>
    </w:p>
    <w:p>
      <w:pPr>
        <w:ind w:firstLine="762"/>
        <w:spacing w:after="0" w:line="249" w:lineRule="auto"/>
        <w:rPr>
          <w:sz w:val="20"/>
          <w:szCs w:val="20"/>
          <w:color w:val="auto"/>
        </w:rPr>
      </w:pPr>
      <w:r>
        <w:rPr>
          <w:rFonts w:ascii="Arial" w:cs="Arial" w:eastAsia="Arial" w:hAnsi="Arial"/>
          <w:sz w:val="17"/>
          <w:szCs w:val="17"/>
          <w:color w:val="auto"/>
        </w:rPr>
        <w:t>Beginning in the first quarter of 2020, the COVID-19 pandemic negatively impacted, and may continue to negatively impact, the macroeconomic environment in the United States and globally, as well as the Company’s business, financial condition and results of operations. Due to the evolving and uncertain nature of COVID-19, it is reasonably possible that it could materially impact the Company’s estimates, particularly those noted above that require consideration of forecasted financial information, in the near to medium term. The ultimate impact will depend on numerous evolving factors that the Company may not be able to accurately predict, including the duration and extent of the pandemic, the impact of federal, state, local and foreign governmental actions, consumer behavior in response to the pandemic and other economic and operational conditions the Company may face.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Company did not have any other comprehensive income or loss for the years ended December 31, 2020, 2019, and 2018.</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Accordingly, net loss and comprehensive loss are the same for the periods presented.</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3" w:lineRule="exact"/>
        <w:rPr>
          <w:sz w:val="20"/>
          <w:szCs w:val="20"/>
          <w:color w:val="auto"/>
        </w:rPr>
      </w:pPr>
    </w:p>
    <w:p>
      <w:pPr>
        <w:ind w:right="420" w:firstLine="762"/>
        <w:spacing w:after="0" w:line="265" w:lineRule="auto"/>
        <w:rPr>
          <w:sz w:val="20"/>
          <w:szCs w:val="20"/>
          <w:color w:val="auto"/>
        </w:rPr>
      </w:pPr>
      <w:r>
        <w:rPr>
          <w:rFonts w:ascii="Arial" w:cs="Arial" w:eastAsia="Arial" w:hAnsi="Arial"/>
          <w:sz w:val="17"/>
          <w:szCs w:val="17"/>
          <w:color w:val="auto"/>
        </w:rPr>
        <w:t>Revenue consists of retail used vehicle sales, wholesale used vehicle sales, fees earned on sales of value-added products to customers in connection with vehicles sales, and other revenues. Refer to Note 3 – Revenue Recognition for a discussion of the Company’s significant accounting policies related to revenue recognition.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sales</w:t>
      </w:r>
    </w:p>
    <w:p>
      <w:pPr>
        <w:spacing w:after="0" w:line="103" w:lineRule="exact"/>
        <w:rPr>
          <w:sz w:val="20"/>
          <w:szCs w:val="20"/>
          <w:color w:val="auto"/>
        </w:rPr>
      </w:pPr>
    </w:p>
    <w:p>
      <w:pPr>
        <w:ind w:right="60" w:firstLine="762"/>
        <w:spacing w:after="0" w:line="257" w:lineRule="auto"/>
        <w:rPr>
          <w:sz w:val="20"/>
          <w:szCs w:val="20"/>
          <w:color w:val="auto"/>
        </w:rPr>
      </w:pPr>
      <w:r>
        <w:rPr>
          <w:rFonts w:ascii="Arial" w:cs="Arial" w:eastAsia="Arial" w:hAnsi="Arial"/>
          <w:sz w:val="17"/>
          <w:szCs w:val="17"/>
          <w:color w:val="auto"/>
        </w:rPr>
        <w:t>Cost of sales primarily includes the cost to acquire used vehicles, inbound transportation costs and direct and indirect reconditioning costs associated with preparing vehicles for resale. Reconditioning costs include parts, labor and third-party reconditioning costs directly attributable to the vehicle and allocated overhead costs. Cost of sales also includes any necessary adjustments to reflect vehicle inventory at the lower of cost or net realizable value.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03" w:lineRule="exact"/>
        <w:rPr>
          <w:sz w:val="20"/>
          <w:szCs w:val="20"/>
          <w:color w:val="auto"/>
        </w:rPr>
      </w:pPr>
    </w:p>
    <w:p>
      <w:pPr>
        <w:ind w:right="140" w:firstLine="762"/>
        <w:spacing w:after="0" w:line="259" w:lineRule="auto"/>
        <w:rPr>
          <w:sz w:val="20"/>
          <w:szCs w:val="20"/>
          <w:color w:val="auto"/>
        </w:rPr>
      </w:pPr>
      <w:r>
        <w:rPr>
          <w:rFonts w:ascii="Arial" w:cs="Arial" w:eastAsia="Arial" w:hAnsi="Arial"/>
          <w:sz w:val="17"/>
          <w:szCs w:val="17"/>
          <w:color w:val="auto"/>
        </w:rPr>
        <w:t>Cash and cash equivalents include cash deposits at financial institutions and highly liquid investments with original maturities of three months or less. Outstanding checks that are in excess of the cash balances at certain financial institutions are included in “Accounts payable” in the consolidated balance sheets and changes in these amounts are reflected in operating cash flows in the consolidated statements of cash flows.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103" w:lineRule="exact"/>
        <w:rPr>
          <w:sz w:val="20"/>
          <w:szCs w:val="20"/>
          <w:color w:val="auto"/>
        </w:rPr>
      </w:pPr>
    </w:p>
    <w:p>
      <w:pPr>
        <w:ind w:right="80" w:firstLine="762"/>
        <w:spacing w:after="0" w:line="265" w:lineRule="auto"/>
        <w:rPr>
          <w:sz w:val="20"/>
          <w:szCs w:val="20"/>
          <w:color w:val="auto"/>
        </w:rPr>
      </w:pPr>
      <w:r>
        <w:rPr>
          <w:rFonts w:ascii="Arial" w:cs="Arial" w:eastAsia="Arial" w:hAnsi="Arial"/>
          <w:sz w:val="17"/>
          <w:szCs w:val="17"/>
          <w:color w:val="auto"/>
        </w:rPr>
        <w:t>Restricted cash includes cash deposits required under letter of credit agreements as explained in Note 9 – Commitments and Contingencies. As of December 31, 2020, restricted cash also includes a $31.6 million cash deposit required under the Company’s 2020 Vehicle Floorplan Facility as explained in Note 8 – Vehicle Floorplan Facilities.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Net</w:t>
      </w:r>
    </w:p>
    <w:p>
      <w:pPr>
        <w:spacing w:after="0" w:line="103" w:lineRule="exact"/>
        <w:rPr>
          <w:sz w:val="20"/>
          <w:szCs w:val="20"/>
          <w:color w:val="auto"/>
        </w:rPr>
      </w:pPr>
    </w:p>
    <w:p>
      <w:pPr>
        <w:ind w:right="60" w:firstLine="762"/>
        <w:spacing w:after="0" w:line="257" w:lineRule="auto"/>
        <w:rPr>
          <w:sz w:val="20"/>
          <w:szCs w:val="20"/>
          <w:color w:val="auto"/>
        </w:rPr>
      </w:pPr>
      <w:r>
        <w:rPr>
          <w:rFonts w:ascii="Arial" w:cs="Arial" w:eastAsia="Arial" w:hAnsi="Arial"/>
          <w:sz w:val="17"/>
          <w:szCs w:val="17"/>
          <w:color w:val="auto"/>
        </w:rPr>
        <w:t>Accounts receivable, net of an allowance for doubtful accounts, includes amounts due from customers and from third-party financial institutions related to vehicle purchases. The allowance for doubtful accounts is estimated based upon historical experience, age of the balances, current economic conditions and other factors and is evaluated as of each reporting date. Increases and decreases in the allowance for doubtful accounts are recorded in “Selling, general and administrative expenses” in the consolidated statements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03" w:lineRule="exact"/>
        <w:rPr>
          <w:sz w:val="20"/>
          <w:szCs w:val="20"/>
          <w:color w:val="auto"/>
        </w:rPr>
      </w:pPr>
    </w:p>
    <w:p>
      <w:pPr>
        <w:ind w:right="60" w:firstLine="762"/>
        <w:spacing w:after="0" w:line="253" w:lineRule="auto"/>
        <w:rPr>
          <w:sz w:val="20"/>
          <w:szCs w:val="20"/>
          <w:color w:val="auto"/>
        </w:rPr>
      </w:pPr>
      <w:r>
        <w:rPr>
          <w:rFonts w:ascii="Arial" w:cs="Arial" w:eastAsia="Arial" w:hAnsi="Arial"/>
          <w:sz w:val="17"/>
          <w:szCs w:val="17"/>
          <w:color w:val="auto"/>
        </w:rPr>
        <w:t>Inventory consists primarily of used vehicles and parts and accessories and is stated at the lower of cost or net realizable value. Inventory cost is determined by specific identification and includes acquisition cost, direct and indirect reconditioning costs and inbound transportation expenses. Net realizable value represents the estimated selling price less costs to complete, dispose and transport the vehicles. The Company recognizes any necessary adjustments to reflect inventory at the lower of cost or net realizable value through adjustments to “Cost of sales” in the consolidated statements of operations.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03" w:lineRule="exact"/>
        <w:rPr>
          <w:sz w:val="20"/>
          <w:szCs w:val="20"/>
          <w:color w:val="auto"/>
        </w:rPr>
      </w:pPr>
    </w:p>
    <w:p>
      <w:pPr>
        <w:ind w:right="180" w:firstLine="762"/>
        <w:spacing w:after="0" w:line="265" w:lineRule="auto"/>
        <w:rPr>
          <w:sz w:val="20"/>
          <w:szCs w:val="20"/>
          <w:color w:val="auto"/>
        </w:rPr>
      </w:pPr>
      <w:r>
        <w:rPr>
          <w:rFonts w:ascii="Arial" w:cs="Arial" w:eastAsia="Arial" w:hAnsi="Arial"/>
          <w:sz w:val="17"/>
          <w:szCs w:val="17"/>
          <w:color w:val="auto"/>
        </w:rPr>
        <w:t>Property and equipment are recorded at cost less accumulated depreciation and amortization. Charges for repairs and maintenance that do not improve or extend the life of the respective assets are expensed as incurred. When assets are retired or otherwise disposed of, their costs and related accumulated depreciation are written off and any resulting gains or losses are recorded during the period.</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Depreciation and amortization are calculated using the straight-line method over the following estimated useful lives of the assets:</w:t>
      </w:r>
    </w:p>
    <w:p>
      <w:pPr>
        <w:sectPr>
          <w:pgSz w:w="11900" w:h="16838" w:orient="portrait"/>
          <w:cols w:equalWidth="0" w:num="1">
            <w:col w:w="11240"/>
          </w:cols>
          <w:pgMar w:left="320" w:top="126" w:right="339" w:bottom="1440" w:gutter="0" w:footer="0" w:header="0"/>
        </w:sectPr>
      </w:pPr>
    </w:p>
    <w:p>
      <w:pPr>
        <w:spacing w:after="0" w:line="2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Equipment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Furniture and fixtures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Company Vehicles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Leasehold improvements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Internal-use software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3 to 15 years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3 to 15 years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5 to 7 years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Lesser of useful life or lease term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3 to 5 years</w:t>
      </w:r>
    </w:p>
    <w:p>
      <w:pPr>
        <w:spacing w:after="0" w:line="200" w:lineRule="exact"/>
        <w:rPr>
          <w:sz w:val="20"/>
          <w:szCs w:val="20"/>
          <w:color w:val="auto"/>
        </w:rPr>
      </w:pPr>
    </w:p>
    <w:p>
      <w:pPr>
        <w:sectPr>
          <w:pgSz w:w="11900" w:h="16838" w:orient="portrait"/>
          <w:cols w:equalWidth="0" w:num="2">
            <w:col w:w="5000" w:space="720"/>
            <w:col w:w="5520"/>
          </w:cols>
          <w:pgMar w:left="320" w:top="126" w:right="339" w:bottom="1440" w:gutter="0" w:footer="0" w:header="0"/>
          <w:type w:val="continuous"/>
        </w:sectPr>
      </w:pPr>
    </w:p>
    <w:p>
      <w:pPr>
        <w:spacing w:after="0" w:line="14" w:lineRule="exact"/>
        <w:rPr>
          <w:sz w:val="20"/>
          <w:szCs w:val="20"/>
          <w:color w:val="auto"/>
        </w:rPr>
      </w:pPr>
    </w:p>
    <w:p>
      <w:pPr>
        <w:ind w:right="120" w:firstLine="762"/>
        <w:spacing w:after="0" w:line="253" w:lineRule="auto"/>
        <w:rPr>
          <w:sz w:val="20"/>
          <w:szCs w:val="20"/>
          <w:color w:val="auto"/>
        </w:rPr>
      </w:pPr>
      <w:r>
        <w:rPr>
          <w:rFonts w:ascii="Arial" w:cs="Arial" w:eastAsia="Arial" w:hAnsi="Arial"/>
          <w:sz w:val="17"/>
          <w:szCs w:val="17"/>
          <w:color w:val="auto"/>
        </w:rPr>
        <w:t>The Company capitalizes direct costs of materials and services utilized in developing or obtaining internal-use software. The Company also capitalizes payroll and payroll-related costs for employees who are directly associated with and who devote time to the development of software products for internal use, to the extent of the time spent directly on the project. Capitalization of costs begins during the application development stage and ends when the software is available for general use. Costs incurred during the preliminary project and post-implementation stages are charged to expense as incurred.</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03" w:lineRule="exact"/>
        <w:rPr>
          <w:sz w:val="20"/>
          <w:szCs w:val="20"/>
          <w:color w:val="auto"/>
        </w:rPr>
      </w:pPr>
    </w:p>
    <w:p>
      <w:pPr>
        <w:ind w:right="140" w:firstLine="762"/>
        <w:spacing w:after="0" w:line="265" w:lineRule="auto"/>
        <w:rPr>
          <w:sz w:val="20"/>
          <w:szCs w:val="20"/>
          <w:color w:val="auto"/>
        </w:rPr>
      </w:pPr>
      <w:r>
        <w:rPr>
          <w:rFonts w:ascii="Arial" w:cs="Arial" w:eastAsia="Arial" w:hAnsi="Arial"/>
          <w:sz w:val="17"/>
          <w:szCs w:val="17"/>
          <w:color w:val="auto"/>
        </w:rPr>
        <w:t>Goodwill represents the excess of the consideration transferred over the fair value of the identifiable assets acquired and liabilities assumed in business combinations. Goodwill is tested for impairment annually as of October 1 or whenever events or changes in circumstances indicate that an impairment may exist.</w:t>
      </w:r>
    </w:p>
    <w:p>
      <w:pPr>
        <w:spacing w:after="0" w:line="151" w:lineRule="exact"/>
        <w:rPr>
          <w:sz w:val="20"/>
          <w:szCs w:val="20"/>
          <w:color w:val="auto"/>
        </w:rPr>
      </w:pPr>
    </w:p>
    <w:p>
      <w:pPr>
        <w:ind w:firstLine="762"/>
        <w:spacing w:after="0" w:line="249" w:lineRule="auto"/>
        <w:rPr>
          <w:sz w:val="20"/>
          <w:szCs w:val="20"/>
          <w:color w:val="auto"/>
        </w:rPr>
      </w:pPr>
      <w:r>
        <w:rPr>
          <w:rFonts w:ascii="Arial" w:cs="Arial" w:eastAsia="Arial" w:hAnsi="Arial"/>
          <w:sz w:val="17"/>
          <w:szCs w:val="17"/>
          <w:color w:val="auto"/>
        </w:rPr>
        <w:t>The Company has three reporting units: Ecommerce, Wholesale, and TDA. In performing its annual goodwill impairment test, the Company first reviews qualitative factors to determine whether it is more likely than not that the fair value of a reporting unit is less than its carrying amount. If, after assessing qualitative factors, the Company determines that it is not more likely than not that the fair value of a reporting unit is less than its carrying amount, then performing the quantitative test is unnecessary and the Company’s goodwill is not considered to be impaired. However, if based on the qualitative assessment the Company concludes that it is more likely than not that the fair value of the reporting unit is less than its carrying amount, or if the Company elects to bypass the optional qualitative assessment as provided for under U.S. GAAP, the Company proceeds with performing the quantitative impairment test.</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No goodwill impairment was determined to exist for the years ended December 31, 2020, 2019, and 2018.</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06" w:lineRule="exact"/>
        <w:rPr>
          <w:sz w:val="20"/>
          <w:szCs w:val="20"/>
          <w:color w:val="auto"/>
        </w:rPr>
      </w:pPr>
    </w:p>
    <w:p>
      <w:pPr>
        <w:ind w:right="260" w:firstLine="762"/>
        <w:spacing w:after="0" w:line="265" w:lineRule="auto"/>
        <w:rPr>
          <w:sz w:val="20"/>
          <w:szCs w:val="20"/>
          <w:color w:val="auto"/>
        </w:rPr>
      </w:pPr>
      <w:r>
        <w:rPr>
          <w:rFonts w:ascii="Arial" w:cs="Arial" w:eastAsia="Arial" w:hAnsi="Arial"/>
          <w:sz w:val="17"/>
          <w:szCs w:val="17"/>
          <w:color w:val="auto"/>
        </w:rPr>
        <w:t>In connection with its annual goodwill impairment test as of October 1, 2020, the Company performed qualitative impairment assessments for each of its reporting units. The results of the qualitative assessments indicated that it was not more likely than not that the fair value of the reporting units were less than the carrying values.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103" w:lineRule="exact"/>
        <w:rPr>
          <w:sz w:val="20"/>
          <w:szCs w:val="20"/>
          <w:color w:val="auto"/>
        </w:rPr>
      </w:pPr>
    </w:p>
    <w:p>
      <w:pPr>
        <w:ind w:firstLine="762"/>
        <w:spacing w:after="0" w:line="257" w:lineRule="auto"/>
        <w:rPr>
          <w:sz w:val="20"/>
          <w:szCs w:val="20"/>
          <w:color w:val="auto"/>
        </w:rPr>
      </w:pPr>
      <w:r>
        <w:rPr>
          <w:rFonts w:ascii="Arial" w:cs="Arial" w:eastAsia="Arial" w:hAnsi="Arial"/>
          <w:sz w:val="17"/>
          <w:szCs w:val="17"/>
          <w:color w:val="auto"/>
        </w:rPr>
        <w:t>Deferred offering costs, including legal, accounting and other fees and costs relating to the Company’s IPO and Follow-on Public Offering, are capitalized and included within “Other assets” in the consolidated balance sheets. The deferred offering costs were offset against the IPO proceeds within equity upon the closing of the IPO and Follow-on Public Offering. As of December 31, 2020 and 2019, there were $0.0 million and $2.4 million, respectively, of capitalized deferred offering costs included within “Other assets.”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Vehicle Floorplan</w:t>
      </w:r>
    </w:p>
    <w:p>
      <w:pPr>
        <w:spacing w:after="0" w:line="103" w:lineRule="exact"/>
        <w:rPr>
          <w:sz w:val="20"/>
          <w:szCs w:val="20"/>
          <w:color w:val="auto"/>
        </w:rPr>
      </w:pPr>
    </w:p>
    <w:p>
      <w:pPr>
        <w:ind w:right="80" w:firstLine="762"/>
        <w:spacing w:after="0" w:line="257" w:lineRule="auto"/>
        <w:rPr>
          <w:sz w:val="20"/>
          <w:szCs w:val="20"/>
          <w:color w:val="auto"/>
        </w:rPr>
      </w:pPr>
      <w:r>
        <w:rPr>
          <w:rFonts w:ascii="Arial" w:cs="Arial" w:eastAsia="Arial" w:hAnsi="Arial"/>
          <w:sz w:val="17"/>
          <w:szCs w:val="17"/>
          <w:color w:val="auto"/>
        </w:rPr>
        <w:t>The vehicle floorplan payable (the “Vehicle Floorplan Facility”) reflects amounts borrowed to finance the purchase of specific vehicle inventories. Portions of the Vehicle Floorplan Facility are settled on a daily basis depending on the Company’s sales and purchasing activity. The Vehicle Floorplan Facility is collateralized by vehicle inventories and certain other assets of the Company. Borrowings and repayments are presented separately and classified as financing activities within the consolidated statements of cash flows.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03" w:lineRule="exact"/>
        <w:rPr>
          <w:sz w:val="20"/>
          <w:szCs w:val="20"/>
          <w:color w:val="auto"/>
        </w:rPr>
      </w:pPr>
    </w:p>
    <w:p>
      <w:pPr>
        <w:ind w:right="40" w:firstLine="762"/>
        <w:spacing w:after="0" w:line="246" w:lineRule="auto"/>
        <w:rPr>
          <w:sz w:val="20"/>
          <w:szCs w:val="20"/>
          <w:color w:val="auto"/>
        </w:rPr>
      </w:pPr>
      <w:r>
        <w:rPr>
          <w:rFonts w:ascii="Arial" w:cs="Arial" w:eastAsia="Arial" w:hAnsi="Arial"/>
          <w:sz w:val="17"/>
          <w:szCs w:val="17"/>
          <w:color w:val="auto"/>
        </w:rPr>
        <w:t>The Company accounts for income taxes under the asset and liability method. The Company recognizes deferred tax assets and liabilities for the future tax consequences attributable to differences between the financial statement carrying amounts of existing assets and liabilities and their respective tax basis, as well as for operating loss and tax credit carry forwards. The Company measures deferred tax assets and liabilities using enacted tax rates expected to apply to taxable income in the years in which the Company expects to recover or settle those temporary differences. The Company recognizes the effect of a change in tax rates on deferred tax assets and liabilities in the results of operations in the period that includes the enactment date. The Company reduces the measurement of a deferred tax asset, if necessary, by a valuation allowance if it is “more-likely-than-not” that the Company will not realize some or all of the deferred tax asset. The Company accounts for uncertain tax positions by recognizing the financial statement effects of a tax position only when, based upon technical merits, it is “more likely than not” that the position will be sustained upon examination. Potential interest and penalties associated with unrecognized tax positions are recognized in income tax expense.</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03" w:lineRule="exact"/>
        <w:rPr>
          <w:sz w:val="20"/>
          <w:szCs w:val="20"/>
          <w:color w:val="auto"/>
        </w:rPr>
      </w:pPr>
    </w:p>
    <w:p>
      <w:pPr>
        <w:ind w:right="20" w:firstLine="762"/>
        <w:spacing w:after="0" w:line="248" w:lineRule="auto"/>
        <w:rPr>
          <w:sz w:val="20"/>
          <w:szCs w:val="20"/>
          <w:color w:val="auto"/>
        </w:rPr>
      </w:pPr>
      <w:r>
        <w:rPr>
          <w:rFonts w:ascii="Arial" w:cs="Arial" w:eastAsia="Arial" w:hAnsi="Arial"/>
          <w:sz w:val="17"/>
          <w:szCs w:val="17"/>
          <w:color w:val="auto"/>
        </w:rPr>
        <w:t>The Company recognizes the cost of employee services received in exchange for stock awards based on the fair value of those awards at the date of grant over the requisite service period. The Company uses the Black-Scholes-Merton (“Black-Scholes”) option pricing model to determine the fair value of its stock-based awards. Estimating the fair value of stock-based awards requires the input of subjective assumptions, including the estimated fair value of the Company’s common stock, the expected life of the options, stock price volatility, which is determined based on the historical volatilities of several publicly listed peer companies as the Company has only a short trading history for its common stock, the risk-free interest rate and expected dividends. The assumptions used in the Company’s Black-Scholes option-pricing model represent management’s best estimates and involve a number of variables, uncertainties and assumptions and the application of management’s judgment, as they are inherently subjective.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w:t>
      </w:r>
    </w:p>
    <w:p>
      <w:pPr>
        <w:spacing w:after="0" w:line="103" w:lineRule="exact"/>
        <w:rPr>
          <w:sz w:val="20"/>
          <w:szCs w:val="20"/>
          <w:color w:val="auto"/>
        </w:rPr>
      </w:pPr>
    </w:p>
    <w:p>
      <w:pPr>
        <w:ind w:right="160" w:firstLine="762"/>
        <w:spacing w:after="0" w:line="265" w:lineRule="auto"/>
        <w:rPr>
          <w:sz w:val="20"/>
          <w:szCs w:val="20"/>
          <w:color w:val="auto"/>
        </w:rPr>
      </w:pPr>
      <w:r>
        <w:rPr>
          <w:rFonts w:ascii="Arial" w:cs="Arial" w:eastAsia="Arial" w:hAnsi="Arial"/>
          <w:sz w:val="17"/>
          <w:szCs w:val="17"/>
          <w:color w:val="auto"/>
        </w:rPr>
        <w:t>Advertising costs are expensed as incurred and are included within “Selling, general and administrative expenses” in the consolidated statements of operations. Advertising expenses were $62.4 million, $49.9 million, and $25.6 million for the years ended December 31, 2020, 2019, and 2018,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Shipping and Handling</w:t>
      </w:r>
    </w:p>
    <w:p>
      <w:pPr>
        <w:spacing w:after="0" w:line="103" w:lineRule="exact"/>
        <w:rPr>
          <w:sz w:val="20"/>
          <w:szCs w:val="20"/>
          <w:color w:val="auto"/>
        </w:rPr>
      </w:pPr>
    </w:p>
    <w:p>
      <w:pPr>
        <w:ind w:right="340" w:firstLine="762"/>
        <w:spacing w:after="0" w:line="257" w:lineRule="auto"/>
        <w:rPr>
          <w:sz w:val="20"/>
          <w:szCs w:val="20"/>
          <w:color w:val="auto"/>
        </w:rPr>
      </w:pPr>
      <w:r>
        <w:rPr>
          <w:rFonts w:ascii="Arial" w:cs="Arial" w:eastAsia="Arial" w:hAnsi="Arial"/>
          <w:sz w:val="17"/>
          <w:szCs w:val="17"/>
          <w:color w:val="auto"/>
        </w:rPr>
        <w:t>The Company’s logistics costs related to transporting its used vehicle inventory primarily include third-party transportation fees. The portion of these costs related to inbound transportation from the point of acquisition to the relevant reconditioning facility is included in cost of sales when the related used vehicle is sold. Logistics costs not included in cost of sales are accounted for as costs to fulfil contracts with customers and are included in “Selling, general</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1"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and administrative expenses” in the consolidated statements of operations and were $30.3 million, $14.0 million, and $6.4 million for the years ended December 31, 2020, 2019, and 2018, respectively.</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 and Significant Customers</w:t>
      </w:r>
    </w:p>
    <w:p>
      <w:pPr>
        <w:spacing w:after="0" w:line="103" w:lineRule="exact"/>
        <w:rPr>
          <w:sz w:val="20"/>
          <w:szCs w:val="20"/>
          <w:color w:val="auto"/>
        </w:rPr>
      </w:pPr>
    </w:p>
    <w:p>
      <w:pPr>
        <w:ind w:right="160" w:firstLine="762"/>
        <w:spacing w:after="0" w:line="250" w:lineRule="auto"/>
        <w:rPr>
          <w:sz w:val="20"/>
          <w:szCs w:val="20"/>
          <w:color w:val="auto"/>
        </w:rPr>
      </w:pPr>
      <w:r>
        <w:rPr>
          <w:rFonts w:ascii="Arial" w:cs="Arial" w:eastAsia="Arial" w:hAnsi="Arial"/>
          <w:sz w:val="17"/>
          <w:szCs w:val="17"/>
          <w:color w:val="auto"/>
        </w:rPr>
        <w:t>The Company’s principal financial instruments subject to potential concentration of credit risk are cash and cash equivalents and accounts receivable, which are unsecured. The Company’s cash balances are maintained at various large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treasury securities. Concentration of credit risk with respect to accounts receivable is generally mitigated by a large customer base.</w:t>
      </w:r>
    </w:p>
    <w:p>
      <w:pPr>
        <w:spacing w:after="0" w:line="165" w:lineRule="exact"/>
        <w:rPr>
          <w:sz w:val="20"/>
          <w:szCs w:val="20"/>
          <w:color w:val="auto"/>
        </w:rPr>
      </w:pPr>
    </w:p>
    <w:p>
      <w:pPr>
        <w:ind w:right="180" w:firstLine="762"/>
        <w:spacing w:after="0" w:line="290" w:lineRule="auto"/>
        <w:rPr>
          <w:sz w:val="20"/>
          <w:szCs w:val="20"/>
          <w:color w:val="auto"/>
        </w:rPr>
      </w:pPr>
      <w:r>
        <w:rPr>
          <w:rFonts w:ascii="Arial" w:cs="Arial" w:eastAsia="Arial" w:hAnsi="Arial"/>
          <w:sz w:val="17"/>
          <w:szCs w:val="17"/>
          <w:color w:val="auto"/>
        </w:rPr>
        <w:t>For the years ended December 31, 2020, 2019, and 2018, no customer represented 10% or more of the Company’s revenues and no customer represented more than 10% of the Company’s accounts receivable as of December 31, 2020 and 2019.</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103" w:lineRule="exact"/>
        <w:rPr>
          <w:sz w:val="20"/>
          <w:szCs w:val="20"/>
          <w:color w:val="auto"/>
        </w:rPr>
      </w:pPr>
    </w:p>
    <w:p>
      <w:pPr>
        <w:ind w:right="40" w:firstLine="762"/>
        <w:spacing w:after="0" w:line="257" w:lineRule="auto"/>
        <w:rPr>
          <w:sz w:val="20"/>
          <w:szCs w:val="20"/>
          <w:color w:val="auto"/>
        </w:rPr>
      </w:pPr>
      <w:r>
        <w:rPr>
          <w:rFonts w:ascii="Arial" w:cs="Arial" w:eastAsia="Arial" w:hAnsi="Arial"/>
          <w:sz w:val="17"/>
          <w:szCs w:val="17"/>
          <w:color w:val="auto"/>
        </w:rPr>
        <w:t>The Company has had negative cash flows and losses from operations since inception which it has funded primarily through issuances of common and preferred stock. The Company has historically funded vehicle inventory purchases through a vehicle floorplan facility. As further discussed in Note 8 – Vehicle Floorplan Facilities, the Company entered into a new facility in March 2020 which increased the borrowing capacity up to $450.0 million. In October 2020, the Vehicle Floorplan Facility was amended to extend the maturity date to September 2022.</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 Attributable to Common Stockholders</w:t>
      </w:r>
    </w:p>
    <w:p>
      <w:pPr>
        <w:spacing w:after="0" w:line="103" w:lineRule="exact"/>
        <w:rPr>
          <w:sz w:val="20"/>
          <w:szCs w:val="20"/>
          <w:color w:val="auto"/>
        </w:rPr>
      </w:pPr>
    </w:p>
    <w:p>
      <w:pPr>
        <w:ind w:right="60" w:firstLine="762"/>
        <w:spacing w:after="0" w:line="246" w:lineRule="auto"/>
        <w:rPr>
          <w:sz w:val="20"/>
          <w:szCs w:val="20"/>
          <w:color w:val="auto"/>
        </w:rPr>
      </w:pPr>
      <w:r>
        <w:rPr>
          <w:rFonts w:ascii="Arial" w:cs="Arial" w:eastAsia="Arial" w:hAnsi="Arial"/>
          <w:sz w:val="17"/>
          <w:szCs w:val="17"/>
          <w:color w:val="auto"/>
        </w:rPr>
        <w:t>Basic and diluted net loss per share attributable to common stockholders is presented in conformity with the two-class method required for participating securities. Under the two-class method, net loss is attributed to common stockholders and participating securities based on their participation rights. The Company considers all series of its redeemable convertible preferred stock to be participating securities. Under the two-class method, the net loss attributable to common stockholders is not allocated to the redeemable convertible preferred stock as the holders of the Company’s redeemable convertible preferred stock do not have a contractual obligation to share in the Company’s losses. Under the two-class method, basic net loss per share attributable to common stockholders is computed by dividing the net loss attributable to common stockholders by the weighted-average number of shares of common stock outstanding during the period.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200" w:lineRule="exact"/>
        <w:rPr>
          <w:sz w:val="20"/>
          <w:szCs w:val="20"/>
          <w:color w:val="auto"/>
        </w:rPr>
      </w:pPr>
    </w:p>
    <w:p>
      <w:pPr>
        <w:spacing w:after="0" w:line="273"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The accretion of the Company’s redeemable convertible preferred stock (refer to Note 11) for the years ended December 31, 2019 and 2018 has been presented as an increase to net loss to determine net loss attributable to common stockholders.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Nonemployee Share-Based Payments</w:t>
      </w:r>
    </w:p>
    <w:p>
      <w:pPr>
        <w:spacing w:after="0" w:line="103" w:lineRule="exact"/>
        <w:rPr>
          <w:sz w:val="20"/>
          <w:szCs w:val="20"/>
          <w:color w:val="auto"/>
        </w:rPr>
      </w:pPr>
    </w:p>
    <w:p>
      <w:pPr>
        <w:ind w:firstLine="762"/>
        <w:spacing w:after="0" w:line="248" w:lineRule="auto"/>
        <w:rPr>
          <w:sz w:val="20"/>
          <w:szCs w:val="20"/>
          <w:color w:val="auto"/>
        </w:rPr>
      </w:pPr>
      <w:r>
        <w:rPr>
          <w:rFonts w:ascii="Arial" w:cs="Arial" w:eastAsia="Arial" w:hAnsi="Arial"/>
          <w:sz w:val="17"/>
          <w:szCs w:val="17"/>
          <w:color w:val="auto"/>
        </w:rPr>
        <w:t>On May 15, 2020, the Company entered into an agreement with Rocket Auto LLC and certain of its affiliates (collectively, “Rocket”) providing for the launch of an ecommerce platform under the “Rocket Auto” brand for the marketing and sale of vehicles directly to consumers (the “RA Agreement”). The Company will list its used vehicle inventory for sale on the Rocket Auto platform, but all sales of the Company’s inventory will be conducted through the Company’s platform. Rocket Auto is expected to launch publicly during 2021 and, during the term of the RA Agreement, Rocket has agreed to ensure that not less than a minimum percentage of all used vehicles sold or leased through the platform on a monthly basis will be Vroom inventory. The Company issued Rocket 183,870 shares of the Company’s common stock upon execution of the RA Agreement. The Company will pay Rocket a combination of cash and stock for vehicle sales made through the platform. Rocket may earn up to 8,641,914 shares of common stock over a four-year period based upon sales volume of Vroom inventory through the Rocket Auto platform.</w:t>
      </w:r>
    </w:p>
    <w:p>
      <w:pPr>
        <w:spacing w:after="0" w:line="163" w:lineRule="exact"/>
        <w:rPr>
          <w:sz w:val="20"/>
          <w:szCs w:val="20"/>
          <w:color w:val="auto"/>
        </w:rPr>
      </w:pPr>
    </w:p>
    <w:p>
      <w:pPr>
        <w:jc w:val="both"/>
        <w:ind w:right="80" w:firstLine="762"/>
        <w:spacing w:after="0" w:line="265" w:lineRule="auto"/>
        <w:rPr>
          <w:sz w:val="20"/>
          <w:szCs w:val="20"/>
          <w:color w:val="auto"/>
        </w:rPr>
      </w:pPr>
      <w:r>
        <w:rPr>
          <w:rFonts w:ascii="Arial" w:cs="Arial" w:eastAsia="Arial" w:hAnsi="Arial"/>
          <w:sz w:val="17"/>
          <w:szCs w:val="17"/>
          <w:color w:val="auto"/>
        </w:rPr>
        <w:t xml:space="preserve">The Company accounts for the issuance of its common stock under the RA agreement in accordance with ASC 718, </w:t>
      </w:r>
      <w:r>
        <w:rPr>
          <w:rFonts w:ascii="Arial" w:cs="Arial" w:eastAsia="Arial" w:hAnsi="Arial"/>
          <w:sz w:val="17"/>
          <w:szCs w:val="17"/>
          <w:i w:val="1"/>
          <w:iCs w:val="1"/>
          <w:color w:val="auto"/>
        </w:rPr>
        <w:t>Compensation –</w:t>
      </w:r>
      <w:r>
        <w:rPr>
          <w:rFonts w:ascii="Arial" w:cs="Arial" w:eastAsia="Arial" w:hAnsi="Arial"/>
          <w:sz w:val="17"/>
          <w:szCs w:val="17"/>
          <w:color w:val="auto"/>
        </w:rPr>
        <w:t xml:space="preserve"> </w:t>
      </w:r>
      <w:r>
        <w:rPr>
          <w:rFonts w:ascii="Arial" w:cs="Arial" w:eastAsia="Arial" w:hAnsi="Arial"/>
          <w:sz w:val="17"/>
          <w:szCs w:val="17"/>
          <w:i w:val="1"/>
          <w:iCs w:val="1"/>
          <w:color w:val="auto"/>
        </w:rPr>
        <w:t>Stock Compensation</w:t>
      </w:r>
      <w:r>
        <w:rPr>
          <w:rFonts w:ascii="Arial" w:cs="Arial" w:eastAsia="Arial" w:hAnsi="Arial"/>
          <w:sz w:val="17"/>
          <w:szCs w:val="17"/>
          <w:color w:val="auto"/>
        </w:rPr>
        <w:t>, including the provisions that apply to share-based payments issued to nonemployees for goods or services.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that the grant date was May 15, 2020 for both the upfront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06"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shares issued and the additional shares that potentially are to be issued based on sales volume through the Rocket Auto platform. The fair value of the Company’s common stock on the grant date was determined to be $11.57 per share. The grant date fair value of the upfront shares issued was initially recognized as an asset within “Other assets” in the consolidated balance sheet, which will subsequently be amortized within “Selling, general and administrative expenses” over the term of the RA agreement commencing on the launch date. The grant date fair value of the potential shares to be issued will be recognized within “Selling, general and administrative expenses” as sales of Vroom’s inventory associated with the Rocket Auto platform occur and such shares are earned.</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Standards Adopted</w:t>
      </w:r>
    </w:p>
    <w:p>
      <w:pPr>
        <w:spacing w:after="0" w:line="103" w:lineRule="exact"/>
        <w:rPr>
          <w:sz w:val="20"/>
          <w:szCs w:val="20"/>
          <w:color w:val="auto"/>
        </w:rPr>
      </w:pPr>
    </w:p>
    <w:p>
      <w:pPr>
        <w:ind w:right="60" w:firstLine="762"/>
        <w:spacing w:after="0" w:line="248" w:lineRule="auto"/>
        <w:rPr>
          <w:sz w:val="20"/>
          <w:szCs w:val="20"/>
          <w:color w:val="auto"/>
        </w:rPr>
      </w:pPr>
      <w:r>
        <w:rPr>
          <w:rFonts w:ascii="Arial" w:cs="Arial" w:eastAsia="Arial" w:hAnsi="Arial"/>
          <w:sz w:val="17"/>
          <w:szCs w:val="17"/>
          <w:color w:val="auto"/>
        </w:rPr>
        <w:t>In May 2014, the Financial Accounting Standards Board (“FASB”) issued ASU 2014-09, Revenue from Contracts with Customers (“Topic 606”), which amends the guidance on revenue recognition. Under the new standard, revenue is recognized upon transfer of control of promised goods or services to customers in an amount that reflects the consideration the entity expects to receive in exchange for those goods and services. The principles in the standard are applied using a five-step model that includes 1) identifying the contract(s) with a customer, 2) identifying the performance obligations in the contract, 3) determining the transaction price, 4) allocating the transaction price to the performance obligations in the contract, and 5) recognizing revenue when (or as) the performance obligations are satisfied. The standard also requires disclosure of the nature, amount, timing, and uncertainty of revenue and cash flows arising from contracts with customers. The FASB also subsequently issued several amendments to the standard to clarify the guidance.</w:t>
      </w:r>
    </w:p>
    <w:p>
      <w:pPr>
        <w:spacing w:after="0" w:line="59" w:lineRule="exact"/>
        <w:rPr>
          <w:sz w:val="20"/>
          <w:szCs w:val="20"/>
          <w:color w:val="auto"/>
        </w:rPr>
      </w:pPr>
    </w:p>
    <w:p>
      <w:pPr>
        <w:ind w:right="160" w:firstLine="762"/>
        <w:spacing w:after="0" w:line="265" w:lineRule="auto"/>
        <w:rPr>
          <w:sz w:val="20"/>
          <w:szCs w:val="20"/>
          <w:color w:val="auto"/>
        </w:rPr>
      </w:pPr>
      <w:r>
        <w:rPr>
          <w:rFonts w:ascii="Arial" w:cs="Arial" w:eastAsia="Arial" w:hAnsi="Arial"/>
          <w:sz w:val="17"/>
          <w:szCs w:val="17"/>
          <w:color w:val="auto"/>
        </w:rPr>
        <w:t>The Company adopted Topic 606 as of January 1, 2018 utilizing the modified retrospective approach applied only to contracts not completed as of the date of adoption. The Company recognized a net decrease to accumulated deficit of $1.7 million as January 1, 2018 due to the cumulative effect of adopting Topic 606.</w:t>
      </w:r>
    </w:p>
    <w:p>
      <w:pPr>
        <w:spacing w:after="0" w:line="46" w:lineRule="exact"/>
        <w:rPr>
          <w:sz w:val="20"/>
          <w:szCs w:val="20"/>
          <w:color w:val="auto"/>
        </w:rPr>
      </w:pPr>
    </w:p>
    <w:p>
      <w:pPr>
        <w:ind w:firstLine="762"/>
        <w:spacing w:after="0" w:line="250" w:lineRule="auto"/>
        <w:rPr>
          <w:sz w:val="20"/>
          <w:szCs w:val="20"/>
          <w:color w:val="auto"/>
        </w:rPr>
      </w:pPr>
      <w:r>
        <w:rPr>
          <w:rFonts w:ascii="Arial" w:cs="Arial" w:eastAsia="Arial" w:hAnsi="Arial"/>
          <w:sz w:val="17"/>
          <w:szCs w:val="17"/>
          <w:color w:val="auto"/>
        </w:rPr>
        <w:t>The cumulative effect adjustment primarily resulted from a change in revenue recognition for sales of vehicle service contracts which are provided by a third-party and are sold by the Company on a commission basis. For these products, the Company is contractually entitled to receive profit-sharing revenues based on the performance of the vehicle service contracts once a required claims period has passed. The Company previously recognized this revenue at each reporting date based on the performance of the vehicle service contracts at such date. Under Topic 606, profit sharing revenues are recognized earlier because they represent variable consideration which the Company estimates and recognizes at the time the vehicle services are sold to the end-customer.</w:t>
      </w:r>
    </w:p>
    <w:p>
      <w:pPr>
        <w:spacing w:after="0" w:line="60" w:lineRule="exact"/>
        <w:rPr>
          <w:sz w:val="20"/>
          <w:szCs w:val="20"/>
          <w:color w:val="auto"/>
        </w:rPr>
      </w:pPr>
    </w:p>
    <w:p>
      <w:pPr>
        <w:ind w:firstLine="762"/>
        <w:spacing w:after="0" w:line="265" w:lineRule="auto"/>
        <w:rPr>
          <w:sz w:val="20"/>
          <w:szCs w:val="20"/>
          <w:color w:val="auto"/>
        </w:rPr>
      </w:pPr>
      <w:r>
        <w:rPr>
          <w:rFonts w:ascii="Arial" w:cs="Arial" w:eastAsia="Arial" w:hAnsi="Arial"/>
          <w:sz w:val="17"/>
          <w:szCs w:val="17"/>
          <w:color w:val="auto"/>
        </w:rPr>
        <w:t>Topic 606 also requires the Company to make additional disclosures about the amount, timing, and uncertainty of revenue and cash flows arising from contracts with customers. Refer to Note 3—Revenue Recognition for further information on the Company’s revenue recognition accounting policies.</w:t>
      </w:r>
    </w:p>
    <w:p>
      <w:pPr>
        <w:spacing w:after="0" w:line="151" w:lineRule="exact"/>
        <w:rPr>
          <w:sz w:val="20"/>
          <w:szCs w:val="20"/>
          <w:color w:val="auto"/>
        </w:rPr>
      </w:pPr>
    </w:p>
    <w:p>
      <w:pPr>
        <w:ind w:firstLine="637"/>
        <w:spacing w:after="0" w:line="245"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Implementation Costs Incurred in a Cloud Computing Arrangement That Is a Service Contract </w:t>
      </w:r>
      <w:r>
        <w:rPr>
          <w:rFonts w:ascii="Arial" w:cs="Arial" w:eastAsia="Arial" w:hAnsi="Arial"/>
          <w:sz w:val="17"/>
          <w:szCs w:val="17"/>
          <w:color w:val="auto"/>
        </w:rPr>
        <w:t>(“ASU 2018-15”)</w:t>
      </w:r>
      <w:r>
        <w:rPr>
          <w:rFonts w:ascii="Arial" w:cs="Arial" w:eastAsia="Arial" w:hAnsi="Arial"/>
          <w:sz w:val="17"/>
          <w:szCs w:val="17"/>
          <w:i w:val="1"/>
          <w:iCs w:val="1"/>
          <w:color w:val="auto"/>
        </w:rPr>
        <w:t xml:space="preserve">. </w:t>
      </w:r>
      <w:r>
        <w:rPr>
          <w:rFonts w:ascii="Arial" w:cs="Arial" w:eastAsia="Arial" w:hAnsi="Arial"/>
          <w:sz w:val="17"/>
          <w:szCs w:val="17"/>
          <w:color w:val="auto"/>
        </w:rPr>
        <w:t>The intent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new guidance is to align the requirements for capitalizing implementation costs incurred in a cloud computing arrangement that is a service contract with the requirements for capitalizing implementation costs incurred to develop or obtain internal-use software as defined in ASC 350-40. Under ASU 2018-15, the capitalized implementation costs related to a cloud computing arrangement will be amortized over the term of the arrangement and all capitalized implementation amounts will be required to be presented in the same line items of the financial statements as the related hosting fees. The Company adopted ASU 2018-15 as of January 1, 2019. The new guidance was applied prospectively to all implementation costs incurred after the date of adoption and resulted in the capitalization of $2.7 million of implementation costs, which primarily relate to the Company’s hosted general ledger system. Capitalized implementation costs are included in “Other assets” in the consolidated balance sheet as of December 31, 2019 and are amortized over the terms of the arrangements, which range between 2 and 5 years. Total amortization expense for the year ended December 31, 2019 was $0.3 million.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1" w:lineRule="exact"/>
        <w:rPr>
          <w:sz w:val="20"/>
          <w:szCs w:val="20"/>
          <w:color w:val="auto"/>
        </w:rPr>
      </w:pPr>
    </w:p>
    <w:p>
      <w:pPr>
        <w:ind w:right="140" w:firstLine="762"/>
        <w:spacing w:after="0" w:line="257" w:lineRule="auto"/>
        <w:rPr>
          <w:sz w:val="20"/>
          <w:szCs w:val="20"/>
          <w:color w:val="auto"/>
        </w:rPr>
      </w:pPr>
      <w:r>
        <w:rPr>
          <w:rFonts w:ascii="Arial" w:cs="Arial" w:eastAsia="Arial" w:hAnsi="Arial"/>
          <w:sz w:val="17"/>
          <w:szCs w:val="17"/>
          <w:color w:val="auto"/>
        </w:rPr>
        <w:t>In February 2016, the FASB issued, ASU 2016-02</w:t>
      </w:r>
      <w:r>
        <w:rPr>
          <w:rFonts w:ascii="Arial" w:cs="Arial" w:eastAsia="Arial" w:hAnsi="Arial"/>
          <w:sz w:val="17"/>
          <w:szCs w:val="17"/>
          <w:i w:val="1"/>
          <w:iCs w:val="1"/>
          <w:color w:val="auto"/>
        </w:rPr>
        <w:t>, Leases (Topic 842)</w:t>
      </w:r>
      <w:r>
        <w:rPr>
          <w:rFonts w:ascii="Arial" w:cs="Arial" w:eastAsia="Arial" w:hAnsi="Arial"/>
          <w:sz w:val="17"/>
          <w:szCs w:val="17"/>
          <w:color w:val="auto"/>
        </w:rPr>
        <w:t>, which amends the accounting guidance on leases. The new standard requires a lessee to recognize right-of-use assets and lease obligations on the balance sheet for most lease agreements. Leases are classified as either operating or finance, with classification affecting the pattern of expense recognition in the statement of operations. The FASB also subsequently issued amendments to the standard to provide additional practical expedients and an additional transition method option.</w:t>
      </w:r>
    </w:p>
    <w:p>
      <w:pPr>
        <w:spacing w:after="0" w:line="157" w:lineRule="exact"/>
        <w:rPr>
          <w:sz w:val="20"/>
          <w:szCs w:val="20"/>
          <w:color w:val="auto"/>
        </w:rPr>
      </w:pPr>
    </w:p>
    <w:p>
      <w:pPr>
        <w:ind w:right="120" w:firstLine="762"/>
        <w:spacing w:after="0" w:line="257" w:lineRule="auto"/>
        <w:rPr>
          <w:sz w:val="20"/>
          <w:szCs w:val="20"/>
          <w:color w:val="auto"/>
        </w:rPr>
      </w:pPr>
      <w:r>
        <w:rPr>
          <w:rFonts w:ascii="Arial" w:cs="Arial" w:eastAsia="Arial" w:hAnsi="Arial"/>
          <w:sz w:val="17"/>
          <w:szCs w:val="17"/>
          <w:color w:val="auto"/>
        </w:rPr>
        <w:t>The Company adopted Topic 842 as of January 1, 2020 using the modified retrospective approach with a cumulative-effect adjustment to opening retained earnings (accumulated deficit) with no restatement of comparative periods. Upon adoption, the Company recognized $18.4 million of operating lease liabilities and $17.4 million of operating lease right-of-use assets. The adoption of Topic 842 did not result in a cumulative effect adjustment to accumulated deficit.</w:t>
      </w:r>
    </w:p>
    <w:p>
      <w:pPr>
        <w:spacing w:after="0" w:line="157" w:lineRule="exact"/>
        <w:rPr>
          <w:sz w:val="20"/>
          <w:szCs w:val="20"/>
          <w:color w:val="auto"/>
        </w:rPr>
      </w:pPr>
    </w:p>
    <w:p>
      <w:pPr>
        <w:ind w:right="220" w:firstLine="762"/>
        <w:spacing w:after="0" w:line="265" w:lineRule="auto"/>
        <w:rPr>
          <w:sz w:val="20"/>
          <w:szCs w:val="20"/>
          <w:color w:val="auto"/>
        </w:rPr>
      </w:pPr>
      <w:r>
        <w:rPr>
          <w:rFonts w:ascii="Arial" w:cs="Arial" w:eastAsia="Arial" w:hAnsi="Arial"/>
          <w:sz w:val="17"/>
          <w:szCs w:val="17"/>
          <w:color w:val="auto"/>
        </w:rPr>
        <w:t>Topic 842 provides various optional practical expedients for transition. The Company elected to utilize the package of practical expedients for transition which permitted the Company to not reassess its prior conclusions regarding whether a contract is or contains a lease, lease classification and initial direct costs. The Company did not elect the hindsight practical expedient to determine lease terms.</w:t>
      </w:r>
    </w:p>
    <w:p>
      <w:pPr>
        <w:spacing w:after="0" w:line="151" w:lineRule="exact"/>
        <w:rPr>
          <w:sz w:val="20"/>
          <w:szCs w:val="20"/>
          <w:color w:val="auto"/>
        </w:rPr>
      </w:pPr>
    </w:p>
    <w:p>
      <w:pPr>
        <w:jc w:val="both"/>
        <w:ind w:right="360" w:firstLine="762"/>
        <w:spacing w:after="0" w:line="290" w:lineRule="auto"/>
        <w:rPr>
          <w:sz w:val="20"/>
          <w:szCs w:val="20"/>
          <w:color w:val="auto"/>
        </w:rPr>
      </w:pPr>
      <w:r>
        <w:rPr>
          <w:rFonts w:ascii="Arial" w:cs="Arial" w:eastAsia="Arial" w:hAnsi="Arial"/>
          <w:sz w:val="17"/>
          <w:szCs w:val="17"/>
          <w:color w:val="auto"/>
        </w:rPr>
        <w:t>Topic 842 also provides optional practical expedients for an entity’s ongoing lease accounting. The Company elected the short-term lease recognition exemption for all leases that qualify and the practical expedient to not separate lease and non-lease components of leases.</w:t>
      </w:r>
    </w:p>
    <w:p>
      <w:pPr>
        <w:spacing w:after="0" w:line="129" w:lineRule="exact"/>
        <w:rPr>
          <w:sz w:val="20"/>
          <w:szCs w:val="20"/>
          <w:color w:val="auto"/>
        </w:rPr>
      </w:pPr>
    </w:p>
    <w:p>
      <w:pPr>
        <w:ind w:right="200" w:firstLine="762"/>
        <w:spacing w:after="0" w:line="253"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 Requirements for Fair Value Measurement, </w:t>
      </w:r>
      <w:r>
        <w:rPr>
          <w:rFonts w:ascii="Arial" w:cs="Arial" w:eastAsia="Arial" w:hAnsi="Arial"/>
          <w:sz w:val="17"/>
          <w:szCs w:val="17"/>
          <w:color w:val="auto"/>
        </w:rPr>
        <w:t>related to updated requirements over the disclosures of fair value measurements. Under</w:t>
      </w:r>
      <w:r>
        <w:rPr>
          <w:rFonts w:ascii="Arial" w:cs="Arial" w:eastAsia="Arial" w:hAnsi="Arial"/>
          <w:sz w:val="17"/>
          <w:szCs w:val="17"/>
          <w:i w:val="1"/>
          <w:iCs w:val="1"/>
          <w:color w:val="auto"/>
        </w:rPr>
        <w:t xml:space="preserve"> </w:t>
      </w:r>
      <w:r>
        <w:rPr>
          <w:rFonts w:ascii="Arial" w:cs="Arial" w:eastAsia="Arial" w:hAnsi="Arial"/>
          <w:sz w:val="17"/>
          <w:szCs w:val="17"/>
          <w:color w:val="auto"/>
        </w:rPr>
        <w:t>ASU 2018-13, certain disclosure requirements for fair value measurements were eliminated, modified or added to facilitate better disclosure regarding recurring and non-recurring fair value measurements. The Company adopted the guidance on January 1, 2020 which did not have a material impact on the Company’s consolidated financial statements and related disclosures.</w:t>
      </w:r>
    </w:p>
    <w:p>
      <w:pPr>
        <w:spacing w:after="0" w:line="160" w:lineRule="exact"/>
        <w:rPr>
          <w:sz w:val="20"/>
          <w:szCs w:val="20"/>
          <w:color w:val="auto"/>
        </w:rPr>
      </w:pPr>
    </w:p>
    <w:p>
      <w:pPr>
        <w:ind w:right="20" w:firstLine="762"/>
        <w:spacing w:after="0" w:line="25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Credit Losses (Topic 326): 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Instruments</w:t>
      </w:r>
      <w:r>
        <w:rPr>
          <w:rFonts w:ascii="Arial" w:cs="Arial" w:eastAsia="Arial" w:hAnsi="Arial"/>
          <w:sz w:val="17"/>
          <w:szCs w:val="17"/>
          <w:color w:val="auto"/>
        </w:rPr>
        <w:t>, which amends the guidance on the impairment of financial instruments by requiring measurement and recognition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credit losses for most financial assets, including trade receivables, and other instruments that are not measured at fair value through net income. The Company adopted the guidance on January 1, 2020 which did not have a material impact on the Company’s consolidated financial statements and related disclosures.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Standards Issued But Not Yet Adopted</w:t>
      </w:r>
    </w:p>
    <w:p>
      <w:pPr>
        <w:spacing w:after="0" w:line="103" w:lineRule="exact"/>
        <w:rPr>
          <w:sz w:val="20"/>
          <w:szCs w:val="20"/>
          <w:color w:val="auto"/>
        </w:rPr>
      </w:pPr>
    </w:p>
    <w:p>
      <w:pPr>
        <w:jc w:val="both"/>
        <w:ind w:right="400" w:firstLine="762"/>
        <w:spacing w:after="0" w:line="250"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enhances and simplifies various aspects of the income tax accounting guidance including the elimination of certain exceptions related to the approach for intraperiod tax allocation, the methodology for calculating income taxes in an interim period and the recognition of deferred tax liabilities for outside basis differences. The guidance will be effective for fiscal years beginning after December 15, 2020, with early adoption permitted. The adoption of ASU 2019-12 will not result in a material change to the Company’s consolidated financial statements and related disclosures.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Revenue Recognition</w:t>
      </w:r>
    </w:p>
    <w:p>
      <w:pPr>
        <w:spacing w:after="0" w:line="107" w:lineRule="exact"/>
        <w:rPr>
          <w:sz w:val="20"/>
          <w:szCs w:val="20"/>
          <w:color w:val="auto"/>
        </w:rPr>
      </w:pPr>
    </w:p>
    <w:p>
      <w:pPr>
        <w:ind w:right="220" w:firstLine="762"/>
        <w:spacing w:after="0" w:line="257" w:lineRule="auto"/>
        <w:rPr>
          <w:sz w:val="20"/>
          <w:szCs w:val="20"/>
          <w:color w:val="auto"/>
        </w:rPr>
      </w:pPr>
      <w:r>
        <w:rPr>
          <w:rFonts w:ascii="Arial" w:cs="Arial" w:eastAsia="Arial" w:hAnsi="Arial"/>
          <w:sz w:val="17"/>
          <w:szCs w:val="17"/>
          <w:color w:val="auto"/>
        </w:rPr>
        <w:t>The Company recognizes revenue upon transfer of control of goods or services to customers, in an amount that reflects the consideration to which the Company expects to be entitled in exchange for those goods or services. The Company may collect sales taxes and other taxes from customers on behalf of governmental authorities at the time of sale as required. These taxes are accounted for on a net basis and are not included in revenues or cost of sales.</w:t>
      </w:r>
    </w:p>
    <w:p>
      <w:pPr>
        <w:spacing w:after="0" w:line="157" w:lineRule="exact"/>
        <w:rPr>
          <w:sz w:val="20"/>
          <w:szCs w:val="20"/>
          <w:color w:val="auto"/>
        </w:rPr>
      </w:pPr>
    </w:p>
    <w:p>
      <w:pPr>
        <w:ind w:firstLine="762"/>
        <w:spacing w:after="0" w:line="290" w:lineRule="auto"/>
        <w:rPr>
          <w:sz w:val="20"/>
          <w:szCs w:val="20"/>
          <w:color w:val="auto"/>
        </w:rPr>
      </w:pPr>
      <w:r>
        <w:rPr>
          <w:rFonts w:ascii="Arial" w:cs="Arial" w:eastAsia="Arial" w:hAnsi="Arial"/>
          <w:sz w:val="17"/>
          <w:szCs w:val="17"/>
          <w:color w:val="auto"/>
        </w:rPr>
        <w:t>The Company’s revenue is disaggregated within the consolidated statements of operations and is generated from customers throughout the United States. The Company recognizes revenue at a point in time as described below.</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Retail Vehicle Revenue</w:t>
      </w:r>
    </w:p>
    <w:p>
      <w:pPr>
        <w:spacing w:after="0" w:line="103" w:lineRule="exact"/>
        <w:rPr>
          <w:sz w:val="20"/>
          <w:szCs w:val="20"/>
          <w:color w:val="auto"/>
        </w:rPr>
      </w:pPr>
    </w:p>
    <w:p>
      <w:pPr>
        <w:ind w:right="40" w:firstLine="762"/>
        <w:spacing w:after="0" w:line="257" w:lineRule="auto"/>
        <w:rPr>
          <w:sz w:val="20"/>
          <w:szCs w:val="20"/>
          <w:color w:val="auto"/>
        </w:rPr>
      </w:pPr>
      <w:r>
        <w:rPr>
          <w:rFonts w:ascii="Arial" w:cs="Arial" w:eastAsia="Arial" w:hAnsi="Arial"/>
          <w:sz w:val="17"/>
          <w:szCs w:val="17"/>
          <w:color w:val="auto"/>
        </w:rPr>
        <w:t>The Company sells used vehicles to its retail customers through its ecommerce platform and TDA retail location. The transaction price for used vehicles is a fixed amount as set forth within the customer contract at the time of sale. Customers frequently trade-in their existing vehicle to apply toward the transaction price of a used vehicle. Trade-in vehicles represent non-cash consideration which the Company measures at fair value based on external and internal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1"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market data for each specific vehicle. The Company satisfies its performance obligation and recognizes revenue for used vehicle sales generally at a point in time when the vehicles are delivered to the customer for ecommerce sales or picked up by the customer for TDA sales. The revenue recognized by the Company includes the agreed upon transaction price, including any delivery charges stated within the customer contract. Revenue excludes any sales taxes, title and registration fees, and other government fees that are collected from customers.</w:t>
      </w:r>
    </w:p>
    <w:p>
      <w:pPr>
        <w:spacing w:after="0" w:line="157" w:lineRule="exact"/>
        <w:rPr>
          <w:sz w:val="20"/>
          <w:szCs w:val="20"/>
          <w:color w:val="auto"/>
        </w:rPr>
      </w:pPr>
    </w:p>
    <w:p>
      <w:pPr>
        <w:ind w:firstLine="762"/>
        <w:spacing w:after="0" w:line="265" w:lineRule="auto"/>
        <w:rPr>
          <w:sz w:val="20"/>
          <w:szCs w:val="20"/>
          <w:color w:val="auto"/>
        </w:rPr>
      </w:pPr>
      <w:r>
        <w:rPr>
          <w:rFonts w:ascii="Arial" w:cs="Arial" w:eastAsia="Arial" w:hAnsi="Arial"/>
          <w:sz w:val="17"/>
          <w:szCs w:val="17"/>
          <w:color w:val="auto"/>
        </w:rPr>
        <w:t>The Company receives payment for used vehicle sales directly from the customer at the time of sale or from third-party financial institutions within a short period of time following the sale if the customer obtains financing. Payments received prior to delivery or pick-up of used vehicles are recorded as “Deferred revenue” within the consolidated balance sheets.</w:t>
      </w:r>
    </w:p>
    <w:p>
      <w:pPr>
        <w:spacing w:after="0" w:line="151" w:lineRule="exact"/>
        <w:rPr>
          <w:sz w:val="20"/>
          <w:szCs w:val="20"/>
          <w:color w:val="auto"/>
        </w:rPr>
      </w:pPr>
    </w:p>
    <w:p>
      <w:pPr>
        <w:ind w:right="80" w:firstLine="762"/>
        <w:spacing w:after="0" w:line="265" w:lineRule="auto"/>
        <w:rPr>
          <w:sz w:val="20"/>
          <w:szCs w:val="20"/>
          <w:color w:val="auto"/>
        </w:rPr>
      </w:pPr>
      <w:r>
        <w:rPr>
          <w:rFonts w:ascii="Arial" w:cs="Arial" w:eastAsia="Arial" w:hAnsi="Arial"/>
          <w:sz w:val="17"/>
          <w:szCs w:val="17"/>
          <w:color w:val="auto"/>
        </w:rPr>
        <w:t>The Company offers a return program for used vehicle sales and establishes a provision for estimated returns based on historical information and current trends. The reserve for estimated returns is presented gross on the consolidated balance sheets, with an asset recorded in “Prepaid expenses and other current assets” and a refund liability recorded in “Other current liabilities.”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Wholesale Vehicle Revenue</w:t>
      </w:r>
    </w:p>
    <w:p>
      <w:pPr>
        <w:spacing w:after="0" w:line="103" w:lineRule="exact"/>
        <w:rPr>
          <w:sz w:val="20"/>
          <w:szCs w:val="20"/>
          <w:color w:val="auto"/>
        </w:rPr>
      </w:pPr>
    </w:p>
    <w:p>
      <w:pPr>
        <w:ind w:right="80" w:firstLine="762"/>
        <w:spacing w:after="0" w:line="253" w:lineRule="auto"/>
        <w:rPr>
          <w:sz w:val="20"/>
          <w:szCs w:val="20"/>
          <w:color w:val="auto"/>
        </w:rPr>
      </w:pPr>
      <w:r>
        <w:rPr>
          <w:rFonts w:ascii="Arial" w:cs="Arial" w:eastAsia="Arial" w:hAnsi="Arial"/>
          <w:sz w:val="17"/>
          <w:szCs w:val="17"/>
          <w:color w:val="auto"/>
        </w:rPr>
        <w:t>The Company sells vehicles that do not meet its retail sales criteria through wholesale channels. Vehicles sold through wholesale channels are acquired from customers who trade-in their vehicles when making a purchase from the Company, from customers who sell their vehicles to the Company in direct-buy transactions, and from liquidation of vehicles previously listed for retail sale. The transaction price for wholesale vehicles is a fixed amount. The Company satisfies its performance obligation and recognizes revenue for wholesale vehicle sales at a point in time when the vehicle is sold. The transaction price is typically due and collected within a short period of time following the vehicle sales.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Revenue</w:t>
      </w:r>
    </w:p>
    <w:p>
      <w:pPr>
        <w:spacing w:after="0" w:line="103" w:lineRule="exact"/>
        <w:rPr>
          <w:sz w:val="20"/>
          <w:szCs w:val="20"/>
          <w:color w:val="auto"/>
        </w:rPr>
      </w:pPr>
    </w:p>
    <w:p>
      <w:pPr>
        <w:jc w:val="both"/>
        <w:ind w:right="60" w:firstLine="762"/>
        <w:spacing w:after="0" w:line="253" w:lineRule="auto"/>
        <w:rPr>
          <w:sz w:val="20"/>
          <w:szCs w:val="20"/>
          <w:color w:val="auto"/>
        </w:rPr>
      </w:pPr>
      <w:r>
        <w:rPr>
          <w:rFonts w:ascii="Arial" w:cs="Arial" w:eastAsia="Arial" w:hAnsi="Arial"/>
          <w:sz w:val="17"/>
          <w:szCs w:val="17"/>
          <w:color w:val="auto"/>
        </w:rPr>
        <w:t>The Company’s product revenue consists of fees earned on selling vehicle service contracts, guaranteed asset protection (“GAP”) and tire and wheel coverage. The Company sells these products pursuant to arrangements with the third parties that provide these products and are responsible for their fulfillment. The Company concluded that it is an agent for these transactions because it does not control the products before they are transferred to the customer. The Company recognizes product revenues on a net basis when the customer enters into an arrangement for the products, which is typically at the time of a used vehicle sale.</w:t>
      </w:r>
    </w:p>
    <w:p>
      <w:pPr>
        <w:spacing w:after="0" w:line="160" w:lineRule="exact"/>
        <w:rPr>
          <w:sz w:val="20"/>
          <w:szCs w:val="20"/>
          <w:color w:val="auto"/>
        </w:rPr>
      </w:pPr>
    </w:p>
    <w:p>
      <w:pPr>
        <w:ind w:firstLine="762"/>
        <w:spacing w:after="0" w:line="253" w:lineRule="auto"/>
        <w:rPr>
          <w:sz w:val="20"/>
          <w:szCs w:val="20"/>
          <w:color w:val="auto"/>
        </w:rPr>
      </w:pPr>
      <w:r>
        <w:rPr>
          <w:rFonts w:ascii="Arial" w:cs="Arial" w:eastAsia="Arial" w:hAnsi="Arial"/>
          <w:sz w:val="17"/>
          <w:szCs w:val="17"/>
          <w:color w:val="auto"/>
        </w:rPr>
        <w:t>Customers may enter into a retail installment sales contract to finance the purchase of used vehicles. The Company sells these contracts on a non-recourse basis to various financial institutions. The Company receives a fee from the financial institution based on the difference between the interest rate charged to the customer that purchased the used vehicle and the interest rate set by the financial institution. These fees are recognized upon sale and assignment of the installment sales contract to the financial institution, which occurs concurrently at the time of a used vehicle sale.</w:t>
      </w:r>
    </w:p>
    <w:p>
      <w:pPr>
        <w:spacing w:after="0" w:line="160" w:lineRule="exact"/>
        <w:rPr>
          <w:sz w:val="20"/>
          <w:szCs w:val="20"/>
          <w:color w:val="auto"/>
        </w:rPr>
      </w:pPr>
    </w:p>
    <w:p>
      <w:pPr>
        <w:ind w:right="40" w:firstLine="762"/>
        <w:spacing w:after="0" w:line="249" w:lineRule="auto"/>
        <w:rPr>
          <w:sz w:val="20"/>
          <w:szCs w:val="20"/>
          <w:color w:val="auto"/>
        </w:rPr>
      </w:pPr>
      <w:r>
        <w:rPr>
          <w:rFonts w:ascii="Arial" w:cs="Arial" w:eastAsia="Arial" w:hAnsi="Arial"/>
          <w:sz w:val="17"/>
          <w:szCs w:val="17"/>
          <w:color w:val="auto"/>
        </w:rPr>
        <w:t>A portion of the fees earned on these products is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December 31, 2020 and 2019, the Company’s reserve for chargebacks was $3.8 million and $3.3 million, respectively, of which $1.7 million and $1.8 million, respectively, are included within “Accrued expenses” and $2.1 million and $1.5 million, respectively, are included in “Other long-term liabilities.”</w:t>
      </w:r>
    </w:p>
    <w:p>
      <w:pPr>
        <w:spacing w:after="0" w:line="366" w:lineRule="exact"/>
        <w:rPr>
          <w:sz w:val="20"/>
          <w:szCs w:val="20"/>
          <w:color w:val="auto"/>
        </w:rPr>
      </w:pPr>
    </w:p>
    <w:p>
      <w:pPr>
        <w:ind w:right="40" w:firstLine="762"/>
        <w:spacing w:after="0" w:line="249" w:lineRule="auto"/>
        <w:rPr>
          <w:sz w:val="20"/>
          <w:szCs w:val="20"/>
          <w:color w:val="auto"/>
        </w:rPr>
      </w:pPr>
      <w:r>
        <w:rPr>
          <w:rFonts w:ascii="Arial" w:cs="Arial" w:eastAsia="Arial" w:hAnsi="Arial"/>
          <w:sz w:val="17"/>
          <w:szCs w:val="17"/>
          <w:color w:val="auto"/>
        </w:rPr>
        <w:t>The Company also is contractually entitled to receive profit-sharing revenues based on the performance of the vehicle service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revenues in the period identified. As of December 31, 2020 and 2019, the Company recognized $11.5 million and $6.9 million, respectively, related to cumulative profit-sharing payments to which it expects to be entitled, of which $0.8 million and $0.3 million, respectively, are included within “Prepaid expenses and other current assets” and $10.7 million and $6.6 million, respectively, are included within “Other assets.”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Revenue</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Other revenue primarily consists of labor and parts revenue earned by the Company for vehicle repair services at TDA.</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Costs</w:t>
      </w:r>
    </w:p>
    <w:p>
      <w:pPr>
        <w:spacing w:after="0" w:line="103" w:lineRule="exact"/>
        <w:rPr>
          <w:sz w:val="20"/>
          <w:szCs w:val="20"/>
          <w:color w:val="auto"/>
        </w:rPr>
      </w:pPr>
    </w:p>
    <w:p>
      <w:pPr>
        <w:ind w:right="380" w:firstLine="762"/>
        <w:spacing w:after="0" w:line="265" w:lineRule="auto"/>
        <w:rPr>
          <w:sz w:val="20"/>
          <w:szCs w:val="20"/>
          <w:color w:val="auto"/>
        </w:rPr>
      </w:pPr>
      <w:r>
        <w:rPr>
          <w:rFonts w:ascii="Arial" w:cs="Arial" w:eastAsia="Arial" w:hAnsi="Arial"/>
          <w:sz w:val="17"/>
          <w:szCs w:val="17"/>
          <w:color w:val="auto"/>
        </w:rPr>
        <w:t>The Company has elected, as a practical expedient, to expense sales commissions when incurred because the amortization period would have been less than one year. These costs are recorded within “Selling, general and administrative expenses” in the consolidated statements of operations.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Inventory</w:t>
      </w:r>
    </w:p>
    <w:p>
      <w:pPr>
        <w:spacing w:after="0" w:line="10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Inventory consisted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4"/>
                <w:szCs w:val="14"/>
                <w:b w:val="1"/>
                <w:bCs w:val="1"/>
                <w:color w:val="auto"/>
              </w:rPr>
              <w:t>December 31,</w:t>
            </w:r>
          </w:p>
        </w:tc>
        <w:tc>
          <w:tcPr>
            <w:tcW w:w="1460" w:type="dxa"/>
            <w:vAlign w:val="bottom"/>
            <w:tcBorders>
              <w:bottom w:val="single" w:sz="8" w:color="auto"/>
            </w:tcBorders>
          </w:tcPr>
          <w:p>
            <w:pPr>
              <w:spacing w:after="0"/>
              <w:rPr>
                <w:sz w:val="14"/>
                <w:szCs w:val="14"/>
                <w:color w:val="auto"/>
              </w:rPr>
            </w:pPr>
          </w:p>
        </w:tc>
      </w:tr>
      <w:tr>
        <w:trPr>
          <w:trHeight w:val="163"/>
        </w:trPr>
        <w:tc>
          <w:tcPr>
            <w:tcW w:w="706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2019</w:t>
            </w:r>
          </w:p>
        </w:tc>
      </w:tr>
      <w:tr>
        <w:trPr>
          <w:trHeight w:val="20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Vehicles</w:t>
            </w:r>
          </w:p>
        </w:tc>
        <w:tc>
          <w:tcPr>
            <w:tcW w:w="1180" w:type="dxa"/>
            <w:vAlign w:val="bottom"/>
            <w:shd w:val="clear" w:color="auto" w:fill="CFF0FC"/>
          </w:tcPr>
          <w:p>
            <w:pPr>
              <w:jc w:val="right"/>
              <w:ind w:right="999"/>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421,458</w:t>
            </w: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5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203,290</w:t>
            </w:r>
          </w:p>
        </w:tc>
      </w:tr>
      <w:tr>
        <w:trPr>
          <w:trHeight w:val="209"/>
        </w:trPr>
        <w:tc>
          <w:tcPr>
            <w:tcW w:w="70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Parts and accessories</w:t>
            </w:r>
          </w:p>
        </w:tc>
        <w:tc>
          <w:tcPr>
            <w:tcW w:w="1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2,189</w:t>
            </w:r>
          </w:p>
        </w:tc>
        <w:tc>
          <w:tcPr>
            <w:tcW w:w="18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2,456</w:t>
            </w:r>
          </w:p>
        </w:tc>
      </w:tr>
      <w:tr>
        <w:trPr>
          <w:trHeight w:val="202"/>
        </w:trPr>
        <w:tc>
          <w:tcPr>
            <w:tcW w:w="70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Total inventory</w:t>
            </w:r>
          </w:p>
        </w:tc>
        <w:tc>
          <w:tcPr>
            <w:tcW w:w="1180" w:type="dxa"/>
            <w:vAlign w:val="bottom"/>
            <w:tcBorders>
              <w:bottom w:val="single" w:sz="8" w:color="auto"/>
            </w:tcBorders>
            <w:shd w:val="clear" w:color="auto" w:fill="CFF0FC"/>
          </w:tcPr>
          <w:p>
            <w:pPr>
              <w:jc w:val="right"/>
              <w:ind w:right="999"/>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423,647</w:t>
            </w:r>
          </w:p>
        </w:tc>
        <w:tc>
          <w:tcPr>
            <w:tcW w:w="18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353"/>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205,746</w:t>
            </w:r>
          </w:p>
        </w:tc>
      </w:tr>
      <w:tr>
        <w:trPr>
          <w:trHeight w:val="20"/>
        </w:trPr>
        <w:tc>
          <w:tcPr>
            <w:tcW w:w="7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right="380" w:firstLine="762"/>
        <w:spacing w:after="0" w:line="290" w:lineRule="auto"/>
        <w:rPr>
          <w:sz w:val="20"/>
          <w:szCs w:val="20"/>
          <w:color w:val="auto"/>
        </w:rPr>
      </w:pPr>
      <w:r>
        <w:rPr>
          <w:rFonts w:ascii="Arial" w:cs="Arial" w:eastAsia="Arial" w:hAnsi="Arial"/>
          <w:sz w:val="17"/>
          <w:szCs w:val="17"/>
          <w:color w:val="auto"/>
        </w:rPr>
        <w:t>As of December 31, 2020 and 2019, “Inventory” includes an adjustment of $12.9 million and $6.3 million, respectively, to record the balances at the lower of cost or net realizable value.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Property and Equipment, Net</w:t>
      </w:r>
    </w:p>
    <w:p>
      <w:pPr>
        <w:spacing w:after="0" w:line="10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Property and equipment, net consisted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4"/>
                <w:szCs w:val="14"/>
                <w:b w:val="1"/>
                <w:bCs w:val="1"/>
                <w:color w:val="auto"/>
              </w:rPr>
              <w:t>December 31,</w:t>
            </w:r>
          </w:p>
        </w:tc>
        <w:tc>
          <w:tcPr>
            <w:tcW w:w="1460" w:type="dxa"/>
            <w:vAlign w:val="bottom"/>
            <w:tcBorders>
              <w:bottom w:val="single" w:sz="8" w:color="auto"/>
            </w:tcBorders>
          </w:tcPr>
          <w:p>
            <w:pPr>
              <w:spacing w:after="0"/>
              <w:rPr>
                <w:sz w:val="14"/>
                <w:szCs w:val="14"/>
                <w:color w:val="auto"/>
              </w:rPr>
            </w:pPr>
          </w:p>
        </w:tc>
      </w:tr>
      <w:tr>
        <w:trPr>
          <w:trHeight w:val="163"/>
        </w:trPr>
        <w:tc>
          <w:tcPr>
            <w:tcW w:w="706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2019</w:t>
            </w:r>
          </w:p>
        </w:tc>
      </w:tr>
      <w:tr>
        <w:trPr>
          <w:trHeight w:val="20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Equipment</w:t>
            </w:r>
          </w:p>
        </w:tc>
        <w:tc>
          <w:tcPr>
            <w:tcW w:w="440" w:type="dxa"/>
            <w:vAlign w:val="bottom"/>
            <w:shd w:val="clear" w:color="auto" w:fill="CFF0FC"/>
          </w:tcPr>
          <w:p>
            <w:pPr>
              <w:jc w:val="right"/>
              <w:ind w:right="253"/>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1,061</w:t>
            </w: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5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930</w:t>
            </w:r>
          </w:p>
        </w:tc>
      </w:tr>
      <w:tr>
        <w:trPr>
          <w:trHeight w:val="209"/>
        </w:trPr>
        <w:tc>
          <w:tcPr>
            <w:tcW w:w="7060" w:type="dxa"/>
            <w:vAlign w:val="bottom"/>
          </w:tcPr>
          <w:p>
            <w:pPr>
              <w:spacing w:after="0"/>
              <w:rPr>
                <w:sz w:val="20"/>
                <w:szCs w:val="20"/>
                <w:color w:val="auto"/>
              </w:rPr>
            </w:pPr>
            <w:r>
              <w:rPr>
                <w:rFonts w:ascii="Arial" w:cs="Arial" w:eastAsia="Arial" w:hAnsi="Arial"/>
                <w:sz w:val="17"/>
                <w:szCs w:val="17"/>
                <w:color w:val="auto"/>
              </w:rPr>
              <w:t>Furniture and fixtures</w:t>
            </w:r>
          </w:p>
        </w:tc>
        <w:tc>
          <w:tcPr>
            <w:tcW w:w="440" w:type="dxa"/>
            <w:vAlign w:val="bottom"/>
          </w:tcPr>
          <w:p>
            <w:pPr>
              <w:spacing w:after="0"/>
              <w:rPr>
                <w:sz w:val="18"/>
                <w:szCs w:val="18"/>
                <w:color w:val="auto"/>
              </w:rPr>
            </w:pPr>
          </w:p>
        </w:tc>
        <w:tc>
          <w:tcPr>
            <w:tcW w:w="1560" w:type="dxa"/>
            <w:vAlign w:val="bottom"/>
          </w:tcPr>
          <w:p>
            <w:pPr>
              <w:jc w:val="right"/>
              <w:ind w:right="36"/>
              <w:spacing w:after="0"/>
              <w:rPr>
                <w:sz w:val="20"/>
                <w:szCs w:val="20"/>
                <w:color w:val="auto"/>
              </w:rPr>
            </w:pPr>
            <w:r>
              <w:rPr>
                <w:rFonts w:ascii="Arial" w:cs="Arial" w:eastAsia="Arial" w:hAnsi="Arial"/>
                <w:sz w:val="17"/>
                <w:szCs w:val="17"/>
                <w:color w:val="auto"/>
              </w:rPr>
              <w:t>1,746</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1,725</w:t>
            </w:r>
          </w:p>
        </w:tc>
      </w:tr>
      <w:tr>
        <w:trPr>
          <w:trHeight w:val="209"/>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Company vehicles</w:t>
            </w:r>
          </w:p>
        </w:tc>
        <w:tc>
          <w:tcPr>
            <w:tcW w:w="4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5,002</w:t>
            </w: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1,151</w:t>
            </w:r>
          </w:p>
        </w:tc>
      </w:tr>
      <w:tr>
        <w:trPr>
          <w:trHeight w:val="209"/>
        </w:trPr>
        <w:tc>
          <w:tcPr>
            <w:tcW w:w="7060" w:type="dxa"/>
            <w:vAlign w:val="bottom"/>
          </w:tcPr>
          <w:p>
            <w:pPr>
              <w:spacing w:after="0"/>
              <w:rPr>
                <w:sz w:val="20"/>
                <w:szCs w:val="20"/>
                <w:color w:val="auto"/>
              </w:rPr>
            </w:pPr>
            <w:r>
              <w:rPr>
                <w:rFonts w:ascii="Arial" w:cs="Arial" w:eastAsia="Arial" w:hAnsi="Arial"/>
                <w:sz w:val="17"/>
                <w:szCs w:val="17"/>
                <w:color w:val="auto"/>
              </w:rPr>
              <w:t>Leasehold improvements</w:t>
            </w:r>
          </w:p>
        </w:tc>
        <w:tc>
          <w:tcPr>
            <w:tcW w:w="440" w:type="dxa"/>
            <w:vAlign w:val="bottom"/>
          </w:tcPr>
          <w:p>
            <w:pPr>
              <w:spacing w:after="0"/>
              <w:rPr>
                <w:sz w:val="18"/>
                <w:szCs w:val="18"/>
                <w:color w:val="auto"/>
              </w:rPr>
            </w:pPr>
          </w:p>
        </w:tc>
        <w:tc>
          <w:tcPr>
            <w:tcW w:w="1560" w:type="dxa"/>
            <w:vAlign w:val="bottom"/>
          </w:tcPr>
          <w:p>
            <w:pPr>
              <w:jc w:val="right"/>
              <w:ind w:right="36"/>
              <w:spacing w:after="0"/>
              <w:rPr>
                <w:sz w:val="20"/>
                <w:szCs w:val="20"/>
                <w:color w:val="auto"/>
              </w:rPr>
            </w:pPr>
            <w:r>
              <w:rPr>
                <w:rFonts w:ascii="Arial" w:cs="Arial" w:eastAsia="Arial" w:hAnsi="Arial"/>
                <w:sz w:val="17"/>
                <w:szCs w:val="17"/>
                <w:color w:val="auto"/>
              </w:rPr>
              <w:t>7,068</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6,556</w:t>
            </w:r>
          </w:p>
        </w:tc>
      </w:tr>
      <w:tr>
        <w:trPr>
          <w:trHeight w:val="209"/>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Internal-use software</w:t>
            </w:r>
          </w:p>
        </w:tc>
        <w:tc>
          <w:tcPr>
            <w:tcW w:w="4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10,552</w:t>
            </w: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4,406</w:t>
            </w:r>
          </w:p>
        </w:tc>
      </w:tr>
      <w:tr>
        <w:trPr>
          <w:trHeight w:val="209"/>
        </w:trPr>
        <w:tc>
          <w:tcPr>
            <w:tcW w:w="70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w:t>
            </w:r>
          </w:p>
        </w:tc>
        <w:tc>
          <w:tcPr>
            <w:tcW w:w="4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2,997</w:t>
            </w:r>
          </w:p>
        </w:tc>
        <w:tc>
          <w:tcPr>
            <w:tcW w:w="18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2,580</w:t>
            </w:r>
          </w:p>
        </w:tc>
      </w:tr>
      <w:tr>
        <w:trPr>
          <w:trHeight w:val="202"/>
        </w:trPr>
        <w:tc>
          <w:tcPr>
            <w:tcW w:w="70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28,426</w:t>
            </w: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17,348</w:t>
            </w:r>
          </w:p>
        </w:tc>
      </w:tr>
      <w:tr>
        <w:trPr>
          <w:trHeight w:val="209"/>
        </w:trPr>
        <w:tc>
          <w:tcPr>
            <w:tcW w:w="70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Accumulated depreciation and amortization</w:t>
            </w:r>
          </w:p>
        </w:tc>
        <w:tc>
          <w:tcPr>
            <w:tcW w:w="4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(13,334)</w:t>
            </w:r>
          </w:p>
        </w:tc>
        <w:tc>
          <w:tcPr>
            <w:tcW w:w="18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(9,520)</w:t>
            </w:r>
          </w:p>
        </w:tc>
      </w:tr>
      <w:tr>
        <w:trPr>
          <w:trHeight w:val="202"/>
        </w:trPr>
        <w:tc>
          <w:tcPr>
            <w:tcW w:w="70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Property and equipment, net</w:t>
            </w:r>
          </w:p>
        </w:tc>
        <w:tc>
          <w:tcPr>
            <w:tcW w:w="440" w:type="dxa"/>
            <w:vAlign w:val="bottom"/>
            <w:tcBorders>
              <w:bottom w:val="single" w:sz="8" w:color="auto"/>
            </w:tcBorders>
            <w:shd w:val="clear" w:color="auto" w:fill="CFF0FC"/>
          </w:tcPr>
          <w:p>
            <w:pPr>
              <w:jc w:val="right"/>
              <w:ind w:right="253"/>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15,092</w:t>
            </w:r>
          </w:p>
        </w:tc>
        <w:tc>
          <w:tcPr>
            <w:tcW w:w="18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353"/>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7,828</w:t>
            </w:r>
          </w:p>
        </w:tc>
      </w:tr>
      <w:tr>
        <w:trPr>
          <w:trHeight w:val="20"/>
        </w:trPr>
        <w:tc>
          <w:tcPr>
            <w:tcW w:w="7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right="140" w:firstLine="762"/>
        <w:spacing w:after="0" w:line="265" w:lineRule="auto"/>
        <w:rPr>
          <w:sz w:val="20"/>
          <w:szCs w:val="20"/>
          <w:color w:val="auto"/>
        </w:rPr>
      </w:pPr>
      <w:r>
        <w:rPr>
          <w:rFonts w:ascii="Arial" w:cs="Arial" w:eastAsia="Arial" w:hAnsi="Arial"/>
          <w:sz w:val="17"/>
          <w:szCs w:val="17"/>
          <w:color w:val="auto"/>
        </w:rPr>
        <w:t>Depreciation and amortization expense was $4.1 million, $2.8 million, and $3.5 million for the years ended December 31, 2020, 2019, and 2018, respectively. Depreciation and amortization expense of $0.1 million was included within “Cost of sales” in the consolidated statements of operations for the years ended December 31, 2020, 2019 and 2018.</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Goodwill</w:t>
      </w:r>
    </w:p>
    <w:p>
      <w:pPr>
        <w:spacing w:after="0" w:line="10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carrying amount of the Company’s goodwill was $78.2 million as of December 31, 2020 and 2019, of which $72.2 million,</w:t>
      </w:r>
    </w:p>
    <w:p>
      <w:pPr>
        <w:spacing w:after="0" w:line="23"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$4.2 million and $1.8 million is allocated to the Ecommerce, TDA, and Wholesale reportable segments, respectively. There were no changes in the carrying amount of the Company’s goodwill for the years ended December 31, 2020 and 2019 and there have been no accumulated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impairment charges.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Accrued Expenses and Other Current Liabilities</w:t>
      </w:r>
    </w:p>
    <w:p>
      <w:pPr>
        <w:spacing w:after="0" w:line="10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Company’s accrued expenses consisted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4"/>
                <w:szCs w:val="14"/>
                <w:b w:val="1"/>
                <w:bCs w:val="1"/>
                <w:color w:val="auto"/>
              </w:rPr>
              <w:t>December 31,</w:t>
            </w:r>
          </w:p>
        </w:tc>
        <w:tc>
          <w:tcPr>
            <w:tcW w:w="1460" w:type="dxa"/>
            <w:vAlign w:val="bottom"/>
            <w:tcBorders>
              <w:bottom w:val="single" w:sz="8" w:color="auto"/>
            </w:tcBorders>
          </w:tcPr>
          <w:p>
            <w:pPr>
              <w:spacing w:after="0"/>
              <w:rPr>
                <w:sz w:val="14"/>
                <w:szCs w:val="14"/>
                <w:color w:val="auto"/>
              </w:rPr>
            </w:pPr>
          </w:p>
        </w:tc>
      </w:tr>
      <w:tr>
        <w:trPr>
          <w:trHeight w:val="163"/>
        </w:trPr>
        <w:tc>
          <w:tcPr>
            <w:tcW w:w="706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2019</w:t>
            </w:r>
          </w:p>
        </w:tc>
      </w:tr>
      <w:tr>
        <w:trPr>
          <w:trHeight w:val="20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Accrued marketing expenses</w:t>
            </w:r>
          </w:p>
        </w:tc>
        <w:tc>
          <w:tcPr>
            <w:tcW w:w="1220" w:type="dxa"/>
            <w:vAlign w:val="bottom"/>
            <w:shd w:val="clear" w:color="auto" w:fill="CFF0FC"/>
          </w:tcPr>
          <w:p>
            <w:pPr>
              <w:jc w:val="right"/>
              <w:ind w:right="1039"/>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9,106</w:t>
            </w: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5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3,158</w:t>
            </w:r>
          </w:p>
        </w:tc>
      </w:tr>
      <w:tr>
        <w:trPr>
          <w:trHeight w:val="209"/>
        </w:trPr>
        <w:tc>
          <w:tcPr>
            <w:tcW w:w="7060" w:type="dxa"/>
            <w:vAlign w:val="bottom"/>
          </w:tcPr>
          <w:p>
            <w:pPr>
              <w:spacing w:after="0"/>
              <w:rPr>
                <w:sz w:val="20"/>
                <w:szCs w:val="20"/>
                <w:color w:val="auto"/>
              </w:rPr>
            </w:pPr>
            <w:r>
              <w:rPr>
                <w:rFonts w:ascii="Arial" w:cs="Arial" w:eastAsia="Arial" w:hAnsi="Arial"/>
                <w:sz w:val="17"/>
                <w:szCs w:val="17"/>
                <w:color w:val="auto"/>
              </w:rPr>
              <w:t>Vehicle related expenses</w:t>
            </w:r>
          </w:p>
        </w:tc>
        <w:tc>
          <w:tcPr>
            <w:tcW w:w="122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13,062</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8,923</w:t>
            </w:r>
          </w:p>
        </w:tc>
      </w:tr>
      <w:tr>
        <w:trPr>
          <w:trHeight w:val="209"/>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Sales taxes</w:t>
            </w:r>
          </w:p>
        </w:tc>
        <w:tc>
          <w:tcPr>
            <w:tcW w:w="1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15,443</w:t>
            </w: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7,455</w:t>
            </w:r>
          </w:p>
        </w:tc>
      </w:tr>
      <w:tr>
        <w:trPr>
          <w:trHeight w:val="209"/>
        </w:trPr>
        <w:tc>
          <w:tcPr>
            <w:tcW w:w="7060" w:type="dxa"/>
            <w:vAlign w:val="bottom"/>
          </w:tcPr>
          <w:p>
            <w:pPr>
              <w:spacing w:after="0"/>
              <w:rPr>
                <w:sz w:val="20"/>
                <w:szCs w:val="20"/>
                <w:color w:val="auto"/>
              </w:rPr>
            </w:pPr>
            <w:r>
              <w:rPr>
                <w:rFonts w:ascii="Arial" w:cs="Arial" w:eastAsia="Arial" w:hAnsi="Arial"/>
                <w:sz w:val="17"/>
                <w:szCs w:val="17"/>
                <w:color w:val="auto"/>
              </w:rPr>
              <w:t>Accrued compensation and benefits</w:t>
            </w:r>
          </w:p>
        </w:tc>
        <w:tc>
          <w:tcPr>
            <w:tcW w:w="122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5,749</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3,386</w:t>
            </w:r>
          </w:p>
        </w:tc>
      </w:tr>
      <w:tr>
        <w:trPr>
          <w:trHeight w:val="209"/>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Accrued professional services</w:t>
            </w:r>
          </w:p>
        </w:tc>
        <w:tc>
          <w:tcPr>
            <w:tcW w:w="1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4,890</w:t>
            </w: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2,964</w:t>
            </w:r>
          </w:p>
        </w:tc>
      </w:tr>
      <w:tr>
        <w:trPr>
          <w:trHeight w:val="209"/>
        </w:trPr>
        <w:tc>
          <w:tcPr>
            <w:tcW w:w="7060" w:type="dxa"/>
            <w:vAlign w:val="bottom"/>
          </w:tcPr>
          <w:p>
            <w:pPr>
              <w:spacing w:after="0"/>
              <w:rPr>
                <w:sz w:val="20"/>
                <w:szCs w:val="20"/>
                <w:color w:val="auto"/>
              </w:rPr>
            </w:pPr>
            <w:r>
              <w:rPr>
                <w:rFonts w:ascii="Arial" w:cs="Arial" w:eastAsia="Arial" w:hAnsi="Arial"/>
                <w:sz w:val="17"/>
                <w:szCs w:val="17"/>
                <w:color w:val="auto"/>
              </w:rPr>
              <w:t>Accrued Series H preferred stock issuance costs</w:t>
            </w:r>
          </w:p>
        </w:tc>
        <w:tc>
          <w:tcPr>
            <w:tcW w:w="12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5,020</w:t>
            </w:r>
          </w:p>
        </w:tc>
      </w:tr>
      <w:tr>
        <w:trPr>
          <w:trHeight w:val="209"/>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11,155</w:t>
            </w:r>
          </w:p>
        </w:tc>
        <w:tc>
          <w:tcPr>
            <w:tcW w:w="18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7,585</w:t>
            </w:r>
          </w:p>
        </w:tc>
      </w:tr>
      <w:tr>
        <w:trPr>
          <w:trHeight w:val="202"/>
        </w:trPr>
        <w:tc>
          <w:tcPr>
            <w:tcW w:w="7060" w:type="dxa"/>
            <w:vAlign w:val="bottom"/>
          </w:tcPr>
          <w:p>
            <w:pPr>
              <w:ind w:left="240"/>
              <w:spacing w:after="0"/>
              <w:rPr>
                <w:sz w:val="20"/>
                <w:szCs w:val="20"/>
                <w:color w:val="auto"/>
              </w:rPr>
            </w:pPr>
            <w:r>
              <w:rPr>
                <w:rFonts w:ascii="Arial" w:cs="Arial" w:eastAsia="Arial" w:hAnsi="Arial"/>
                <w:sz w:val="17"/>
                <w:szCs w:val="17"/>
                <w:color w:val="auto"/>
              </w:rPr>
              <w:t>Total accrued expenses</w:t>
            </w:r>
          </w:p>
        </w:tc>
        <w:tc>
          <w:tcPr>
            <w:tcW w:w="1220" w:type="dxa"/>
            <w:vAlign w:val="bottom"/>
            <w:tcBorders>
              <w:bottom w:val="single" w:sz="8" w:color="auto"/>
            </w:tcBorders>
          </w:tcPr>
          <w:p>
            <w:pPr>
              <w:jc w:val="right"/>
              <w:ind w:right="1039"/>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59,405</w:t>
            </w:r>
          </w:p>
        </w:tc>
        <w:tc>
          <w:tcPr>
            <w:tcW w:w="180" w:type="dxa"/>
            <w:vAlign w:val="bottom"/>
          </w:tcPr>
          <w:p>
            <w:pPr>
              <w:spacing w:after="0"/>
              <w:rPr>
                <w:sz w:val="17"/>
                <w:szCs w:val="17"/>
                <w:color w:val="auto"/>
              </w:rPr>
            </w:pPr>
          </w:p>
        </w:tc>
        <w:tc>
          <w:tcPr>
            <w:tcW w:w="5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38,491</w:t>
            </w:r>
          </w:p>
        </w:tc>
      </w:tr>
      <w:tr>
        <w:trPr>
          <w:trHeight w:val="20"/>
        </w:trPr>
        <w:tc>
          <w:tcPr>
            <w:tcW w:w="70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Company’s other current liabilities consisted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4"/>
                <w:szCs w:val="14"/>
                <w:b w:val="1"/>
                <w:bCs w:val="1"/>
                <w:color w:val="auto"/>
              </w:rPr>
              <w:t>December 31,</w:t>
            </w:r>
          </w:p>
        </w:tc>
        <w:tc>
          <w:tcPr>
            <w:tcW w:w="1460" w:type="dxa"/>
            <w:vAlign w:val="bottom"/>
            <w:tcBorders>
              <w:bottom w:val="single" w:sz="8" w:color="auto"/>
            </w:tcBorders>
          </w:tcPr>
          <w:p>
            <w:pPr>
              <w:spacing w:after="0"/>
              <w:rPr>
                <w:sz w:val="14"/>
                <w:szCs w:val="14"/>
                <w:color w:val="auto"/>
              </w:rPr>
            </w:pPr>
          </w:p>
        </w:tc>
      </w:tr>
      <w:tr>
        <w:trPr>
          <w:trHeight w:val="163"/>
        </w:trPr>
        <w:tc>
          <w:tcPr>
            <w:tcW w:w="706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2019</w:t>
            </w:r>
          </w:p>
        </w:tc>
      </w:tr>
      <w:tr>
        <w:trPr>
          <w:trHeight w:val="20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Vehicle payable</w:t>
            </w:r>
          </w:p>
        </w:tc>
        <w:tc>
          <w:tcPr>
            <w:tcW w:w="1220" w:type="dxa"/>
            <w:vAlign w:val="bottom"/>
            <w:shd w:val="clear" w:color="auto" w:fill="CFF0FC"/>
          </w:tcPr>
          <w:p>
            <w:pPr>
              <w:jc w:val="right"/>
              <w:ind w:right="1039"/>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25,086</w:t>
            </w: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5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8,904</w:t>
            </w:r>
          </w:p>
        </w:tc>
      </w:tr>
      <w:tr>
        <w:trPr>
          <w:trHeight w:val="209"/>
        </w:trPr>
        <w:tc>
          <w:tcPr>
            <w:tcW w:w="70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w:t>
            </w:r>
          </w:p>
        </w:tc>
        <w:tc>
          <w:tcPr>
            <w:tcW w:w="1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5,189</w:t>
            </w:r>
          </w:p>
        </w:tc>
        <w:tc>
          <w:tcPr>
            <w:tcW w:w="18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2,668</w:t>
            </w:r>
          </w:p>
        </w:tc>
      </w:tr>
      <w:tr>
        <w:trPr>
          <w:trHeight w:val="202"/>
        </w:trPr>
        <w:tc>
          <w:tcPr>
            <w:tcW w:w="70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Total other current liabilities</w:t>
            </w:r>
          </w:p>
        </w:tc>
        <w:tc>
          <w:tcPr>
            <w:tcW w:w="1220" w:type="dxa"/>
            <w:vAlign w:val="bottom"/>
            <w:tcBorders>
              <w:bottom w:val="single" w:sz="8" w:color="auto"/>
            </w:tcBorders>
            <w:shd w:val="clear" w:color="auto" w:fill="CFF0FC"/>
          </w:tcPr>
          <w:p>
            <w:pPr>
              <w:jc w:val="right"/>
              <w:ind w:right="1039"/>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30,275</w:t>
            </w:r>
          </w:p>
        </w:tc>
        <w:tc>
          <w:tcPr>
            <w:tcW w:w="18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353"/>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11,572</w:t>
            </w:r>
          </w:p>
        </w:tc>
      </w:tr>
      <w:tr>
        <w:trPr>
          <w:trHeight w:val="20"/>
        </w:trPr>
        <w:tc>
          <w:tcPr>
            <w:tcW w:w="70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Vehicle Floorplan Facilities</w:t>
      </w:r>
    </w:p>
    <w:p>
      <w:pPr>
        <w:spacing w:after="0" w:line="107" w:lineRule="exact"/>
        <w:rPr>
          <w:sz w:val="20"/>
          <w:szCs w:val="20"/>
          <w:color w:val="auto"/>
        </w:rPr>
      </w:pPr>
    </w:p>
    <w:p>
      <w:pPr>
        <w:ind w:right="60" w:firstLine="762"/>
        <w:spacing w:after="0" w:line="250" w:lineRule="auto"/>
        <w:rPr>
          <w:sz w:val="20"/>
          <w:szCs w:val="20"/>
          <w:color w:val="auto"/>
        </w:rPr>
      </w:pPr>
      <w:r>
        <w:rPr>
          <w:rFonts w:ascii="Arial" w:cs="Arial" w:eastAsia="Arial" w:hAnsi="Arial"/>
          <w:sz w:val="17"/>
          <w:szCs w:val="17"/>
          <w:color w:val="auto"/>
        </w:rPr>
        <w:t>In March 2020, the Company entered into a new vehicle floorplan facility with Ally Bank and Ally Financial (the “2020 Vehicle Floorplan Facility”), which replaced the Company’s previous vehicle floorplan facility. The 2020 Vehicle Floorplan Facility provides a committed credit line of up to $450.0 million which originally was scheduled to expire in March 2021.The amount of credit available is determined on a monthly basis based on a calculation that considers average outstanding borrowings and vehicle units paid off by the Company within the immediately preceding three-month period. As of December 31, 2020, the borrowing capacity of the 2020 Vehicle Floorplan Facility was $356.9 million, of which $27.7 million was unutilized.</w:t>
      </w:r>
    </w:p>
    <w:p>
      <w:pPr>
        <w:spacing w:after="0" w:line="165" w:lineRule="exact"/>
        <w:rPr>
          <w:sz w:val="20"/>
          <w:szCs w:val="20"/>
          <w:color w:val="auto"/>
        </w:rPr>
      </w:pPr>
    </w:p>
    <w:p>
      <w:pPr>
        <w:ind w:right="120" w:firstLine="762"/>
        <w:spacing w:after="0" w:line="248" w:lineRule="auto"/>
        <w:rPr>
          <w:sz w:val="20"/>
          <w:szCs w:val="20"/>
          <w:color w:val="auto"/>
        </w:rPr>
      </w:pPr>
      <w:r>
        <w:rPr>
          <w:rFonts w:ascii="Arial" w:cs="Arial" w:eastAsia="Arial" w:hAnsi="Arial"/>
          <w:sz w:val="17"/>
          <w:szCs w:val="17"/>
          <w:color w:val="auto"/>
        </w:rPr>
        <w:t>Outstanding borrowings related to the 2020 Vehicle Floorplan Facility are due as the vehicles financed are sold, or in any event, on the maturity date. The 2020 Vehicle Floorplan Facility bears interest at a rate equal to the 1-Month LIBOR rate applicable in the immediately preceding month plus a spread of 425 basis points. The 2020 Vehicle Floorplan Facility is collateralized by the Company’s vehicle inventory and certain other assets and the Company is subject to covenants that require it to maintain a certain level of equity in the vehicles that are financed, to maintain at least 10% of the outstanding borrowings in cash and cash equivalents, to maintain 10% of the monthly credit line availability on deposit with Ally Bank and to maintain a minimum tangible adjusted net worth of $167.0 million, which is defined as shareholder equity (deficit) plus redeemable convertible preferred stock as determined under U.S. GAAP. The Company was required to pay an upfront commitment fee upon execution of the 2020 Vehicle Floorplan Facility.</w:t>
      </w:r>
    </w:p>
    <w:p>
      <w:pPr>
        <w:spacing w:after="0" w:line="190" w:lineRule="exact"/>
        <w:rPr>
          <w:sz w:val="20"/>
          <w:szCs w:val="20"/>
          <w:color w:val="auto"/>
        </w:rPr>
      </w:pPr>
    </w:p>
    <w:p>
      <w:pPr>
        <w:ind w:right="20" w:firstLine="762"/>
        <w:spacing w:after="0" w:line="254" w:lineRule="auto"/>
        <w:rPr>
          <w:sz w:val="20"/>
          <w:szCs w:val="20"/>
          <w:color w:val="auto"/>
        </w:rPr>
      </w:pPr>
      <w:r>
        <w:rPr>
          <w:rFonts w:ascii="Arial" w:cs="Arial" w:eastAsia="Arial" w:hAnsi="Arial"/>
          <w:sz w:val="17"/>
          <w:szCs w:val="17"/>
          <w:color w:val="auto"/>
        </w:rPr>
        <w:t>In October 2020, the Company amended its 2020 Vehicle Floorplan Facility to extend the maturity date to September 30, 2022. The amendment requires the Company to pay an availability fee each quarter on the average unused capacity from the prior quarter if it was greater than 50% of the calculated floorplan allowance, as defined. The amendment reduces the minimum liquidity requirement to maintain in cash and cash equivalents as a percentage of the credit line from 10.0% to 7.5% and changes the requirement to maintain 10% of the monthly credit line availability on deposit with Ally Bank to 10% of the daily floorplan principal balance outstanding. The amendment eliminated the minimum tangible adjusted net worth covenant. The Company was required to pay an upfront commitment fee upon execution of the amendment.</w:t>
      </w:r>
    </w:p>
    <w:p>
      <w:pPr>
        <w:spacing w:after="0" w:line="159" w:lineRule="exact"/>
        <w:rPr>
          <w:sz w:val="20"/>
          <w:szCs w:val="20"/>
          <w:color w:val="auto"/>
        </w:rPr>
      </w:pPr>
    </w:p>
    <w:p>
      <w:pPr>
        <w:ind w:right="60" w:firstLine="762"/>
        <w:spacing w:after="0" w:line="265" w:lineRule="auto"/>
        <w:rPr>
          <w:sz w:val="20"/>
          <w:szCs w:val="20"/>
          <w:color w:val="auto"/>
        </w:rPr>
      </w:pPr>
      <w:r>
        <w:rPr>
          <w:rFonts w:ascii="Arial" w:cs="Arial" w:eastAsia="Arial" w:hAnsi="Arial"/>
          <w:sz w:val="17"/>
          <w:szCs w:val="17"/>
          <w:color w:val="auto"/>
        </w:rPr>
        <w:t>The Company previously entered into a vehicle floorplan (the “2016 Vehicle Floorplan Facility”) with Ally Bank and Ally Financial in April 2016, as subsequently amended. The 2016 Vehicle Floorplan Facility consisted of a revolving line of credit with a borrowing capacity of $220.0 million as of December 31, 2019, which could be used to finance the Company’s vehicle inventory.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06" w:lineRule="exact"/>
        <w:rPr>
          <w:sz w:val="20"/>
          <w:szCs w:val="20"/>
          <w:color w:val="auto"/>
        </w:rPr>
      </w:pPr>
    </w:p>
    <w:p>
      <w:pPr>
        <w:ind w:right="160" w:firstLine="762"/>
        <w:spacing w:after="0" w:line="290" w:lineRule="auto"/>
        <w:rPr>
          <w:sz w:val="20"/>
          <w:szCs w:val="20"/>
          <w:color w:val="auto"/>
        </w:rPr>
      </w:pPr>
      <w:r>
        <w:rPr>
          <w:rFonts w:ascii="Arial" w:cs="Arial" w:eastAsia="Arial" w:hAnsi="Arial"/>
          <w:sz w:val="17"/>
          <w:szCs w:val="17"/>
          <w:color w:val="auto"/>
        </w:rPr>
        <w:t>The interest rate on the 2016 Vehicle Floorplan Facility was equal to the 1-Month LIBOR rate applicable in the immediately preceding month plus a spread of 425 basis points and was payable on a monthly basis.</w:t>
      </w:r>
    </w:p>
    <w:p>
      <w:pPr>
        <w:spacing w:after="0" w:line="129" w:lineRule="exact"/>
        <w:rPr>
          <w:sz w:val="20"/>
          <w:szCs w:val="20"/>
          <w:color w:val="auto"/>
        </w:rPr>
      </w:pPr>
    </w:p>
    <w:p>
      <w:pPr>
        <w:ind w:right="180" w:firstLine="762"/>
        <w:spacing w:after="0" w:line="290" w:lineRule="auto"/>
        <w:rPr>
          <w:sz w:val="20"/>
          <w:szCs w:val="20"/>
          <w:color w:val="auto"/>
        </w:rPr>
      </w:pPr>
      <w:r>
        <w:rPr>
          <w:rFonts w:ascii="Arial" w:cs="Arial" w:eastAsia="Arial" w:hAnsi="Arial"/>
          <w:sz w:val="17"/>
          <w:szCs w:val="17"/>
          <w:color w:val="auto"/>
        </w:rPr>
        <w:t>As of December 31, 2020 and 2019, outstanding borrowings on the vehicle floorplan facilities were $329.2 million and $173.5 million, respectively.</w:t>
      </w:r>
    </w:p>
    <w:p>
      <w:pPr>
        <w:spacing w:after="0" w:line="129" w:lineRule="exact"/>
        <w:rPr>
          <w:sz w:val="20"/>
          <w:szCs w:val="20"/>
          <w:color w:val="auto"/>
        </w:rPr>
      </w:pPr>
    </w:p>
    <w:p>
      <w:pPr>
        <w:ind w:right="200" w:firstLine="762"/>
        <w:spacing w:after="0" w:line="257" w:lineRule="auto"/>
        <w:rPr>
          <w:sz w:val="20"/>
          <w:szCs w:val="20"/>
          <w:color w:val="auto"/>
        </w:rPr>
      </w:pPr>
      <w:r>
        <w:rPr>
          <w:rFonts w:ascii="Arial" w:cs="Arial" w:eastAsia="Arial" w:hAnsi="Arial"/>
          <w:sz w:val="17"/>
          <w:szCs w:val="17"/>
          <w:color w:val="auto"/>
        </w:rPr>
        <w:t>Interest expense incurred by the Company for the vehicle floorplan facilities was $9.7 million, $10.4 million, and $4.7 million for the years ended December 31, 2020, 2019, and 2018, respectively, which are recorded within “Interest expense” in the consolidated statements of operations. The weighted average interest rate on the vehicle floorplan borrowings was 4.39% and 6.00% as of December 31, 2020 and 2019, respectively.</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As of December 31, 2020 and 2019, the Company was in compliance with all covenants related to the vehicle floorplan facilities.</w:t>
      </w:r>
    </w:p>
    <w:p>
      <w:pPr>
        <w:spacing w:after="0" w:line="210" w:lineRule="exact"/>
        <w:rPr>
          <w:sz w:val="20"/>
          <w:szCs w:val="20"/>
          <w:color w:val="auto"/>
        </w:rPr>
      </w:pPr>
    </w:p>
    <w:p>
      <w:pPr>
        <w:ind w:firstLine="762"/>
        <w:spacing w:after="0" w:line="257" w:lineRule="auto"/>
        <w:rPr>
          <w:sz w:val="20"/>
          <w:szCs w:val="20"/>
          <w:color w:val="auto"/>
        </w:rPr>
      </w:pPr>
      <w:r>
        <w:rPr>
          <w:rFonts w:ascii="Arial" w:cs="Arial" w:eastAsia="Arial" w:hAnsi="Arial"/>
          <w:sz w:val="17"/>
          <w:szCs w:val="17"/>
          <w:color w:val="auto"/>
        </w:rPr>
        <w:t>In connection with the vehicle floorplan facilities, the Company entered into credit balance agreements with Ally Bank and Ally Financial that permit the Company to deposit cash with the bank for the purpose of reducing the amount of interest payable for borrowings. Interest credits earned by the Company were $5.4 million, $5.1 million, and $2.9 million for the years ended December 31, 2020, 2019, and 2018, respectively, which are recorded within “Interest income” in the consolidated statements of operations.</w:t>
      </w:r>
    </w:p>
    <w:p>
      <w:pPr>
        <w:spacing w:after="0" w:line="260" w:lineRule="exact"/>
        <w:rPr>
          <w:sz w:val="20"/>
          <w:szCs w:val="20"/>
          <w:color w:val="auto"/>
        </w:rPr>
      </w:pPr>
    </w:p>
    <w:p>
      <w:pPr>
        <w:ind w:right="8220" w:firstLine="5"/>
        <w:spacing w:after="0" w:line="370" w:lineRule="auto"/>
        <w:tabs>
          <w:tab w:leader="none" w:pos="194"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Litigation</w:t>
      </w:r>
    </w:p>
    <w:p>
      <w:pPr>
        <w:spacing w:after="0" w:line="1" w:lineRule="exact"/>
        <w:rPr>
          <w:sz w:val="20"/>
          <w:szCs w:val="20"/>
          <w:color w:val="auto"/>
        </w:rPr>
      </w:pPr>
    </w:p>
    <w:p>
      <w:pPr>
        <w:ind w:right="40" w:firstLine="762"/>
        <w:spacing w:after="0" w:line="248" w:lineRule="auto"/>
        <w:rPr>
          <w:sz w:val="20"/>
          <w:szCs w:val="20"/>
          <w:color w:val="auto"/>
        </w:rPr>
      </w:pPr>
      <w:r>
        <w:rPr>
          <w:rFonts w:ascii="Arial" w:cs="Arial" w:eastAsia="Arial" w:hAnsi="Arial"/>
          <w:sz w:val="17"/>
          <w:szCs w:val="17"/>
          <w:color w:val="auto"/>
        </w:rPr>
        <w:t>From time to time, the Company is involved in various claims and legal actions that arise in the ordinary course of business.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 As of December 31, 2020 and 2019, the Company was not a party to any legal proceedings that, individually or in the aggregate, are reasonably expected to have a material adverse effect on the Company’s consolidated results of operations, financial condition or cash flows. However, the results of these matters cannot be predicted with certainty, and an unfavorable resolution of one or more matters could have a material adverse effect on the Company’s consolidated results of operations, financial condition or cash flows.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Letters of Credit</w:t>
      </w:r>
    </w:p>
    <w:p>
      <w:pPr>
        <w:spacing w:after="0" w:line="103" w:lineRule="exact"/>
        <w:rPr>
          <w:sz w:val="20"/>
          <w:szCs w:val="20"/>
          <w:color w:val="auto"/>
        </w:rPr>
      </w:pPr>
    </w:p>
    <w:p>
      <w:pPr>
        <w:jc w:val="both"/>
        <w:ind w:right="180" w:firstLine="762"/>
        <w:spacing w:after="0" w:line="265" w:lineRule="auto"/>
        <w:rPr>
          <w:sz w:val="20"/>
          <w:szCs w:val="20"/>
          <w:color w:val="auto"/>
        </w:rPr>
      </w:pPr>
      <w:r>
        <w:rPr>
          <w:rFonts w:ascii="Arial" w:cs="Arial" w:eastAsia="Arial" w:hAnsi="Arial"/>
          <w:sz w:val="17"/>
          <w:szCs w:val="17"/>
          <w:color w:val="auto"/>
        </w:rPr>
        <w:t>The Company obtained stand-by letters of credit totaling $2.2 million in 2020 to satisfy conditions under three lease agreements. The Company was required to maintain a cash deposit of $2.2 million and $1.9 million with the financial institution that issued the stand-by letters of credit, which is classified as “Restricted cash” within the consolidated balance sheets as of December 31, 2020 and 2019,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Matters</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Company enters into agreements with third parties in the ordinary course of business that may contain indemnification provisions.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 the event that an indemnification claim is asserted, the Company’s liability, if any, would be limited by the terms of the applicable agreement.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Historically, the Company has not incurred material costs to defend lawsuits or settle claims related to indemnification provisions.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Leases</w:t>
      </w:r>
    </w:p>
    <w:p>
      <w:pPr>
        <w:spacing w:after="0" w:line="107" w:lineRule="exact"/>
        <w:rPr>
          <w:sz w:val="20"/>
          <w:szCs w:val="20"/>
          <w:color w:val="auto"/>
        </w:rPr>
      </w:pPr>
    </w:p>
    <w:p>
      <w:pPr>
        <w:ind w:right="140" w:firstLine="762"/>
        <w:spacing w:after="0" w:line="253" w:lineRule="auto"/>
        <w:rPr>
          <w:sz w:val="20"/>
          <w:szCs w:val="20"/>
          <w:color w:val="auto"/>
        </w:rPr>
      </w:pPr>
      <w:r>
        <w:rPr>
          <w:rFonts w:ascii="Arial" w:cs="Arial" w:eastAsia="Arial" w:hAnsi="Arial"/>
          <w:sz w:val="17"/>
          <w:szCs w:val="17"/>
          <w:color w:val="auto"/>
        </w:rPr>
        <w:t>The Company’s leasing activities primarily consist of real estate leases for its operations, including office space, the Company’s reconditioning facility, the TDA retail location, the Company’s Sell Us Your Car centers, parking lots and other facilities. The real estate leases have terms ranging from six months to eight years. The Company also has leases for various types of equipment, which are not material, individually or in the aggregate. The Company assesses whether each lease is an operating or finance lease at the lease commencement date. The Company does not have any material leases, individually or in the aggregate, classified as a finance leasing arrangement.</w:t>
      </w:r>
    </w:p>
    <w:p>
      <w:pPr>
        <w:spacing w:after="0" w:line="160" w:lineRule="exact"/>
        <w:rPr>
          <w:sz w:val="20"/>
          <w:szCs w:val="20"/>
          <w:color w:val="auto"/>
        </w:rPr>
      </w:pPr>
    </w:p>
    <w:p>
      <w:pPr>
        <w:ind w:right="180" w:firstLine="762"/>
        <w:spacing w:after="0" w:line="290" w:lineRule="auto"/>
        <w:rPr>
          <w:sz w:val="20"/>
          <w:szCs w:val="20"/>
          <w:color w:val="auto"/>
        </w:rPr>
      </w:pPr>
      <w:r>
        <w:rPr>
          <w:rFonts w:ascii="Arial" w:cs="Arial" w:eastAsia="Arial" w:hAnsi="Arial"/>
          <w:sz w:val="17"/>
          <w:szCs w:val="17"/>
          <w:color w:val="auto"/>
        </w:rPr>
        <w:t>The Company’s lease agreements do not contain any material residual value guarantees or material restrictive covenants. The Company does not have any significant leases that have not yet commenced but that create significant rights and obligations for the Company.</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06" w:lineRule="exact"/>
        <w:rPr>
          <w:sz w:val="20"/>
          <w:szCs w:val="20"/>
          <w:color w:val="auto"/>
        </w:rPr>
      </w:pPr>
    </w:p>
    <w:p>
      <w:pPr>
        <w:ind w:right="60" w:firstLine="764"/>
        <w:spacing w:after="0" w:line="257" w:lineRule="auto"/>
        <w:rPr>
          <w:sz w:val="20"/>
          <w:szCs w:val="20"/>
          <w:color w:val="auto"/>
        </w:rPr>
      </w:pPr>
      <w:r>
        <w:rPr>
          <w:rFonts w:ascii="Arial" w:cs="Arial" w:eastAsia="Arial" w:hAnsi="Arial"/>
          <w:sz w:val="17"/>
          <w:szCs w:val="17"/>
          <w:color w:val="auto"/>
        </w:rPr>
        <w:t>The Company’s real estate leases often require it to make payments for maintenance in addition to rent as well as payments for real estate taxes and insurance. Maintenance, real estate taxes, and insurance payments are generally variable costs which are based on actual expenses incurred by the lessor. Therefore, these amounts are not included in the consideration of the contract when determining the right-of-use asset and lease liability but are reflected as variable lease expenses.</w:t>
      </w:r>
    </w:p>
    <w:p>
      <w:pPr>
        <w:spacing w:after="0" w:line="157" w:lineRule="exact"/>
        <w:rPr>
          <w:sz w:val="20"/>
          <w:szCs w:val="20"/>
          <w:color w:val="auto"/>
        </w:rPr>
      </w:pPr>
    </w:p>
    <w:p>
      <w:pPr>
        <w:ind w:right="160" w:firstLine="764"/>
        <w:spacing w:after="0" w:line="290" w:lineRule="auto"/>
        <w:rPr>
          <w:sz w:val="20"/>
          <w:szCs w:val="20"/>
          <w:color w:val="auto"/>
        </w:rPr>
      </w:pPr>
      <w:r>
        <w:rPr>
          <w:rFonts w:ascii="Arial" w:cs="Arial" w:eastAsia="Arial" w:hAnsi="Arial"/>
          <w:sz w:val="17"/>
          <w:szCs w:val="17"/>
          <w:color w:val="auto"/>
        </w:rPr>
        <w:t>Leases with an initial term of 12 months or less are not recorded on the Company’s consolidated balance sheet and expense for these leases are recognized on a straight-line basis over the lease term.</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Options to extend or terminate leases</w:t>
      </w:r>
    </w:p>
    <w:p>
      <w:pPr>
        <w:spacing w:after="0" w:line="103" w:lineRule="exact"/>
        <w:rPr>
          <w:sz w:val="20"/>
          <w:szCs w:val="20"/>
          <w:color w:val="auto"/>
        </w:rPr>
      </w:pPr>
    </w:p>
    <w:p>
      <w:pPr>
        <w:ind w:right="60" w:firstLine="762"/>
        <w:spacing w:after="0" w:line="253" w:lineRule="auto"/>
        <w:rPr>
          <w:sz w:val="20"/>
          <w:szCs w:val="20"/>
          <w:color w:val="auto"/>
        </w:rPr>
      </w:pPr>
      <w:r>
        <w:rPr>
          <w:rFonts w:ascii="Arial" w:cs="Arial" w:eastAsia="Arial" w:hAnsi="Arial"/>
          <w:sz w:val="17"/>
          <w:szCs w:val="17"/>
          <w:color w:val="auto"/>
        </w:rPr>
        <w:t>Certain of the Company’s real estate leases include one or more options to renew, with renewal terms that can extend the lease term from one to five years. The exercise of lease renewal options is at the Company’s sole discretion. If it is reasonably certain that the Company will exercise such options, the periods covered by such options are included in the lease term and are recognized as part of the Company’s right-of-use assets and lease liabilities. The depreciable life of assets and leasehold improvements are limited by the expected lease term, unless there is a transfer of title or purchase option reasonably certain of exercise.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term and discount rate</w:t>
      </w:r>
    </w:p>
    <w:p>
      <w:pPr>
        <w:spacing w:after="0" w:line="103" w:lineRule="exact"/>
        <w:rPr>
          <w:sz w:val="20"/>
          <w:szCs w:val="20"/>
          <w:color w:val="auto"/>
        </w:rPr>
      </w:pPr>
    </w:p>
    <w:p>
      <w:pPr>
        <w:ind w:right="180" w:firstLine="762"/>
        <w:spacing w:after="0" w:line="290" w:lineRule="auto"/>
        <w:rPr>
          <w:sz w:val="20"/>
          <w:szCs w:val="20"/>
          <w:color w:val="auto"/>
        </w:rPr>
      </w:pPr>
      <w:r>
        <w:rPr>
          <w:rFonts w:ascii="Arial" w:cs="Arial" w:eastAsia="Arial" w:hAnsi="Arial"/>
          <w:sz w:val="17"/>
          <w:szCs w:val="17"/>
          <w:color w:val="auto"/>
        </w:rPr>
        <w:t>As of December 31, 2020, the weighted-average remaining lease term and discount rate for the Company’s operating leases were 3.5 years and 3.4%, excluding short-term operating leases.</w:t>
      </w:r>
    </w:p>
    <w:p>
      <w:pPr>
        <w:spacing w:after="0" w:line="129" w:lineRule="exact"/>
        <w:rPr>
          <w:sz w:val="20"/>
          <w:szCs w:val="20"/>
          <w:color w:val="auto"/>
        </w:rPr>
      </w:pPr>
    </w:p>
    <w:p>
      <w:pPr>
        <w:ind w:right="260" w:firstLine="762"/>
        <w:spacing w:after="0" w:line="250" w:lineRule="auto"/>
        <w:rPr>
          <w:sz w:val="20"/>
          <w:szCs w:val="20"/>
          <w:color w:val="auto"/>
        </w:rPr>
      </w:pPr>
      <w:r>
        <w:rPr>
          <w:rFonts w:ascii="Arial" w:cs="Arial" w:eastAsia="Arial" w:hAnsi="Arial"/>
          <w:sz w:val="17"/>
          <w:szCs w:val="17"/>
          <w:color w:val="auto"/>
        </w:rPr>
        <w:t>As the rate implicit in the lease is generally not readily determinable for the Company’s operating leases, the discount rates used to determine the present value of the Company’s lease liabilities are based on the Company’s incremental borrowing rate at the lease commencement date and commensurate with the remaining lease term. The incremental borrowing rate for a lease is the rate of interest the Company would have to pay to borrow on a collateralized basis over a similar term for an amount equal to the lease payments in a similar economic environment. The Company determines its incremental borrowing rate based on a synthetic credit rating that was developed with the assistance of a third-party specialist.</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costs and activity</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Company’s lease costs and activity for the year ended December 31, 2020 were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tcPr>
          <w:p>
            <w:pPr>
              <w:jc w:val="center"/>
              <w:ind w:right="461"/>
              <w:spacing w:after="0"/>
              <w:rPr>
                <w:sz w:val="20"/>
                <w:szCs w:val="20"/>
                <w:color w:val="auto"/>
              </w:rPr>
            </w:pPr>
            <w:r>
              <w:rPr>
                <w:rFonts w:ascii="Arial" w:cs="Arial" w:eastAsia="Arial" w:hAnsi="Arial"/>
                <w:sz w:val="14"/>
                <w:szCs w:val="14"/>
                <w:b w:val="1"/>
                <w:bCs w:val="1"/>
                <w:color w:val="auto"/>
                <w:w w:val="98"/>
              </w:rPr>
              <w:t>Year Ended</w:t>
            </w:r>
          </w:p>
        </w:tc>
        <w:tc>
          <w:tcPr>
            <w:tcW w:w="20" w:type="dxa"/>
            <w:vAlign w:val="bottom"/>
          </w:tcPr>
          <w:p>
            <w:pPr>
              <w:spacing w:after="0"/>
              <w:rPr>
                <w:sz w:val="14"/>
                <w:szCs w:val="14"/>
                <w:color w:val="auto"/>
              </w:rPr>
            </w:pPr>
          </w:p>
        </w:tc>
      </w:tr>
      <w:tr>
        <w:trPr>
          <w:trHeight w:val="170"/>
        </w:trPr>
        <w:tc>
          <w:tcPr>
            <w:tcW w:w="55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center"/>
              <w:ind w:right="461"/>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r>
      <w:tr>
        <w:trPr>
          <w:trHeight w:val="163"/>
        </w:trPr>
        <w:tc>
          <w:tcPr>
            <w:tcW w:w="5500" w:type="dxa"/>
            <w:vAlign w:val="bottom"/>
            <w:tcBorders>
              <w:bottom w:val="single" w:sz="8" w:color="CFF0FC"/>
            </w:tcBorders>
          </w:tcPr>
          <w:p>
            <w:pPr>
              <w:spacing w:after="0"/>
              <w:rPr>
                <w:sz w:val="14"/>
                <w:szCs w:val="14"/>
                <w:color w:val="auto"/>
              </w:rPr>
            </w:pPr>
          </w:p>
        </w:tc>
        <w:tc>
          <w:tcPr>
            <w:tcW w:w="328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center"/>
              <w:ind w:right="46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r>
      <w:tr>
        <w:trPr>
          <w:trHeight w:val="163"/>
        </w:trPr>
        <w:tc>
          <w:tcPr>
            <w:tcW w:w="5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Lease Cost</w:t>
            </w:r>
          </w:p>
        </w:tc>
        <w:tc>
          <w:tcPr>
            <w:tcW w:w="3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5500" w:type="dxa"/>
            <w:vAlign w:val="bottom"/>
          </w:tcPr>
          <w:p>
            <w:pPr>
              <w:spacing w:after="0"/>
              <w:rPr>
                <w:sz w:val="20"/>
                <w:szCs w:val="20"/>
                <w:color w:val="auto"/>
              </w:rPr>
            </w:pPr>
            <w:r>
              <w:rPr>
                <w:rFonts w:ascii="Arial" w:cs="Arial" w:eastAsia="Arial" w:hAnsi="Arial"/>
                <w:sz w:val="17"/>
                <w:szCs w:val="17"/>
                <w:color w:val="auto"/>
              </w:rPr>
              <w:t>Operating lease cost</w:t>
            </w:r>
          </w:p>
        </w:tc>
        <w:tc>
          <w:tcPr>
            <w:tcW w:w="3680" w:type="dxa"/>
            <w:vAlign w:val="bottom"/>
            <w:gridSpan w:val="2"/>
          </w:tcPr>
          <w:p>
            <w:pPr>
              <w:jc w:val="right"/>
              <w:ind w:right="244"/>
              <w:spacing w:after="0"/>
              <w:rPr>
                <w:sz w:val="20"/>
                <w:szCs w:val="20"/>
                <w:color w:val="auto"/>
              </w:rPr>
            </w:pPr>
            <w:r>
              <w:rPr>
                <w:rFonts w:ascii="Arial" w:cs="Arial" w:eastAsia="Arial" w:hAnsi="Arial"/>
                <w:sz w:val="17"/>
                <w:szCs w:val="17"/>
                <w:color w:val="auto"/>
              </w:rPr>
              <w:t>$</w:t>
            </w:r>
          </w:p>
        </w:tc>
        <w:tc>
          <w:tcPr>
            <w:tcW w:w="2060" w:type="dxa"/>
            <w:vAlign w:val="bottom"/>
          </w:tcPr>
          <w:p>
            <w:pPr>
              <w:jc w:val="right"/>
              <w:ind w:right="41"/>
              <w:spacing w:after="0"/>
              <w:rPr>
                <w:sz w:val="20"/>
                <w:szCs w:val="20"/>
                <w:color w:val="auto"/>
              </w:rPr>
            </w:pPr>
            <w:r>
              <w:rPr>
                <w:rFonts w:ascii="Arial" w:cs="Arial" w:eastAsia="Arial" w:hAnsi="Arial"/>
                <w:sz w:val="17"/>
                <w:szCs w:val="17"/>
                <w:color w:val="auto"/>
              </w:rPr>
              <w:t>5,503</w:t>
            </w:r>
          </w:p>
        </w:tc>
        <w:tc>
          <w:tcPr>
            <w:tcW w:w="20" w:type="dxa"/>
            <w:vAlign w:val="bottom"/>
          </w:tcPr>
          <w:p>
            <w:pPr>
              <w:spacing w:after="0"/>
              <w:rPr>
                <w:sz w:val="18"/>
                <w:szCs w:val="18"/>
                <w:color w:val="auto"/>
              </w:rPr>
            </w:pPr>
          </w:p>
        </w:tc>
      </w:tr>
      <w:tr>
        <w:trPr>
          <w:trHeight w:val="209"/>
        </w:trPr>
        <w:tc>
          <w:tcPr>
            <w:tcW w:w="5500" w:type="dxa"/>
            <w:vAlign w:val="bottom"/>
            <w:shd w:val="clear" w:color="auto" w:fill="CFF0FC"/>
          </w:tcPr>
          <w:p>
            <w:pPr>
              <w:spacing w:after="0"/>
              <w:rPr>
                <w:sz w:val="20"/>
                <w:szCs w:val="20"/>
                <w:color w:val="auto"/>
              </w:rPr>
            </w:pPr>
            <w:r>
              <w:rPr>
                <w:rFonts w:ascii="Arial" w:cs="Arial" w:eastAsia="Arial" w:hAnsi="Arial"/>
                <w:sz w:val="17"/>
                <w:szCs w:val="17"/>
                <w:color w:val="auto"/>
              </w:rPr>
              <w:t>Short-term lease cost</w:t>
            </w:r>
          </w:p>
        </w:tc>
        <w:tc>
          <w:tcPr>
            <w:tcW w:w="3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6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350</w:t>
            </w:r>
          </w:p>
        </w:tc>
        <w:tc>
          <w:tcPr>
            <w:tcW w:w="20" w:type="dxa"/>
            <w:vAlign w:val="bottom"/>
          </w:tcPr>
          <w:p>
            <w:pPr>
              <w:spacing w:after="0"/>
              <w:rPr>
                <w:sz w:val="18"/>
                <w:szCs w:val="18"/>
                <w:color w:val="auto"/>
              </w:rPr>
            </w:pPr>
          </w:p>
        </w:tc>
      </w:tr>
      <w:tr>
        <w:trPr>
          <w:trHeight w:val="209"/>
        </w:trPr>
        <w:tc>
          <w:tcPr>
            <w:tcW w:w="5500" w:type="dxa"/>
            <w:vAlign w:val="bottom"/>
          </w:tcPr>
          <w:p>
            <w:pPr>
              <w:spacing w:after="0"/>
              <w:rPr>
                <w:sz w:val="20"/>
                <w:szCs w:val="20"/>
                <w:color w:val="auto"/>
              </w:rPr>
            </w:pPr>
            <w:r>
              <w:rPr>
                <w:rFonts w:ascii="Arial" w:cs="Arial" w:eastAsia="Arial" w:hAnsi="Arial"/>
                <w:sz w:val="17"/>
                <w:szCs w:val="17"/>
                <w:color w:val="auto"/>
              </w:rPr>
              <w:t>Variable lease cost</w:t>
            </w:r>
          </w:p>
        </w:tc>
        <w:tc>
          <w:tcPr>
            <w:tcW w:w="3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60" w:type="dxa"/>
            <w:vAlign w:val="bottom"/>
          </w:tcPr>
          <w:p>
            <w:pPr>
              <w:jc w:val="right"/>
              <w:ind w:right="41"/>
              <w:spacing w:after="0"/>
              <w:rPr>
                <w:sz w:val="20"/>
                <w:szCs w:val="20"/>
                <w:color w:val="auto"/>
              </w:rPr>
            </w:pPr>
            <w:r>
              <w:rPr>
                <w:rFonts w:ascii="Arial" w:cs="Arial" w:eastAsia="Arial" w:hAnsi="Arial"/>
                <w:sz w:val="17"/>
                <w:szCs w:val="17"/>
                <w:color w:val="auto"/>
              </w:rPr>
              <w:t>1,915</w:t>
            </w:r>
          </w:p>
        </w:tc>
        <w:tc>
          <w:tcPr>
            <w:tcW w:w="20" w:type="dxa"/>
            <w:vAlign w:val="bottom"/>
          </w:tcPr>
          <w:p>
            <w:pPr>
              <w:spacing w:after="0"/>
              <w:rPr>
                <w:sz w:val="18"/>
                <w:szCs w:val="18"/>
                <w:color w:val="auto"/>
              </w:rPr>
            </w:pPr>
          </w:p>
        </w:tc>
      </w:tr>
      <w:tr>
        <w:trPr>
          <w:trHeight w:val="209"/>
        </w:trPr>
        <w:tc>
          <w:tcPr>
            <w:tcW w:w="5500" w:type="dxa"/>
            <w:vAlign w:val="bottom"/>
            <w:shd w:val="clear" w:color="auto" w:fill="CFF0FC"/>
          </w:tcPr>
          <w:p>
            <w:pPr>
              <w:spacing w:after="0"/>
              <w:rPr>
                <w:sz w:val="20"/>
                <w:szCs w:val="20"/>
                <w:color w:val="auto"/>
              </w:rPr>
            </w:pPr>
            <w:r>
              <w:rPr>
                <w:rFonts w:ascii="Arial" w:cs="Arial" w:eastAsia="Arial" w:hAnsi="Arial"/>
                <w:sz w:val="17"/>
                <w:szCs w:val="17"/>
                <w:color w:val="auto"/>
              </w:rPr>
              <w:t>Sublease income</w:t>
            </w:r>
          </w:p>
        </w:tc>
        <w:tc>
          <w:tcPr>
            <w:tcW w:w="328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(445)</w:t>
            </w:r>
          </w:p>
        </w:tc>
        <w:tc>
          <w:tcPr>
            <w:tcW w:w="20" w:type="dxa"/>
            <w:vAlign w:val="bottom"/>
          </w:tcPr>
          <w:p>
            <w:pPr>
              <w:spacing w:after="0"/>
              <w:rPr>
                <w:sz w:val="18"/>
                <w:szCs w:val="18"/>
                <w:color w:val="auto"/>
              </w:rPr>
            </w:pPr>
          </w:p>
        </w:tc>
      </w:tr>
      <w:tr>
        <w:trPr>
          <w:trHeight w:val="202"/>
        </w:trPr>
        <w:tc>
          <w:tcPr>
            <w:tcW w:w="5500" w:type="dxa"/>
            <w:vAlign w:val="bottom"/>
          </w:tcPr>
          <w:p>
            <w:pPr>
              <w:spacing w:after="0"/>
              <w:rPr>
                <w:sz w:val="20"/>
                <w:szCs w:val="20"/>
                <w:color w:val="auto"/>
              </w:rPr>
            </w:pPr>
            <w:r>
              <w:rPr>
                <w:rFonts w:ascii="Arial" w:cs="Arial" w:eastAsia="Arial" w:hAnsi="Arial"/>
                <w:sz w:val="17"/>
                <w:szCs w:val="17"/>
                <w:color w:val="auto"/>
              </w:rPr>
              <w:t>Net lease cost</w:t>
            </w:r>
          </w:p>
        </w:tc>
        <w:tc>
          <w:tcPr>
            <w:tcW w:w="3280" w:type="dxa"/>
            <w:vAlign w:val="bottom"/>
          </w:tcPr>
          <w:p>
            <w:pPr>
              <w:spacing w:after="0"/>
              <w:rPr>
                <w:sz w:val="17"/>
                <w:szCs w:val="17"/>
                <w:color w:val="auto"/>
              </w:rPr>
            </w:pP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206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7,323</w:t>
            </w:r>
          </w:p>
        </w:tc>
        <w:tc>
          <w:tcPr>
            <w:tcW w:w="20" w:type="dxa"/>
            <w:vAlign w:val="bottom"/>
          </w:tcPr>
          <w:p>
            <w:pPr>
              <w:spacing w:after="0"/>
              <w:rPr>
                <w:sz w:val="17"/>
                <w:szCs w:val="17"/>
                <w:color w:val="auto"/>
              </w:rPr>
            </w:pPr>
          </w:p>
        </w:tc>
      </w:tr>
      <w:tr>
        <w:trPr>
          <w:trHeight w:val="20"/>
        </w:trPr>
        <w:tc>
          <w:tcPr>
            <w:tcW w:w="55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55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60" w:type="dxa"/>
            <w:vAlign w:val="bottom"/>
          </w:tcPr>
          <w:p>
            <w:pPr>
              <w:jc w:val="center"/>
              <w:ind w:right="461"/>
              <w:spacing w:after="0"/>
              <w:rPr>
                <w:sz w:val="20"/>
                <w:szCs w:val="20"/>
                <w:color w:val="auto"/>
              </w:rPr>
            </w:pPr>
            <w:r>
              <w:rPr>
                <w:rFonts w:ascii="Arial" w:cs="Arial" w:eastAsia="Arial" w:hAnsi="Arial"/>
                <w:sz w:val="14"/>
                <w:szCs w:val="14"/>
                <w:b w:val="1"/>
                <w:bCs w:val="1"/>
                <w:color w:val="auto"/>
                <w:w w:val="98"/>
              </w:rPr>
              <w:t>Year Ended</w:t>
            </w:r>
          </w:p>
        </w:tc>
        <w:tc>
          <w:tcPr>
            <w:tcW w:w="20" w:type="dxa"/>
            <w:vAlign w:val="bottom"/>
          </w:tcPr>
          <w:p>
            <w:pPr>
              <w:spacing w:after="0"/>
              <w:rPr>
                <w:sz w:val="24"/>
                <w:szCs w:val="24"/>
                <w:color w:val="auto"/>
              </w:rPr>
            </w:pPr>
          </w:p>
        </w:tc>
      </w:tr>
      <w:tr>
        <w:trPr>
          <w:trHeight w:val="170"/>
        </w:trPr>
        <w:tc>
          <w:tcPr>
            <w:tcW w:w="55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center"/>
              <w:ind w:right="461"/>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r>
      <w:tr>
        <w:trPr>
          <w:trHeight w:val="163"/>
        </w:trPr>
        <w:tc>
          <w:tcPr>
            <w:tcW w:w="5500" w:type="dxa"/>
            <w:vAlign w:val="bottom"/>
            <w:tcBorders>
              <w:bottom w:val="single" w:sz="8" w:color="CFF0FC"/>
            </w:tcBorders>
          </w:tcPr>
          <w:p>
            <w:pPr>
              <w:spacing w:after="0"/>
              <w:rPr>
                <w:sz w:val="14"/>
                <w:szCs w:val="14"/>
                <w:color w:val="auto"/>
              </w:rPr>
            </w:pPr>
          </w:p>
        </w:tc>
        <w:tc>
          <w:tcPr>
            <w:tcW w:w="328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center"/>
              <w:ind w:right="46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r>
      <w:tr>
        <w:trPr>
          <w:trHeight w:val="163"/>
        </w:trPr>
        <w:tc>
          <w:tcPr>
            <w:tcW w:w="5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Other information</w:t>
            </w:r>
          </w:p>
        </w:tc>
        <w:tc>
          <w:tcPr>
            <w:tcW w:w="3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5500" w:type="dxa"/>
            <w:vAlign w:val="bottom"/>
          </w:tcPr>
          <w:p>
            <w:pPr>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3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55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Operating cash flows from operating leases</w:t>
            </w:r>
          </w:p>
        </w:tc>
        <w:tc>
          <w:tcPr>
            <w:tcW w:w="3680" w:type="dxa"/>
            <w:vAlign w:val="bottom"/>
            <w:gridSpan w:val="2"/>
            <w:shd w:val="clear" w:color="auto" w:fill="CFF0FC"/>
          </w:tcPr>
          <w:p>
            <w:pPr>
              <w:jc w:val="right"/>
              <w:ind w:right="244"/>
              <w:spacing w:after="0"/>
              <w:rPr>
                <w:sz w:val="20"/>
                <w:szCs w:val="20"/>
                <w:color w:val="auto"/>
              </w:rPr>
            </w:pPr>
            <w:r>
              <w:rPr>
                <w:rFonts w:ascii="Arial" w:cs="Arial" w:eastAsia="Arial" w:hAnsi="Arial"/>
                <w:sz w:val="17"/>
                <w:szCs w:val="17"/>
                <w:color w:val="auto"/>
              </w:rPr>
              <w:t>$</w:t>
            </w:r>
          </w:p>
        </w:tc>
        <w:tc>
          <w:tcPr>
            <w:tcW w:w="206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5,524</w:t>
            </w:r>
          </w:p>
        </w:tc>
        <w:tc>
          <w:tcPr>
            <w:tcW w:w="20" w:type="dxa"/>
            <w:vAlign w:val="bottom"/>
          </w:tcPr>
          <w:p>
            <w:pPr>
              <w:spacing w:after="0"/>
              <w:rPr>
                <w:sz w:val="18"/>
                <w:szCs w:val="18"/>
                <w:color w:val="auto"/>
              </w:rPr>
            </w:pPr>
          </w:p>
        </w:tc>
      </w:tr>
      <w:tr>
        <w:trPr>
          <w:trHeight w:val="236"/>
        </w:trPr>
        <w:tc>
          <w:tcPr>
            <w:tcW w:w="5500" w:type="dxa"/>
            <w:vAlign w:val="bottom"/>
          </w:tcPr>
          <w:p>
            <w:pPr>
              <w:spacing w:after="0"/>
              <w:rPr>
                <w:sz w:val="20"/>
                <w:szCs w:val="20"/>
                <w:color w:val="auto"/>
              </w:rPr>
            </w:pPr>
            <w:r>
              <w:rPr>
                <w:rFonts w:ascii="Arial" w:cs="Arial" w:eastAsia="Arial" w:hAnsi="Arial"/>
                <w:sz w:val="17"/>
                <w:szCs w:val="17"/>
                <w:color w:val="auto"/>
              </w:rPr>
              <w:t>Right-of-use assets obtained in exchange for operating lease liabilities</w:t>
            </w:r>
          </w:p>
        </w:tc>
        <w:tc>
          <w:tcPr>
            <w:tcW w:w="3680" w:type="dxa"/>
            <w:vAlign w:val="bottom"/>
            <w:gridSpan w:val="2"/>
          </w:tcPr>
          <w:p>
            <w:pPr>
              <w:jc w:val="right"/>
              <w:ind w:right="244"/>
              <w:spacing w:after="0"/>
              <w:rPr>
                <w:sz w:val="20"/>
                <w:szCs w:val="20"/>
                <w:color w:val="auto"/>
              </w:rPr>
            </w:pPr>
            <w:r>
              <w:rPr>
                <w:rFonts w:ascii="Arial" w:cs="Arial" w:eastAsia="Arial" w:hAnsi="Arial"/>
                <w:sz w:val="17"/>
                <w:szCs w:val="17"/>
                <w:color w:val="auto"/>
              </w:rPr>
              <w:t>$</w:t>
            </w:r>
          </w:p>
        </w:tc>
        <w:tc>
          <w:tcPr>
            <w:tcW w:w="2060" w:type="dxa"/>
            <w:vAlign w:val="bottom"/>
          </w:tcPr>
          <w:p>
            <w:pPr>
              <w:jc w:val="right"/>
              <w:ind w:right="41"/>
              <w:spacing w:after="0"/>
              <w:rPr>
                <w:sz w:val="20"/>
                <w:szCs w:val="20"/>
                <w:color w:val="auto"/>
              </w:rPr>
            </w:pPr>
            <w:r>
              <w:rPr>
                <w:rFonts w:ascii="Arial" w:cs="Arial" w:eastAsia="Arial" w:hAnsi="Arial"/>
                <w:sz w:val="17"/>
                <w:szCs w:val="17"/>
                <w:color w:val="auto"/>
              </w:rPr>
              <w:t>4,600</w:t>
            </w:r>
          </w:p>
        </w:tc>
        <w:tc>
          <w:tcPr>
            <w:tcW w:w="20" w:type="dxa"/>
            <w:vAlign w:val="bottom"/>
          </w:tcPr>
          <w:p>
            <w:pPr>
              <w:spacing w:after="0"/>
              <w:rPr>
                <w:sz w:val="20"/>
                <w:szCs w:val="20"/>
                <w:color w:val="auto"/>
              </w:rPr>
            </w:pPr>
          </w:p>
        </w:tc>
      </w:tr>
      <w:tr>
        <w:trPr>
          <w:trHeight w:val="631"/>
        </w:trPr>
        <w:tc>
          <w:tcPr>
            <w:tcW w:w="5500" w:type="dxa"/>
            <w:vAlign w:val="bottom"/>
          </w:tcPr>
          <w:p>
            <w:pPr>
              <w:spacing w:after="0"/>
              <w:rPr>
                <w:sz w:val="24"/>
                <w:szCs w:val="24"/>
                <w:color w:val="auto"/>
              </w:rPr>
            </w:pPr>
          </w:p>
        </w:tc>
        <w:tc>
          <w:tcPr>
            <w:tcW w:w="3280" w:type="dxa"/>
            <w:vAlign w:val="bottom"/>
          </w:tcPr>
          <w:p>
            <w:pPr>
              <w:jc w:val="right"/>
              <w:ind w:right="2973"/>
              <w:spacing w:after="0"/>
              <w:rPr>
                <w:sz w:val="20"/>
                <w:szCs w:val="20"/>
                <w:color w:val="auto"/>
              </w:rPr>
            </w:pPr>
            <w:r>
              <w:rPr>
                <w:rFonts w:ascii="Arial" w:cs="Arial" w:eastAsia="Arial" w:hAnsi="Arial"/>
                <w:sz w:val="17"/>
                <w:szCs w:val="17"/>
                <w:color w:val="auto"/>
              </w:rPr>
              <w:t>99</w:t>
            </w:r>
          </w:p>
        </w:tc>
        <w:tc>
          <w:tcPr>
            <w:tcW w:w="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5500" w:type="dxa"/>
            <w:vAlign w:val="bottom"/>
            <w:tcBorders>
              <w:bottom w:val="single" w:sz="8" w:color="9A9A9A"/>
            </w:tcBorders>
          </w:tcPr>
          <w:p>
            <w:pPr>
              <w:spacing w:after="0"/>
              <w:rPr>
                <w:sz w:val="8"/>
                <w:szCs w:val="8"/>
                <w:color w:val="auto"/>
              </w:rPr>
            </w:pPr>
          </w:p>
        </w:tc>
        <w:tc>
          <w:tcPr>
            <w:tcW w:w="32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-7620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Maturity of Lease Liabilities</w:t>
      </w:r>
    </w:p>
    <w:p>
      <w:pPr>
        <w:spacing w:after="0" w:line="103" w:lineRule="exact"/>
        <w:rPr>
          <w:sz w:val="20"/>
          <w:szCs w:val="20"/>
          <w:color w:val="auto"/>
        </w:rPr>
      </w:pPr>
    </w:p>
    <w:p>
      <w:pPr>
        <w:ind w:right="140" w:firstLine="762"/>
        <w:spacing w:after="0" w:line="290" w:lineRule="auto"/>
        <w:rPr>
          <w:sz w:val="20"/>
          <w:szCs w:val="20"/>
          <w:color w:val="auto"/>
        </w:rPr>
      </w:pPr>
      <w:r>
        <w:rPr>
          <w:rFonts w:ascii="Arial" w:cs="Arial" w:eastAsia="Arial" w:hAnsi="Arial"/>
          <w:sz w:val="17"/>
          <w:szCs w:val="17"/>
          <w:color w:val="auto"/>
        </w:rPr>
        <w:t>The maturity of the Company’s lease liabilities on an undiscounted cash flow basis and a reconciliation to the operating lease liabilities recognized on the Company’s consolidated balance sheet as of December 31, 2020 were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29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6,577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2022</w:t>
            </w:r>
          </w:p>
        </w:tc>
        <w:tc>
          <w:tcPr>
            <w:tcW w:w="2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jc w:val="right"/>
              <w:ind w:right="33"/>
              <w:spacing w:after="0"/>
              <w:rPr>
                <w:sz w:val="20"/>
                <w:szCs w:val="20"/>
                <w:color w:val="auto"/>
              </w:rPr>
            </w:pPr>
            <w:r>
              <w:rPr>
                <w:rFonts w:ascii="Arial" w:cs="Arial" w:eastAsia="Arial" w:hAnsi="Arial"/>
                <w:sz w:val="17"/>
                <w:szCs w:val="17"/>
                <w:color w:val="auto"/>
              </w:rPr>
              <w:t>5,318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7"/>
                <w:szCs w:val="17"/>
                <w:color w:val="auto"/>
              </w:rPr>
              <w:t>2023</w:t>
            </w:r>
          </w:p>
        </w:tc>
        <w:tc>
          <w:tcPr>
            <w:tcW w:w="29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3,398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2024</w:t>
            </w:r>
          </w:p>
        </w:tc>
        <w:tc>
          <w:tcPr>
            <w:tcW w:w="2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jc w:val="right"/>
              <w:ind w:right="33"/>
              <w:spacing w:after="0"/>
              <w:rPr>
                <w:sz w:val="20"/>
                <w:szCs w:val="20"/>
                <w:color w:val="auto"/>
              </w:rPr>
            </w:pPr>
            <w:r>
              <w:rPr>
                <w:rFonts w:ascii="Arial" w:cs="Arial" w:eastAsia="Arial" w:hAnsi="Arial"/>
                <w:sz w:val="17"/>
                <w:szCs w:val="17"/>
                <w:color w:val="auto"/>
              </w:rPr>
              <w:t>3,111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7"/>
                <w:szCs w:val="17"/>
                <w:color w:val="auto"/>
              </w:rPr>
              <w:t>2025</w:t>
            </w:r>
          </w:p>
        </w:tc>
        <w:tc>
          <w:tcPr>
            <w:tcW w:w="29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907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Thereafter</w:t>
            </w:r>
          </w:p>
        </w:tc>
        <w:tc>
          <w:tcPr>
            <w:tcW w:w="294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7"/>
                <w:szCs w:val="17"/>
                <w:color w:val="auto"/>
              </w:rPr>
              <w:t>Total lease payments</w:t>
            </w:r>
          </w:p>
        </w:tc>
        <w:tc>
          <w:tcPr>
            <w:tcW w:w="29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19,311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Less: interest</w:t>
            </w:r>
          </w:p>
        </w:tc>
        <w:tc>
          <w:tcPr>
            <w:tcW w:w="294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Present value of lease liabilities</w:t>
            </w:r>
          </w:p>
        </w:tc>
        <w:tc>
          <w:tcPr>
            <w:tcW w:w="294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7"/>
                <w:szCs w:val="17"/>
                <w:color w:val="auto"/>
              </w:rPr>
              <w:t>18,145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liabilities, current</w:t>
            </w:r>
          </w:p>
        </w:tc>
        <w:tc>
          <w:tcPr>
            <w:tcW w:w="3900" w:type="dxa"/>
            <w:vAlign w:val="bottom"/>
            <w:gridSpan w:val="2"/>
            <w:shd w:val="clear" w:color="auto" w:fill="CFF0FC"/>
          </w:tcPr>
          <w:p>
            <w:pPr>
              <w:jc w:val="right"/>
              <w:ind w:right="773"/>
              <w:spacing w:after="0"/>
              <w:rPr>
                <w:sz w:val="20"/>
                <w:szCs w:val="20"/>
                <w:color w:val="auto"/>
              </w:rPr>
            </w:pPr>
            <w:r>
              <w:rPr>
                <w:rFonts w:ascii="Arial" w:cs="Arial" w:eastAsia="Arial" w:hAnsi="Arial"/>
                <w:sz w:val="17"/>
                <w:szCs w:val="17"/>
                <w:color w:val="auto"/>
              </w:rPr>
              <w:t>$</w:t>
            </w:r>
          </w:p>
        </w:tc>
        <w:tc>
          <w:tcPr>
            <w:tcW w:w="152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6,052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Operating lease liabilities, noncurrent</w:t>
            </w:r>
          </w:p>
        </w:tc>
        <w:tc>
          <w:tcPr>
            <w:tcW w:w="294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12,093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 operating lease liabilities</w:t>
            </w:r>
          </w:p>
        </w:tc>
        <w:tc>
          <w:tcPr>
            <w:tcW w:w="294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7"/>
                <w:szCs w:val="17"/>
                <w:color w:val="auto"/>
              </w:rPr>
              <w:t>18,145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Future minimum payments under non-cancelable operating leases with initial terms of one year or more consisted of the following as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2019 in accordance with ASC Topic 840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3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2"/>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2020</w:t>
            </w:r>
          </w:p>
        </w:tc>
        <w:tc>
          <w:tcPr>
            <w:tcW w:w="4320" w:type="dxa"/>
            <w:vAlign w:val="bottom"/>
            <w:shd w:val="clear" w:color="auto" w:fill="CFF0FC"/>
          </w:tcPr>
          <w:p>
            <w:pPr>
              <w:spacing w:after="0"/>
              <w:rPr>
                <w:sz w:val="17"/>
                <w:szCs w:val="17"/>
                <w:color w:val="auto"/>
              </w:rPr>
            </w:pPr>
          </w:p>
        </w:tc>
        <w:tc>
          <w:tcPr>
            <w:tcW w:w="3900" w:type="dxa"/>
            <w:vAlign w:val="bottom"/>
            <w:gridSpan w:val="2"/>
            <w:shd w:val="clear" w:color="auto" w:fill="CFF0FC"/>
          </w:tcPr>
          <w:p>
            <w:pPr>
              <w:jc w:val="right"/>
              <w:ind w:right="533"/>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5,509</w:t>
            </w:r>
          </w:p>
        </w:tc>
      </w:tr>
      <w:tr>
        <w:trPr>
          <w:trHeight w:val="209"/>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2021</w:t>
            </w:r>
          </w:p>
        </w:tc>
        <w:tc>
          <w:tcPr>
            <w:tcW w:w="43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jc w:val="right"/>
              <w:ind w:right="33"/>
              <w:spacing w:after="0"/>
              <w:rPr>
                <w:sz w:val="20"/>
                <w:szCs w:val="20"/>
                <w:color w:val="auto"/>
              </w:rPr>
            </w:pPr>
            <w:r>
              <w:rPr>
                <w:rFonts w:ascii="Arial" w:cs="Arial" w:eastAsia="Arial" w:hAnsi="Arial"/>
                <w:sz w:val="17"/>
                <w:szCs w:val="17"/>
                <w:color w:val="auto"/>
              </w:rPr>
              <w:t>4,909</w:t>
            </w:r>
          </w:p>
        </w:tc>
      </w:tr>
      <w:tr>
        <w:trPr>
          <w:trHeight w:val="209"/>
        </w:trPr>
        <w:tc>
          <w:tcPr>
            <w:tcW w:w="20" w:type="dxa"/>
            <w:vAlign w:val="bottom"/>
          </w:tcPr>
          <w:p>
            <w:pPr>
              <w:spacing w:after="0"/>
              <w:rPr>
                <w:sz w:val="18"/>
                <w:szCs w:val="18"/>
                <w:color w:val="auto"/>
              </w:rPr>
            </w:pPr>
          </w:p>
        </w:tc>
        <w:tc>
          <w:tcPr>
            <w:tcW w:w="1740" w:type="dxa"/>
            <w:vAlign w:val="bottom"/>
            <w:shd w:val="clear" w:color="auto" w:fill="CFF0FC"/>
          </w:tcPr>
          <w:p>
            <w:pPr>
              <w:spacing w:after="0"/>
              <w:rPr>
                <w:sz w:val="20"/>
                <w:szCs w:val="20"/>
                <w:color w:val="auto"/>
              </w:rPr>
            </w:pPr>
            <w:r>
              <w:rPr>
                <w:rFonts w:ascii="Arial" w:cs="Arial" w:eastAsia="Arial" w:hAnsi="Arial"/>
                <w:sz w:val="17"/>
                <w:szCs w:val="17"/>
                <w:color w:val="auto"/>
              </w:rPr>
              <w:t>2022</w:t>
            </w:r>
          </w:p>
        </w:tc>
        <w:tc>
          <w:tcPr>
            <w:tcW w:w="4320" w:type="dxa"/>
            <w:vAlign w:val="bottom"/>
            <w:shd w:val="clear" w:color="auto" w:fill="CFF0FC"/>
          </w:tcPr>
          <w:p>
            <w:pPr>
              <w:spacing w:after="0"/>
              <w:rPr>
                <w:sz w:val="18"/>
                <w:szCs w:val="18"/>
                <w:color w:val="auto"/>
              </w:rPr>
            </w:pPr>
          </w:p>
        </w:tc>
        <w:tc>
          <w:tcPr>
            <w:tcW w:w="3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3,204</w:t>
            </w:r>
          </w:p>
        </w:tc>
      </w:tr>
      <w:tr>
        <w:trPr>
          <w:trHeight w:val="209"/>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2023</w:t>
            </w:r>
          </w:p>
        </w:tc>
        <w:tc>
          <w:tcPr>
            <w:tcW w:w="43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jc w:val="right"/>
              <w:ind w:right="33"/>
              <w:spacing w:after="0"/>
              <w:rPr>
                <w:sz w:val="20"/>
                <w:szCs w:val="20"/>
                <w:color w:val="auto"/>
              </w:rPr>
            </w:pPr>
            <w:r>
              <w:rPr>
                <w:rFonts w:ascii="Arial" w:cs="Arial" w:eastAsia="Arial" w:hAnsi="Arial"/>
                <w:sz w:val="17"/>
                <w:szCs w:val="17"/>
                <w:color w:val="auto"/>
              </w:rPr>
              <w:t>3,026</w:t>
            </w:r>
          </w:p>
        </w:tc>
      </w:tr>
      <w:tr>
        <w:trPr>
          <w:trHeight w:val="209"/>
        </w:trPr>
        <w:tc>
          <w:tcPr>
            <w:tcW w:w="20" w:type="dxa"/>
            <w:vAlign w:val="bottom"/>
          </w:tcPr>
          <w:p>
            <w:pPr>
              <w:spacing w:after="0"/>
              <w:rPr>
                <w:sz w:val="18"/>
                <w:szCs w:val="18"/>
                <w:color w:val="auto"/>
              </w:rPr>
            </w:pPr>
          </w:p>
        </w:tc>
        <w:tc>
          <w:tcPr>
            <w:tcW w:w="1740" w:type="dxa"/>
            <w:vAlign w:val="bottom"/>
            <w:shd w:val="clear" w:color="auto" w:fill="CFF0FC"/>
          </w:tcPr>
          <w:p>
            <w:pPr>
              <w:spacing w:after="0"/>
              <w:rPr>
                <w:sz w:val="20"/>
                <w:szCs w:val="20"/>
                <w:color w:val="auto"/>
              </w:rPr>
            </w:pPr>
            <w:r>
              <w:rPr>
                <w:rFonts w:ascii="Arial" w:cs="Arial" w:eastAsia="Arial" w:hAnsi="Arial"/>
                <w:sz w:val="17"/>
                <w:szCs w:val="17"/>
                <w:color w:val="auto"/>
              </w:rPr>
              <w:t>2024</w:t>
            </w:r>
          </w:p>
        </w:tc>
        <w:tc>
          <w:tcPr>
            <w:tcW w:w="4320" w:type="dxa"/>
            <w:vAlign w:val="bottom"/>
            <w:shd w:val="clear" w:color="auto" w:fill="CFF0FC"/>
          </w:tcPr>
          <w:p>
            <w:pPr>
              <w:spacing w:after="0"/>
              <w:rPr>
                <w:sz w:val="18"/>
                <w:szCs w:val="18"/>
                <w:color w:val="auto"/>
              </w:rPr>
            </w:pPr>
          </w:p>
        </w:tc>
        <w:tc>
          <w:tcPr>
            <w:tcW w:w="3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2,746</w:t>
            </w:r>
          </w:p>
        </w:tc>
      </w:tr>
      <w:tr>
        <w:trPr>
          <w:trHeight w:val="209"/>
        </w:trPr>
        <w:tc>
          <w:tcPr>
            <w:tcW w:w="20" w:type="dxa"/>
            <w:vAlign w:val="bottom"/>
          </w:tcPr>
          <w:p>
            <w:pPr>
              <w:spacing w:after="0"/>
              <w:rPr>
                <w:sz w:val="18"/>
                <w:szCs w:val="18"/>
                <w:color w:val="auto"/>
              </w:rPr>
            </w:pPr>
          </w:p>
        </w:tc>
        <w:tc>
          <w:tcPr>
            <w:tcW w:w="606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Thereafter</w:t>
            </w:r>
          </w:p>
        </w:tc>
        <w:tc>
          <w:tcPr>
            <w:tcW w:w="318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699</w:t>
            </w:r>
          </w:p>
        </w:tc>
      </w:tr>
      <w:tr>
        <w:trPr>
          <w:trHeight w:val="202"/>
        </w:trPr>
        <w:tc>
          <w:tcPr>
            <w:tcW w:w="20" w:type="dxa"/>
            <w:vAlign w:val="bottom"/>
          </w:tcPr>
          <w:p>
            <w:pPr>
              <w:spacing w:after="0"/>
              <w:rPr>
                <w:sz w:val="17"/>
                <w:szCs w:val="17"/>
                <w:color w:val="auto"/>
              </w:rPr>
            </w:pPr>
          </w:p>
        </w:tc>
        <w:tc>
          <w:tcPr>
            <w:tcW w:w="60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Total future minimum lease payments</w:t>
            </w:r>
          </w:p>
        </w:tc>
        <w:tc>
          <w:tcPr>
            <w:tcW w:w="318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53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7"/>
                <w:szCs w:val="17"/>
                <w:color w:val="auto"/>
              </w:rPr>
              <w:t>20,093</w:t>
            </w: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firstLine="762"/>
        <w:spacing w:after="0" w:line="265" w:lineRule="auto"/>
        <w:rPr>
          <w:sz w:val="20"/>
          <w:szCs w:val="20"/>
          <w:color w:val="auto"/>
        </w:rPr>
      </w:pPr>
      <w:r>
        <w:rPr>
          <w:rFonts w:ascii="Arial" w:cs="Arial" w:eastAsia="Arial" w:hAnsi="Arial"/>
          <w:sz w:val="17"/>
          <w:szCs w:val="17"/>
          <w:color w:val="auto"/>
        </w:rPr>
        <w:t>In accordance with ASC Topic 840, rent expense was $7.2 million and $5.7 million for the years ended December 31, 2019 and 2018. Certain of the Company’s lease agreements contain escalation clauses, and accordingly, the Company records the rent expense on a straight-line basis over the lease term. Deferred rent under ASC Topic ASC 840 is recorded within “Accrued expenses” in the consolidated balance sheet.</w:t>
      </w:r>
    </w:p>
    <w:p>
      <w:pPr>
        <w:spacing w:after="0" w:line="253" w:lineRule="exact"/>
        <w:rPr>
          <w:sz w:val="20"/>
          <w:szCs w:val="20"/>
          <w:color w:val="auto"/>
        </w:rPr>
      </w:pPr>
    </w:p>
    <w:p>
      <w:pPr>
        <w:ind w:right="4740" w:firstLine="5"/>
        <w:spacing w:after="0" w:line="370" w:lineRule="auto"/>
        <w:tabs>
          <w:tab w:leader="none" w:pos="281"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Redeemable Convertible Preferred Stock and Stockholders’ Equity (Deficit) </w:t>
      </w:r>
      <w:r>
        <w:rPr>
          <w:rFonts w:ascii="Arial" w:cs="Arial" w:eastAsia="Arial" w:hAnsi="Arial"/>
          <w:sz w:val="17"/>
          <w:szCs w:val="17"/>
          <w:b w:val="1"/>
          <w:bCs w:val="1"/>
          <w:i w:val="1"/>
          <w:iCs w:val="1"/>
          <w:color w:val="auto"/>
        </w:rPr>
        <w:t>Redeemable Convertible Preferred Stock</w:t>
      </w:r>
    </w:p>
    <w:p>
      <w:pPr>
        <w:spacing w:after="0" w:line="1" w:lineRule="exact"/>
        <w:rPr>
          <w:sz w:val="20"/>
          <w:szCs w:val="20"/>
          <w:color w:val="auto"/>
        </w:rPr>
      </w:pPr>
    </w:p>
    <w:p>
      <w:pPr>
        <w:ind w:right="120" w:firstLine="637"/>
        <w:spacing w:after="0" w:line="249" w:lineRule="auto"/>
        <w:rPr>
          <w:sz w:val="20"/>
          <w:szCs w:val="20"/>
          <w:color w:val="auto"/>
        </w:rPr>
      </w:pPr>
      <w:r>
        <w:rPr>
          <w:rFonts w:ascii="Arial" w:cs="Arial" w:eastAsia="Arial" w:hAnsi="Arial"/>
          <w:sz w:val="17"/>
          <w:szCs w:val="17"/>
          <w:color w:val="auto"/>
        </w:rPr>
        <w:t>As of December 31, 2019, the Company had eight outstanding series of redeemable convertible preferred stock (collectively the “Series Preferred”). The Company classified its Series B through H Preferred Stock (collectively the “Senior Preferred Stock”) as temporary equity within the Company’s consolidated balance sheet as of December 31, 2019 because the instruments contained redemption rights. The Company concluded that the Senior Preferred Stock were considered probable of becoming redeemable through November 2019 and therefore recorded accretion to their redemption values of $132.8 million during the year ended December 31, 2019. During December 2019, the Company ceased accretion of the Senior Preferred Stock to their redemption values due to a sufficiently high likelihood of an IPO requiring a conversion of the instruments into common stock.</w:t>
      </w:r>
    </w:p>
    <w:p>
      <w:pPr>
        <w:spacing w:after="0" w:line="163" w:lineRule="exact"/>
        <w:rPr>
          <w:sz w:val="20"/>
          <w:szCs w:val="20"/>
          <w:color w:val="auto"/>
        </w:rPr>
      </w:pPr>
    </w:p>
    <w:p>
      <w:pPr>
        <w:ind w:right="220" w:firstLine="637"/>
        <w:spacing w:after="0" w:line="257" w:lineRule="auto"/>
        <w:rPr>
          <w:sz w:val="20"/>
          <w:szCs w:val="20"/>
          <w:color w:val="auto"/>
        </w:rPr>
      </w:pPr>
      <w:r>
        <w:rPr>
          <w:rFonts w:ascii="Arial" w:cs="Arial" w:eastAsia="Arial" w:hAnsi="Arial"/>
          <w:sz w:val="17"/>
          <w:szCs w:val="17"/>
          <w:color w:val="auto"/>
        </w:rPr>
        <w:t>As of December 31, 2019, the Company classified its Series A Preferred Stock as temporary equity within the Company’s consolidated balance sheets because the instrument contained liquidation features, including a liquidation preference in the event of a deemed liquidation event, that were not solely within the Company’s control. The Company did not adjust the carrying value of the Series A Preferred Stock to its redemption value because it was not probable that the Series A Preferred Stock would become redeemable.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06" w:lineRule="exact"/>
        <w:rPr>
          <w:sz w:val="20"/>
          <w:szCs w:val="20"/>
          <w:color w:val="auto"/>
        </w:rPr>
      </w:pPr>
    </w:p>
    <w:p>
      <w:pPr>
        <w:ind w:right="80" w:firstLine="637"/>
        <w:spacing w:after="0" w:line="265" w:lineRule="auto"/>
        <w:rPr>
          <w:sz w:val="20"/>
          <w:szCs w:val="20"/>
          <w:color w:val="auto"/>
        </w:rPr>
      </w:pPr>
      <w:r>
        <w:rPr>
          <w:rFonts w:ascii="Arial" w:cs="Arial" w:eastAsia="Arial" w:hAnsi="Arial"/>
          <w:sz w:val="17"/>
          <w:szCs w:val="17"/>
          <w:color w:val="auto"/>
        </w:rPr>
        <w:t>On January 8, 2020, the Company completed an additional closing of its Series H Preferred Stock whereby it sold and issued an aggregate of 1,964,766 shares of Series H Preferred Stock in exchange for gross proceeds of $26.7 million. The proceeds were used for general corporate purposes and business development.</w:t>
      </w:r>
    </w:p>
    <w:p>
      <w:pPr>
        <w:spacing w:after="0" w:line="151" w:lineRule="exact"/>
        <w:rPr>
          <w:sz w:val="20"/>
          <w:szCs w:val="20"/>
          <w:color w:val="auto"/>
        </w:rPr>
      </w:pPr>
    </w:p>
    <w:p>
      <w:pPr>
        <w:ind w:right="320" w:firstLine="637"/>
        <w:spacing w:after="0" w:line="265" w:lineRule="auto"/>
        <w:rPr>
          <w:sz w:val="20"/>
          <w:szCs w:val="20"/>
          <w:color w:val="auto"/>
        </w:rPr>
      </w:pPr>
      <w:r>
        <w:rPr>
          <w:rFonts w:ascii="Arial" w:cs="Arial" w:eastAsia="Arial" w:hAnsi="Arial"/>
          <w:sz w:val="17"/>
          <w:szCs w:val="17"/>
          <w:color w:val="auto"/>
        </w:rPr>
        <w:t>Immediately upon closing of the IPO, the Company’s outstanding preferred stock was automatically converted into an aggregate of 85,533,394 shares of the Company’s common stock. On June 11, 2020, the Company amended its certificate of incorporation to authorize the issuance of up to 10,000,000 shares of Preferred Stock. As of December 31, 2020, there was no preferred stock issued or outstanding.</w:t>
      </w:r>
    </w:p>
    <w:p>
      <w:pPr>
        <w:spacing w:after="0" w:line="151" w:lineRule="exact"/>
        <w:rPr>
          <w:sz w:val="20"/>
          <w:szCs w:val="20"/>
          <w:color w:val="auto"/>
        </w:rPr>
      </w:pPr>
    </w:p>
    <w:p>
      <w:pPr>
        <w:ind w:right="360" w:firstLine="637"/>
        <w:spacing w:after="0" w:line="290" w:lineRule="auto"/>
        <w:rPr>
          <w:sz w:val="20"/>
          <w:szCs w:val="20"/>
          <w:color w:val="auto"/>
        </w:rPr>
      </w:pPr>
      <w:r>
        <w:rPr>
          <w:rFonts w:ascii="Arial" w:cs="Arial" w:eastAsia="Arial" w:hAnsi="Arial"/>
          <w:sz w:val="17"/>
          <w:szCs w:val="17"/>
          <w:color w:val="auto"/>
        </w:rPr>
        <w:t>The authorized, issued and outstanding shares, issue price, conversion price, liquidation preference, and carrying value of the Series Preferred as of December 31, 2019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9"/>
              </w:rPr>
              <w:t>As of December 31, 2019</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63"/>
        </w:trPr>
        <w:tc>
          <w:tcPr>
            <w:tcW w:w="2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60" w:type="dxa"/>
            <w:vAlign w:val="bottom"/>
            <w:gridSpan w:val="9"/>
          </w:tcPr>
          <w:p>
            <w:pPr>
              <w:jc w:val="center"/>
              <w:ind w:left="978"/>
              <w:spacing w:after="0"/>
              <w:rPr>
                <w:sz w:val="20"/>
                <w:szCs w:val="20"/>
                <w:color w:val="auto"/>
              </w:rPr>
            </w:pPr>
            <w:r>
              <w:rPr>
                <w:rFonts w:ascii="Arial" w:cs="Arial" w:eastAsia="Arial" w:hAnsi="Arial"/>
                <w:sz w:val="14"/>
                <w:szCs w:val="14"/>
                <w:b w:val="1"/>
                <w:bCs w:val="1"/>
                <w:color w:val="auto"/>
                <w:w w:val="99"/>
              </w:rPr>
              <w:t>(in thousands, except share and per share amounts)</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7"/>
        </w:trPr>
        <w:tc>
          <w:tcPr>
            <w:tcW w:w="26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38"/>
              <w:spacing w:after="0" w:line="157" w:lineRule="exact"/>
              <w:rPr>
                <w:sz w:val="20"/>
                <w:szCs w:val="20"/>
                <w:color w:val="auto"/>
              </w:rPr>
            </w:pPr>
            <w:r>
              <w:rPr>
                <w:rFonts w:ascii="Arial" w:cs="Arial" w:eastAsia="Arial" w:hAnsi="Arial"/>
                <w:sz w:val="14"/>
                <w:szCs w:val="14"/>
                <w:b w:val="1"/>
                <w:bCs w:val="1"/>
                <w:color w:val="auto"/>
                <w:w w:val="98"/>
              </w:rPr>
              <w:t>Shares</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7"/>
        </w:trPr>
        <w:tc>
          <w:tcPr>
            <w:tcW w:w="2620" w:type="dxa"/>
            <w:vAlign w:val="bottom"/>
          </w:tcPr>
          <w:p>
            <w:pPr>
              <w:spacing w:after="0"/>
              <w:rPr>
                <w:sz w:val="13"/>
                <w:szCs w:val="13"/>
                <w:color w:val="auto"/>
              </w:rPr>
            </w:pPr>
          </w:p>
        </w:tc>
        <w:tc>
          <w:tcPr>
            <w:tcW w:w="144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8"/>
              </w:rPr>
              <w:t>Shares</w:t>
            </w:r>
          </w:p>
        </w:tc>
        <w:tc>
          <w:tcPr>
            <w:tcW w:w="1300" w:type="dxa"/>
            <w:vAlign w:val="bottom"/>
          </w:tcPr>
          <w:p>
            <w:pPr>
              <w:jc w:val="center"/>
              <w:ind w:right="18"/>
              <w:spacing w:after="0" w:line="157" w:lineRule="exact"/>
              <w:rPr>
                <w:sz w:val="20"/>
                <w:szCs w:val="20"/>
                <w:color w:val="auto"/>
              </w:rPr>
            </w:pPr>
            <w:r>
              <w:rPr>
                <w:rFonts w:ascii="Arial" w:cs="Arial" w:eastAsia="Arial" w:hAnsi="Arial"/>
                <w:sz w:val="14"/>
                <w:szCs w:val="14"/>
                <w:b w:val="1"/>
                <w:bCs w:val="1"/>
                <w:color w:val="auto"/>
                <w:w w:val="98"/>
              </w:rPr>
              <w:t>issued and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60"/>
              <w:spacing w:after="0" w:line="157" w:lineRule="exact"/>
              <w:rPr>
                <w:sz w:val="20"/>
                <w:szCs w:val="20"/>
                <w:color w:val="auto"/>
              </w:rPr>
            </w:pPr>
            <w:r>
              <w:rPr>
                <w:rFonts w:ascii="Arial" w:cs="Arial" w:eastAsia="Arial" w:hAnsi="Arial"/>
                <w:sz w:val="14"/>
                <w:szCs w:val="14"/>
                <w:b w:val="1"/>
                <w:bCs w:val="1"/>
                <w:color w:val="auto"/>
              </w:rPr>
              <w:t>Issue</w:t>
            </w:r>
          </w:p>
        </w:tc>
        <w:tc>
          <w:tcPr>
            <w:tcW w:w="160" w:type="dxa"/>
            <w:vAlign w:val="bottom"/>
          </w:tcPr>
          <w:p>
            <w:pPr>
              <w:spacing w:after="0"/>
              <w:rPr>
                <w:sz w:val="13"/>
                <w:szCs w:val="13"/>
                <w:color w:val="auto"/>
              </w:rPr>
            </w:pPr>
          </w:p>
        </w:tc>
        <w:tc>
          <w:tcPr>
            <w:tcW w:w="130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rPr>
              <w:t>conversion</w:t>
            </w:r>
          </w:p>
        </w:tc>
        <w:tc>
          <w:tcPr>
            <w:tcW w:w="200" w:type="dxa"/>
            <w:vAlign w:val="bottom"/>
          </w:tcPr>
          <w:p>
            <w:pPr>
              <w:spacing w:after="0"/>
              <w:rPr>
                <w:sz w:val="13"/>
                <w:szCs w:val="13"/>
                <w:color w:val="auto"/>
              </w:rPr>
            </w:pPr>
          </w:p>
        </w:tc>
        <w:tc>
          <w:tcPr>
            <w:tcW w:w="1140" w:type="dxa"/>
            <w:vAlign w:val="bottom"/>
          </w:tcPr>
          <w:p>
            <w:pPr>
              <w:jc w:val="right"/>
              <w:ind w:right="276"/>
              <w:spacing w:after="0" w:line="157" w:lineRule="exact"/>
              <w:rPr>
                <w:sz w:val="20"/>
                <w:szCs w:val="20"/>
                <w:color w:val="auto"/>
              </w:rPr>
            </w:pPr>
            <w:r>
              <w:rPr>
                <w:rFonts w:ascii="Arial" w:cs="Arial" w:eastAsia="Arial" w:hAnsi="Arial"/>
                <w:sz w:val="14"/>
                <w:szCs w:val="14"/>
                <w:b w:val="1"/>
                <w:bCs w:val="1"/>
                <w:color w:val="auto"/>
              </w:rPr>
              <w:t>Liquidation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356"/>
              <w:spacing w:after="0" w:line="157" w:lineRule="exact"/>
              <w:rPr>
                <w:sz w:val="20"/>
                <w:szCs w:val="20"/>
                <w:color w:val="auto"/>
              </w:rPr>
            </w:pPr>
            <w:r>
              <w:rPr>
                <w:rFonts w:ascii="Arial" w:cs="Arial" w:eastAsia="Arial" w:hAnsi="Arial"/>
                <w:sz w:val="14"/>
                <w:szCs w:val="14"/>
                <w:b w:val="1"/>
                <w:bCs w:val="1"/>
                <w:color w:val="auto"/>
              </w:rPr>
              <w:t>Carrying</w:t>
            </w:r>
          </w:p>
        </w:tc>
      </w:tr>
      <w:tr>
        <w:trPr>
          <w:trHeight w:val="170"/>
        </w:trPr>
        <w:tc>
          <w:tcPr>
            <w:tcW w:w="262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authorized</w:t>
            </w:r>
          </w:p>
        </w:tc>
        <w:tc>
          <w:tcPr>
            <w:tcW w:w="1300" w:type="dxa"/>
            <w:vAlign w:val="bottom"/>
          </w:tcPr>
          <w:p>
            <w:pPr>
              <w:jc w:val="center"/>
              <w:ind w:right="18"/>
              <w:spacing w:after="0"/>
              <w:rPr>
                <w:sz w:val="20"/>
                <w:szCs w:val="20"/>
                <w:color w:val="auto"/>
              </w:rPr>
            </w:pPr>
            <w:r>
              <w:rPr>
                <w:rFonts w:ascii="Arial" w:cs="Arial" w:eastAsia="Arial" w:hAnsi="Arial"/>
                <w:sz w:val="14"/>
                <w:szCs w:val="14"/>
                <w:b w:val="1"/>
                <w:bCs w:val="1"/>
                <w:color w:val="auto"/>
                <w:w w:val="99"/>
              </w:rPr>
              <w:t>outstanding</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price</w:t>
            </w:r>
          </w:p>
        </w:tc>
        <w:tc>
          <w:tcPr>
            <w:tcW w:w="200" w:type="dxa"/>
            <w:vAlign w:val="bottom"/>
          </w:tcPr>
          <w:p>
            <w:pPr>
              <w:spacing w:after="0"/>
              <w:rPr>
                <w:sz w:val="14"/>
                <w:szCs w:val="14"/>
                <w:color w:val="auto"/>
              </w:rPr>
            </w:pPr>
          </w:p>
        </w:tc>
        <w:tc>
          <w:tcPr>
            <w:tcW w:w="1140" w:type="dxa"/>
            <w:vAlign w:val="bottom"/>
          </w:tcPr>
          <w:p>
            <w:pPr>
              <w:jc w:val="right"/>
              <w:ind w:right="296"/>
              <w:spacing w:after="0"/>
              <w:rPr>
                <w:sz w:val="20"/>
                <w:szCs w:val="20"/>
                <w:color w:val="auto"/>
              </w:rPr>
            </w:pPr>
            <w:r>
              <w:rPr>
                <w:rFonts w:ascii="Arial" w:cs="Arial" w:eastAsia="Arial" w:hAnsi="Arial"/>
                <w:sz w:val="14"/>
                <w:szCs w:val="14"/>
                <w:b w:val="1"/>
                <w:bCs w:val="1"/>
                <w:color w:val="auto"/>
              </w:rPr>
              <w:t>preference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76"/>
              <w:spacing w:after="0"/>
              <w:rPr>
                <w:sz w:val="20"/>
                <w:szCs w:val="20"/>
                <w:color w:val="auto"/>
              </w:rPr>
            </w:pPr>
            <w:r>
              <w:rPr>
                <w:rFonts w:ascii="Arial" w:cs="Arial" w:eastAsia="Arial" w:hAnsi="Arial"/>
                <w:sz w:val="14"/>
                <w:szCs w:val="14"/>
                <w:b w:val="1"/>
                <w:bCs w:val="1"/>
                <w:color w:val="auto"/>
              </w:rPr>
              <w:t>value</w:t>
            </w:r>
          </w:p>
        </w:tc>
      </w:tr>
      <w:tr>
        <w:trPr>
          <w:trHeight w:val="202"/>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Series A</w:t>
            </w:r>
          </w:p>
        </w:tc>
        <w:tc>
          <w:tcPr>
            <w:tcW w:w="13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7"/>
                <w:szCs w:val="17"/>
                <w:color w:val="auto"/>
              </w:rPr>
              <w:t>3,983,996</w:t>
            </w:r>
          </w:p>
        </w:tc>
        <w:tc>
          <w:tcPr>
            <w:tcW w:w="140" w:type="dxa"/>
            <w:vAlign w:val="bottom"/>
            <w:tcBorders>
              <w:top w:val="single" w:sz="8" w:color="CFF0FC"/>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ind w:right="18"/>
              <w:spacing w:after="0"/>
              <w:rPr>
                <w:sz w:val="20"/>
                <w:szCs w:val="20"/>
                <w:color w:val="auto"/>
              </w:rPr>
            </w:pPr>
            <w:r>
              <w:rPr>
                <w:rFonts w:ascii="Arial" w:cs="Arial" w:eastAsia="Arial" w:hAnsi="Arial"/>
                <w:sz w:val="17"/>
                <w:szCs w:val="17"/>
                <w:color w:val="auto"/>
              </w:rPr>
              <w:t>3,983,996</w:t>
            </w:r>
          </w:p>
        </w:tc>
        <w:tc>
          <w:tcPr>
            <w:tcW w:w="1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1.61</w:t>
            </w: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1.61</w:t>
            </w:r>
          </w:p>
        </w:tc>
        <w:tc>
          <w:tcPr>
            <w:tcW w:w="1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6,419</w:t>
            </w: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6,167</w:t>
            </w:r>
          </w:p>
        </w:tc>
      </w:tr>
      <w:tr>
        <w:trPr>
          <w:trHeight w:val="209"/>
        </w:trPr>
        <w:tc>
          <w:tcPr>
            <w:tcW w:w="2620" w:type="dxa"/>
            <w:vAlign w:val="bottom"/>
          </w:tcPr>
          <w:p>
            <w:pPr>
              <w:spacing w:after="0"/>
              <w:rPr>
                <w:sz w:val="20"/>
                <w:szCs w:val="20"/>
                <w:color w:val="auto"/>
              </w:rPr>
            </w:pPr>
            <w:r>
              <w:rPr>
                <w:rFonts w:ascii="Arial" w:cs="Arial" w:eastAsia="Arial" w:hAnsi="Arial"/>
                <w:sz w:val="17"/>
                <w:szCs w:val="17"/>
                <w:color w:val="auto"/>
              </w:rPr>
              <w:t>Series B</w:t>
            </w: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4,716,484</w:t>
            </w:r>
          </w:p>
        </w:tc>
        <w:tc>
          <w:tcPr>
            <w:tcW w:w="140" w:type="dxa"/>
            <w:vAlign w:val="bottom"/>
          </w:tcPr>
          <w:p>
            <w:pPr>
              <w:spacing w:after="0"/>
              <w:rPr>
                <w:sz w:val="18"/>
                <w:szCs w:val="18"/>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4,716,484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2.48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8"/>
              <w:spacing w:after="0"/>
              <w:rPr>
                <w:sz w:val="20"/>
                <w:szCs w:val="20"/>
                <w:color w:val="auto"/>
              </w:rPr>
            </w:pPr>
            <w:r>
              <w:rPr>
                <w:rFonts w:ascii="Arial" w:cs="Arial" w:eastAsia="Arial" w:hAnsi="Arial"/>
                <w:sz w:val="17"/>
                <w:szCs w:val="17"/>
                <w:color w:val="auto"/>
              </w:rPr>
              <w:t>2.48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11,709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42,425</w:t>
            </w:r>
          </w:p>
        </w:tc>
      </w:tr>
      <w:tr>
        <w:trPr>
          <w:trHeight w:val="209"/>
        </w:trPr>
        <w:tc>
          <w:tcPr>
            <w:tcW w:w="2620" w:type="dxa"/>
            <w:vAlign w:val="bottom"/>
            <w:shd w:val="clear" w:color="auto" w:fill="CFF0FC"/>
          </w:tcPr>
          <w:p>
            <w:pPr>
              <w:spacing w:after="0"/>
              <w:rPr>
                <w:sz w:val="20"/>
                <w:szCs w:val="20"/>
                <w:color w:val="auto"/>
              </w:rPr>
            </w:pPr>
            <w:r>
              <w:rPr>
                <w:rFonts w:ascii="Arial" w:cs="Arial" w:eastAsia="Arial" w:hAnsi="Arial"/>
                <w:sz w:val="17"/>
                <w:szCs w:val="17"/>
                <w:color w:val="auto"/>
              </w:rPr>
              <w:t>Series C</w:t>
            </w:r>
          </w:p>
        </w:tc>
        <w:tc>
          <w:tcPr>
            <w:tcW w:w="130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9,134,242</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9,134,242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5.93</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5.93</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54,209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88,739</w:t>
            </w:r>
          </w:p>
        </w:tc>
      </w:tr>
      <w:tr>
        <w:trPr>
          <w:trHeight w:val="209"/>
        </w:trPr>
        <w:tc>
          <w:tcPr>
            <w:tcW w:w="2620" w:type="dxa"/>
            <w:vAlign w:val="bottom"/>
          </w:tcPr>
          <w:p>
            <w:pPr>
              <w:spacing w:after="0"/>
              <w:rPr>
                <w:sz w:val="20"/>
                <w:szCs w:val="20"/>
                <w:color w:val="auto"/>
              </w:rPr>
            </w:pPr>
            <w:r>
              <w:rPr>
                <w:rFonts w:ascii="Arial" w:cs="Arial" w:eastAsia="Arial" w:hAnsi="Arial"/>
                <w:sz w:val="17"/>
                <w:szCs w:val="17"/>
                <w:color w:val="auto"/>
              </w:rPr>
              <w:t>Series D</w:t>
            </w: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14,431,136</w:t>
            </w:r>
          </w:p>
        </w:tc>
        <w:tc>
          <w:tcPr>
            <w:tcW w:w="140" w:type="dxa"/>
            <w:vAlign w:val="bottom"/>
          </w:tcPr>
          <w:p>
            <w:pPr>
              <w:spacing w:after="0"/>
              <w:rPr>
                <w:sz w:val="18"/>
                <w:szCs w:val="18"/>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14,431,136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6.58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8"/>
              <w:spacing w:after="0"/>
              <w:rPr>
                <w:sz w:val="20"/>
                <w:szCs w:val="20"/>
                <w:color w:val="auto"/>
              </w:rPr>
            </w:pPr>
            <w:r>
              <w:rPr>
                <w:rFonts w:ascii="Arial" w:cs="Arial" w:eastAsia="Arial" w:hAnsi="Arial"/>
                <w:sz w:val="17"/>
                <w:szCs w:val="17"/>
                <w:color w:val="auto"/>
              </w:rPr>
              <w:t>6.58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95,000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142,724</w:t>
            </w:r>
          </w:p>
        </w:tc>
      </w:tr>
      <w:tr>
        <w:trPr>
          <w:trHeight w:val="209"/>
        </w:trPr>
        <w:tc>
          <w:tcPr>
            <w:tcW w:w="2620" w:type="dxa"/>
            <w:vAlign w:val="bottom"/>
            <w:shd w:val="clear" w:color="auto" w:fill="CFF0FC"/>
          </w:tcPr>
          <w:p>
            <w:pPr>
              <w:spacing w:after="0"/>
              <w:rPr>
                <w:sz w:val="20"/>
                <w:szCs w:val="20"/>
                <w:color w:val="auto"/>
              </w:rPr>
            </w:pPr>
            <w:r>
              <w:rPr>
                <w:rFonts w:ascii="Arial" w:cs="Arial" w:eastAsia="Arial" w:hAnsi="Arial"/>
                <w:sz w:val="17"/>
                <w:szCs w:val="17"/>
                <w:color w:val="auto"/>
              </w:rPr>
              <w:t>Series E</w:t>
            </w:r>
          </w:p>
        </w:tc>
        <w:tc>
          <w:tcPr>
            <w:tcW w:w="130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6,163,792</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6,163,792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8.11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8.11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50,000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64,042</w:t>
            </w:r>
          </w:p>
        </w:tc>
      </w:tr>
      <w:tr>
        <w:trPr>
          <w:trHeight w:val="209"/>
        </w:trPr>
        <w:tc>
          <w:tcPr>
            <w:tcW w:w="2620" w:type="dxa"/>
            <w:vAlign w:val="bottom"/>
          </w:tcPr>
          <w:p>
            <w:pPr>
              <w:spacing w:after="0"/>
              <w:rPr>
                <w:sz w:val="20"/>
                <w:szCs w:val="20"/>
                <w:color w:val="auto"/>
              </w:rPr>
            </w:pPr>
            <w:r>
              <w:rPr>
                <w:rFonts w:ascii="Arial" w:cs="Arial" w:eastAsia="Arial" w:hAnsi="Arial"/>
                <w:sz w:val="17"/>
                <w:szCs w:val="17"/>
                <w:color w:val="auto"/>
              </w:rPr>
              <w:t>Series F</w:t>
            </w: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12,705,580</w:t>
            </w:r>
          </w:p>
        </w:tc>
        <w:tc>
          <w:tcPr>
            <w:tcW w:w="140" w:type="dxa"/>
            <w:vAlign w:val="bottom"/>
          </w:tcPr>
          <w:p>
            <w:pPr>
              <w:spacing w:after="0"/>
              <w:rPr>
                <w:sz w:val="18"/>
                <w:szCs w:val="18"/>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12,115,610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8.53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8"/>
              <w:spacing w:after="0"/>
              <w:rPr>
                <w:sz w:val="20"/>
                <w:szCs w:val="20"/>
                <w:color w:val="auto"/>
              </w:rPr>
            </w:pPr>
            <w:r>
              <w:rPr>
                <w:rFonts w:ascii="Arial" w:cs="Arial" w:eastAsia="Arial" w:hAnsi="Arial"/>
                <w:sz w:val="17"/>
                <w:szCs w:val="17"/>
                <w:color w:val="auto"/>
              </w:rPr>
              <w:t>8.53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103,346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127,820</w:t>
            </w:r>
          </w:p>
        </w:tc>
      </w:tr>
      <w:tr>
        <w:trPr>
          <w:trHeight w:val="209"/>
        </w:trPr>
        <w:tc>
          <w:tcPr>
            <w:tcW w:w="2620" w:type="dxa"/>
            <w:vAlign w:val="bottom"/>
            <w:shd w:val="clear" w:color="auto" w:fill="CFF0FC"/>
          </w:tcPr>
          <w:p>
            <w:pPr>
              <w:spacing w:after="0"/>
              <w:rPr>
                <w:sz w:val="20"/>
                <w:szCs w:val="20"/>
                <w:color w:val="auto"/>
              </w:rPr>
            </w:pPr>
            <w:r>
              <w:rPr>
                <w:rFonts w:ascii="Arial" w:cs="Arial" w:eastAsia="Arial" w:hAnsi="Arial"/>
                <w:sz w:val="17"/>
                <w:szCs w:val="17"/>
                <w:color w:val="auto"/>
              </w:rPr>
              <w:t>Series G</w:t>
            </w:r>
          </w:p>
        </w:tc>
        <w:tc>
          <w:tcPr>
            <w:tcW w:w="130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16,280,040</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16,280,040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8.98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8.98</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146,113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174,764</w:t>
            </w:r>
          </w:p>
        </w:tc>
      </w:tr>
      <w:tr>
        <w:trPr>
          <w:trHeight w:val="209"/>
        </w:trPr>
        <w:tc>
          <w:tcPr>
            <w:tcW w:w="26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Series H</w:t>
            </w: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18,708,094</w:t>
            </w:r>
          </w:p>
        </w:tc>
        <w:tc>
          <w:tcPr>
            <w:tcW w:w="14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16,743,328</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jc w:val="right"/>
              <w:ind w:right="38"/>
              <w:spacing w:after="0"/>
              <w:rPr>
                <w:sz w:val="20"/>
                <w:szCs w:val="20"/>
                <w:color w:val="auto"/>
              </w:rPr>
            </w:pPr>
            <w:r>
              <w:rPr>
                <w:rFonts w:ascii="Arial" w:cs="Arial" w:eastAsia="Arial" w:hAnsi="Arial"/>
                <w:sz w:val="17"/>
                <w:szCs w:val="17"/>
                <w:color w:val="auto"/>
              </w:rPr>
              <w:t>13.60</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jc w:val="right"/>
              <w:ind w:right="38"/>
              <w:spacing w:after="0"/>
              <w:rPr>
                <w:sz w:val="20"/>
                <w:szCs w:val="20"/>
                <w:color w:val="auto"/>
              </w:rPr>
            </w:pPr>
            <w:r>
              <w:rPr>
                <w:rFonts w:ascii="Arial" w:cs="Arial" w:eastAsia="Arial" w:hAnsi="Arial"/>
                <w:sz w:val="17"/>
                <w:szCs w:val="17"/>
                <w:color w:val="auto"/>
              </w:rPr>
              <w:t>13.60</w:t>
            </w:r>
          </w:p>
        </w:tc>
        <w:tc>
          <w:tcPr>
            <w:tcW w:w="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227,651</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227,651</w:t>
            </w:r>
          </w:p>
        </w:tc>
      </w:tr>
      <w:tr>
        <w:trPr>
          <w:trHeight w:val="202"/>
        </w:trPr>
        <w:tc>
          <w:tcPr>
            <w:tcW w:w="262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7"/>
                <w:szCs w:val="17"/>
                <w:color w:val="auto"/>
              </w:rPr>
              <w:t>86,123,364</w:t>
            </w:r>
          </w:p>
        </w:tc>
        <w:tc>
          <w:tcPr>
            <w:tcW w:w="14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7"/>
                <w:szCs w:val="17"/>
                <w:color w:val="auto"/>
              </w:rPr>
              <w:t>83,568,628</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694,447</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874,332</w:t>
            </w:r>
          </w:p>
        </w:tc>
      </w:tr>
      <w:tr>
        <w:trPr>
          <w:trHeight w:val="20"/>
        </w:trPr>
        <w:tc>
          <w:tcPr>
            <w:tcW w:w="26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103" w:lineRule="exact"/>
        <w:rPr>
          <w:sz w:val="20"/>
          <w:szCs w:val="20"/>
          <w:color w:val="auto"/>
        </w:rPr>
      </w:pPr>
    </w:p>
    <w:p>
      <w:pPr>
        <w:ind w:right="60" w:firstLine="637"/>
        <w:spacing w:after="0" w:line="257" w:lineRule="auto"/>
        <w:rPr>
          <w:sz w:val="20"/>
          <w:szCs w:val="20"/>
          <w:color w:val="auto"/>
        </w:rPr>
      </w:pPr>
      <w:r>
        <w:rPr>
          <w:rFonts w:ascii="Arial" w:cs="Arial" w:eastAsia="Arial" w:hAnsi="Arial"/>
          <w:sz w:val="17"/>
          <w:szCs w:val="17"/>
          <w:color w:val="auto"/>
        </w:rPr>
        <w:t>On June 11, 2020, the Company amended its certificate of incorporation to effect a 2-for-1 forward stock split of shares of the Company’s outstanding common stock, such that each share of common stock, $0.001 par value became two shares of common stock, $0.001 par value per share. The shares of common stock authorized for issuance was increased to 500,000,000. Each share of common stock entitles the holder to one vote on all matters submitted to a vote of the Company’s stockholders.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Warrants</w:t>
      </w:r>
    </w:p>
    <w:p>
      <w:pPr>
        <w:spacing w:after="0" w:line="103" w:lineRule="exact"/>
        <w:rPr>
          <w:sz w:val="20"/>
          <w:szCs w:val="20"/>
          <w:color w:val="auto"/>
        </w:rPr>
      </w:pPr>
    </w:p>
    <w:p>
      <w:pPr>
        <w:ind w:right="60" w:firstLine="637"/>
        <w:spacing w:after="0" w:line="253" w:lineRule="auto"/>
        <w:rPr>
          <w:sz w:val="20"/>
          <w:szCs w:val="20"/>
          <w:color w:val="auto"/>
        </w:rPr>
      </w:pPr>
      <w:r>
        <w:rPr>
          <w:rFonts w:ascii="Arial" w:cs="Arial" w:eastAsia="Arial" w:hAnsi="Arial"/>
          <w:sz w:val="17"/>
          <w:szCs w:val="17"/>
          <w:color w:val="auto"/>
        </w:rPr>
        <w:t>In connection with the offering of shares of Series B Preferred Stock, the Company issued warrants to an investor in return for providing ongoing advisory services (“Series B Warrants”). The Series B Warrants allowed the investor to purchase up to 161,136 shares of common stock with an exercise price of $0.72 per share. The Series B Warrants vested in equal monthly installments through October 1, 2017. Upon the closing of the IPO, all of the Series B Warrants were exercised cashless by the holder which resulted in the net issuance of 155,862 shares of the Company’s common stock.</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August 2017, the Company issued a warrant (the “Series F Preferred Stock Warrant”) which allowed the holders to purchase up to</w:t>
      </w:r>
    </w:p>
    <w:p>
      <w:pPr>
        <w:spacing w:after="0" w:line="23" w:lineRule="exact"/>
        <w:rPr>
          <w:sz w:val="20"/>
          <w:szCs w:val="20"/>
          <w:color w:val="auto"/>
        </w:rPr>
      </w:pPr>
    </w:p>
    <w:p>
      <w:pPr>
        <w:jc w:val="both"/>
        <w:ind w:right="200"/>
        <w:spacing w:after="0" w:line="246" w:lineRule="auto"/>
        <w:rPr>
          <w:sz w:val="20"/>
          <w:szCs w:val="20"/>
          <w:color w:val="auto"/>
        </w:rPr>
      </w:pPr>
      <w:r>
        <w:rPr>
          <w:rFonts w:ascii="Arial" w:cs="Arial" w:eastAsia="Arial" w:hAnsi="Arial"/>
          <w:sz w:val="17"/>
          <w:szCs w:val="17"/>
          <w:color w:val="auto"/>
        </w:rPr>
        <w:t>589,970 shares of the Company’s Series F Preferred Stock, or common stock upon conversion of the Company’s preferred stock into common stock, with an exercise price of $8.53 per share. The holders exercised the warrant on June 23, 2020 on a cashless basis, which resulted in the net issuance of 480,250 shares of the Company’s common stock. Prior to the conversion of the Company’s preferred stock into common stock, the Series F Preferred Stock Warrant was classified as a liability due to the contingent redemption features of the Series F Preferred Stock and was measured at fair value at each reporting date. Refer to Note 13 – Financial Instruments and Fair Value Measurements.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Stock-based Compensation</w:t>
      </w:r>
    </w:p>
    <w:p>
      <w:pPr>
        <w:spacing w:after="0" w:line="107" w:lineRule="exact"/>
        <w:rPr>
          <w:sz w:val="20"/>
          <w:szCs w:val="20"/>
          <w:color w:val="auto"/>
        </w:rPr>
      </w:pPr>
    </w:p>
    <w:p>
      <w:pPr>
        <w:ind w:right="20" w:firstLine="762"/>
        <w:spacing w:after="0" w:line="257" w:lineRule="auto"/>
        <w:rPr>
          <w:sz w:val="20"/>
          <w:szCs w:val="20"/>
          <w:color w:val="auto"/>
        </w:rPr>
      </w:pPr>
      <w:r>
        <w:rPr>
          <w:rFonts w:ascii="Arial" w:cs="Arial" w:eastAsia="Arial" w:hAnsi="Arial"/>
          <w:sz w:val="17"/>
          <w:szCs w:val="17"/>
          <w:color w:val="auto"/>
        </w:rPr>
        <w:t>On May 28, 2020, the Company adopted the 2020 Incentive Award Plan (“the 2020 Plan”), which authorized the issuance of (i) up to 3,019,108 shares of the Company’s common stock, (ii) up to 4% of an annual increase on the first day of each year beginning on January 1, 2022 and ending on January 1, 2030, and (iii) any shares of the Company’s common stock subject to awards under the 2014 Plan which are forfeited</w:t>
      </w:r>
    </w:p>
    <w:p>
      <w:pPr>
        <w:ind w:right="240"/>
        <w:spacing w:after="0" w:line="290" w:lineRule="auto"/>
        <w:rPr>
          <w:sz w:val="20"/>
          <w:szCs w:val="20"/>
          <w:color w:val="auto"/>
        </w:rPr>
      </w:pPr>
      <w:r>
        <w:rPr>
          <w:rFonts w:ascii="Arial" w:cs="Arial" w:eastAsia="Arial" w:hAnsi="Arial"/>
          <w:sz w:val="17"/>
          <w:szCs w:val="17"/>
          <w:color w:val="auto"/>
        </w:rPr>
        <w:t>or lapse unexercised and which following the effective date are not issued under the 2014 Plan. Awards may be issued in the form of restricted stock units, restricted stock, stock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appreciation rights, and stock options. As of December 31, 2020, there were 3,185,964 shares available for future issuance under the 2020 Plan.</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summarizes stock option activity for the year ended December 31, 2020:</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42"/>
              <w:spacing w:after="0"/>
              <w:rPr>
                <w:sz w:val="20"/>
                <w:szCs w:val="20"/>
                <w:color w:val="auto"/>
              </w:rPr>
            </w:pPr>
            <w:r>
              <w:rPr>
                <w:rFonts w:ascii="Arial" w:cs="Arial" w:eastAsia="Arial" w:hAnsi="Arial"/>
                <w:sz w:val="14"/>
                <w:szCs w:val="14"/>
                <w:b w:val="1"/>
                <w:bCs w:val="1"/>
                <w:color w:val="auto"/>
                <w:w w:val="98"/>
              </w:rPr>
              <w:t>Weighted</w:t>
            </w:r>
          </w:p>
        </w:tc>
        <w:tc>
          <w:tcPr>
            <w:tcW w:w="0" w:type="dxa"/>
            <w:vAlign w:val="bottom"/>
          </w:tcPr>
          <w:p>
            <w:pPr>
              <w:spacing w:after="0"/>
              <w:rPr>
                <w:sz w:val="1"/>
                <w:szCs w:val="1"/>
                <w:color w:val="auto"/>
              </w:rPr>
            </w:pPr>
          </w:p>
        </w:tc>
      </w:tr>
      <w:tr>
        <w:trPr>
          <w:trHeight w:val="157"/>
        </w:trPr>
        <w:tc>
          <w:tcPr>
            <w:tcW w:w="6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rPr>
              <w:t>Weighted</w:t>
            </w:r>
          </w:p>
        </w:tc>
        <w:tc>
          <w:tcPr>
            <w:tcW w:w="1420" w:type="dxa"/>
            <w:vAlign w:val="bottom"/>
          </w:tcPr>
          <w:p>
            <w:pPr>
              <w:jc w:val="center"/>
              <w:ind w:right="42"/>
              <w:spacing w:after="0" w:line="157" w:lineRule="exact"/>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57"/>
        </w:trPr>
        <w:tc>
          <w:tcPr>
            <w:tcW w:w="6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rPr>
              <w:t>Average</w:t>
            </w:r>
          </w:p>
        </w:tc>
        <w:tc>
          <w:tcPr>
            <w:tcW w:w="1420" w:type="dxa"/>
            <w:vAlign w:val="bottom"/>
          </w:tcPr>
          <w:p>
            <w:pPr>
              <w:jc w:val="center"/>
              <w:ind w:right="42"/>
              <w:spacing w:after="0" w:line="157" w:lineRule="exact"/>
              <w:rPr>
                <w:sz w:val="20"/>
                <w:szCs w:val="20"/>
                <w:color w:val="auto"/>
              </w:rPr>
            </w:pPr>
            <w:r>
              <w:rPr>
                <w:rFonts w:ascii="Arial" w:cs="Arial" w:eastAsia="Arial" w:hAnsi="Arial"/>
                <w:sz w:val="14"/>
                <w:szCs w:val="14"/>
                <w:b w:val="1"/>
                <w:bCs w:val="1"/>
                <w:color w:val="auto"/>
                <w:w w:val="97"/>
              </w:rPr>
              <w:t>Remaining</w:t>
            </w:r>
          </w:p>
        </w:tc>
        <w:tc>
          <w:tcPr>
            <w:tcW w:w="0" w:type="dxa"/>
            <w:vAlign w:val="bottom"/>
          </w:tcPr>
          <w:p>
            <w:pPr>
              <w:spacing w:after="0"/>
              <w:rPr>
                <w:sz w:val="1"/>
                <w:szCs w:val="1"/>
                <w:color w:val="auto"/>
              </w:rPr>
            </w:pPr>
          </w:p>
        </w:tc>
      </w:tr>
      <w:tr>
        <w:trPr>
          <w:trHeight w:val="170"/>
        </w:trPr>
        <w:tc>
          <w:tcPr>
            <w:tcW w:w="6660" w:type="dxa"/>
            <w:vAlign w:val="bottom"/>
          </w:tcPr>
          <w:p>
            <w:pPr>
              <w:spacing w:after="0"/>
              <w:rPr>
                <w:sz w:val="14"/>
                <w:szCs w:val="14"/>
                <w:color w:val="auto"/>
              </w:rPr>
            </w:pPr>
          </w:p>
        </w:tc>
        <w:tc>
          <w:tcPr>
            <w:tcW w:w="1400" w:type="dxa"/>
            <w:vAlign w:val="bottom"/>
          </w:tcPr>
          <w:p>
            <w:pPr>
              <w:jc w:val="right"/>
              <w:ind w:right="435"/>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Exercise Price</w:t>
            </w:r>
          </w:p>
        </w:tc>
        <w:tc>
          <w:tcPr>
            <w:tcW w:w="1420" w:type="dxa"/>
            <w:vAlign w:val="bottom"/>
          </w:tcPr>
          <w:p>
            <w:pPr>
              <w:jc w:val="center"/>
              <w:ind w:right="42"/>
              <w:spacing w:after="0"/>
              <w:rPr>
                <w:sz w:val="20"/>
                <w:szCs w:val="20"/>
                <w:color w:val="auto"/>
              </w:rPr>
            </w:pPr>
            <w:r>
              <w:rPr>
                <w:rFonts w:ascii="Arial" w:cs="Arial" w:eastAsia="Arial" w:hAnsi="Arial"/>
                <w:sz w:val="14"/>
                <w:szCs w:val="14"/>
                <w:b w:val="1"/>
                <w:bCs w:val="1"/>
                <w:color w:val="auto"/>
                <w:w w:val="99"/>
              </w:rPr>
              <w:t>Contractual Life</w:t>
            </w:r>
          </w:p>
        </w:tc>
        <w:tc>
          <w:tcPr>
            <w:tcW w:w="0" w:type="dxa"/>
            <w:vAlign w:val="bottom"/>
          </w:tcPr>
          <w:p>
            <w:pPr>
              <w:spacing w:after="0"/>
              <w:rPr>
                <w:sz w:val="1"/>
                <w:szCs w:val="1"/>
                <w:color w:val="auto"/>
              </w:rPr>
            </w:pPr>
          </w:p>
        </w:tc>
      </w:tr>
      <w:tr>
        <w:trPr>
          <w:trHeight w:val="202"/>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as of December 31, 2019</w:t>
            </w:r>
          </w:p>
        </w:tc>
        <w:tc>
          <w:tcPr>
            <w:tcW w:w="14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6,340,000</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3.92</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7"/>
                <w:szCs w:val="17"/>
                <w:color w:val="auto"/>
              </w:rPr>
              <w:t>8.22</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7"/>
                <w:szCs w:val="17"/>
                <w:color w:val="auto"/>
              </w:rPr>
              <w:t>Granted</w:t>
            </w: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60" w:type="dxa"/>
            <w:vAlign w:val="bottom"/>
            <w:vMerge w:val="continue"/>
          </w:tcPr>
          <w:p>
            <w:pPr>
              <w:spacing w:after="0"/>
              <w:rPr>
                <w:sz w:val="16"/>
                <w:szCs w:val="16"/>
                <w:color w:val="auto"/>
              </w:rPr>
            </w:pPr>
          </w:p>
        </w:tc>
        <w:tc>
          <w:tcPr>
            <w:tcW w:w="14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420,500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38"/>
              <w:spacing w:after="0" w:line="189" w:lineRule="exact"/>
              <w:rPr>
                <w:sz w:val="20"/>
                <w:szCs w:val="20"/>
                <w:color w:val="auto"/>
              </w:rPr>
            </w:pPr>
            <w:r>
              <w:rPr>
                <w:rFonts w:ascii="Arial" w:cs="Arial" w:eastAsia="Arial" w:hAnsi="Arial"/>
                <w:sz w:val="17"/>
                <w:szCs w:val="17"/>
                <w:color w:val="auto"/>
              </w:rPr>
              <w:t>10.46</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spacing w:after="0"/>
              <w:rPr>
                <w:sz w:val="20"/>
                <w:szCs w:val="20"/>
                <w:color w:val="auto"/>
              </w:rPr>
            </w:pPr>
            <w:r>
              <w:rPr>
                <w:rFonts w:ascii="Arial" w:cs="Arial" w:eastAsia="Arial" w:hAnsi="Arial"/>
                <w:sz w:val="17"/>
                <w:szCs w:val="17"/>
                <w:color w:val="auto"/>
              </w:rPr>
              <w:t>Exercised</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(598,406)</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3.91</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Forfeited / cancelled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(544,526)</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4.48</w:t>
            </w:r>
          </w:p>
        </w:tc>
        <w:tc>
          <w:tcPr>
            <w:tcW w:w="160" w:type="dxa"/>
            <w:vAlign w:val="bottom"/>
            <w:tcBorders>
              <w:bottom w:val="single" w:sz="8" w:color="CFF0FC"/>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as of December 31, 2020</w:t>
            </w:r>
          </w:p>
        </w:tc>
        <w:tc>
          <w:tcPr>
            <w:tcW w:w="14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5,617,568</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4.35</w:t>
            </w:r>
          </w:p>
        </w:tc>
        <w:tc>
          <w:tcPr>
            <w:tcW w:w="16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7"/>
                <w:szCs w:val="17"/>
                <w:color w:val="auto"/>
              </w:rPr>
              <w:t>Vested and exercisable as of December 31, 2019</w:t>
            </w:r>
          </w:p>
        </w:tc>
        <w:tc>
          <w:tcPr>
            <w:tcW w:w="1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60" w:type="dxa"/>
            <w:vAlign w:val="bottom"/>
            <w:tcBorders>
              <w:bottom w:val="single" w:sz="8" w:color="CFF0FC"/>
            </w:tcBorders>
            <w:vMerge w:val="continue"/>
          </w:tcPr>
          <w:p>
            <w:pPr>
              <w:spacing w:after="0"/>
              <w:rPr>
                <w:sz w:val="19"/>
                <w:szCs w:val="19"/>
                <w:color w:val="auto"/>
              </w:rPr>
            </w:pPr>
          </w:p>
        </w:tc>
        <w:tc>
          <w:tcPr>
            <w:tcW w:w="1400" w:type="dxa"/>
            <w:vAlign w:val="bottom"/>
            <w:tcBorders>
              <w:top w:val="single" w:sz="8" w:color="auto"/>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2,684,160</w:t>
            </w:r>
          </w:p>
        </w:tc>
        <w:tc>
          <w:tcPr>
            <w:tcW w:w="1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ind w:right="38"/>
              <w:spacing w:after="0" w:line="189" w:lineRule="exact"/>
              <w:rPr>
                <w:sz w:val="20"/>
                <w:szCs w:val="20"/>
                <w:color w:val="auto"/>
              </w:rPr>
            </w:pPr>
            <w:r>
              <w:rPr>
                <w:rFonts w:ascii="Arial" w:cs="Arial" w:eastAsia="Arial" w:hAnsi="Arial"/>
                <w:sz w:val="17"/>
                <w:szCs w:val="17"/>
                <w:color w:val="auto"/>
              </w:rPr>
              <w:t>3.58</w:t>
            </w:r>
          </w:p>
        </w:tc>
        <w:tc>
          <w:tcPr>
            <w:tcW w:w="160" w:type="dxa"/>
            <w:vAlign w:val="bottom"/>
            <w:tcBorders>
              <w:bottom w:val="single" w:sz="8" w:color="CFF0FC"/>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2"/>
              <w:spacing w:after="0" w:line="189" w:lineRule="exact"/>
              <w:rPr>
                <w:sz w:val="20"/>
                <w:szCs w:val="20"/>
                <w:color w:val="auto"/>
              </w:rPr>
            </w:pPr>
            <w:r>
              <w:rPr>
                <w:rFonts w:ascii="Arial" w:cs="Arial" w:eastAsia="Arial" w:hAnsi="Arial"/>
                <w:sz w:val="17"/>
                <w:szCs w:val="17"/>
                <w:color w:val="auto"/>
              </w:rPr>
              <w:t>7.41</w:t>
            </w:r>
          </w:p>
        </w:tc>
        <w:tc>
          <w:tcPr>
            <w:tcW w:w="0" w:type="dxa"/>
            <w:vAlign w:val="bottom"/>
          </w:tcPr>
          <w:p>
            <w:pPr>
              <w:spacing w:after="0"/>
              <w:rPr>
                <w:sz w:val="1"/>
                <w:szCs w:val="1"/>
                <w:color w:val="auto"/>
              </w:rPr>
            </w:pPr>
          </w:p>
        </w:tc>
      </w:tr>
      <w:tr>
        <w:trPr>
          <w:trHeight w:val="189"/>
        </w:trPr>
        <w:tc>
          <w:tcPr>
            <w:tcW w:w="666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Vested and exercisable as of December 31, 2020</w:t>
            </w:r>
          </w:p>
        </w:tc>
        <w:tc>
          <w:tcPr>
            <w:tcW w:w="1400" w:type="dxa"/>
            <w:vAlign w:val="bottom"/>
            <w:tcBorders>
              <w:bottom w:val="single" w:sz="8" w:color="auto"/>
            </w:tcBorders>
            <w:shd w:val="clear" w:color="auto" w:fill="CFF0FC"/>
          </w:tcPr>
          <w:p>
            <w:pPr>
              <w:jc w:val="right"/>
              <w:ind w:right="35"/>
              <w:spacing w:after="0" w:line="189" w:lineRule="exact"/>
              <w:rPr>
                <w:sz w:val="20"/>
                <w:szCs w:val="20"/>
                <w:color w:val="auto"/>
              </w:rPr>
            </w:pPr>
            <w:r>
              <w:rPr>
                <w:rFonts w:ascii="Arial" w:cs="Arial" w:eastAsia="Arial" w:hAnsi="Arial"/>
                <w:sz w:val="17"/>
                <w:szCs w:val="17"/>
                <w:color w:val="auto"/>
              </w:rPr>
              <w:t>3,449,606</w:t>
            </w:r>
          </w:p>
        </w:tc>
        <w:tc>
          <w:tcPr>
            <w:tcW w:w="1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FF0FC"/>
          </w:tcPr>
          <w:p>
            <w:pPr>
              <w:jc w:val="right"/>
              <w:ind w:right="38"/>
              <w:spacing w:after="0" w:line="189" w:lineRule="exact"/>
              <w:rPr>
                <w:sz w:val="20"/>
                <w:szCs w:val="20"/>
                <w:color w:val="auto"/>
              </w:rPr>
            </w:pPr>
            <w:r>
              <w:rPr>
                <w:rFonts w:ascii="Arial" w:cs="Arial" w:eastAsia="Arial" w:hAnsi="Arial"/>
                <w:sz w:val="17"/>
                <w:szCs w:val="17"/>
                <w:color w:val="auto"/>
              </w:rPr>
              <w:t>3.83</w:t>
            </w:r>
          </w:p>
        </w:tc>
        <w:tc>
          <w:tcPr>
            <w:tcW w:w="16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ind w:right="42"/>
              <w:spacing w:after="0" w:line="189" w:lineRule="exact"/>
              <w:rPr>
                <w:sz w:val="20"/>
                <w:szCs w:val="20"/>
                <w:color w:val="auto"/>
              </w:rPr>
            </w:pPr>
            <w:r>
              <w:rPr>
                <w:rFonts w:ascii="Arial" w:cs="Arial" w:eastAsia="Arial" w:hAnsi="Arial"/>
                <w:sz w:val="17"/>
                <w:szCs w:val="17"/>
                <w:color w:val="auto"/>
              </w:rPr>
              <w:t>6.74</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80" w:firstLine="762"/>
        <w:spacing w:after="0" w:line="257" w:lineRule="auto"/>
        <w:rPr>
          <w:sz w:val="20"/>
          <w:szCs w:val="20"/>
          <w:color w:val="auto"/>
        </w:rPr>
      </w:pPr>
      <w:r>
        <w:rPr>
          <w:rFonts w:ascii="Arial" w:cs="Arial" w:eastAsia="Arial" w:hAnsi="Arial"/>
          <w:sz w:val="17"/>
          <w:szCs w:val="17"/>
          <w:color w:val="auto"/>
        </w:rPr>
        <w:t>The Company recognized $ 2.2 million, $2.6 million, and $ 1.0 million of stock-based compensation expense related to stock options for the years ended December 31, 2020, 2019, and 2018, respectively. As of December 31, 2020 and 2019, the Company had $3.5 million and $5.2 million, respectively, of unrecognized stock-based compensation expense that is expected to be recognized over a weighted-average period of 2.2 years and 2.6 years, respectively.</w:t>
      </w:r>
    </w:p>
    <w:p>
      <w:pPr>
        <w:spacing w:after="0" w:line="157" w:lineRule="exact"/>
        <w:rPr>
          <w:sz w:val="20"/>
          <w:szCs w:val="20"/>
          <w:color w:val="auto"/>
        </w:rPr>
      </w:pPr>
    </w:p>
    <w:p>
      <w:pPr>
        <w:ind w:right="220" w:firstLine="762"/>
        <w:spacing w:after="0" w:line="290" w:lineRule="auto"/>
        <w:rPr>
          <w:sz w:val="20"/>
          <w:szCs w:val="20"/>
          <w:color w:val="auto"/>
        </w:rPr>
      </w:pPr>
      <w:r>
        <w:rPr>
          <w:rFonts w:ascii="Arial" w:cs="Arial" w:eastAsia="Arial" w:hAnsi="Arial"/>
          <w:sz w:val="17"/>
          <w:szCs w:val="17"/>
          <w:color w:val="auto"/>
        </w:rPr>
        <w:t>The grant date fair value of stock options granted during the year ended December 31, 2020 was estimated at the time of grant using the Black-Scholes option-pricing model and utilized the following weighted average assumptions: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20" w:type="dxa"/>
            <w:vAlign w:val="bottom"/>
          </w:tcPr>
          <w:p>
            <w:pPr>
              <w:jc w:val="center"/>
              <w:ind w:right="778"/>
              <w:spacing w:after="0"/>
              <w:rPr>
                <w:sz w:val="20"/>
                <w:szCs w:val="20"/>
                <w:color w:val="auto"/>
              </w:rPr>
            </w:pPr>
            <w:r>
              <w:rPr>
                <w:rFonts w:ascii="Arial" w:cs="Arial" w:eastAsia="Arial" w:hAnsi="Arial"/>
                <w:sz w:val="14"/>
                <w:szCs w:val="14"/>
                <w:b w:val="1"/>
                <w:bCs w:val="1"/>
                <w:color w:val="auto"/>
                <w:w w:val="98"/>
              </w:rPr>
              <w:t>Year Ended</w:t>
            </w:r>
          </w:p>
        </w:tc>
      </w:tr>
      <w:tr>
        <w:trPr>
          <w:trHeight w:val="170"/>
        </w:trPr>
        <w:tc>
          <w:tcPr>
            <w:tcW w:w="706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tcPr>
          <w:p>
            <w:pPr>
              <w:jc w:val="center"/>
              <w:ind w:right="798"/>
              <w:spacing w:after="0"/>
              <w:rPr>
                <w:sz w:val="20"/>
                <w:szCs w:val="20"/>
                <w:color w:val="auto"/>
              </w:rPr>
            </w:pPr>
            <w:r>
              <w:rPr>
                <w:rFonts w:ascii="Arial" w:cs="Arial" w:eastAsia="Arial" w:hAnsi="Arial"/>
                <w:sz w:val="14"/>
                <w:szCs w:val="14"/>
                <w:b w:val="1"/>
                <w:bCs w:val="1"/>
                <w:color w:val="auto"/>
                <w:w w:val="99"/>
              </w:rPr>
              <w:t>December 31, 2020</w:t>
            </w:r>
          </w:p>
        </w:tc>
      </w:tr>
      <w:tr>
        <w:trPr>
          <w:trHeight w:val="20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Fair value of common stock (per share)</w:t>
            </w:r>
          </w:p>
        </w:tc>
        <w:tc>
          <w:tcPr>
            <w:tcW w:w="760" w:type="dxa"/>
            <w:vAlign w:val="bottom"/>
            <w:shd w:val="clear" w:color="auto" w:fill="CFF0FC"/>
          </w:tcPr>
          <w:p>
            <w:pPr>
              <w:jc w:val="right"/>
              <w:ind w:right="573"/>
              <w:spacing w:after="0"/>
              <w:rPr>
                <w:sz w:val="20"/>
                <w:szCs w:val="20"/>
                <w:color w:val="auto"/>
              </w:rPr>
            </w:pPr>
            <w:r>
              <w:rPr>
                <w:rFonts w:ascii="Arial" w:cs="Arial" w:eastAsia="Arial" w:hAnsi="Arial"/>
                <w:sz w:val="17"/>
                <w:szCs w:val="17"/>
                <w:color w:val="auto"/>
                <w:w w:val="84"/>
              </w:rPr>
              <w:t>$</w:t>
            </w:r>
          </w:p>
        </w:tc>
        <w:tc>
          <w:tcPr>
            <w:tcW w:w="3420" w:type="dxa"/>
            <w:vAlign w:val="bottom"/>
            <w:shd w:val="clear" w:color="auto" w:fill="CFF0FC"/>
          </w:tcPr>
          <w:p>
            <w:pPr>
              <w:jc w:val="right"/>
              <w:ind w:right="1798"/>
              <w:spacing w:after="0"/>
              <w:rPr>
                <w:sz w:val="20"/>
                <w:szCs w:val="20"/>
                <w:color w:val="auto"/>
              </w:rPr>
            </w:pPr>
            <w:r>
              <w:rPr>
                <w:rFonts w:ascii="Arial" w:cs="Arial" w:eastAsia="Arial" w:hAnsi="Arial"/>
                <w:sz w:val="17"/>
                <w:szCs w:val="17"/>
                <w:color w:val="auto"/>
              </w:rPr>
              <w:t>10.46</w:t>
            </w:r>
          </w:p>
        </w:tc>
      </w:tr>
      <w:tr>
        <w:trPr>
          <w:trHeight w:val="209"/>
        </w:trPr>
        <w:tc>
          <w:tcPr>
            <w:tcW w:w="7060" w:type="dxa"/>
            <w:vAlign w:val="bottom"/>
          </w:tcPr>
          <w:p>
            <w:pPr>
              <w:spacing w:after="0"/>
              <w:rPr>
                <w:sz w:val="20"/>
                <w:szCs w:val="20"/>
                <w:color w:val="auto"/>
              </w:rPr>
            </w:pPr>
            <w:r>
              <w:rPr>
                <w:rFonts w:ascii="Arial" w:cs="Arial" w:eastAsia="Arial" w:hAnsi="Arial"/>
                <w:sz w:val="17"/>
                <w:szCs w:val="17"/>
                <w:color w:val="auto"/>
              </w:rPr>
              <w:t>Expected term (in years)</w:t>
            </w:r>
          </w:p>
        </w:tc>
        <w:tc>
          <w:tcPr>
            <w:tcW w:w="760" w:type="dxa"/>
            <w:vAlign w:val="bottom"/>
          </w:tcPr>
          <w:p>
            <w:pPr>
              <w:spacing w:after="0"/>
              <w:rPr>
                <w:sz w:val="18"/>
                <w:szCs w:val="18"/>
                <w:color w:val="auto"/>
              </w:rPr>
            </w:pPr>
          </w:p>
        </w:tc>
        <w:tc>
          <w:tcPr>
            <w:tcW w:w="3420" w:type="dxa"/>
            <w:vAlign w:val="bottom"/>
          </w:tcPr>
          <w:p>
            <w:pPr>
              <w:jc w:val="center"/>
              <w:ind w:right="798"/>
              <w:spacing w:after="0"/>
              <w:rPr>
                <w:sz w:val="20"/>
                <w:szCs w:val="20"/>
                <w:color w:val="auto"/>
              </w:rPr>
            </w:pPr>
            <w:r>
              <w:rPr>
                <w:rFonts w:ascii="Arial" w:cs="Arial" w:eastAsia="Arial" w:hAnsi="Arial"/>
                <w:sz w:val="17"/>
                <w:szCs w:val="17"/>
                <w:color w:val="auto"/>
              </w:rPr>
              <w:t>5.9 — 6.3</w:t>
            </w:r>
          </w:p>
        </w:tc>
      </w:tr>
      <w:tr>
        <w:trPr>
          <w:trHeight w:val="209"/>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Risk-free interest rate</w:t>
            </w:r>
          </w:p>
        </w:tc>
        <w:tc>
          <w:tcPr>
            <w:tcW w:w="760" w:type="dxa"/>
            <w:vAlign w:val="bottom"/>
            <w:shd w:val="clear" w:color="auto" w:fill="CFF0FC"/>
          </w:tcPr>
          <w:p>
            <w:pPr>
              <w:spacing w:after="0"/>
              <w:rPr>
                <w:sz w:val="18"/>
                <w:szCs w:val="18"/>
                <w:color w:val="auto"/>
              </w:rPr>
            </w:pPr>
          </w:p>
        </w:tc>
        <w:tc>
          <w:tcPr>
            <w:tcW w:w="3420" w:type="dxa"/>
            <w:vAlign w:val="bottom"/>
            <w:shd w:val="clear" w:color="auto" w:fill="CFF0FC"/>
          </w:tcPr>
          <w:p>
            <w:pPr>
              <w:jc w:val="center"/>
              <w:ind w:right="798"/>
              <w:spacing w:after="0"/>
              <w:rPr>
                <w:sz w:val="20"/>
                <w:szCs w:val="20"/>
                <w:color w:val="auto"/>
              </w:rPr>
            </w:pPr>
            <w:r>
              <w:rPr>
                <w:rFonts w:ascii="Arial" w:cs="Arial" w:eastAsia="Arial" w:hAnsi="Arial"/>
                <w:sz w:val="17"/>
                <w:szCs w:val="17"/>
                <w:color w:val="auto"/>
                <w:w w:val="97"/>
              </w:rPr>
              <w:t>1.7%</w:t>
            </w:r>
          </w:p>
        </w:tc>
      </w:tr>
      <w:tr>
        <w:trPr>
          <w:trHeight w:val="209"/>
        </w:trPr>
        <w:tc>
          <w:tcPr>
            <w:tcW w:w="7060" w:type="dxa"/>
            <w:vAlign w:val="bottom"/>
          </w:tcPr>
          <w:p>
            <w:pPr>
              <w:spacing w:after="0"/>
              <w:rPr>
                <w:sz w:val="20"/>
                <w:szCs w:val="20"/>
                <w:color w:val="auto"/>
              </w:rPr>
            </w:pPr>
            <w:r>
              <w:rPr>
                <w:rFonts w:ascii="Arial" w:cs="Arial" w:eastAsia="Arial" w:hAnsi="Arial"/>
                <w:sz w:val="17"/>
                <w:szCs w:val="17"/>
                <w:color w:val="auto"/>
              </w:rPr>
              <w:t>Expected volatility</w:t>
            </w:r>
          </w:p>
        </w:tc>
        <w:tc>
          <w:tcPr>
            <w:tcW w:w="760" w:type="dxa"/>
            <w:vAlign w:val="bottom"/>
          </w:tcPr>
          <w:p>
            <w:pPr>
              <w:spacing w:after="0"/>
              <w:rPr>
                <w:sz w:val="18"/>
                <w:szCs w:val="18"/>
                <w:color w:val="auto"/>
              </w:rPr>
            </w:pPr>
          </w:p>
        </w:tc>
        <w:tc>
          <w:tcPr>
            <w:tcW w:w="3420" w:type="dxa"/>
            <w:vAlign w:val="bottom"/>
          </w:tcPr>
          <w:p>
            <w:pPr>
              <w:jc w:val="center"/>
              <w:ind w:right="798"/>
              <w:spacing w:after="0"/>
              <w:rPr>
                <w:sz w:val="20"/>
                <w:szCs w:val="20"/>
                <w:color w:val="auto"/>
              </w:rPr>
            </w:pPr>
            <w:r>
              <w:rPr>
                <w:rFonts w:ascii="Arial" w:cs="Arial" w:eastAsia="Arial" w:hAnsi="Arial"/>
                <w:sz w:val="17"/>
                <w:szCs w:val="17"/>
                <w:color w:val="auto"/>
              </w:rPr>
              <w:t>36.3% — 36.6%</w:t>
            </w:r>
          </w:p>
        </w:tc>
      </w:tr>
      <w:tr>
        <w:trPr>
          <w:trHeight w:val="209"/>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Dividend yield</w:t>
            </w:r>
          </w:p>
        </w:tc>
        <w:tc>
          <w:tcPr>
            <w:tcW w:w="760" w:type="dxa"/>
            <w:vAlign w:val="bottom"/>
            <w:shd w:val="clear" w:color="auto" w:fill="CFF0FC"/>
          </w:tcPr>
          <w:p>
            <w:pPr>
              <w:spacing w:after="0"/>
              <w:rPr>
                <w:sz w:val="18"/>
                <w:szCs w:val="18"/>
                <w:color w:val="auto"/>
              </w:rPr>
            </w:pPr>
          </w:p>
        </w:tc>
        <w:tc>
          <w:tcPr>
            <w:tcW w:w="3420" w:type="dxa"/>
            <w:vAlign w:val="bottom"/>
            <w:shd w:val="clear" w:color="auto" w:fill="CFF0FC"/>
          </w:tcPr>
          <w:p>
            <w:pPr>
              <w:jc w:val="center"/>
              <w:ind w:right="798"/>
              <w:spacing w:after="0"/>
              <w:rPr>
                <w:sz w:val="20"/>
                <w:szCs w:val="20"/>
                <w:color w:val="auto"/>
              </w:rPr>
            </w:pPr>
            <w:r>
              <w:rPr>
                <w:rFonts w:ascii="Arial" w:cs="Arial" w:eastAsia="Arial" w:hAnsi="Arial"/>
                <w:sz w:val="17"/>
                <w:szCs w:val="17"/>
                <w:color w:val="auto"/>
              </w:rPr>
              <w:t>—%</w:t>
            </w:r>
          </w:p>
        </w:tc>
      </w:tr>
    </w:tbl>
    <w:p>
      <w:pPr>
        <w:spacing w:after="0" w:line="239" w:lineRule="exact"/>
        <w:rPr>
          <w:sz w:val="20"/>
          <w:szCs w:val="20"/>
          <w:color w:val="auto"/>
        </w:rPr>
      </w:pPr>
    </w:p>
    <w:p>
      <w:pPr>
        <w:ind w:firstLine="762"/>
        <w:spacing w:after="0" w:line="273" w:lineRule="auto"/>
        <w:rPr>
          <w:sz w:val="20"/>
          <w:szCs w:val="20"/>
          <w:color w:val="auto"/>
        </w:rPr>
      </w:pPr>
      <w:r>
        <w:rPr>
          <w:rFonts w:ascii="Arial" w:cs="Arial" w:eastAsia="Arial" w:hAnsi="Arial"/>
          <w:sz w:val="17"/>
          <w:szCs w:val="17"/>
          <w:color w:val="auto"/>
        </w:rPr>
        <w:t>The weighted average fair value of stock options granted during the year ended December 31, 2020 was estimated to be $3.97 per share. The aggregate intrinsic value of options exercised during the year ended December 31, 2020 was $22.4 million, and the aggregate intrinsic value of options outstanding and options exercisable as of December 31, 2020 was $205.7 million and $128.1 million,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RSUs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summarizes activity for restricted stock units (“RSUs”) for the year ended December 31, 2020:</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center"/>
              <w:ind w:right="199"/>
              <w:spacing w:after="0"/>
              <w:rPr>
                <w:sz w:val="20"/>
                <w:szCs w:val="20"/>
                <w:color w:val="auto"/>
              </w:rPr>
            </w:pPr>
            <w:r>
              <w:rPr>
                <w:rFonts w:ascii="Arial" w:cs="Arial" w:eastAsia="Arial" w:hAnsi="Arial"/>
                <w:sz w:val="14"/>
                <w:szCs w:val="14"/>
                <w:b w:val="1"/>
                <w:bCs w:val="1"/>
                <w:color w:val="auto"/>
                <w:w w:val="99"/>
              </w:rPr>
              <w:t>Weighted Average</w:t>
            </w:r>
          </w:p>
        </w:tc>
        <w:tc>
          <w:tcPr>
            <w:tcW w:w="0" w:type="dxa"/>
            <w:vAlign w:val="bottom"/>
          </w:tcPr>
          <w:p>
            <w:pPr>
              <w:spacing w:after="0"/>
              <w:rPr>
                <w:sz w:val="1"/>
                <w:szCs w:val="1"/>
                <w:color w:val="auto"/>
              </w:rPr>
            </w:pPr>
          </w:p>
        </w:tc>
      </w:tr>
      <w:tr>
        <w:trPr>
          <w:trHeight w:val="157"/>
        </w:trPr>
        <w:tc>
          <w:tcPr>
            <w:tcW w:w="77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center"/>
              <w:ind w:right="179"/>
              <w:spacing w:after="0" w:line="157"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14"/>
                <w:szCs w:val="14"/>
                <w:color w:val="auto"/>
              </w:rPr>
            </w:pPr>
          </w:p>
        </w:tc>
        <w:tc>
          <w:tcPr>
            <w:tcW w:w="182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540" w:type="dxa"/>
            <w:vAlign w:val="bottom"/>
          </w:tcPr>
          <w:p>
            <w:pPr>
              <w:jc w:val="center"/>
              <w:ind w:right="179"/>
              <w:spacing w:after="0"/>
              <w:rPr>
                <w:sz w:val="20"/>
                <w:szCs w:val="20"/>
                <w:color w:val="auto"/>
              </w:rPr>
            </w:pPr>
            <w:r>
              <w:rPr>
                <w:rFonts w:ascii="Arial" w:cs="Arial" w:eastAsia="Arial" w:hAnsi="Arial"/>
                <w:sz w:val="14"/>
                <w:szCs w:val="14"/>
                <w:b w:val="1"/>
                <w:bCs w:val="1"/>
                <w:color w:val="auto"/>
                <w:w w:val="98"/>
              </w:rPr>
              <w:t>Value per Share</w:t>
            </w:r>
          </w:p>
        </w:tc>
        <w:tc>
          <w:tcPr>
            <w:tcW w:w="0" w:type="dxa"/>
            <w:vAlign w:val="bottom"/>
          </w:tcPr>
          <w:p>
            <w:pPr>
              <w:spacing w:after="0"/>
              <w:rPr>
                <w:sz w:val="1"/>
                <w:szCs w:val="1"/>
                <w:color w:val="auto"/>
              </w:rPr>
            </w:pPr>
          </w:p>
        </w:tc>
      </w:tr>
      <w:tr>
        <w:trPr>
          <w:trHeight w:val="202"/>
        </w:trPr>
        <w:tc>
          <w:tcPr>
            <w:tcW w:w="7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Unvested and outstanding as of December 31, 2019</w:t>
            </w:r>
          </w:p>
        </w:tc>
        <w:tc>
          <w:tcPr>
            <w:tcW w:w="164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408,000</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7"/>
                <w:szCs w:val="17"/>
                <w:color w:val="auto"/>
              </w:rPr>
              <w:t>4.01</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Granted</w:t>
            </w: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740" w:type="dxa"/>
            <w:vAlign w:val="bottom"/>
            <w:vMerge w:val="continue"/>
          </w:tcPr>
          <w:p>
            <w:pPr>
              <w:spacing w:after="0"/>
              <w:rPr>
                <w:sz w:val="16"/>
                <w:szCs w:val="16"/>
                <w:color w:val="auto"/>
              </w:rPr>
            </w:pPr>
          </w:p>
        </w:tc>
        <w:tc>
          <w:tcPr>
            <w:tcW w:w="1640" w:type="dxa"/>
            <w:vAlign w:val="bottom"/>
          </w:tcPr>
          <w:p>
            <w:pPr>
              <w:jc w:val="right"/>
              <w:ind w:right="36"/>
              <w:spacing w:after="0" w:line="189" w:lineRule="exact"/>
              <w:rPr>
                <w:sz w:val="20"/>
                <w:szCs w:val="20"/>
                <w:color w:val="auto"/>
              </w:rPr>
            </w:pPr>
            <w:r>
              <w:rPr>
                <w:rFonts w:ascii="Arial" w:cs="Arial" w:eastAsia="Arial" w:hAnsi="Arial"/>
                <w:sz w:val="17"/>
                <w:szCs w:val="17"/>
                <w:color w:val="auto"/>
              </w:rPr>
              <w:t>2,073,006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ind w:right="39"/>
              <w:spacing w:after="0" w:line="189" w:lineRule="exact"/>
              <w:rPr>
                <w:sz w:val="20"/>
                <w:szCs w:val="20"/>
                <w:color w:val="auto"/>
              </w:rPr>
            </w:pPr>
            <w:r>
              <w:rPr>
                <w:rFonts w:ascii="Arial" w:cs="Arial" w:eastAsia="Arial" w:hAnsi="Arial"/>
                <w:sz w:val="17"/>
                <w:szCs w:val="17"/>
                <w:color w:val="auto"/>
              </w:rPr>
              <w:t>12.06</w:t>
            </w: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Vested</w:t>
            </w:r>
          </w:p>
        </w:tc>
        <w:tc>
          <w:tcPr>
            <w:tcW w:w="1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(237,334)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09"/>
        </w:trPr>
        <w:tc>
          <w:tcPr>
            <w:tcW w:w="77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Forfeited / cancelled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(8,230)</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11.86</w:t>
            </w:r>
          </w:p>
        </w:tc>
        <w:tc>
          <w:tcPr>
            <w:tcW w:w="0" w:type="dxa"/>
            <w:vAlign w:val="bottom"/>
          </w:tcPr>
          <w:p>
            <w:pPr>
              <w:spacing w:after="0"/>
              <w:rPr>
                <w:sz w:val="1"/>
                <w:szCs w:val="1"/>
                <w:color w:val="auto"/>
              </w:rPr>
            </w:pPr>
          </w:p>
        </w:tc>
      </w:tr>
      <w:tr>
        <w:trPr>
          <w:trHeight w:val="202"/>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Unvested and outstanding as of December 31, 2020</w:t>
            </w:r>
          </w:p>
        </w:tc>
        <w:tc>
          <w:tcPr>
            <w:tcW w:w="16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2,235,442</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7"/>
                <w:szCs w:val="17"/>
                <w:color w:val="auto"/>
              </w:rPr>
              <w:t>11.46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260" w:firstLine="762"/>
        <w:spacing w:after="0" w:line="257" w:lineRule="auto"/>
        <w:rPr>
          <w:sz w:val="20"/>
          <w:szCs w:val="20"/>
          <w:color w:val="auto"/>
        </w:rPr>
      </w:pPr>
      <w:r>
        <w:rPr>
          <w:rFonts w:ascii="Arial" w:cs="Arial" w:eastAsia="Arial" w:hAnsi="Arial"/>
          <w:sz w:val="17"/>
          <w:szCs w:val="17"/>
          <w:color w:val="auto"/>
        </w:rPr>
        <w:t>The Company recognized $10.9 million, $0.1 million, and $0.1 million of stock-based compensation expense related to RSUs for the years ended December 31, 2020, 2019, and 2018, respectively. As of December 31, 2020 and 2019, the Company had $15.4 million and $1.3 million, respectively, of unrecognized stock-based compensation expense that is expected to be recognized over a weighted-average period of 1.8 years and 2.4 years, respectively.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06" w:lineRule="exact"/>
        <w:rPr>
          <w:sz w:val="20"/>
          <w:szCs w:val="20"/>
          <w:color w:val="auto"/>
        </w:rPr>
      </w:pPr>
    </w:p>
    <w:p>
      <w:pPr>
        <w:ind w:right="160" w:firstLine="762"/>
        <w:spacing w:after="0" w:line="290" w:lineRule="auto"/>
        <w:rPr>
          <w:sz w:val="20"/>
          <w:szCs w:val="20"/>
          <w:color w:val="auto"/>
        </w:rPr>
      </w:pPr>
      <w:r>
        <w:rPr>
          <w:rFonts w:ascii="Arial" w:cs="Arial" w:eastAsia="Arial" w:hAnsi="Arial"/>
          <w:sz w:val="17"/>
          <w:szCs w:val="17"/>
          <w:color w:val="auto"/>
        </w:rPr>
        <w:t>As a result of completing its IPO in June 2020, the Company commenced the recognition of compensation expense for 510,278 RSUs that vest upon the occurrence of a liquidity event, which includes an IPO, and continuous service that generally ranges from 12 to 48 months.</w:t>
      </w:r>
    </w:p>
    <w:p>
      <w:pPr>
        <w:spacing w:after="0" w:line="129" w:lineRule="exact"/>
        <w:rPr>
          <w:sz w:val="20"/>
          <w:szCs w:val="20"/>
          <w:color w:val="auto"/>
        </w:rPr>
      </w:pPr>
    </w:p>
    <w:p>
      <w:pPr>
        <w:jc w:val="both"/>
        <w:ind w:right="240" w:firstLine="762"/>
        <w:spacing w:after="0" w:line="257" w:lineRule="auto"/>
        <w:rPr>
          <w:sz w:val="20"/>
          <w:szCs w:val="20"/>
          <w:color w:val="auto"/>
        </w:rPr>
      </w:pPr>
      <w:r>
        <w:rPr>
          <w:rFonts w:ascii="Arial" w:cs="Arial" w:eastAsia="Arial" w:hAnsi="Arial"/>
          <w:sz w:val="17"/>
          <w:szCs w:val="17"/>
          <w:color w:val="auto"/>
        </w:rPr>
        <w:t>In February 2020, the Company granted 367,782 RSUs to its chief executive officer that vest upon the achievement of performance-based conditions, which includes Revenue and EBITDA targets for fiscal year 2022, and the achievement of a liquidity event, which includes a change of control or an IPO. As a result of completing its IPO in June 2020, and the probability of achieving the performance-based conditions, the Company commenced recognition of compensation expense.</w:t>
      </w:r>
    </w:p>
    <w:p>
      <w:pPr>
        <w:spacing w:after="0" w:line="157" w:lineRule="exact"/>
        <w:rPr>
          <w:sz w:val="20"/>
          <w:szCs w:val="20"/>
          <w:color w:val="auto"/>
        </w:rPr>
      </w:pPr>
    </w:p>
    <w:p>
      <w:pPr>
        <w:ind w:right="80" w:firstLine="762"/>
        <w:spacing w:after="0" w:line="290" w:lineRule="auto"/>
        <w:rPr>
          <w:sz w:val="20"/>
          <w:szCs w:val="20"/>
          <w:color w:val="auto"/>
        </w:rPr>
      </w:pPr>
      <w:r>
        <w:rPr>
          <w:rFonts w:ascii="Arial" w:cs="Arial" w:eastAsia="Arial" w:hAnsi="Arial"/>
          <w:sz w:val="17"/>
          <w:szCs w:val="17"/>
          <w:color w:val="auto"/>
        </w:rPr>
        <w:t>Certain of the Company’s RSU grants are subject to acceleration upon a change of control and termination within 12 months, and upon death, disability, retirement and certain “good leaver” circumstances.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RSAs</w:t>
      </w:r>
    </w:p>
    <w:p>
      <w:pPr>
        <w:spacing w:after="0" w:line="103" w:lineRule="exact"/>
        <w:rPr>
          <w:sz w:val="20"/>
          <w:szCs w:val="20"/>
          <w:color w:val="auto"/>
        </w:rPr>
      </w:pPr>
    </w:p>
    <w:p>
      <w:pPr>
        <w:ind w:right="200" w:firstLine="762"/>
        <w:spacing w:after="0" w:line="290" w:lineRule="auto"/>
        <w:rPr>
          <w:sz w:val="20"/>
          <w:szCs w:val="20"/>
          <w:color w:val="auto"/>
        </w:rPr>
      </w:pPr>
      <w:r>
        <w:rPr>
          <w:rFonts w:ascii="Arial" w:cs="Arial" w:eastAsia="Arial" w:hAnsi="Arial"/>
          <w:sz w:val="17"/>
          <w:szCs w:val="17"/>
          <w:color w:val="auto"/>
        </w:rPr>
        <w:t>During the years ended December 31, 2014 and 2015, the Company granted awards of 4,751,874 shares of restricted common stock (the “RSAs”).</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summarizes the activity related to the Company’s RSAs for the year ended December 31,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60" w:type="dxa"/>
            <w:vAlign w:val="bottom"/>
            <w:tcBorders>
              <w:bottom w:val="single" w:sz="8" w:color="CFF0FC"/>
            </w:tcBorders>
          </w:tcPr>
          <w:p>
            <w:pPr>
              <w:spacing w:after="0"/>
              <w:rPr>
                <w:sz w:val="14"/>
                <w:szCs w:val="14"/>
                <w:color w:val="auto"/>
              </w:rPr>
            </w:pPr>
          </w:p>
        </w:tc>
        <w:tc>
          <w:tcPr>
            <w:tcW w:w="1980" w:type="dxa"/>
            <w:vAlign w:val="bottom"/>
            <w:tcBorders>
              <w:bottom w:val="single" w:sz="8" w:color="auto"/>
            </w:tcBorders>
          </w:tcPr>
          <w:p>
            <w:pPr>
              <w:jc w:val="right"/>
              <w:ind w:right="737"/>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2"/>
        </w:trPr>
        <w:tc>
          <w:tcPr>
            <w:tcW w:w="9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Unvested at December 31, 2019</w:t>
            </w:r>
          </w:p>
        </w:tc>
        <w:tc>
          <w:tcPr>
            <w:tcW w:w="19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272,868</w:t>
            </w: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Arial" w:cs="Arial" w:eastAsia="Arial" w:hAnsi="Arial"/>
                <w:sz w:val="17"/>
                <w:szCs w:val="17"/>
                <w:color w:val="auto"/>
              </w:rPr>
              <w:t>Vested</w:t>
            </w: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260" w:type="dxa"/>
            <w:vAlign w:val="bottom"/>
            <w:tcBorders>
              <w:bottom w:val="single" w:sz="8" w:color="CFF0FC"/>
            </w:tcBorders>
            <w:vMerge w:val="continue"/>
          </w:tcPr>
          <w:p>
            <w:pPr>
              <w:spacing w:after="0"/>
              <w:rPr>
                <w:sz w:val="16"/>
                <w:szCs w:val="16"/>
                <w:color w:val="auto"/>
              </w:rPr>
            </w:pPr>
          </w:p>
        </w:tc>
        <w:tc>
          <w:tcPr>
            <w:tcW w:w="1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(272,868)</w:t>
            </w:r>
          </w:p>
        </w:tc>
        <w:tc>
          <w:tcPr>
            <w:tcW w:w="0" w:type="dxa"/>
            <w:vAlign w:val="bottom"/>
          </w:tcPr>
          <w:p>
            <w:pPr>
              <w:spacing w:after="0"/>
              <w:rPr>
                <w:sz w:val="1"/>
                <w:szCs w:val="1"/>
                <w:color w:val="auto"/>
              </w:rPr>
            </w:pPr>
          </w:p>
        </w:tc>
      </w:tr>
      <w:tr>
        <w:trPr>
          <w:trHeight w:val="202"/>
        </w:trPr>
        <w:tc>
          <w:tcPr>
            <w:tcW w:w="9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Unvested at December 31, 2020</w:t>
            </w:r>
          </w:p>
        </w:tc>
        <w:tc>
          <w:tcPr>
            <w:tcW w:w="19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20" w:firstLine="762"/>
        <w:spacing w:after="0" w:line="322" w:lineRule="auto"/>
        <w:rPr>
          <w:sz w:val="20"/>
          <w:szCs w:val="20"/>
          <w:color w:val="auto"/>
        </w:rPr>
      </w:pPr>
      <w:r>
        <w:rPr>
          <w:rFonts w:ascii="Arial" w:cs="Arial" w:eastAsia="Arial" w:hAnsi="Arial"/>
          <w:sz w:val="17"/>
          <w:szCs w:val="17"/>
          <w:color w:val="auto"/>
        </w:rPr>
        <w:t>For the years ended December 31, 2020, 2019, and 2018, the expense related to the RSAs was $0.2 million, $0.0 million and $0.1 million, respectively. As of December 31, 2020, there was no remaining unrecognized stock-based compensation expense related to the RSAs.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Financial Instruments and Fair Value Measurements</w:t>
      </w:r>
    </w:p>
    <w:p>
      <w:pPr>
        <w:spacing w:after="0" w:line="107" w:lineRule="exact"/>
        <w:rPr>
          <w:sz w:val="20"/>
          <w:szCs w:val="20"/>
          <w:color w:val="auto"/>
        </w:rPr>
      </w:pPr>
    </w:p>
    <w:p>
      <w:pPr>
        <w:ind w:right="80" w:firstLine="762"/>
        <w:spacing w:after="0" w:line="253" w:lineRule="auto"/>
        <w:rPr>
          <w:sz w:val="20"/>
          <w:szCs w:val="20"/>
          <w:color w:val="auto"/>
        </w:rPr>
      </w:pPr>
      <w:r>
        <w:rPr>
          <w:rFonts w:ascii="Arial" w:cs="Arial" w:eastAsia="Arial" w:hAnsi="Arial"/>
          <w:sz w:val="17"/>
          <w:szCs w:val="17"/>
          <w:color w:val="auto"/>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Level 1—Quoted prices in active markets for identical assets or liabilities</w:t>
      </w:r>
    </w:p>
    <w:p>
      <w:pPr>
        <w:spacing w:after="0" w:line="105" w:lineRule="exact"/>
        <w:rPr>
          <w:sz w:val="20"/>
          <w:szCs w:val="20"/>
          <w:color w:val="auto"/>
        </w:rPr>
      </w:pPr>
    </w:p>
    <w:p>
      <w:pPr>
        <w:jc w:val="both"/>
        <w:ind w:left="760" w:right="460"/>
        <w:spacing w:after="0" w:line="265"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p>
    <w:p>
      <w:pPr>
        <w:spacing w:after="0" w:line="46" w:lineRule="exact"/>
        <w:rPr>
          <w:sz w:val="20"/>
          <w:szCs w:val="20"/>
          <w:color w:val="auto"/>
        </w:rPr>
      </w:pPr>
    </w:p>
    <w:p>
      <w:pPr>
        <w:ind w:left="760" w:right="200"/>
        <w:spacing w:after="0" w:line="290" w:lineRule="auto"/>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Items Measured at Fair Value on a Recurring Basis</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tables present the Company’s financial assets and liabilities measured at fair value on a recurring basis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3020" w:type="dxa"/>
            <w:vAlign w:val="bottom"/>
          </w:tcPr>
          <w:p>
            <w:pPr>
              <w:jc w:val="right"/>
              <w:ind w:right="2882"/>
              <w:spacing w:after="0"/>
              <w:rPr>
                <w:sz w:val="20"/>
                <w:szCs w:val="20"/>
                <w:color w:val="auto"/>
              </w:rPr>
            </w:pPr>
            <w:r>
              <w:rPr>
                <w:rFonts w:ascii="Arial" w:cs="Arial" w:eastAsia="Arial" w:hAnsi="Arial"/>
                <w:sz w:val="14"/>
                <w:szCs w:val="14"/>
                <w:b w:val="1"/>
                <w:bCs w:val="1"/>
                <w:color w:val="auto"/>
                <w:w w:val="84"/>
              </w:rPr>
              <w:t>`</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As of December 31, 2020</w:t>
            </w: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63"/>
        </w:trPr>
        <w:tc>
          <w:tcPr>
            <w:tcW w:w="28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57"/>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Total</w:t>
            </w:r>
          </w:p>
        </w:tc>
      </w:tr>
      <w:tr>
        <w:trPr>
          <w:trHeight w:val="202"/>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Financial Assets</w:t>
            </w:r>
          </w:p>
        </w:tc>
        <w:tc>
          <w:tcPr>
            <w:tcW w:w="30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r>
      <w:tr>
        <w:trPr>
          <w:trHeight w:val="209"/>
        </w:trPr>
        <w:tc>
          <w:tcPr>
            <w:tcW w:w="282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28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Money market funds</w:t>
            </w:r>
          </w:p>
        </w:tc>
        <w:tc>
          <w:tcPr>
            <w:tcW w:w="3240" w:type="dxa"/>
            <w:vAlign w:val="bottom"/>
            <w:gridSpan w:val="2"/>
            <w:shd w:val="clear" w:color="auto" w:fill="CFF0FC"/>
          </w:tcPr>
          <w:p>
            <w:pPr>
              <w:jc w:val="right"/>
              <w:ind w:right="3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814,681</w:t>
            </w:r>
          </w:p>
        </w:tc>
        <w:tc>
          <w:tcPr>
            <w:tcW w:w="340" w:type="dxa"/>
            <w:vAlign w:val="bottom"/>
            <w:gridSpan w:val="2"/>
            <w:shd w:val="clear" w:color="auto" w:fill="CFF0FC"/>
          </w:tcPr>
          <w:p>
            <w:pPr>
              <w:jc w:val="right"/>
              <w:ind w:right="1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ind w:left="76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ind w:right="33"/>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w:t>
            </w:r>
          </w:p>
        </w:tc>
      </w:tr>
      <w:tr>
        <w:trPr>
          <w:trHeight w:val="202"/>
        </w:trPr>
        <w:tc>
          <w:tcPr>
            <w:tcW w:w="2820" w:type="dxa"/>
            <w:vAlign w:val="bottom"/>
          </w:tcPr>
          <w:p>
            <w:pPr>
              <w:ind w:left="480"/>
              <w:spacing w:after="0"/>
              <w:rPr>
                <w:sz w:val="20"/>
                <w:szCs w:val="20"/>
                <w:color w:val="auto"/>
              </w:rPr>
            </w:pPr>
            <w:r>
              <w:rPr>
                <w:rFonts w:ascii="Arial" w:cs="Arial" w:eastAsia="Arial" w:hAnsi="Arial"/>
                <w:sz w:val="17"/>
                <w:szCs w:val="17"/>
                <w:color w:val="auto"/>
              </w:rPr>
              <w:t>Total financial assets</w:t>
            </w:r>
          </w:p>
        </w:tc>
        <w:tc>
          <w:tcPr>
            <w:tcW w:w="30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814,681</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r>
      <w:tr>
        <w:trPr>
          <w:trHeight w:val="20"/>
        </w:trPr>
        <w:tc>
          <w:tcPr>
            <w:tcW w:w="28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59"/>
        </w:trPr>
        <w:tc>
          <w:tcPr>
            <w:tcW w:w="2820" w:type="dxa"/>
            <w:vAlign w:val="bottom"/>
          </w:tcPr>
          <w:p>
            <w:pPr>
              <w:spacing w:after="0"/>
              <w:rPr>
                <w:sz w:val="24"/>
                <w:szCs w:val="24"/>
                <w:color w:val="auto"/>
              </w:rPr>
            </w:pPr>
          </w:p>
        </w:tc>
        <w:tc>
          <w:tcPr>
            <w:tcW w:w="3020" w:type="dxa"/>
            <w:vAlign w:val="bottom"/>
          </w:tcPr>
          <w:p>
            <w:pPr>
              <w:jc w:val="right"/>
              <w:ind w:right="2882"/>
              <w:spacing w:after="0"/>
              <w:rPr>
                <w:sz w:val="20"/>
                <w:szCs w:val="20"/>
                <w:color w:val="auto"/>
              </w:rPr>
            </w:pPr>
            <w:r>
              <w:rPr>
                <w:rFonts w:ascii="Arial" w:cs="Arial" w:eastAsia="Arial" w:hAnsi="Arial"/>
                <w:sz w:val="14"/>
                <w:szCs w:val="14"/>
                <w:b w:val="1"/>
                <w:bCs w:val="1"/>
                <w:color w:val="auto"/>
                <w:w w:val="84"/>
              </w:rPr>
              <w:t>`</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As of December 31, 2019</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63"/>
        </w:trPr>
        <w:tc>
          <w:tcPr>
            <w:tcW w:w="28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57"/>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Total</w:t>
            </w:r>
          </w:p>
        </w:tc>
      </w:tr>
      <w:tr>
        <w:trPr>
          <w:trHeight w:val="202"/>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Financial Assets</w:t>
            </w:r>
          </w:p>
        </w:tc>
        <w:tc>
          <w:tcPr>
            <w:tcW w:w="30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r>
      <w:tr>
        <w:trPr>
          <w:trHeight w:val="209"/>
        </w:trPr>
        <w:tc>
          <w:tcPr>
            <w:tcW w:w="282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28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Money market funds</w:t>
            </w:r>
          </w:p>
        </w:tc>
        <w:tc>
          <w:tcPr>
            <w:tcW w:w="3240" w:type="dxa"/>
            <w:vAlign w:val="bottom"/>
            <w:gridSpan w:val="2"/>
            <w:shd w:val="clear" w:color="auto" w:fill="CFF0FC"/>
          </w:tcPr>
          <w:p>
            <w:pPr>
              <w:jc w:val="right"/>
              <w:ind w:right="3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70,059</w:t>
            </w:r>
          </w:p>
        </w:tc>
        <w:tc>
          <w:tcPr>
            <w:tcW w:w="340" w:type="dxa"/>
            <w:vAlign w:val="bottom"/>
            <w:gridSpan w:val="2"/>
            <w:shd w:val="clear" w:color="auto" w:fill="CFF0FC"/>
          </w:tcPr>
          <w:p>
            <w:pPr>
              <w:jc w:val="right"/>
              <w:ind w:right="1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ind w:left="76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ind w:right="33"/>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w:t>
            </w:r>
          </w:p>
        </w:tc>
      </w:tr>
      <w:tr>
        <w:trPr>
          <w:trHeight w:val="242"/>
        </w:trPr>
        <w:tc>
          <w:tcPr>
            <w:tcW w:w="2820" w:type="dxa"/>
            <w:vAlign w:val="bottom"/>
            <w:tcBorders>
              <w:bottom w:val="single" w:sz="8" w:color="CFF0FC"/>
            </w:tcBorders>
          </w:tcPr>
          <w:p>
            <w:pPr>
              <w:ind w:left="480"/>
              <w:spacing w:after="0"/>
              <w:rPr>
                <w:sz w:val="20"/>
                <w:szCs w:val="20"/>
                <w:color w:val="auto"/>
              </w:rPr>
            </w:pPr>
            <w:r>
              <w:rPr>
                <w:rFonts w:ascii="Arial" w:cs="Arial" w:eastAsia="Arial" w:hAnsi="Arial"/>
                <w:sz w:val="17"/>
                <w:szCs w:val="17"/>
                <w:color w:val="auto"/>
              </w:rPr>
              <w:t>Total financial assets</w:t>
            </w:r>
          </w:p>
        </w:tc>
        <w:tc>
          <w:tcPr>
            <w:tcW w:w="302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70,059</w:t>
            </w:r>
          </w:p>
        </w:tc>
        <w:tc>
          <w:tcPr>
            <w:tcW w:w="1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r>
      <w:tr>
        <w:trPr>
          <w:trHeight w:val="189"/>
        </w:trPr>
        <w:tc>
          <w:tcPr>
            <w:tcW w:w="2820" w:type="dxa"/>
            <w:vAlign w:val="bottom"/>
            <w:shd w:val="clear" w:color="auto" w:fill="CFF0FC"/>
          </w:tcPr>
          <w:p>
            <w:pPr>
              <w:spacing w:after="0" w:line="189" w:lineRule="exact"/>
              <w:rPr>
                <w:sz w:val="20"/>
                <w:szCs w:val="20"/>
                <w:color w:val="auto"/>
              </w:rPr>
            </w:pPr>
            <w:r>
              <w:rPr>
                <w:rFonts w:ascii="Arial" w:cs="Arial" w:eastAsia="Arial" w:hAnsi="Arial"/>
                <w:sz w:val="17"/>
                <w:szCs w:val="17"/>
                <w:b w:val="1"/>
                <w:bCs w:val="1"/>
                <w:color w:val="auto"/>
              </w:rPr>
              <w:t>Financial Liabilities</w:t>
            </w:r>
          </w:p>
        </w:tc>
        <w:tc>
          <w:tcPr>
            <w:tcW w:w="3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r>
      <w:tr>
        <w:trPr>
          <w:trHeight w:val="209"/>
        </w:trPr>
        <w:tc>
          <w:tcPr>
            <w:tcW w:w="282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28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Series F Preferred Stock Warrant</w:t>
            </w:r>
          </w:p>
        </w:tc>
        <w:tc>
          <w:tcPr>
            <w:tcW w:w="30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1,403</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1,403</w:t>
            </w:r>
          </w:p>
        </w:tc>
      </w:tr>
      <w:tr>
        <w:trPr>
          <w:trHeight w:val="202"/>
        </w:trPr>
        <w:tc>
          <w:tcPr>
            <w:tcW w:w="2820" w:type="dxa"/>
            <w:vAlign w:val="bottom"/>
          </w:tcPr>
          <w:p>
            <w:pPr>
              <w:ind w:left="480"/>
              <w:spacing w:after="0"/>
              <w:rPr>
                <w:sz w:val="20"/>
                <w:szCs w:val="20"/>
                <w:color w:val="auto"/>
              </w:rPr>
            </w:pPr>
            <w:r>
              <w:rPr>
                <w:rFonts w:ascii="Arial" w:cs="Arial" w:eastAsia="Arial" w:hAnsi="Arial"/>
                <w:sz w:val="17"/>
                <w:szCs w:val="17"/>
                <w:color w:val="auto"/>
              </w:rPr>
              <w:t>Total financial liabilities</w:t>
            </w:r>
          </w:p>
        </w:tc>
        <w:tc>
          <w:tcPr>
            <w:tcW w:w="3020" w:type="dxa"/>
            <w:vAlign w:val="bottom"/>
          </w:tcPr>
          <w:p>
            <w:pPr>
              <w:spacing w:after="0"/>
              <w:rPr>
                <w:sz w:val="17"/>
                <w:szCs w:val="17"/>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1,403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1,403</w:t>
            </w:r>
          </w:p>
        </w:tc>
      </w:tr>
      <w:tr>
        <w:trPr>
          <w:trHeight w:val="20"/>
        </w:trPr>
        <w:tc>
          <w:tcPr>
            <w:tcW w:w="28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right="240" w:firstLine="762"/>
        <w:spacing w:after="0" w:line="290" w:lineRule="auto"/>
        <w:rPr>
          <w:sz w:val="20"/>
          <w:szCs w:val="20"/>
          <w:color w:val="auto"/>
        </w:rPr>
      </w:pPr>
      <w:r>
        <w:rPr>
          <w:rFonts w:ascii="Arial" w:cs="Arial" w:eastAsia="Arial" w:hAnsi="Arial"/>
          <w:sz w:val="17"/>
          <w:szCs w:val="17"/>
          <w:color w:val="auto"/>
        </w:rPr>
        <w:t>The following table presents a reconciliation of the Series F Preferred Stock Warrant, which was measured at fair value using Level 3 inputs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tcPr>
          <w:p>
            <w:pPr>
              <w:jc w:val="right"/>
              <w:ind w:right="639"/>
              <w:spacing w:after="0"/>
              <w:rPr>
                <w:sz w:val="20"/>
                <w:szCs w:val="20"/>
                <w:color w:val="auto"/>
              </w:rPr>
            </w:pPr>
            <w:r>
              <w:rPr>
                <w:rFonts w:ascii="Arial" w:cs="Arial" w:eastAsia="Arial" w:hAnsi="Arial"/>
                <w:sz w:val="14"/>
                <w:szCs w:val="14"/>
                <w:b w:val="1"/>
                <w:bCs w:val="1"/>
                <w:color w:val="auto"/>
              </w:rPr>
              <w:t>Series F Preferred</w:t>
            </w:r>
          </w:p>
        </w:tc>
        <w:tc>
          <w:tcPr>
            <w:tcW w:w="0" w:type="dxa"/>
            <w:vAlign w:val="bottom"/>
          </w:tcPr>
          <w:p>
            <w:pPr>
              <w:spacing w:after="0"/>
              <w:rPr>
                <w:sz w:val="1"/>
                <w:szCs w:val="1"/>
                <w:color w:val="auto"/>
              </w:rPr>
            </w:pPr>
          </w:p>
        </w:tc>
      </w:tr>
      <w:tr>
        <w:trPr>
          <w:trHeight w:val="170"/>
        </w:trPr>
        <w:tc>
          <w:tcPr>
            <w:tcW w:w="87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Stock Warrant</w:t>
            </w:r>
          </w:p>
        </w:tc>
        <w:tc>
          <w:tcPr>
            <w:tcW w:w="0" w:type="dxa"/>
            <w:vAlign w:val="bottom"/>
          </w:tcPr>
          <w:p>
            <w:pPr>
              <w:spacing w:after="0"/>
              <w:rPr>
                <w:sz w:val="1"/>
                <w:szCs w:val="1"/>
                <w:color w:val="auto"/>
              </w:rPr>
            </w:pPr>
          </w:p>
        </w:tc>
      </w:tr>
      <w:tr>
        <w:trPr>
          <w:trHeight w:val="202"/>
        </w:trPr>
        <w:tc>
          <w:tcPr>
            <w:tcW w:w="8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 2019</w:t>
            </w:r>
          </w:p>
        </w:tc>
        <w:tc>
          <w:tcPr>
            <w:tcW w:w="340" w:type="dxa"/>
            <w:vAlign w:val="bottom"/>
            <w:tcBorders>
              <w:bottom w:val="single" w:sz="8" w:color="auto"/>
            </w:tcBorders>
            <w:shd w:val="clear" w:color="auto" w:fill="CFF0FC"/>
          </w:tcPr>
          <w:p>
            <w:pPr>
              <w:jc w:val="right"/>
              <w:ind w:right="153"/>
              <w:spacing w:after="0"/>
              <w:rPr>
                <w:sz w:val="20"/>
                <w:szCs w:val="20"/>
                <w:color w:val="auto"/>
              </w:rPr>
            </w:pPr>
            <w:r>
              <w:rPr>
                <w:rFonts w:ascii="Arial" w:cs="Arial" w:eastAsia="Arial" w:hAnsi="Arial"/>
                <w:sz w:val="17"/>
                <w:szCs w:val="17"/>
                <w:color w:val="auto"/>
                <w:w w:val="84"/>
              </w:rPr>
              <w:t>$</w:t>
            </w:r>
          </w:p>
        </w:tc>
        <w:tc>
          <w:tcPr>
            <w:tcW w:w="2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7"/>
                <w:szCs w:val="17"/>
                <w:color w:val="auto"/>
              </w:rPr>
              <w:t>1,403</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7"/>
                <w:szCs w:val="17"/>
                <w:color w:val="auto"/>
              </w:rPr>
              <w:t>Change in fair value</w:t>
            </w:r>
          </w:p>
        </w:tc>
        <w:tc>
          <w:tcPr>
            <w:tcW w:w="3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7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tcPr>
          <w:p>
            <w:pPr>
              <w:jc w:val="right"/>
              <w:ind w:right="39"/>
              <w:spacing w:after="0" w:line="189" w:lineRule="exact"/>
              <w:rPr>
                <w:sz w:val="20"/>
                <w:szCs w:val="20"/>
                <w:color w:val="auto"/>
              </w:rPr>
            </w:pPr>
            <w:r>
              <w:rPr>
                <w:rFonts w:ascii="Arial" w:cs="Arial" w:eastAsia="Arial" w:hAnsi="Arial"/>
                <w:sz w:val="17"/>
                <w:szCs w:val="17"/>
                <w:color w:val="auto"/>
              </w:rPr>
              <w:t>20,470</w:t>
            </w:r>
          </w:p>
        </w:tc>
        <w:tc>
          <w:tcPr>
            <w:tcW w:w="0" w:type="dxa"/>
            <w:vAlign w:val="bottom"/>
          </w:tcPr>
          <w:p>
            <w:pPr>
              <w:spacing w:after="0"/>
              <w:rPr>
                <w:sz w:val="1"/>
                <w:szCs w:val="1"/>
                <w:color w:val="auto"/>
              </w:rPr>
            </w:pPr>
          </w:p>
        </w:tc>
      </w:tr>
      <w:tr>
        <w:trPr>
          <w:trHeight w:val="209"/>
        </w:trPr>
        <w:tc>
          <w:tcPr>
            <w:tcW w:w="8740" w:type="dxa"/>
            <w:vAlign w:val="bottom"/>
            <w:shd w:val="clear" w:color="auto" w:fill="CFF0FC"/>
          </w:tcPr>
          <w:p>
            <w:pPr>
              <w:spacing w:after="0"/>
              <w:rPr>
                <w:sz w:val="20"/>
                <w:szCs w:val="20"/>
                <w:color w:val="auto"/>
              </w:rPr>
            </w:pPr>
            <w:r>
              <w:rPr>
                <w:rFonts w:ascii="Arial" w:cs="Arial" w:eastAsia="Arial" w:hAnsi="Arial"/>
                <w:sz w:val="17"/>
                <w:szCs w:val="17"/>
                <w:color w:val="auto"/>
              </w:rPr>
              <w:t>Conversion to common stock warrant</w:t>
            </w:r>
          </w:p>
        </w:tc>
        <w:tc>
          <w:tcPr>
            <w:tcW w:w="34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(21,873)</w:t>
            </w:r>
          </w:p>
        </w:tc>
        <w:tc>
          <w:tcPr>
            <w:tcW w:w="0" w:type="dxa"/>
            <w:vAlign w:val="bottom"/>
          </w:tcPr>
          <w:p>
            <w:pPr>
              <w:spacing w:after="0"/>
              <w:rPr>
                <w:sz w:val="1"/>
                <w:szCs w:val="1"/>
                <w:color w:val="auto"/>
              </w:rPr>
            </w:pPr>
          </w:p>
        </w:tc>
      </w:tr>
      <w:tr>
        <w:trPr>
          <w:trHeight w:val="202"/>
        </w:trPr>
        <w:tc>
          <w:tcPr>
            <w:tcW w:w="8740" w:type="dxa"/>
            <w:vAlign w:val="bottom"/>
          </w:tcPr>
          <w:p>
            <w:pPr>
              <w:spacing w:after="0"/>
              <w:rPr>
                <w:sz w:val="20"/>
                <w:szCs w:val="20"/>
                <w:color w:val="auto"/>
              </w:rPr>
            </w:pPr>
            <w:r>
              <w:rPr>
                <w:rFonts w:ascii="Arial" w:cs="Arial" w:eastAsia="Arial" w:hAnsi="Arial"/>
                <w:sz w:val="17"/>
                <w:szCs w:val="17"/>
                <w:b w:val="1"/>
                <w:bCs w:val="1"/>
                <w:color w:val="auto"/>
              </w:rPr>
              <w:t>Balance as of December 31, 2020</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21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00" w:firstLine="762"/>
        <w:spacing w:after="0" w:line="250" w:lineRule="auto"/>
        <w:rPr>
          <w:sz w:val="20"/>
          <w:szCs w:val="20"/>
          <w:color w:val="auto"/>
        </w:rPr>
      </w:pPr>
      <w:r>
        <w:rPr>
          <w:rFonts w:ascii="Arial" w:cs="Arial" w:eastAsia="Arial" w:hAnsi="Arial"/>
          <w:sz w:val="17"/>
          <w:szCs w:val="17"/>
          <w:color w:val="auto"/>
        </w:rPr>
        <w:t>Prior to the closing of the IPO on June 11, 2020 and the related conversion of the Company’s preferred stock into common stock, the Company estimated the fair value of the Series F Preferred Stock Warrant based on the Black-Scholes option-pricing model which utilized the value of shares sold in the Company’s latest preferred stock financing and allocated the estimated equity value of the Company to each class of the Company’s outstanding securities using an option-pricing back-solve model. Upon the closing of the IPO, the Series F Preferred Stock Warrant converted into a common stock warrant and the warrant liability was remeasured at fair value for the last time based on the quoted price of the Company’s publicly traded common stock. On June 23, 2020, the holders exercised the Series F Preferred Stock Warrant.</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03" w:lineRule="exact"/>
        <w:rPr>
          <w:sz w:val="20"/>
          <w:szCs w:val="20"/>
          <w:color w:val="auto"/>
        </w:rPr>
      </w:pPr>
    </w:p>
    <w:p>
      <w:pPr>
        <w:jc w:val="both"/>
        <w:ind w:right="240" w:firstLine="762"/>
        <w:spacing w:after="0" w:line="265" w:lineRule="auto"/>
        <w:rPr>
          <w:sz w:val="20"/>
          <w:szCs w:val="20"/>
          <w:color w:val="auto"/>
        </w:rPr>
      </w:pPr>
      <w:r>
        <w:rPr>
          <w:rFonts w:ascii="Arial" w:cs="Arial" w:eastAsia="Arial" w:hAnsi="Arial"/>
          <w:sz w:val="17"/>
          <w:szCs w:val="17"/>
          <w:color w:val="auto"/>
        </w:rPr>
        <w:t>The carrying amounts of restricted cash, accounts receivable, accounts payable and accrued liabilities approximate fair value due to their short-term nature. The carrying value of the 2020 Vehicle Floorplan Facility was determined to approximate fair value due to its short-term duration and variable interest rate that approximates prevailing interest rates as of each reporting period.</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Segment Information</w:t>
      </w:r>
    </w:p>
    <w:p>
      <w:pPr>
        <w:spacing w:after="0" w:line="107" w:lineRule="exact"/>
        <w:rPr>
          <w:sz w:val="20"/>
          <w:szCs w:val="20"/>
          <w:color w:val="auto"/>
        </w:rPr>
      </w:pPr>
    </w:p>
    <w:p>
      <w:pPr>
        <w:ind w:right="80" w:firstLine="762"/>
        <w:spacing w:after="0" w:line="253" w:lineRule="auto"/>
        <w:rPr>
          <w:sz w:val="20"/>
          <w:szCs w:val="20"/>
          <w:color w:val="auto"/>
        </w:rPr>
      </w:pPr>
      <w:r>
        <w:rPr>
          <w:rFonts w:ascii="Arial" w:cs="Arial" w:eastAsia="Arial" w:hAnsi="Arial"/>
          <w:sz w:val="17"/>
          <w:szCs w:val="17"/>
          <w:color w:val="auto"/>
        </w:rPr>
        <w:t>The Company has three reportable segments: Ecommerce, Wholesale, and TDA. No operating segments have been aggregated to form the reportable segments. The Company determined its operating segments based on how the chief operating decision maker (“CODM”) reviews the Company’s operating results in assessing performance and allocating resources. The CODM reviews revenue and gross profit for each of the reportable segments. Gross profit is defined as revenue less cost of sales incurred by the segment. The CODM does not evaluate operating segments using asset information as these are managed on an enterprise wide group basis. Accordingly, the Company does not report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1" w:lineRule="exact"/>
        <w:rPr>
          <w:sz w:val="20"/>
          <w:szCs w:val="20"/>
          <w:color w:val="auto"/>
        </w:rPr>
      </w:pPr>
    </w:p>
    <w:p>
      <w:pPr>
        <w:ind w:right="560"/>
        <w:spacing w:after="0" w:line="290" w:lineRule="auto"/>
        <w:rPr>
          <w:sz w:val="20"/>
          <w:szCs w:val="20"/>
          <w:color w:val="auto"/>
        </w:rPr>
      </w:pPr>
      <w:r>
        <w:rPr>
          <w:rFonts w:ascii="Arial" w:cs="Arial" w:eastAsia="Arial" w:hAnsi="Arial"/>
          <w:sz w:val="17"/>
          <w:szCs w:val="17"/>
          <w:color w:val="auto"/>
        </w:rPr>
        <w:t>segment asset information. As of December 31, 2020, 2019, and 2018, the Company did not have any assets located outside of the United States.</w:t>
      </w:r>
    </w:p>
    <w:p>
      <w:pPr>
        <w:spacing w:after="0" w:line="129" w:lineRule="exact"/>
        <w:rPr>
          <w:sz w:val="20"/>
          <w:szCs w:val="20"/>
          <w:color w:val="auto"/>
        </w:rPr>
      </w:pPr>
    </w:p>
    <w:p>
      <w:pPr>
        <w:ind w:right="20" w:firstLine="762"/>
        <w:spacing w:after="0" w:line="257" w:lineRule="auto"/>
        <w:rPr>
          <w:sz w:val="20"/>
          <w:szCs w:val="20"/>
          <w:color w:val="auto"/>
        </w:rPr>
      </w:pPr>
      <w:r>
        <w:rPr>
          <w:rFonts w:ascii="Arial" w:cs="Arial" w:eastAsia="Arial" w:hAnsi="Arial"/>
          <w:sz w:val="17"/>
          <w:szCs w:val="17"/>
          <w:color w:val="auto"/>
        </w:rPr>
        <w:t>The Ecommerce reportable segment represents retail sales of used vehicles through the Company’s ecommerce platform and fees earned on sales of value-added products associated with those vehicle sales. The Wholesale reportable segment represents sales of used vehicles through wholesale channels. The TDA reportable segment represents retail sales of used vehicles from TDA and fees earned on sales of value-added products associated with those vehicle sales.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Information about the Company’s reportable segments are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Year Ended December 31, 2020</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3"/>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Ecommerce</w:t>
            </w:r>
          </w:p>
        </w:tc>
        <w:tc>
          <w:tcPr>
            <w:tcW w:w="20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Wholesale</w:t>
            </w:r>
          </w:p>
        </w:tc>
        <w:tc>
          <w:tcPr>
            <w:tcW w:w="300" w:type="dxa"/>
            <w:vAlign w:val="bottom"/>
          </w:tcPr>
          <w:p>
            <w:pPr>
              <w:spacing w:after="0"/>
              <w:rPr>
                <w:sz w:val="14"/>
                <w:szCs w:val="1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TDA</w:t>
            </w:r>
          </w:p>
        </w:tc>
        <w:tc>
          <w:tcPr>
            <w:tcW w:w="160" w:type="dxa"/>
            <w:vAlign w:val="bottom"/>
          </w:tcPr>
          <w:p>
            <w:pPr>
              <w:spacing w:after="0"/>
              <w:rPr>
                <w:sz w:val="14"/>
                <w:szCs w:val="14"/>
                <w:color w:val="auto"/>
              </w:rPr>
            </w:pPr>
          </w:p>
        </w:tc>
        <w:tc>
          <w:tcPr>
            <w:tcW w:w="1280" w:type="dxa"/>
            <w:vAlign w:val="bottom"/>
          </w:tcPr>
          <w:p>
            <w:pPr>
              <w:jc w:val="right"/>
              <w:ind w:right="259"/>
              <w:spacing w:after="0"/>
              <w:rPr>
                <w:sz w:val="20"/>
                <w:szCs w:val="20"/>
                <w:color w:val="auto"/>
              </w:rPr>
            </w:pPr>
            <w:r>
              <w:rPr>
                <w:rFonts w:ascii="Arial" w:cs="Arial" w:eastAsia="Arial" w:hAnsi="Arial"/>
                <w:sz w:val="14"/>
                <w:szCs w:val="14"/>
                <w:b w:val="1"/>
                <w:bCs w:val="1"/>
                <w:color w:val="auto"/>
              </w:rPr>
              <w:t>Consolidated</w:t>
            </w:r>
          </w:p>
        </w:tc>
      </w:tr>
      <w:tr>
        <w:trPr>
          <w:trHeight w:val="202"/>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Revenues from external customers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7"/>
                <w:szCs w:val="17"/>
                <w:color w:val="auto"/>
              </w:rPr>
              <w:t>915,451</w:t>
            </w:r>
          </w:p>
        </w:tc>
        <w:tc>
          <w:tcPr>
            <w:tcW w:w="1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7"/>
                <w:szCs w:val="17"/>
                <w:color w:val="auto"/>
              </w:rPr>
              <w:t>245,580</w:t>
            </w:r>
          </w:p>
        </w:tc>
        <w:tc>
          <w:tcPr>
            <w:tcW w:w="1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7"/>
                <w:szCs w:val="17"/>
                <w:color w:val="auto"/>
              </w:rPr>
              <w:t>196,669</w:t>
            </w: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7"/>
                <w:szCs w:val="17"/>
                <w:color w:val="auto"/>
              </w:rPr>
              <w:t>1,357,700</w:t>
            </w:r>
          </w:p>
        </w:tc>
      </w:tr>
      <w:tr>
        <w:trPr>
          <w:trHeight w:val="236"/>
        </w:trPr>
        <w:tc>
          <w:tcPr>
            <w:tcW w:w="5100" w:type="dxa"/>
            <w:vAlign w:val="bottom"/>
          </w:tcPr>
          <w:p>
            <w:pPr>
              <w:spacing w:after="0"/>
              <w:rPr>
                <w:sz w:val="20"/>
                <w:szCs w:val="20"/>
                <w:color w:val="auto"/>
              </w:rPr>
            </w:pPr>
            <w:r>
              <w:rPr>
                <w:rFonts w:ascii="Arial" w:cs="Arial" w:eastAsia="Arial" w:hAnsi="Arial"/>
                <w:sz w:val="17"/>
                <w:szCs w:val="17"/>
                <w:color w:val="auto"/>
              </w:rPr>
              <w:t>Gross profit (loss)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39"/>
              <w:spacing w:after="0"/>
              <w:rPr>
                <w:sz w:val="20"/>
                <w:szCs w:val="20"/>
                <w:color w:val="auto"/>
              </w:rPr>
            </w:pPr>
            <w:r>
              <w:rPr>
                <w:rFonts w:ascii="Arial" w:cs="Arial" w:eastAsia="Arial" w:hAnsi="Arial"/>
                <w:sz w:val="17"/>
                <w:szCs w:val="17"/>
                <w:color w:val="auto"/>
              </w:rPr>
              <w:t>60,861</w:t>
            </w:r>
          </w:p>
        </w:tc>
        <w:tc>
          <w:tcPr>
            <w:tcW w:w="14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(1,432)</w:t>
            </w:r>
          </w:p>
        </w:tc>
        <w:tc>
          <w:tcPr>
            <w:tcW w:w="140" w:type="dxa"/>
            <w:vAlign w:val="bottom"/>
          </w:tcPr>
          <w:p>
            <w:pPr>
              <w:spacing w:after="0"/>
              <w:rPr>
                <w:sz w:val="20"/>
                <w:szCs w:val="20"/>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12,116</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39"/>
              <w:spacing w:after="0"/>
              <w:rPr>
                <w:sz w:val="20"/>
                <w:szCs w:val="20"/>
                <w:color w:val="auto"/>
              </w:rPr>
            </w:pPr>
            <w:r>
              <w:rPr>
                <w:rFonts w:ascii="Arial" w:cs="Arial" w:eastAsia="Arial" w:hAnsi="Arial"/>
                <w:sz w:val="17"/>
                <w:szCs w:val="17"/>
                <w:color w:val="auto"/>
              </w:rPr>
              <w:t>71,545</w:t>
            </w:r>
          </w:p>
        </w:tc>
      </w:tr>
      <w:tr>
        <w:trPr>
          <w:trHeight w:val="379"/>
        </w:trPr>
        <w:tc>
          <w:tcPr>
            <w:tcW w:w="5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Year Ended December 31, 2019</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63"/>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Ecommerce</w:t>
            </w:r>
          </w:p>
        </w:tc>
        <w:tc>
          <w:tcPr>
            <w:tcW w:w="20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Wholesale</w:t>
            </w:r>
          </w:p>
        </w:tc>
        <w:tc>
          <w:tcPr>
            <w:tcW w:w="300" w:type="dxa"/>
            <w:vAlign w:val="bottom"/>
          </w:tcPr>
          <w:p>
            <w:pPr>
              <w:spacing w:after="0"/>
              <w:rPr>
                <w:sz w:val="14"/>
                <w:szCs w:val="1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TDA</w:t>
            </w:r>
          </w:p>
        </w:tc>
        <w:tc>
          <w:tcPr>
            <w:tcW w:w="160" w:type="dxa"/>
            <w:vAlign w:val="bottom"/>
          </w:tcPr>
          <w:p>
            <w:pPr>
              <w:spacing w:after="0"/>
              <w:rPr>
                <w:sz w:val="14"/>
                <w:szCs w:val="14"/>
                <w:color w:val="auto"/>
              </w:rPr>
            </w:pPr>
          </w:p>
        </w:tc>
        <w:tc>
          <w:tcPr>
            <w:tcW w:w="1280" w:type="dxa"/>
            <w:vAlign w:val="bottom"/>
          </w:tcPr>
          <w:p>
            <w:pPr>
              <w:jc w:val="right"/>
              <w:ind w:right="259"/>
              <w:spacing w:after="0"/>
              <w:rPr>
                <w:sz w:val="20"/>
                <w:szCs w:val="20"/>
                <w:color w:val="auto"/>
              </w:rPr>
            </w:pPr>
            <w:r>
              <w:rPr>
                <w:rFonts w:ascii="Arial" w:cs="Arial" w:eastAsia="Arial" w:hAnsi="Arial"/>
                <w:sz w:val="14"/>
                <w:szCs w:val="14"/>
                <w:b w:val="1"/>
                <w:bCs w:val="1"/>
                <w:color w:val="auto"/>
              </w:rPr>
              <w:t>Consolidated</w:t>
            </w:r>
          </w:p>
        </w:tc>
      </w:tr>
      <w:tr>
        <w:trPr>
          <w:trHeight w:val="202"/>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Revenues from external customers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7"/>
                <w:szCs w:val="17"/>
                <w:color w:val="auto"/>
              </w:rPr>
              <w:t>588,114</w:t>
            </w:r>
          </w:p>
        </w:tc>
        <w:tc>
          <w:tcPr>
            <w:tcW w:w="1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7"/>
                <w:szCs w:val="17"/>
                <w:color w:val="auto"/>
              </w:rPr>
              <w:t>213,464</w:t>
            </w:r>
          </w:p>
        </w:tc>
        <w:tc>
          <w:tcPr>
            <w:tcW w:w="1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7"/>
                <w:szCs w:val="17"/>
                <w:color w:val="auto"/>
              </w:rPr>
              <w:t>390,243</w:t>
            </w: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7"/>
                <w:szCs w:val="17"/>
                <w:color w:val="auto"/>
              </w:rPr>
              <w:t>1,191,821</w:t>
            </w:r>
          </w:p>
        </w:tc>
      </w:tr>
      <w:tr>
        <w:trPr>
          <w:trHeight w:val="236"/>
        </w:trPr>
        <w:tc>
          <w:tcPr>
            <w:tcW w:w="5100" w:type="dxa"/>
            <w:vAlign w:val="bottom"/>
          </w:tcPr>
          <w:p>
            <w:pPr>
              <w:spacing w:after="0"/>
              <w:rPr>
                <w:sz w:val="20"/>
                <w:szCs w:val="20"/>
                <w:color w:val="auto"/>
              </w:rPr>
            </w:pPr>
            <w:r>
              <w:rPr>
                <w:rFonts w:ascii="Arial" w:cs="Arial" w:eastAsia="Arial" w:hAnsi="Arial"/>
                <w:sz w:val="17"/>
                <w:szCs w:val="17"/>
                <w:color w:val="auto"/>
              </w:rPr>
              <w:t>Gross profit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39"/>
              <w:spacing w:after="0"/>
              <w:rPr>
                <w:sz w:val="20"/>
                <w:szCs w:val="20"/>
                <w:color w:val="auto"/>
              </w:rPr>
            </w:pPr>
            <w:r>
              <w:rPr>
                <w:rFonts w:ascii="Arial" w:cs="Arial" w:eastAsia="Arial" w:hAnsi="Arial"/>
                <w:sz w:val="17"/>
                <w:szCs w:val="17"/>
                <w:color w:val="auto"/>
              </w:rPr>
              <w:t>32,127</w:t>
            </w:r>
          </w:p>
        </w:tc>
        <w:tc>
          <w:tcPr>
            <w:tcW w:w="14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42"/>
              <w:spacing w:after="0"/>
              <w:rPr>
                <w:sz w:val="20"/>
                <w:szCs w:val="20"/>
                <w:color w:val="auto"/>
              </w:rPr>
            </w:pPr>
            <w:r>
              <w:rPr>
                <w:rFonts w:ascii="Arial" w:cs="Arial" w:eastAsia="Arial" w:hAnsi="Arial"/>
                <w:sz w:val="17"/>
                <w:szCs w:val="17"/>
                <w:color w:val="auto"/>
              </w:rPr>
              <w:t>340</w:t>
            </w:r>
          </w:p>
        </w:tc>
        <w:tc>
          <w:tcPr>
            <w:tcW w:w="140" w:type="dxa"/>
            <w:vAlign w:val="bottom"/>
          </w:tcPr>
          <w:p>
            <w:pPr>
              <w:spacing w:after="0"/>
              <w:rPr>
                <w:sz w:val="20"/>
                <w:szCs w:val="20"/>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25,392</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39"/>
              <w:spacing w:after="0"/>
              <w:rPr>
                <w:sz w:val="20"/>
                <w:szCs w:val="20"/>
                <w:color w:val="auto"/>
              </w:rPr>
            </w:pPr>
            <w:r>
              <w:rPr>
                <w:rFonts w:ascii="Arial" w:cs="Arial" w:eastAsia="Arial" w:hAnsi="Arial"/>
                <w:sz w:val="17"/>
                <w:szCs w:val="17"/>
                <w:color w:val="auto"/>
              </w:rPr>
              <w:t>57,859</w:t>
            </w:r>
          </w:p>
        </w:tc>
      </w:tr>
      <w:tr>
        <w:trPr>
          <w:trHeight w:val="353"/>
        </w:trPr>
        <w:tc>
          <w:tcPr>
            <w:tcW w:w="5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Year Ended December 31, 2018</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63"/>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Ecommerce</w:t>
            </w:r>
          </w:p>
        </w:tc>
        <w:tc>
          <w:tcPr>
            <w:tcW w:w="20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Wholesale</w:t>
            </w:r>
          </w:p>
        </w:tc>
        <w:tc>
          <w:tcPr>
            <w:tcW w:w="300" w:type="dxa"/>
            <w:vAlign w:val="bottom"/>
          </w:tcPr>
          <w:p>
            <w:pPr>
              <w:spacing w:after="0"/>
              <w:rPr>
                <w:sz w:val="14"/>
                <w:szCs w:val="1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TDA</w:t>
            </w:r>
          </w:p>
        </w:tc>
        <w:tc>
          <w:tcPr>
            <w:tcW w:w="160" w:type="dxa"/>
            <w:vAlign w:val="bottom"/>
          </w:tcPr>
          <w:p>
            <w:pPr>
              <w:spacing w:after="0"/>
              <w:rPr>
                <w:sz w:val="14"/>
                <w:szCs w:val="14"/>
                <w:color w:val="auto"/>
              </w:rPr>
            </w:pPr>
          </w:p>
        </w:tc>
        <w:tc>
          <w:tcPr>
            <w:tcW w:w="1280" w:type="dxa"/>
            <w:vAlign w:val="bottom"/>
          </w:tcPr>
          <w:p>
            <w:pPr>
              <w:jc w:val="right"/>
              <w:ind w:right="259"/>
              <w:spacing w:after="0"/>
              <w:rPr>
                <w:sz w:val="20"/>
                <w:szCs w:val="20"/>
                <w:color w:val="auto"/>
              </w:rPr>
            </w:pPr>
            <w:r>
              <w:rPr>
                <w:rFonts w:ascii="Arial" w:cs="Arial" w:eastAsia="Arial" w:hAnsi="Arial"/>
                <w:sz w:val="14"/>
                <w:szCs w:val="14"/>
                <w:b w:val="1"/>
                <w:bCs w:val="1"/>
                <w:color w:val="auto"/>
              </w:rPr>
              <w:t>Consolidated</w:t>
            </w:r>
          </w:p>
        </w:tc>
      </w:tr>
      <w:tr>
        <w:trPr>
          <w:trHeight w:val="202"/>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Revenues from external customers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7"/>
                <w:szCs w:val="17"/>
                <w:color w:val="auto"/>
              </w:rPr>
              <w:t>301,172</w:t>
            </w:r>
          </w:p>
        </w:tc>
        <w:tc>
          <w:tcPr>
            <w:tcW w:w="1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7"/>
                <w:szCs w:val="17"/>
                <w:color w:val="auto"/>
              </w:rPr>
              <w:t>174,514</w:t>
            </w:r>
          </w:p>
        </w:tc>
        <w:tc>
          <w:tcPr>
            <w:tcW w:w="1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7"/>
                <w:szCs w:val="17"/>
                <w:color w:val="auto"/>
              </w:rPr>
              <w:t>379,743</w:t>
            </w: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7"/>
                <w:szCs w:val="17"/>
                <w:color w:val="auto"/>
              </w:rPr>
              <w:t>855,429</w:t>
            </w:r>
          </w:p>
        </w:tc>
      </w:tr>
      <w:tr>
        <w:trPr>
          <w:trHeight w:val="236"/>
        </w:trPr>
        <w:tc>
          <w:tcPr>
            <w:tcW w:w="5100" w:type="dxa"/>
            <w:vAlign w:val="bottom"/>
          </w:tcPr>
          <w:p>
            <w:pPr>
              <w:spacing w:after="0"/>
              <w:rPr>
                <w:sz w:val="20"/>
                <w:szCs w:val="20"/>
                <w:color w:val="auto"/>
              </w:rPr>
            </w:pPr>
            <w:r>
              <w:rPr>
                <w:rFonts w:ascii="Arial" w:cs="Arial" w:eastAsia="Arial" w:hAnsi="Arial"/>
                <w:sz w:val="17"/>
                <w:szCs w:val="17"/>
                <w:color w:val="auto"/>
              </w:rPr>
              <w:t>Gross profit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39"/>
              <w:spacing w:after="0"/>
              <w:rPr>
                <w:sz w:val="20"/>
                <w:szCs w:val="20"/>
                <w:color w:val="auto"/>
              </w:rPr>
            </w:pPr>
            <w:r>
              <w:rPr>
                <w:rFonts w:ascii="Arial" w:cs="Arial" w:eastAsia="Arial" w:hAnsi="Arial"/>
                <w:sz w:val="17"/>
                <w:szCs w:val="17"/>
                <w:color w:val="auto"/>
              </w:rPr>
              <w:t>22,425</w:t>
            </w:r>
          </w:p>
        </w:tc>
        <w:tc>
          <w:tcPr>
            <w:tcW w:w="14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42"/>
              <w:spacing w:after="0"/>
              <w:rPr>
                <w:sz w:val="20"/>
                <w:szCs w:val="20"/>
                <w:color w:val="auto"/>
              </w:rPr>
            </w:pPr>
            <w:r>
              <w:rPr>
                <w:rFonts w:ascii="Arial" w:cs="Arial" w:eastAsia="Arial" w:hAnsi="Arial"/>
                <w:sz w:val="17"/>
                <w:szCs w:val="17"/>
                <w:color w:val="auto"/>
              </w:rPr>
              <w:t>3,257</w:t>
            </w:r>
          </w:p>
        </w:tc>
        <w:tc>
          <w:tcPr>
            <w:tcW w:w="140" w:type="dxa"/>
            <w:vAlign w:val="bottom"/>
          </w:tcPr>
          <w:p>
            <w:pPr>
              <w:spacing w:after="0"/>
              <w:rPr>
                <w:sz w:val="20"/>
                <w:szCs w:val="20"/>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35,125</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39"/>
              <w:spacing w:after="0"/>
              <w:rPr>
                <w:sz w:val="20"/>
                <w:szCs w:val="20"/>
                <w:color w:val="auto"/>
              </w:rPr>
            </w:pPr>
            <w:r>
              <w:rPr>
                <w:rFonts w:ascii="Arial" w:cs="Arial" w:eastAsia="Arial" w:hAnsi="Arial"/>
                <w:sz w:val="17"/>
                <w:szCs w:val="17"/>
                <w:color w:val="auto"/>
              </w:rPr>
              <w:t>60,807</w:t>
            </w:r>
          </w:p>
        </w:tc>
      </w:tr>
    </w:tbl>
    <w:p>
      <w:pPr>
        <w:spacing w:after="0" w:line="186" w:lineRule="exact"/>
        <w:rPr>
          <w:sz w:val="20"/>
          <w:szCs w:val="20"/>
          <w:color w:val="auto"/>
        </w:rPr>
      </w:pPr>
    </w:p>
    <w:p>
      <w:pPr>
        <w:ind w:right="520" w:firstLine="762"/>
        <w:spacing w:after="0" w:line="290" w:lineRule="auto"/>
        <w:rPr>
          <w:sz w:val="20"/>
          <w:szCs w:val="20"/>
          <w:color w:val="auto"/>
        </w:rPr>
      </w:pPr>
      <w:r>
        <w:rPr>
          <w:rFonts w:ascii="Arial" w:cs="Arial" w:eastAsia="Arial" w:hAnsi="Arial"/>
          <w:sz w:val="17"/>
          <w:szCs w:val="17"/>
          <w:color w:val="auto"/>
        </w:rPr>
        <w:t>The reconciliation between reportable segment gross profit to consolidated loss before provision for income taxes is as follows (in thousands):</w:t>
      </w:r>
    </w:p>
    <w:p>
      <w:pPr>
        <w:spacing w:after="0" w:line="178"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Year Ended</w:t>
      </w:r>
    </w:p>
    <w:p>
      <w:pPr>
        <w:spacing w:after="0" w:line="5"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63"/>
        </w:trPr>
        <w:tc>
          <w:tcPr>
            <w:tcW w:w="4480" w:type="dxa"/>
            <w:vAlign w:val="bottom"/>
            <w:tcBorders>
              <w:bottom w:val="single" w:sz="8" w:color="CFF0FC"/>
            </w:tcBorders>
          </w:tcPr>
          <w:p>
            <w:pPr>
              <w:spacing w:after="0"/>
              <w:rPr>
                <w:sz w:val="14"/>
                <w:szCs w:val="14"/>
                <w:color w:val="auto"/>
              </w:rPr>
            </w:pPr>
          </w:p>
        </w:tc>
        <w:tc>
          <w:tcPr>
            <w:tcW w:w="142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shd w:val="clear" w:color="auto" w:fill="CFF0FC"/>
          </w:tcPr>
          <w:p>
            <w:pPr>
              <w:spacing w:after="0"/>
              <w:rPr>
                <w:sz w:val="20"/>
                <w:szCs w:val="20"/>
                <w:color w:val="auto"/>
              </w:rPr>
            </w:pPr>
            <w:r>
              <w:rPr>
                <w:rFonts w:ascii="Arial" w:cs="Arial" w:eastAsia="Arial" w:hAnsi="Arial"/>
                <w:sz w:val="17"/>
                <w:szCs w:val="17"/>
                <w:color w:val="auto"/>
              </w:rPr>
              <w:t>Segment gross profit</w:t>
            </w:r>
          </w:p>
        </w:tc>
        <w:tc>
          <w:tcPr>
            <w:tcW w:w="14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71,545</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57,859</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60,807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245,546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184,988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133,842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spacing w:after="0"/>
              <w:rPr>
                <w:sz w:val="20"/>
                <w:szCs w:val="20"/>
                <w:color w:val="auto"/>
              </w:rPr>
            </w:pPr>
            <w:r>
              <w:rPr>
                <w:rFonts w:ascii="Arial" w:cs="Arial" w:eastAsia="Arial" w:hAnsi="Arial"/>
                <w:sz w:val="17"/>
                <w:szCs w:val="17"/>
                <w:color w:val="auto"/>
              </w:rPr>
              <w:t>Depreciation and amortization</w:t>
            </w:r>
          </w:p>
        </w:tc>
        <w:tc>
          <w:tcPr>
            <w:tcW w:w="1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4,598</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6,019</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7"/>
                <w:szCs w:val="17"/>
                <w:color w:val="auto"/>
              </w:rPr>
              <w:t>Interest expense</w:t>
            </w: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9,656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14,596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8,513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spacing w:after="0"/>
              <w:rPr>
                <w:sz w:val="20"/>
                <w:szCs w:val="20"/>
                <w:color w:val="auto"/>
              </w:rPr>
            </w:pPr>
            <w:r>
              <w:rPr>
                <w:rFonts w:ascii="Arial" w:cs="Arial" w:eastAsia="Arial" w:hAnsi="Arial"/>
                <w:sz w:val="17"/>
                <w:szCs w:val="17"/>
                <w:color w:val="auto"/>
              </w:rPr>
              <w:t>Interest Income</w:t>
            </w:r>
          </w:p>
        </w:tc>
        <w:tc>
          <w:tcPr>
            <w:tcW w:w="1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(5,896)</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(5,607)</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7"/>
                <w:szCs w:val="17"/>
                <w:color w:val="auto"/>
              </w:rPr>
              <w:t>Revaluation of preferred stock warrant</w:t>
            </w: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20,470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769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spacing w:after="0"/>
              <w:rPr>
                <w:sz w:val="20"/>
                <w:szCs w:val="20"/>
                <w:color w:val="auto"/>
              </w:rPr>
            </w:pPr>
            <w:r>
              <w:rPr>
                <w:rFonts w:ascii="Arial" w:cs="Arial" w:eastAsia="Arial" w:hAnsi="Arial"/>
                <w:sz w:val="17"/>
                <w:szCs w:val="17"/>
                <w:color w:val="auto"/>
              </w:rPr>
              <w:t>Other income, net</w:t>
            </w:r>
          </w:p>
        </w:tc>
        <w:tc>
          <w:tcPr>
            <w:tcW w:w="14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(114)</w:t>
            </w:r>
          </w:p>
        </w:tc>
        <w:tc>
          <w:tcPr>
            <w:tcW w:w="1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w:t>
            </w: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80" w:type="dxa"/>
            <w:vAlign w:val="bottom"/>
          </w:tcPr>
          <w:p>
            <w:pPr>
              <w:spacing w:after="0"/>
              <w:rPr>
                <w:sz w:val="20"/>
                <w:szCs w:val="20"/>
                <w:color w:val="auto"/>
              </w:rPr>
            </w:pPr>
            <w:r>
              <w:rPr>
                <w:rFonts w:ascii="Arial" w:cs="Arial" w:eastAsia="Arial" w:hAnsi="Arial"/>
                <w:sz w:val="17"/>
                <w:szCs w:val="17"/>
                <w:color w:val="auto"/>
              </w:rPr>
              <w:t>Loss before provision for income taxes</w:t>
            </w:r>
          </w:p>
        </w:tc>
        <w:tc>
          <w:tcPr>
            <w:tcW w:w="1420" w:type="dxa"/>
            <w:vAlign w:val="bottom"/>
          </w:tcPr>
          <w:p>
            <w:pPr>
              <w:spacing w:after="0"/>
              <w:rPr>
                <w:sz w:val="17"/>
                <w:szCs w:val="17"/>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(202,715)</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(142,810)</w:t>
            </w:r>
          </w:p>
        </w:tc>
        <w:tc>
          <w:tcPr>
            <w:tcW w:w="160" w:type="dxa"/>
            <w:vAlign w:val="bottom"/>
          </w:tcPr>
          <w:p>
            <w:pPr>
              <w:spacing w:after="0"/>
              <w:rPr>
                <w:sz w:val="17"/>
                <w:szCs w:val="17"/>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(84,949)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20" w:type="dxa"/>
            <w:vAlign w:val="bottom"/>
            <w:vMerge w:val="restart"/>
          </w:tcPr>
          <w:p>
            <w:pPr>
              <w:jc w:val="right"/>
              <w:ind w:right="53"/>
              <w:spacing w:after="0"/>
              <w:rPr>
                <w:sz w:val="20"/>
                <w:szCs w:val="20"/>
                <w:color w:val="auto"/>
              </w:rPr>
            </w:pPr>
            <w:r>
              <w:rPr>
                <w:rFonts w:ascii="Arial" w:cs="Arial" w:eastAsia="Arial" w:hAnsi="Arial"/>
                <w:sz w:val="17"/>
                <w:szCs w:val="17"/>
                <w:color w:val="auto"/>
              </w:rPr>
              <w:t>105</w:t>
            </w: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7"/>
        </w:trPr>
        <w:tc>
          <w:tcPr>
            <w:tcW w:w="44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4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-7620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9" w:lineRule="exact"/>
        <w:rPr>
          <w:sz w:val="20"/>
          <w:szCs w:val="20"/>
          <w:color w:val="auto"/>
        </w:rPr>
      </w:pPr>
    </w:p>
    <w:p>
      <w:pPr>
        <w:ind w:right="9440" w:firstLine="5"/>
        <w:spacing w:after="0" w:line="370" w:lineRule="auto"/>
        <w:tabs>
          <w:tab w:leader="none" w:pos="291"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b w:val="1"/>
          <w:bCs w:val="1"/>
          <w:i w:val="1"/>
          <w:iCs w:val="1"/>
          <w:color w:val="auto"/>
        </w:rPr>
        <w:t>Income Tax Provision</w:t>
      </w:r>
    </w:p>
    <w:p>
      <w:pPr>
        <w:spacing w:after="0" w:line="1" w:lineRule="exact"/>
        <w:rPr>
          <w:sz w:val="20"/>
          <w:szCs w:val="20"/>
          <w:color w:val="auto"/>
        </w:rPr>
      </w:pPr>
    </w:p>
    <w:p>
      <w:pPr>
        <w:ind w:right="820" w:firstLine="762"/>
        <w:spacing w:after="0" w:line="290" w:lineRule="auto"/>
        <w:rPr>
          <w:sz w:val="20"/>
          <w:szCs w:val="20"/>
          <w:color w:val="auto"/>
        </w:rPr>
      </w:pPr>
      <w:r>
        <w:rPr>
          <w:rFonts w:ascii="Arial" w:cs="Arial" w:eastAsia="Arial" w:hAnsi="Arial"/>
          <w:sz w:val="17"/>
          <w:szCs w:val="17"/>
          <w:color w:val="auto"/>
        </w:rPr>
        <w:t>The components of the provision for income taxes are as follows for the years ended December 31, 2020, 2019, and 2018 (in thousands):</w:t>
      </w:r>
    </w:p>
    <w:p>
      <w:pPr>
        <w:spacing w:after="0" w:line="178" w:lineRule="exact"/>
        <w:rPr>
          <w:sz w:val="20"/>
          <w:szCs w:val="20"/>
          <w:color w:val="auto"/>
        </w:rPr>
      </w:pPr>
    </w:p>
    <w:p>
      <w:pPr>
        <w:jc w:val="center"/>
        <w:ind w:left="5780"/>
        <w:spacing w:after="0"/>
        <w:rPr>
          <w:sz w:val="20"/>
          <w:szCs w:val="20"/>
          <w:color w:val="auto"/>
        </w:rPr>
      </w:pPr>
      <w:r>
        <w:rPr>
          <w:rFonts w:ascii="Arial" w:cs="Arial" w:eastAsia="Arial" w:hAnsi="Arial"/>
          <w:sz w:val="14"/>
          <w:szCs w:val="14"/>
          <w:b w:val="1"/>
          <w:bCs w:val="1"/>
          <w:color w:val="auto"/>
        </w:rPr>
        <w:t>Year Ended</w:t>
      </w:r>
    </w:p>
    <w:p>
      <w:pPr>
        <w:spacing w:after="0" w:line="5" w:lineRule="exact"/>
        <w:rPr>
          <w:sz w:val="20"/>
          <w:szCs w:val="20"/>
          <w:color w:val="auto"/>
        </w:rPr>
      </w:pPr>
    </w:p>
    <w:p>
      <w:pPr>
        <w:jc w:val="center"/>
        <w:ind w:left="578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63"/>
        </w:trPr>
        <w:tc>
          <w:tcPr>
            <w:tcW w:w="5920" w:type="dxa"/>
            <w:vAlign w:val="bottom"/>
            <w:tcBorders>
              <w:bottom w:val="single" w:sz="8" w:color="CFF0FC"/>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2018</w:t>
            </w:r>
          </w:p>
        </w:tc>
      </w:tr>
      <w:tr>
        <w:trPr>
          <w:trHeight w:val="202"/>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Current:</w:t>
            </w:r>
          </w:p>
        </w:tc>
        <w:tc>
          <w:tcPr>
            <w:tcW w:w="1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9"/>
        </w:trPr>
        <w:tc>
          <w:tcPr>
            <w:tcW w:w="5920" w:type="dxa"/>
            <w:vAlign w:val="bottom"/>
          </w:tcPr>
          <w:p>
            <w:pPr>
              <w:ind w:left="240"/>
              <w:spacing w:after="0"/>
              <w:rPr>
                <w:sz w:val="20"/>
                <w:szCs w:val="20"/>
                <w:color w:val="auto"/>
              </w:rPr>
            </w:pPr>
            <w:r>
              <w:rPr>
                <w:rFonts w:ascii="Arial" w:cs="Arial" w:eastAsia="Arial" w:hAnsi="Arial"/>
                <w:sz w:val="17"/>
                <w:szCs w:val="17"/>
                <w:color w:val="auto"/>
              </w:rPr>
              <w:t>Federal</w:t>
            </w:r>
          </w:p>
        </w:tc>
        <w:tc>
          <w:tcPr>
            <w:tcW w:w="1140" w:type="dxa"/>
            <w:vAlign w:val="bottom"/>
          </w:tcPr>
          <w:p>
            <w:pPr>
              <w:jc w:val="right"/>
              <w:ind w:right="959"/>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209"/>
        </w:trPr>
        <w:tc>
          <w:tcPr>
            <w:tcW w:w="5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State and local</w:t>
            </w:r>
          </w:p>
        </w:tc>
        <w:tc>
          <w:tcPr>
            <w:tcW w:w="11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168</w:t>
            </w: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229</w:t>
            </w:r>
          </w:p>
        </w:tc>
      </w:tr>
      <w:tr>
        <w:trPr>
          <w:trHeight w:val="202"/>
        </w:trPr>
        <w:tc>
          <w:tcPr>
            <w:tcW w:w="5920" w:type="dxa"/>
            <w:vAlign w:val="bottom"/>
          </w:tcPr>
          <w:p>
            <w:pPr>
              <w:ind w:left="480"/>
              <w:spacing w:after="0"/>
              <w:rPr>
                <w:sz w:val="20"/>
                <w:szCs w:val="20"/>
                <w:color w:val="auto"/>
              </w:rPr>
            </w:pPr>
            <w:r>
              <w:rPr>
                <w:rFonts w:ascii="Arial" w:cs="Arial" w:eastAsia="Arial" w:hAnsi="Arial"/>
                <w:sz w:val="17"/>
                <w:szCs w:val="17"/>
                <w:color w:val="auto"/>
              </w:rPr>
              <w:t>Total current tax expense</w:t>
            </w:r>
          </w:p>
        </w:tc>
        <w:tc>
          <w:tcPr>
            <w:tcW w:w="1140" w:type="dxa"/>
            <w:vAlign w:val="bottom"/>
          </w:tcPr>
          <w:p>
            <w:pPr>
              <w:spacing w:after="0"/>
              <w:rPr>
                <w:sz w:val="17"/>
                <w:szCs w:val="17"/>
                <w:color w:val="auto"/>
              </w:rPr>
            </w:pPr>
          </w:p>
        </w:tc>
        <w:tc>
          <w:tcPr>
            <w:tcW w:w="520" w:type="dxa"/>
            <w:vAlign w:val="bottom"/>
          </w:tcPr>
          <w:p>
            <w:pPr>
              <w:jc w:val="right"/>
              <w:ind w:right="33"/>
              <w:spacing w:after="0"/>
              <w:rPr>
                <w:sz w:val="20"/>
                <w:szCs w:val="20"/>
                <w:color w:val="auto"/>
              </w:rPr>
            </w:pPr>
            <w:r>
              <w:rPr>
                <w:rFonts w:ascii="Arial" w:cs="Arial" w:eastAsia="Arial" w:hAnsi="Arial"/>
                <w:sz w:val="17"/>
                <w:szCs w:val="17"/>
                <w:color w:val="auto"/>
              </w:rPr>
              <w:t>84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168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229</w:t>
            </w:r>
          </w:p>
        </w:tc>
      </w:tr>
      <w:tr>
        <w:trPr>
          <w:trHeight w:val="209"/>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Deferred tax (benefit):</w:t>
            </w:r>
          </w:p>
        </w:tc>
        <w:tc>
          <w:tcPr>
            <w:tcW w:w="1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09"/>
        </w:trPr>
        <w:tc>
          <w:tcPr>
            <w:tcW w:w="5920" w:type="dxa"/>
            <w:vAlign w:val="bottom"/>
          </w:tcPr>
          <w:p>
            <w:pPr>
              <w:ind w:left="240"/>
              <w:spacing w:after="0"/>
              <w:rPr>
                <w:sz w:val="20"/>
                <w:szCs w:val="20"/>
                <w:color w:val="auto"/>
              </w:rPr>
            </w:pPr>
            <w:r>
              <w:rPr>
                <w:rFonts w:ascii="Arial" w:cs="Arial" w:eastAsia="Arial" w:hAnsi="Arial"/>
                <w:sz w:val="17"/>
                <w:szCs w:val="17"/>
                <w:color w:val="auto"/>
              </w:rPr>
              <w:t>Federal</w:t>
            </w:r>
          </w:p>
        </w:tc>
        <w:tc>
          <w:tcPr>
            <w:tcW w:w="11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209"/>
        </w:trPr>
        <w:tc>
          <w:tcPr>
            <w:tcW w:w="5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State and local</w:t>
            </w:r>
          </w:p>
        </w:tc>
        <w:tc>
          <w:tcPr>
            <w:tcW w:w="11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w:t>
            </w:r>
          </w:p>
        </w:tc>
      </w:tr>
      <w:tr>
        <w:trPr>
          <w:trHeight w:val="202"/>
        </w:trPr>
        <w:tc>
          <w:tcPr>
            <w:tcW w:w="5920" w:type="dxa"/>
            <w:vAlign w:val="bottom"/>
            <w:tcBorders>
              <w:bottom w:val="single" w:sz="8" w:color="CFF0FC"/>
            </w:tcBorders>
          </w:tcPr>
          <w:p>
            <w:pPr>
              <w:ind w:left="480"/>
              <w:spacing w:after="0"/>
              <w:rPr>
                <w:sz w:val="20"/>
                <w:szCs w:val="20"/>
                <w:color w:val="auto"/>
              </w:rPr>
            </w:pPr>
            <w:r>
              <w:rPr>
                <w:rFonts w:ascii="Arial" w:cs="Arial" w:eastAsia="Arial" w:hAnsi="Arial"/>
                <w:sz w:val="17"/>
                <w:szCs w:val="17"/>
                <w:color w:val="auto"/>
              </w:rPr>
              <w:t>Total deferred tax (benefit)</w:t>
            </w:r>
          </w:p>
        </w:tc>
        <w:tc>
          <w:tcPr>
            <w:tcW w:w="11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r>
      <w:tr>
        <w:trPr>
          <w:trHeight w:val="202"/>
        </w:trPr>
        <w:tc>
          <w:tcPr>
            <w:tcW w:w="5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Provision for income taxes</w:t>
            </w:r>
          </w:p>
        </w:tc>
        <w:tc>
          <w:tcPr>
            <w:tcW w:w="1140" w:type="dxa"/>
            <w:vAlign w:val="bottom"/>
            <w:tcBorders>
              <w:bottom w:val="single" w:sz="8" w:color="auto"/>
            </w:tcBorders>
            <w:shd w:val="clear" w:color="auto" w:fill="CFF0FC"/>
          </w:tcPr>
          <w:p>
            <w:pPr>
              <w:jc w:val="right"/>
              <w:ind w:right="959"/>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7"/>
                <w:szCs w:val="17"/>
                <w:color w:val="auto"/>
              </w:rPr>
              <w:t>84</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168</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229</w:t>
            </w:r>
          </w:p>
        </w:tc>
      </w:tr>
      <w:tr>
        <w:trPr>
          <w:trHeight w:val="20"/>
        </w:trPr>
        <w:tc>
          <w:tcPr>
            <w:tcW w:w="59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Pretax loss for all periods presented were classified as Domestic.</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Rate Reconciliation</w:t>
      </w:r>
    </w:p>
    <w:p>
      <w:pPr>
        <w:spacing w:after="0" w:line="103" w:lineRule="exact"/>
        <w:rPr>
          <w:sz w:val="20"/>
          <w:szCs w:val="20"/>
          <w:color w:val="auto"/>
        </w:rPr>
      </w:pPr>
    </w:p>
    <w:p>
      <w:pPr>
        <w:ind w:right="680" w:firstLine="750"/>
        <w:spacing w:after="0" w:line="290" w:lineRule="auto"/>
        <w:rPr>
          <w:sz w:val="20"/>
          <w:szCs w:val="20"/>
          <w:color w:val="auto"/>
        </w:rPr>
      </w:pPr>
      <w:r>
        <w:rPr>
          <w:rFonts w:ascii="Arial" w:cs="Arial" w:eastAsia="Arial" w:hAnsi="Arial"/>
          <w:sz w:val="17"/>
          <w:szCs w:val="17"/>
          <w:color w:val="auto"/>
        </w:rPr>
        <w:t>The Company’s effective tax rate for the years ended December 31, 2020, 2019, and 2018 was (0.04)%, (0.12)%, and (0.27)%, respectively.</w:t>
      </w:r>
    </w:p>
    <w:p>
      <w:pPr>
        <w:spacing w:after="0" w:line="129" w:lineRule="exact"/>
        <w:rPr>
          <w:sz w:val="20"/>
          <w:szCs w:val="20"/>
          <w:color w:val="auto"/>
        </w:rPr>
      </w:pPr>
    </w:p>
    <w:p>
      <w:pPr>
        <w:ind w:right="760" w:firstLine="750"/>
        <w:spacing w:after="0" w:line="290" w:lineRule="auto"/>
        <w:rPr>
          <w:sz w:val="20"/>
          <w:szCs w:val="20"/>
          <w:color w:val="auto"/>
        </w:rPr>
      </w:pPr>
      <w:r>
        <w:rPr>
          <w:rFonts w:ascii="Arial" w:cs="Arial" w:eastAsia="Arial" w:hAnsi="Arial"/>
          <w:sz w:val="17"/>
          <w:szCs w:val="17"/>
          <w:color w:val="auto"/>
        </w:rPr>
        <w:t>A reconciliation of the provision for income taxes at the statutory rate to the amount reflected in the consolidated statements of operations is as follows (in thousands):</w:t>
      </w:r>
    </w:p>
    <w:p>
      <w:pPr>
        <w:spacing w:after="0" w:line="178" w:lineRule="exact"/>
        <w:rPr>
          <w:sz w:val="20"/>
          <w:szCs w:val="20"/>
          <w:color w:val="auto"/>
        </w:rPr>
      </w:pPr>
    </w:p>
    <w:p>
      <w:pPr>
        <w:jc w:val="center"/>
        <w:ind w:left="5780"/>
        <w:spacing w:after="0"/>
        <w:rPr>
          <w:sz w:val="20"/>
          <w:szCs w:val="20"/>
          <w:color w:val="auto"/>
        </w:rPr>
      </w:pPr>
      <w:r>
        <w:rPr>
          <w:rFonts w:ascii="Arial" w:cs="Arial" w:eastAsia="Arial" w:hAnsi="Arial"/>
          <w:sz w:val="14"/>
          <w:szCs w:val="14"/>
          <w:b w:val="1"/>
          <w:bCs w:val="1"/>
          <w:color w:val="auto"/>
        </w:rPr>
        <w:t>Year Ended</w:t>
      </w:r>
    </w:p>
    <w:p>
      <w:pPr>
        <w:spacing w:after="0" w:line="5" w:lineRule="exact"/>
        <w:rPr>
          <w:sz w:val="20"/>
          <w:szCs w:val="20"/>
          <w:color w:val="auto"/>
        </w:rPr>
      </w:pPr>
    </w:p>
    <w:p>
      <w:pPr>
        <w:jc w:val="center"/>
        <w:ind w:left="578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63"/>
        </w:trPr>
        <w:tc>
          <w:tcPr>
            <w:tcW w:w="5920" w:type="dxa"/>
            <w:vAlign w:val="bottom"/>
            <w:tcBorders>
              <w:bottom w:val="single" w:sz="8" w:color="CFF0FC"/>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2018</w:t>
            </w:r>
          </w:p>
        </w:tc>
      </w:tr>
      <w:tr>
        <w:trPr>
          <w:trHeight w:val="202"/>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Income taxes at statutory rate</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(42,570)</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(29,990)</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(17,839)</w:t>
            </w:r>
          </w:p>
        </w:tc>
      </w:tr>
      <w:tr>
        <w:trPr>
          <w:trHeight w:val="209"/>
        </w:trPr>
        <w:tc>
          <w:tcPr>
            <w:tcW w:w="5920" w:type="dxa"/>
            <w:vAlign w:val="bottom"/>
          </w:tcPr>
          <w:p>
            <w:pPr>
              <w:spacing w:after="0"/>
              <w:rPr>
                <w:sz w:val="20"/>
                <w:szCs w:val="20"/>
                <w:color w:val="auto"/>
              </w:rPr>
            </w:pPr>
            <w:r>
              <w:rPr>
                <w:rFonts w:ascii="Arial" w:cs="Arial" w:eastAsia="Arial" w:hAnsi="Arial"/>
                <w:sz w:val="17"/>
                <w:szCs w:val="17"/>
                <w:color w:val="auto"/>
              </w:rPr>
              <w:t>State income taxes, net of federal benefit</w:t>
            </w: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(5,417)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(1,096)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180</w:t>
            </w:r>
          </w:p>
        </w:tc>
      </w:tr>
      <w:tr>
        <w:trPr>
          <w:trHeight w:val="209"/>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Permanent differences</w:t>
            </w: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1,264</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772</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229</w:t>
            </w:r>
          </w:p>
        </w:tc>
      </w:tr>
      <w:tr>
        <w:trPr>
          <w:trHeight w:val="209"/>
        </w:trPr>
        <w:tc>
          <w:tcPr>
            <w:tcW w:w="592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94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7"/>
                <w:szCs w:val="17"/>
                <w:color w:val="auto"/>
              </w:rPr>
              <w:t>46,901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30,051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17,756</w:t>
            </w:r>
          </w:p>
        </w:tc>
      </w:tr>
      <w:tr>
        <w:trPr>
          <w:trHeight w:val="209"/>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w:t>
            </w: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431</w:t>
            </w: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(97)</w:t>
            </w:r>
          </w:p>
        </w:tc>
      </w:tr>
      <w:tr>
        <w:trPr>
          <w:trHeight w:val="202"/>
        </w:trPr>
        <w:tc>
          <w:tcPr>
            <w:tcW w:w="592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84</w:t>
            </w:r>
          </w:p>
        </w:tc>
        <w:tc>
          <w:tcPr>
            <w:tcW w:w="160" w:type="dxa"/>
            <w:vAlign w:val="bottom"/>
          </w:tcPr>
          <w:p>
            <w:pPr>
              <w:spacing w:after="0"/>
              <w:rPr>
                <w:sz w:val="17"/>
                <w:szCs w:val="17"/>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168</w:t>
            </w:r>
          </w:p>
        </w:tc>
        <w:tc>
          <w:tcPr>
            <w:tcW w:w="160" w:type="dxa"/>
            <w:vAlign w:val="bottom"/>
          </w:tcPr>
          <w:p>
            <w:pPr>
              <w:spacing w:after="0"/>
              <w:rPr>
                <w:sz w:val="17"/>
                <w:szCs w:val="17"/>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229</w:t>
            </w:r>
          </w:p>
        </w:tc>
      </w:tr>
      <w:tr>
        <w:trPr>
          <w:trHeight w:val="20"/>
        </w:trPr>
        <w:tc>
          <w:tcPr>
            <w:tcW w:w="5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Tax Assets (Liabilities)</w:t>
      </w:r>
    </w:p>
    <w:p>
      <w:pPr>
        <w:spacing w:after="0" w:line="103" w:lineRule="exact"/>
        <w:rPr>
          <w:sz w:val="20"/>
          <w:szCs w:val="20"/>
          <w:color w:val="auto"/>
        </w:rPr>
      </w:pPr>
    </w:p>
    <w:p>
      <w:pPr>
        <w:ind w:right="60" w:firstLine="762"/>
        <w:spacing w:after="0" w:line="247" w:lineRule="auto"/>
        <w:rPr>
          <w:sz w:val="20"/>
          <w:szCs w:val="20"/>
          <w:color w:val="auto"/>
        </w:rPr>
      </w:pPr>
      <w:r>
        <w:rPr>
          <w:rFonts w:ascii="Arial" w:cs="Arial" w:eastAsia="Arial" w:hAnsi="Arial"/>
          <w:sz w:val="17"/>
          <w:szCs w:val="17"/>
          <w:color w:val="auto"/>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for December 31, 2020 and 2019 because the Company has determined that is it more likely than not that these assets will not be fully realized based on a current evaluation of expected future taxable income and the Company is in a cumulative loss position. As of December 31, 2020 and 2019 the Valuation Allowance balance was $ 121.9 million and $75.0 million, respectively. The Valuation Allowance was $44.9 million and $27.5 million as of December 31, 2018 and January 1, 2018,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0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Significant components of the Company’s deferred tax assets and liabilities are as follows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tcBorders>
              <w:bottom w:val="single" w:sz="8" w:color="auto"/>
            </w:tcBorders>
          </w:tcPr>
          <w:p>
            <w:pPr>
              <w:spacing w:after="0"/>
              <w:rPr>
                <w:sz w:val="14"/>
                <w:szCs w:val="14"/>
                <w:color w:val="auto"/>
              </w:rPr>
            </w:pPr>
          </w:p>
        </w:tc>
      </w:tr>
      <w:tr>
        <w:trPr>
          <w:trHeight w:val="163"/>
        </w:trPr>
        <w:tc>
          <w:tcPr>
            <w:tcW w:w="5240" w:type="dxa"/>
            <w:vAlign w:val="bottom"/>
            <w:tcBorders>
              <w:bottom w:val="single" w:sz="8" w:color="CFF0FC"/>
            </w:tcBorders>
          </w:tcPr>
          <w:p>
            <w:pPr>
              <w:spacing w:after="0"/>
              <w:rPr>
                <w:sz w:val="14"/>
                <w:szCs w:val="14"/>
                <w:color w:val="auto"/>
              </w:rPr>
            </w:pPr>
          </w:p>
        </w:tc>
        <w:tc>
          <w:tcPr>
            <w:tcW w:w="24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r>
      <w:tr>
        <w:trPr>
          <w:trHeight w:val="202"/>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Deferred tax assets:</w:t>
            </w:r>
          </w:p>
        </w:tc>
        <w:tc>
          <w:tcPr>
            <w:tcW w:w="24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9"/>
        </w:trPr>
        <w:tc>
          <w:tcPr>
            <w:tcW w:w="5240" w:type="dxa"/>
            <w:vAlign w:val="bottom"/>
          </w:tcPr>
          <w:p>
            <w:pPr>
              <w:ind w:left="240"/>
              <w:spacing w:after="0"/>
              <w:rPr>
                <w:sz w:val="20"/>
                <w:szCs w:val="20"/>
                <w:color w:val="auto"/>
              </w:rPr>
            </w:pPr>
            <w:r>
              <w:rPr>
                <w:rFonts w:ascii="Arial" w:cs="Arial" w:eastAsia="Arial" w:hAnsi="Arial"/>
                <w:sz w:val="17"/>
                <w:szCs w:val="17"/>
                <w:color w:val="auto"/>
              </w:rPr>
              <w:t>Net operating loss carryforwards</w:t>
            </w:r>
          </w:p>
        </w:tc>
        <w:tc>
          <w:tcPr>
            <w:tcW w:w="2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102,252</w:t>
            </w:r>
          </w:p>
        </w:tc>
        <w:tc>
          <w:tcPr>
            <w:tcW w:w="180" w:type="dxa"/>
            <w:vAlign w:val="bottom"/>
          </w:tcPr>
          <w:p>
            <w:pPr>
              <w:spacing w:after="0"/>
              <w:rPr>
                <w:sz w:val="18"/>
                <w:szCs w:val="18"/>
                <w:color w:val="auto"/>
              </w:rPr>
            </w:pPr>
          </w:p>
        </w:tc>
        <w:tc>
          <w:tcPr>
            <w:tcW w:w="560" w:type="dxa"/>
            <w:vAlign w:val="bottom"/>
          </w:tcPr>
          <w:p>
            <w:pPr>
              <w:jc w:val="right"/>
              <w:ind w:right="37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66,879</w:t>
            </w:r>
          </w:p>
        </w:tc>
      </w:tr>
      <w:tr>
        <w:trPr>
          <w:trHeight w:val="209"/>
        </w:trPr>
        <w:tc>
          <w:tcPr>
            <w:tcW w:w="52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Inventory reserves</w:t>
            </w:r>
          </w:p>
        </w:tc>
        <w:tc>
          <w:tcPr>
            <w:tcW w:w="2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12,409</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5,911</w:t>
            </w:r>
          </w:p>
        </w:tc>
      </w:tr>
      <w:tr>
        <w:trPr>
          <w:trHeight w:val="209"/>
        </w:trPr>
        <w:tc>
          <w:tcPr>
            <w:tcW w:w="5240" w:type="dxa"/>
            <w:vAlign w:val="bottom"/>
          </w:tcPr>
          <w:p>
            <w:pPr>
              <w:ind w:left="240"/>
              <w:spacing w:after="0"/>
              <w:rPr>
                <w:sz w:val="20"/>
                <w:szCs w:val="20"/>
                <w:color w:val="auto"/>
              </w:rPr>
            </w:pPr>
            <w:r>
              <w:rPr>
                <w:rFonts w:ascii="Arial" w:cs="Arial" w:eastAsia="Arial" w:hAnsi="Arial"/>
                <w:sz w:val="17"/>
                <w:szCs w:val="17"/>
                <w:color w:val="auto"/>
              </w:rPr>
              <w:t>Stock-based compensation</w:t>
            </w:r>
          </w:p>
        </w:tc>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3,119</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840</w:t>
            </w:r>
          </w:p>
        </w:tc>
      </w:tr>
      <w:tr>
        <w:trPr>
          <w:trHeight w:val="209"/>
        </w:trPr>
        <w:tc>
          <w:tcPr>
            <w:tcW w:w="52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Accrued Expense</w:t>
            </w:r>
          </w:p>
        </w:tc>
        <w:tc>
          <w:tcPr>
            <w:tcW w:w="2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1,456</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867</w:t>
            </w:r>
          </w:p>
        </w:tc>
      </w:tr>
      <w:tr>
        <w:trPr>
          <w:trHeight w:val="209"/>
        </w:trPr>
        <w:tc>
          <w:tcPr>
            <w:tcW w:w="5240" w:type="dxa"/>
            <w:vAlign w:val="bottom"/>
          </w:tcPr>
          <w:p>
            <w:pPr>
              <w:ind w:left="240"/>
              <w:spacing w:after="0"/>
              <w:rPr>
                <w:sz w:val="20"/>
                <w:szCs w:val="20"/>
                <w:color w:val="auto"/>
              </w:rPr>
            </w:pPr>
            <w:r>
              <w:rPr>
                <w:rFonts w:ascii="Arial" w:cs="Arial" w:eastAsia="Arial" w:hAnsi="Arial"/>
                <w:sz w:val="17"/>
                <w:szCs w:val="17"/>
                <w:color w:val="auto"/>
              </w:rPr>
              <w:t>Depreciation</w:t>
            </w:r>
          </w:p>
        </w:tc>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114</w:t>
            </w:r>
          </w:p>
        </w:tc>
      </w:tr>
      <w:tr>
        <w:trPr>
          <w:trHeight w:val="209"/>
        </w:trPr>
        <w:tc>
          <w:tcPr>
            <w:tcW w:w="52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Right of Use Asset</w:t>
            </w:r>
          </w:p>
        </w:tc>
        <w:tc>
          <w:tcPr>
            <w:tcW w:w="2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4,175</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w:t>
            </w:r>
          </w:p>
        </w:tc>
      </w:tr>
      <w:tr>
        <w:trPr>
          <w:trHeight w:val="209"/>
        </w:trPr>
        <w:tc>
          <w:tcPr>
            <w:tcW w:w="5240" w:type="dxa"/>
            <w:vAlign w:val="bottom"/>
          </w:tcPr>
          <w:p>
            <w:pPr>
              <w:ind w:left="240"/>
              <w:spacing w:after="0"/>
              <w:rPr>
                <w:sz w:val="20"/>
                <w:szCs w:val="20"/>
                <w:color w:val="auto"/>
              </w:rPr>
            </w:pPr>
            <w:r>
              <w:rPr>
                <w:rFonts w:ascii="Arial" w:cs="Arial" w:eastAsia="Arial" w:hAnsi="Arial"/>
                <w:sz w:val="17"/>
                <w:szCs w:val="17"/>
                <w:color w:val="auto"/>
              </w:rPr>
              <w:t>Allowance for Doubtful Accounts</w:t>
            </w:r>
          </w:p>
        </w:tc>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1,809</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173</w:t>
            </w:r>
          </w:p>
        </w:tc>
      </w:tr>
      <w:tr>
        <w:trPr>
          <w:trHeight w:val="209"/>
        </w:trPr>
        <w:tc>
          <w:tcPr>
            <w:tcW w:w="52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w:t>
            </w:r>
          </w:p>
        </w:tc>
        <w:tc>
          <w:tcPr>
            <w:tcW w:w="24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836</w:t>
            </w:r>
          </w:p>
        </w:tc>
        <w:tc>
          <w:tcPr>
            <w:tcW w:w="18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423</w:t>
            </w:r>
          </w:p>
        </w:tc>
      </w:tr>
      <w:tr>
        <w:trPr>
          <w:trHeight w:val="202"/>
        </w:trPr>
        <w:tc>
          <w:tcPr>
            <w:tcW w:w="5240" w:type="dxa"/>
            <w:vAlign w:val="bottom"/>
          </w:tcPr>
          <w:p>
            <w:pPr>
              <w:spacing w:after="0"/>
              <w:rPr>
                <w:sz w:val="20"/>
                <w:szCs w:val="20"/>
                <w:color w:val="auto"/>
              </w:rPr>
            </w:pPr>
            <w:r>
              <w:rPr>
                <w:rFonts w:ascii="Arial" w:cs="Arial" w:eastAsia="Arial" w:hAnsi="Arial"/>
                <w:sz w:val="17"/>
                <w:szCs w:val="17"/>
                <w:color w:val="auto"/>
              </w:rPr>
              <w:t>Total deferred tax assets</w:t>
            </w:r>
          </w:p>
        </w:tc>
        <w:tc>
          <w:tcPr>
            <w:tcW w:w="2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126,056</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75,207</w:t>
            </w:r>
          </w:p>
        </w:tc>
      </w:tr>
      <w:tr>
        <w:trPr>
          <w:trHeight w:val="209"/>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Less: valuation allowance</w:t>
            </w:r>
          </w:p>
        </w:tc>
        <w:tc>
          <w:tcPr>
            <w:tcW w:w="24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(121,859)</w:t>
            </w:r>
          </w:p>
        </w:tc>
        <w:tc>
          <w:tcPr>
            <w:tcW w:w="18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(74,959)</w:t>
            </w:r>
          </w:p>
        </w:tc>
      </w:tr>
      <w:tr>
        <w:trPr>
          <w:trHeight w:val="202"/>
        </w:trPr>
        <w:tc>
          <w:tcPr>
            <w:tcW w:w="5240" w:type="dxa"/>
            <w:vAlign w:val="bottom"/>
          </w:tcPr>
          <w:p>
            <w:pPr>
              <w:ind w:left="240"/>
              <w:spacing w:after="0"/>
              <w:rPr>
                <w:sz w:val="20"/>
                <w:szCs w:val="20"/>
                <w:color w:val="auto"/>
              </w:rPr>
            </w:pPr>
            <w:r>
              <w:rPr>
                <w:rFonts w:ascii="Arial" w:cs="Arial" w:eastAsia="Arial" w:hAnsi="Arial"/>
                <w:sz w:val="17"/>
                <w:szCs w:val="17"/>
                <w:color w:val="auto"/>
              </w:rPr>
              <w:t>Net deferred tax assets</w:t>
            </w:r>
          </w:p>
        </w:tc>
        <w:tc>
          <w:tcPr>
            <w:tcW w:w="2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4,197</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248</w:t>
            </w:r>
          </w:p>
        </w:tc>
      </w:tr>
      <w:tr>
        <w:trPr>
          <w:trHeight w:val="209"/>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Deferred tax liabilities:</w:t>
            </w:r>
          </w:p>
        </w:tc>
        <w:tc>
          <w:tcPr>
            <w:tcW w:w="2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09"/>
        </w:trPr>
        <w:tc>
          <w:tcPr>
            <w:tcW w:w="5240" w:type="dxa"/>
            <w:vAlign w:val="bottom"/>
          </w:tcPr>
          <w:p>
            <w:pPr>
              <w:ind w:left="240"/>
              <w:spacing w:after="0"/>
              <w:rPr>
                <w:sz w:val="20"/>
                <w:szCs w:val="20"/>
                <w:color w:val="auto"/>
              </w:rPr>
            </w:pPr>
            <w:r>
              <w:rPr>
                <w:rFonts w:ascii="Arial" w:cs="Arial" w:eastAsia="Arial" w:hAnsi="Arial"/>
                <w:sz w:val="17"/>
                <w:szCs w:val="17"/>
                <w:color w:val="auto"/>
              </w:rPr>
              <w:t>Intangible amortization</w:t>
            </w:r>
          </w:p>
        </w:tc>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(225)</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(248)</w:t>
            </w:r>
          </w:p>
        </w:tc>
      </w:tr>
      <w:tr>
        <w:trPr>
          <w:trHeight w:val="209"/>
        </w:trPr>
        <w:tc>
          <w:tcPr>
            <w:tcW w:w="52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Depreciation</w:t>
            </w:r>
          </w:p>
        </w:tc>
        <w:tc>
          <w:tcPr>
            <w:tcW w:w="2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w:t>
            </w:r>
          </w:p>
        </w:tc>
      </w:tr>
      <w:tr>
        <w:trPr>
          <w:trHeight w:val="209"/>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Lease Liability</w:t>
            </w:r>
          </w:p>
        </w:tc>
        <w:tc>
          <w:tcPr>
            <w:tcW w:w="24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(3,943)</w:t>
            </w:r>
          </w:p>
        </w:tc>
        <w:tc>
          <w:tcPr>
            <w:tcW w:w="18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r>
      <w:tr>
        <w:trPr>
          <w:trHeight w:val="202"/>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Net deferred tax liabilities</w:t>
            </w:r>
          </w:p>
        </w:tc>
        <w:tc>
          <w:tcPr>
            <w:tcW w:w="24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(4,197)</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w:t>
            </w:r>
          </w:p>
        </w:tc>
      </w:tr>
      <w:tr>
        <w:trPr>
          <w:trHeight w:val="209"/>
        </w:trPr>
        <w:tc>
          <w:tcPr>
            <w:tcW w:w="5240" w:type="dxa"/>
            <w:vAlign w:val="bottom"/>
          </w:tcPr>
          <w:p>
            <w:pPr>
              <w:ind w:left="240"/>
              <w:spacing w:after="0"/>
              <w:rPr>
                <w:sz w:val="20"/>
                <w:szCs w:val="20"/>
                <w:color w:val="auto"/>
              </w:rPr>
            </w:pPr>
            <w:r>
              <w:rPr>
                <w:rFonts w:ascii="Arial" w:cs="Arial" w:eastAsia="Arial" w:hAnsi="Arial"/>
                <w:sz w:val="17"/>
                <w:szCs w:val="17"/>
                <w:color w:val="auto"/>
              </w:rPr>
              <w:t>Net deferred income taxes</w:t>
            </w:r>
          </w:p>
        </w:tc>
        <w:tc>
          <w:tcPr>
            <w:tcW w:w="2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37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w:t>
            </w:r>
          </w:p>
        </w:tc>
      </w:tr>
      <w:tr>
        <w:trPr>
          <w:trHeight w:val="20"/>
        </w:trPr>
        <w:tc>
          <w:tcPr>
            <w:tcW w:w="5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Operating Losses</w:t>
      </w:r>
    </w:p>
    <w:p>
      <w:pPr>
        <w:spacing w:after="0" w:line="103" w:lineRule="exact"/>
        <w:rPr>
          <w:sz w:val="20"/>
          <w:szCs w:val="20"/>
          <w:color w:val="auto"/>
        </w:rPr>
      </w:pPr>
    </w:p>
    <w:p>
      <w:pPr>
        <w:ind w:right="460" w:firstLine="762"/>
        <w:spacing w:after="0" w:line="265" w:lineRule="auto"/>
        <w:rPr>
          <w:sz w:val="20"/>
          <w:szCs w:val="20"/>
          <w:color w:val="auto"/>
        </w:rPr>
      </w:pPr>
      <w:r>
        <w:rPr>
          <w:rFonts w:ascii="Arial" w:cs="Arial" w:eastAsia="Arial" w:hAnsi="Arial"/>
          <w:sz w:val="17"/>
          <w:szCs w:val="17"/>
          <w:color w:val="auto"/>
        </w:rPr>
        <w:t>As of December 31, 2020, the Company had total net operating loss carryforwards for U.S. federal income tax purposes of $462.1 million, of which $126.2 million expire from 2034 through 2037 and $335.9 million do not expire. The Company has net operating loss carryforwards for state income tax purposes of $78.7 million, which expire from 2034 through 2040.</w:t>
      </w:r>
    </w:p>
    <w:p>
      <w:pPr>
        <w:spacing w:after="0" w:line="151" w:lineRule="exact"/>
        <w:rPr>
          <w:sz w:val="20"/>
          <w:szCs w:val="20"/>
          <w:color w:val="auto"/>
        </w:rPr>
      </w:pPr>
    </w:p>
    <w:p>
      <w:pPr>
        <w:jc w:val="both"/>
        <w:ind w:right="100" w:firstLine="762"/>
        <w:spacing w:after="0" w:line="265" w:lineRule="auto"/>
        <w:rPr>
          <w:sz w:val="20"/>
          <w:szCs w:val="20"/>
          <w:color w:val="auto"/>
        </w:rPr>
      </w:pPr>
      <w:r>
        <w:rPr>
          <w:rFonts w:ascii="Arial" w:cs="Arial" w:eastAsia="Arial" w:hAnsi="Arial"/>
          <w:sz w:val="17"/>
          <w:szCs w:val="17"/>
          <w:color w:val="auto"/>
        </w:rPr>
        <w:t>The Company is subject to tax in the United States and many state and local jurisdictions. The Company, with certain exceptions, is no longer subject to income tax examinations by U.S. federal, state and local for tax years 2015 and prior. The company is not currently under audit for any US federal or state income tax audits.</w:t>
      </w:r>
    </w:p>
    <w:p>
      <w:pPr>
        <w:spacing w:after="0" w:line="151" w:lineRule="exact"/>
        <w:rPr>
          <w:sz w:val="20"/>
          <w:szCs w:val="20"/>
          <w:color w:val="auto"/>
        </w:rPr>
      </w:pPr>
    </w:p>
    <w:p>
      <w:pPr>
        <w:ind w:right="240" w:firstLine="762"/>
        <w:spacing w:after="0" w:line="250" w:lineRule="auto"/>
        <w:rPr>
          <w:sz w:val="20"/>
          <w:szCs w:val="20"/>
          <w:color w:val="auto"/>
        </w:rPr>
      </w:pPr>
      <w:r>
        <w:rPr>
          <w:rFonts w:ascii="Arial" w:cs="Arial" w:eastAsia="Arial" w:hAnsi="Arial"/>
          <w:sz w:val="17"/>
          <w:szCs w:val="17"/>
          <w:color w:val="auto"/>
        </w:rPr>
        <w:t>The Internal Revenue Code (IRC) Section 382 provides for a limitation of the annual use of net operating loss and tax credit carryforwards following certain ownership changes (as defined by the IRC Section 382) that limits the Company’s ability to utilize these carryforwards. The Company completed a Section 382 study to determine the applicable limitation, if any. It was determined that the Company has undergone three ownership changes. There were ownership changes in July 2013, November 2014 and July 2015 which substantially limit the use of the net operating losses generated before the change in control. The Company is still evaluating to see if the shareholder lock-up period expiration in December 2020 associated with the IPO, resulted in a change in control.</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 Tax Positions</w:t>
      </w:r>
    </w:p>
    <w:p>
      <w:pPr>
        <w:spacing w:after="0" w:line="103" w:lineRule="exact"/>
        <w:rPr>
          <w:sz w:val="20"/>
          <w:szCs w:val="20"/>
          <w:color w:val="auto"/>
        </w:rPr>
      </w:pPr>
    </w:p>
    <w:p>
      <w:pPr>
        <w:ind w:right="160" w:firstLine="762"/>
        <w:spacing w:after="0" w:line="265" w:lineRule="auto"/>
        <w:rPr>
          <w:sz w:val="20"/>
          <w:szCs w:val="20"/>
          <w:color w:val="auto"/>
        </w:rPr>
      </w:pPr>
      <w:r>
        <w:rPr>
          <w:rFonts w:ascii="Arial" w:cs="Arial" w:eastAsia="Arial" w:hAnsi="Arial"/>
          <w:sz w:val="17"/>
          <w:szCs w:val="17"/>
          <w:color w:val="auto"/>
        </w:rPr>
        <w:t>The Company has not identified any uncertain tax positions as of December 31, 2020 or 2019. Any interest and penalties related to uncertain tax positions shall be recorded as a component of income tax expense. To date, no interest or penalties have been accrued in relation to uncertain tax positions.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Net Loss Per Share</w:t>
      </w:r>
    </w:p>
    <w:p>
      <w:pPr>
        <w:spacing w:after="0" w:line="10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sets forth the computation of basic and diluted net loss per share attributable to common stockholders: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ind w:right="259"/>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8"/>
              </w:rPr>
              <w:t>December 31,</w:t>
            </w: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80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2"/>
        </w:trPr>
        <w:tc>
          <w:tcPr>
            <w:tcW w:w="580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(202,799)</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(142,978)</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(85,178)</w:t>
            </w: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Arial" w:cs="Arial" w:eastAsia="Arial" w:hAnsi="Arial"/>
                <w:sz w:val="17"/>
                <w:szCs w:val="17"/>
                <w:color w:val="auto"/>
              </w:rPr>
              <w:t>Accretion of redeemable convertible preferred stock</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(132,750)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(13,036)</w:t>
            </w:r>
          </w:p>
        </w:tc>
        <w:tc>
          <w:tcPr>
            <w:tcW w:w="0" w:type="dxa"/>
            <w:vAlign w:val="bottom"/>
          </w:tcPr>
          <w:p>
            <w:pPr>
              <w:spacing w:after="0"/>
              <w:rPr>
                <w:sz w:val="1"/>
                <w:szCs w:val="1"/>
                <w:color w:val="auto"/>
              </w:rPr>
            </w:pPr>
          </w:p>
        </w:tc>
      </w:tr>
      <w:tr>
        <w:trPr>
          <w:trHeight w:val="202"/>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loss attributable to common stockholders</w:t>
            </w:r>
          </w:p>
        </w:tc>
        <w:tc>
          <w:tcPr>
            <w:tcW w:w="1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(202,799)</w:t>
            </w:r>
          </w:p>
        </w:tc>
        <w:tc>
          <w:tcPr>
            <w:tcW w:w="1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(275,728)</w:t>
            </w:r>
          </w:p>
        </w:tc>
        <w:tc>
          <w:tcPr>
            <w:tcW w:w="1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(98,214)</w:t>
            </w:r>
          </w:p>
        </w:tc>
        <w:tc>
          <w:tcPr>
            <w:tcW w:w="0" w:type="dxa"/>
            <w:vAlign w:val="bottom"/>
          </w:tcPr>
          <w:p>
            <w:pPr>
              <w:spacing w:after="0"/>
              <w:rPr>
                <w:sz w:val="1"/>
                <w:szCs w:val="1"/>
                <w:color w:val="auto"/>
              </w:rPr>
            </w:pPr>
          </w:p>
        </w:tc>
      </w:tr>
      <w:tr>
        <w:trPr>
          <w:trHeight w:val="180"/>
        </w:trPr>
        <w:tc>
          <w:tcPr>
            <w:tcW w:w="5800" w:type="dxa"/>
            <w:vAlign w:val="bottom"/>
          </w:tcPr>
          <w:p>
            <w:pPr>
              <w:spacing w:after="0" w:line="180" w:lineRule="exact"/>
              <w:rPr>
                <w:sz w:val="20"/>
                <w:szCs w:val="20"/>
                <w:color w:val="auto"/>
              </w:rPr>
            </w:pPr>
            <w:r>
              <w:rPr>
                <w:rFonts w:ascii="Arial" w:cs="Arial" w:eastAsia="Arial" w:hAnsi="Arial"/>
                <w:sz w:val="17"/>
                <w:szCs w:val="17"/>
                <w:color w:val="auto"/>
              </w:rPr>
              <w:t>Weighted-average number of shares outstanding used to compute net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8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loss per share attributable to common stockholders, basic and diluted</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73,345,569</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8,605,962</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8,540,778</w:t>
            </w:r>
          </w:p>
        </w:tc>
        <w:tc>
          <w:tcPr>
            <w:tcW w:w="0" w:type="dxa"/>
            <w:vAlign w:val="bottom"/>
          </w:tcPr>
          <w:p>
            <w:pPr>
              <w:spacing w:after="0"/>
              <w:rPr>
                <w:sz w:val="1"/>
                <w:szCs w:val="1"/>
                <w:color w:val="auto"/>
              </w:rPr>
            </w:pPr>
          </w:p>
        </w:tc>
      </w:tr>
      <w:tr>
        <w:trPr>
          <w:trHeight w:val="202"/>
        </w:trPr>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loss per share attributable to common stockholders, basic and diluted</w:t>
            </w: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(2.76)</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(32.04)</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(11.50)</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80" w:firstLine="762"/>
        <w:spacing w:after="0" w:line="290" w:lineRule="auto"/>
        <w:rPr>
          <w:sz w:val="20"/>
          <w:szCs w:val="20"/>
          <w:color w:val="auto"/>
        </w:rPr>
      </w:pPr>
      <w:r>
        <w:rPr>
          <w:rFonts w:ascii="Arial" w:cs="Arial" w:eastAsia="Arial" w:hAnsi="Arial"/>
          <w:sz w:val="17"/>
          <w:szCs w:val="17"/>
          <w:color w:val="auto"/>
        </w:rPr>
        <w:t>The following potentially dilutive shares were not included in the calculation of diluted shares outstanding for the periods presented as the effect would have been anti-dilutive:</w:t>
      </w:r>
    </w:p>
    <w:p>
      <w:pPr>
        <w:spacing w:after="0" w:line="178" w:lineRule="exact"/>
        <w:rPr>
          <w:sz w:val="20"/>
          <w:szCs w:val="20"/>
          <w:color w:val="auto"/>
        </w:rPr>
      </w:pPr>
    </w:p>
    <w:p>
      <w:pPr>
        <w:jc w:val="center"/>
        <w:ind w:left="5780"/>
        <w:spacing w:after="0"/>
        <w:rPr>
          <w:sz w:val="20"/>
          <w:szCs w:val="20"/>
          <w:color w:val="auto"/>
        </w:rPr>
      </w:pPr>
      <w:r>
        <w:rPr>
          <w:rFonts w:ascii="Arial" w:cs="Arial" w:eastAsia="Arial" w:hAnsi="Arial"/>
          <w:sz w:val="14"/>
          <w:szCs w:val="14"/>
          <w:b w:val="1"/>
          <w:bCs w:val="1"/>
          <w:color w:val="auto"/>
        </w:rPr>
        <w:t>Year Ended</w:t>
      </w:r>
    </w:p>
    <w:p>
      <w:pPr>
        <w:spacing w:after="0" w:line="5" w:lineRule="exact"/>
        <w:rPr>
          <w:sz w:val="20"/>
          <w:szCs w:val="20"/>
          <w:color w:val="auto"/>
        </w:rPr>
      </w:pPr>
    </w:p>
    <w:p>
      <w:pPr>
        <w:jc w:val="center"/>
        <w:ind w:left="578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63"/>
        </w:trPr>
        <w:tc>
          <w:tcPr>
            <w:tcW w:w="5920" w:type="dxa"/>
            <w:vAlign w:val="bottom"/>
            <w:tcBorders>
              <w:bottom w:val="single" w:sz="8" w:color="CFF0FC"/>
            </w:tcBorders>
          </w:tcPr>
          <w:p>
            <w:pPr>
              <w:spacing w:after="0"/>
              <w:rPr>
                <w:sz w:val="14"/>
                <w:szCs w:val="14"/>
                <w:color w:val="auto"/>
              </w:rPr>
            </w:pPr>
          </w:p>
        </w:tc>
        <w:tc>
          <w:tcPr>
            <w:tcW w:w="164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4"/>
                <w:szCs w:val="14"/>
                <w:color w:val="auto"/>
              </w:rPr>
            </w:pPr>
          </w:p>
        </w:tc>
        <w:tc>
          <w:tcPr>
            <w:tcW w:w="166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4"/>
                <w:szCs w:val="14"/>
                <w:color w:val="auto"/>
              </w:rPr>
            </w:pPr>
          </w:p>
        </w:tc>
        <w:tc>
          <w:tcPr>
            <w:tcW w:w="168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2018</w:t>
            </w:r>
          </w:p>
        </w:tc>
      </w:tr>
      <w:tr>
        <w:trPr>
          <w:trHeight w:val="202"/>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Redeemable convertible preferred stock</w:t>
            </w:r>
          </w:p>
        </w:tc>
        <w:tc>
          <w:tcPr>
            <w:tcW w:w="16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83,568,628</w:t>
            </w: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66,825,300</w:t>
            </w:r>
          </w:p>
        </w:tc>
      </w:tr>
      <w:tr>
        <w:trPr>
          <w:trHeight w:val="209"/>
        </w:trPr>
        <w:tc>
          <w:tcPr>
            <w:tcW w:w="5920" w:type="dxa"/>
            <w:vAlign w:val="bottom"/>
          </w:tcPr>
          <w:p>
            <w:pPr>
              <w:spacing w:after="0"/>
              <w:rPr>
                <w:sz w:val="20"/>
                <w:szCs w:val="20"/>
                <w:color w:val="auto"/>
              </w:rPr>
            </w:pPr>
            <w:r>
              <w:rPr>
                <w:rFonts w:ascii="Arial" w:cs="Arial" w:eastAsia="Arial" w:hAnsi="Arial"/>
                <w:sz w:val="17"/>
                <w:szCs w:val="17"/>
                <w:color w:val="auto"/>
              </w:rPr>
              <w:t>Warrants</w:t>
            </w:r>
          </w:p>
        </w:tc>
        <w:tc>
          <w:tcPr>
            <w:tcW w:w="18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60" w:type="dxa"/>
            <w:vAlign w:val="bottom"/>
          </w:tcPr>
          <w:p>
            <w:pPr>
              <w:jc w:val="right"/>
              <w:ind w:right="35"/>
              <w:spacing w:after="0"/>
              <w:rPr>
                <w:sz w:val="20"/>
                <w:szCs w:val="20"/>
                <w:color w:val="auto"/>
              </w:rPr>
            </w:pPr>
            <w:r>
              <w:rPr>
                <w:rFonts w:ascii="Arial" w:cs="Arial" w:eastAsia="Arial" w:hAnsi="Arial"/>
                <w:sz w:val="17"/>
                <w:szCs w:val="17"/>
                <w:color w:val="auto"/>
              </w:rPr>
              <w:t>161,136</w:t>
            </w:r>
          </w:p>
        </w:tc>
        <w:tc>
          <w:tcPr>
            <w:tcW w:w="160" w:type="dxa"/>
            <w:vAlign w:val="bottom"/>
          </w:tcPr>
          <w:p>
            <w:pPr>
              <w:spacing w:after="0"/>
              <w:rPr>
                <w:sz w:val="18"/>
                <w:szCs w:val="18"/>
                <w:color w:val="auto"/>
              </w:rPr>
            </w:pPr>
          </w:p>
        </w:tc>
        <w:tc>
          <w:tcPr>
            <w:tcW w:w="1680" w:type="dxa"/>
            <w:vAlign w:val="bottom"/>
          </w:tcPr>
          <w:p>
            <w:pPr>
              <w:jc w:val="right"/>
              <w:ind w:right="35"/>
              <w:spacing w:after="0"/>
              <w:rPr>
                <w:sz w:val="20"/>
                <w:szCs w:val="20"/>
                <w:color w:val="auto"/>
              </w:rPr>
            </w:pPr>
            <w:r>
              <w:rPr>
                <w:rFonts w:ascii="Arial" w:cs="Arial" w:eastAsia="Arial" w:hAnsi="Arial"/>
                <w:sz w:val="17"/>
                <w:szCs w:val="17"/>
                <w:color w:val="auto"/>
              </w:rPr>
              <w:t>161,136</w:t>
            </w:r>
          </w:p>
        </w:tc>
      </w:tr>
      <w:tr>
        <w:trPr>
          <w:trHeight w:val="209"/>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Stock options</w:t>
            </w:r>
          </w:p>
        </w:tc>
        <w:tc>
          <w:tcPr>
            <w:tcW w:w="16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5,617,568</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6,110,000</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2,961,008</w:t>
            </w:r>
          </w:p>
        </w:tc>
      </w:tr>
      <w:tr>
        <w:trPr>
          <w:trHeight w:val="209"/>
        </w:trPr>
        <w:tc>
          <w:tcPr>
            <w:tcW w:w="5920" w:type="dxa"/>
            <w:vAlign w:val="bottom"/>
          </w:tcPr>
          <w:p>
            <w:pPr>
              <w:spacing w:after="0"/>
              <w:rPr>
                <w:sz w:val="20"/>
                <w:szCs w:val="20"/>
                <w:color w:val="auto"/>
              </w:rPr>
            </w:pPr>
            <w:r>
              <w:rPr>
                <w:rFonts w:ascii="Arial" w:cs="Arial" w:eastAsia="Arial" w:hAnsi="Arial"/>
                <w:sz w:val="17"/>
                <w:szCs w:val="17"/>
                <w:color w:val="auto"/>
              </w:rPr>
              <w:t>Restricted stock awards</w:t>
            </w:r>
          </w:p>
        </w:tc>
        <w:tc>
          <w:tcPr>
            <w:tcW w:w="18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60" w:type="dxa"/>
            <w:vAlign w:val="bottom"/>
          </w:tcPr>
          <w:p>
            <w:pPr>
              <w:jc w:val="right"/>
              <w:ind w:right="35"/>
              <w:spacing w:after="0"/>
              <w:rPr>
                <w:sz w:val="20"/>
                <w:szCs w:val="20"/>
                <w:color w:val="auto"/>
              </w:rPr>
            </w:pPr>
            <w:r>
              <w:rPr>
                <w:rFonts w:ascii="Arial" w:cs="Arial" w:eastAsia="Arial" w:hAnsi="Arial"/>
                <w:sz w:val="17"/>
                <w:szCs w:val="17"/>
                <w:color w:val="auto"/>
              </w:rPr>
              <w:t>3,249,382</w:t>
            </w:r>
          </w:p>
        </w:tc>
        <w:tc>
          <w:tcPr>
            <w:tcW w:w="160" w:type="dxa"/>
            <w:vAlign w:val="bottom"/>
          </w:tcPr>
          <w:p>
            <w:pPr>
              <w:spacing w:after="0"/>
              <w:rPr>
                <w:sz w:val="18"/>
                <w:szCs w:val="18"/>
                <w:color w:val="auto"/>
              </w:rPr>
            </w:pPr>
          </w:p>
        </w:tc>
        <w:tc>
          <w:tcPr>
            <w:tcW w:w="1680" w:type="dxa"/>
            <w:vAlign w:val="bottom"/>
          </w:tcPr>
          <w:p>
            <w:pPr>
              <w:jc w:val="right"/>
              <w:ind w:right="35"/>
              <w:spacing w:after="0"/>
              <w:rPr>
                <w:sz w:val="20"/>
                <w:szCs w:val="20"/>
                <w:color w:val="auto"/>
              </w:rPr>
            </w:pPr>
            <w:r>
              <w:rPr>
                <w:rFonts w:ascii="Arial" w:cs="Arial" w:eastAsia="Arial" w:hAnsi="Arial"/>
                <w:sz w:val="17"/>
                <w:szCs w:val="17"/>
                <w:color w:val="auto"/>
              </w:rPr>
              <w:t>3,873,214</w:t>
            </w:r>
          </w:p>
        </w:tc>
      </w:tr>
      <w:tr>
        <w:trPr>
          <w:trHeight w:val="209"/>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Restricted stock units</w:t>
            </w:r>
          </w:p>
        </w:tc>
        <w:tc>
          <w:tcPr>
            <w:tcW w:w="16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2,235,442</w:t>
            </w:r>
          </w:p>
        </w:tc>
        <w:tc>
          <w:tcPr>
            <w:tcW w:w="180" w:type="dxa"/>
            <w:vAlign w:val="bottom"/>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408,000</w:t>
            </w:r>
          </w:p>
        </w:tc>
        <w:tc>
          <w:tcPr>
            <w:tcW w:w="160" w:type="dxa"/>
            <w:vAlign w:val="bottom"/>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100,000</w:t>
            </w:r>
          </w:p>
        </w:tc>
      </w:tr>
      <w:tr>
        <w:trPr>
          <w:trHeight w:val="202"/>
        </w:trPr>
        <w:tc>
          <w:tcPr>
            <w:tcW w:w="5920" w:type="dxa"/>
            <w:vAlign w:val="bottom"/>
          </w:tcPr>
          <w:p>
            <w:pPr>
              <w:spacing w:after="0"/>
              <w:rPr>
                <w:sz w:val="20"/>
                <w:szCs w:val="20"/>
                <w:color w:val="auto"/>
              </w:rPr>
            </w:pPr>
            <w:r>
              <w:rPr>
                <w:rFonts w:ascii="Arial" w:cs="Arial" w:eastAsia="Arial" w:hAnsi="Arial"/>
                <w:sz w:val="17"/>
                <w:szCs w:val="17"/>
                <w:color w:val="auto"/>
              </w:rPr>
              <w:t>Total</w:t>
            </w:r>
          </w:p>
        </w:tc>
        <w:tc>
          <w:tcPr>
            <w:tcW w:w="1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7,853,010</w:t>
            </w:r>
          </w:p>
        </w:tc>
        <w:tc>
          <w:tcPr>
            <w:tcW w:w="180" w:type="dxa"/>
            <w:vAlign w:val="bottom"/>
          </w:tcPr>
          <w:p>
            <w:pPr>
              <w:spacing w:after="0"/>
              <w:rPr>
                <w:sz w:val="17"/>
                <w:szCs w:val="17"/>
                <w:color w:val="auto"/>
              </w:rPr>
            </w:pPr>
          </w:p>
        </w:tc>
        <w:tc>
          <w:tcPr>
            <w:tcW w:w="16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93,497,146</w:t>
            </w:r>
          </w:p>
        </w:tc>
        <w:tc>
          <w:tcPr>
            <w:tcW w:w="160" w:type="dxa"/>
            <w:vAlign w:val="bottom"/>
          </w:tcPr>
          <w:p>
            <w:pPr>
              <w:spacing w:after="0"/>
              <w:rPr>
                <w:sz w:val="17"/>
                <w:szCs w:val="17"/>
                <w:color w:val="auto"/>
              </w:rPr>
            </w:pPr>
          </w:p>
        </w:tc>
        <w:tc>
          <w:tcPr>
            <w:tcW w:w="16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73,920,658</w:t>
            </w:r>
          </w:p>
        </w:tc>
      </w:tr>
      <w:tr>
        <w:trPr>
          <w:trHeight w:val="20"/>
        </w:trPr>
        <w:tc>
          <w:tcPr>
            <w:tcW w:w="59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8440" w:firstLine="5"/>
        <w:spacing w:after="0" w:line="370" w:lineRule="auto"/>
        <w:tabs>
          <w:tab w:leader="none" w:pos="291"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 Party Transactions </w:t>
      </w:r>
      <w:r>
        <w:rPr>
          <w:rFonts w:ascii="Arial" w:cs="Arial" w:eastAsia="Arial" w:hAnsi="Arial"/>
          <w:sz w:val="17"/>
          <w:szCs w:val="17"/>
          <w:b w:val="1"/>
          <w:bCs w:val="1"/>
          <w:i w:val="1"/>
          <w:iCs w:val="1"/>
          <w:color w:val="auto"/>
        </w:rPr>
        <w:t>Management Services Agreement</w:t>
      </w:r>
    </w:p>
    <w:p>
      <w:pPr>
        <w:spacing w:after="0" w:line="1" w:lineRule="exact"/>
        <w:rPr>
          <w:sz w:val="20"/>
          <w:szCs w:val="20"/>
          <w:color w:val="auto"/>
        </w:rPr>
      </w:pPr>
    </w:p>
    <w:p>
      <w:pPr>
        <w:ind w:right="40" w:firstLine="762"/>
        <w:spacing w:after="0" w:line="250" w:lineRule="auto"/>
        <w:rPr>
          <w:sz w:val="20"/>
          <w:szCs w:val="20"/>
          <w:color w:val="auto"/>
        </w:rPr>
      </w:pPr>
      <w:r>
        <w:rPr>
          <w:rFonts w:ascii="Arial" w:cs="Arial" w:eastAsia="Arial" w:hAnsi="Arial"/>
          <w:sz w:val="17"/>
          <w:szCs w:val="17"/>
          <w:color w:val="auto"/>
        </w:rPr>
        <w:t>In July 2015, the Company entered into a management services agreement (“MSA”) with Catterton Management Company, L.L.C. (“Catterton Management”), an affiliate of L Catterton (“Catterton”), a holder of more than 5% of the Company’s outstanding capital stock, pursuant to which Catterton Management agreed to provide consulting services on certain business and financial matters. Under the MSA, the Company agreed to pay Catterton Management an annual fee of $0.3 million until the expiration of the MSA upon the earlier of (i) termination by mutual consent of the parties and (ii) such time that Catterton and/or its affiliates cease to be one of the Company’s stockholders. For the years ended December 31, 2020, 2019, and 2018, payments of the annual fees were waived. In May 2020, the MSA was terminated.</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AutoNation Reconditioning Agreement</w:t>
      </w:r>
    </w:p>
    <w:p>
      <w:pPr>
        <w:spacing w:after="0" w:line="103" w:lineRule="exact"/>
        <w:rPr>
          <w:sz w:val="20"/>
          <w:szCs w:val="20"/>
          <w:color w:val="auto"/>
        </w:rPr>
      </w:pPr>
    </w:p>
    <w:p>
      <w:pPr>
        <w:ind w:right="100" w:firstLine="762"/>
        <w:spacing w:after="0" w:line="257" w:lineRule="auto"/>
        <w:rPr>
          <w:sz w:val="20"/>
          <w:szCs w:val="20"/>
          <w:color w:val="auto"/>
        </w:rPr>
      </w:pPr>
      <w:r>
        <w:rPr>
          <w:rFonts w:ascii="Arial" w:cs="Arial" w:eastAsia="Arial" w:hAnsi="Arial"/>
          <w:sz w:val="17"/>
          <w:szCs w:val="17"/>
          <w:color w:val="auto"/>
        </w:rPr>
        <w:t>In January 2019, the Company entered into a vendor agreement (“Vendor Agreement”) with AutoNation, Inc. (“AutoNation”), an affiliate of Auto Holdings, Inc., a holder of more than 5% of the Company’s outstanding capital stock, pursuant to which AutoNation agreed to provide certain reconditioning and repair services for vehicles owned by the Company. Amounts due under the Vendor Agreement for parts supplied and</w:t>
      </w:r>
    </w:p>
    <w:p>
      <w:pPr>
        <w:ind w:right="300"/>
        <w:spacing w:after="0" w:line="290" w:lineRule="auto"/>
        <w:rPr>
          <w:sz w:val="20"/>
          <w:szCs w:val="20"/>
          <w:color w:val="auto"/>
        </w:rPr>
      </w:pPr>
      <w:r>
        <w:rPr>
          <w:rFonts w:ascii="Arial" w:cs="Arial" w:eastAsia="Arial" w:hAnsi="Arial"/>
          <w:sz w:val="17"/>
          <w:szCs w:val="17"/>
          <w:color w:val="auto"/>
        </w:rPr>
        <w:t>services performed by AutoNation become due and payable as they accrued. For the year ended December 31, 2019, the Company incurred $1.1 million of costs under the Vendor Agreement. The Vendor Agreement was terminated in February 2020.</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8" w:name="page109"/>
    <w:bookmarkEnd w:id="10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VROOM, INC.</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Subsequent Event</w:t>
      </w:r>
    </w:p>
    <w:p>
      <w:pPr>
        <w:spacing w:after="0" w:line="94" w:lineRule="exact"/>
        <w:rPr>
          <w:sz w:val="20"/>
          <w:szCs w:val="20"/>
          <w:color w:val="auto"/>
        </w:rPr>
      </w:pPr>
    </w:p>
    <w:p>
      <w:pPr>
        <w:ind w:right="60" w:firstLine="750"/>
        <w:spacing w:after="0" w:line="257" w:lineRule="auto"/>
        <w:rPr>
          <w:sz w:val="20"/>
          <w:szCs w:val="20"/>
          <w:color w:val="auto"/>
        </w:rPr>
      </w:pPr>
      <w:r>
        <w:rPr>
          <w:rFonts w:ascii="Arial" w:cs="Arial" w:eastAsia="Arial" w:hAnsi="Arial"/>
          <w:sz w:val="17"/>
          <w:szCs w:val="17"/>
          <w:color w:val="auto"/>
        </w:rPr>
        <w:t>On January 7, 2021, the Company completed the acquisition of the CarStory business, a leader in AI-powered analytics and digital services for automotive retail, through the acquisition of 100% of Vast Holdings, Inc. Leveraging its machine learning, CarStory brings predictive market data to Vroom’s national ecommerce and vehicle operations platform. As part of Vroom, we expect CarStory to continue to offer its digital retailing services to dealers, automotive financial services companies and others in the automotive industry.</w:t>
      </w:r>
    </w:p>
    <w:p>
      <w:pPr>
        <w:spacing w:after="0" w:line="52" w:lineRule="exact"/>
        <w:rPr>
          <w:sz w:val="20"/>
          <w:szCs w:val="20"/>
          <w:color w:val="auto"/>
        </w:rPr>
      </w:pPr>
    </w:p>
    <w:p>
      <w:pPr>
        <w:ind w:right="80" w:firstLine="762"/>
        <w:spacing w:after="0" w:line="265" w:lineRule="auto"/>
        <w:rPr>
          <w:sz w:val="20"/>
          <w:szCs w:val="20"/>
          <w:color w:val="auto"/>
        </w:rPr>
      </w:pPr>
      <w:r>
        <w:rPr>
          <w:rFonts w:ascii="Arial" w:cs="Arial" w:eastAsia="Arial" w:hAnsi="Arial"/>
          <w:sz w:val="17"/>
          <w:szCs w:val="17"/>
          <w:color w:val="auto"/>
        </w:rPr>
        <w:t>Pursuant to the acquisition agreement, the aggregate purchase price was approximately $120.0 million, comprised of cash and shares of the Company’s common stock. On the closing date, the Company paid $77.5 million in cash and issued 1,072,117 shares of common stock. The purchase price is subject to adjustment for certain working capital adjustments and post-closing indemnities.</w:t>
      </w:r>
    </w:p>
    <w:p>
      <w:pPr>
        <w:spacing w:after="0" w:line="20" w:lineRule="exact"/>
        <w:rPr>
          <w:sz w:val="20"/>
          <w:szCs w:val="20"/>
          <w:color w:val="auto"/>
        </w:rPr>
      </w:pPr>
    </w:p>
    <w:p>
      <w:pPr>
        <w:ind w:firstLine="750"/>
        <w:spacing w:after="0" w:line="257" w:lineRule="auto"/>
        <w:rPr>
          <w:sz w:val="20"/>
          <w:szCs w:val="20"/>
          <w:color w:val="auto"/>
        </w:rPr>
      </w:pPr>
      <w:r>
        <w:rPr>
          <w:rFonts w:ascii="Arial" w:cs="Arial" w:eastAsia="Arial" w:hAnsi="Arial"/>
          <w:sz w:val="17"/>
          <w:szCs w:val="17"/>
          <w:color w:val="auto"/>
        </w:rPr>
        <w:t xml:space="preserve">Due to the proximity of the acquisition date to the Company’s filing of its annual report on Form 10-K for the year ended December 31, 2020, the initial accounting for the CarStory business combination is incomplete, and therefore the Company is unable to disclose certain information required by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including the provisional amounts recognized as of the acquisition date for each major class of assets acquired and liabilities assumed and goodwill.</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09" w:name="page110"/>
    <w:bookmarkEnd w:id="10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0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effectiveness of controls and procedures</w:t>
      </w:r>
    </w:p>
    <w:p>
      <w:pPr>
        <w:spacing w:after="0" w:line="107" w:lineRule="exact"/>
        <w:rPr>
          <w:sz w:val="20"/>
          <w:szCs w:val="20"/>
          <w:color w:val="auto"/>
        </w:rPr>
      </w:pPr>
    </w:p>
    <w:p>
      <w:pPr>
        <w:ind w:right="220" w:firstLine="762"/>
        <w:spacing w:after="0" w:line="257" w:lineRule="auto"/>
        <w:rPr>
          <w:sz w:val="20"/>
          <w:szCs w:val="20"/>
          <w:color w:val="auto"/>
        </w:rPr>
      </w:pPr>
      <w:r>
        <w:rPr>
          <w:rFonts w:ascii="Arial" w:cs="Arial" w:eastAsia="Arial" w:hAnsi="Arial"/>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07" w:lineRule="exact"/>
        <w:rPr>
          <w:sz w:val="20"/>
          <w:szCs w:val="20"/>
          <w:color w:val="auto"/>
        </w:rPr>
      </w:pPr>
    </w:p>
    <w:p>
      <w:pPr>
        <w:ind w:right="100" w:firstLine="762"/>
        <w:spacing w:after="0" w:line="248"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as of the end of the period covered by this Annual Report on Form 10-K, the effectiveness of our disclosure controls and procedures (as defined in Rules 13a-15(e) and 15d-15(e) under the Exchange Act). Based on that evaluation, and as a result of the material weaknesses described below, our principal executive officer and principal financial officer concluded that, as of December 31, 2020,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consolidated financial statements for the periods covered by and included in this Annual Report on Form 10-K fairly state, in all material respects, our financial position, results of operations and cash flows for the periods presented in conformity with U.S. GAAP.</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107" w:lineRule="exact"/>
        <w:rPr>
          <w:sz w:val="20"/>
          <w:szCs w:val="20"/>
          <w:color w:val="auto"/>
        </w:rPr>
      </w:pPr>
    </w:p>
    <w:p>
      <w:pPr>
        <w:ind w:right="320" w:firstLine="762"/>
        <w:spacing w:after="0" w:line="265" w:lineRule="auto"/>
        <w:rPr>
          <w:sz w:val="20"/>
          <w:szCs w:val="20"/>
          <w:color w:val="auto"/>
        </w:rPr>
      </w:pPr>
      <w:r>
        <w:rPr>
          <w:rFonts w:ascii="Arial" w:cs="Arial" w:eastAsia="Arial" w:hAnsi="Arial"/>
          <w:sz w:val="17"/>
          <w:szCs w:val="17"/>
          <w:color w:val="auto"/>
        </w:rPr>
        <w:t>This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Weaknesses</w:t>
      </w:r>
    </w:p>
    <w:p>
      <w:pPr>
        <w:spacing w:after="0" w:line="107" w:lineRule="exact"/>
        <w:rPr>
          <w:sz w:val="20"/>
          <w:szCs w:val="20"/>
          <w:color w:val="auto"/>
        </w:rPr>
      </w:pPr>
    </w:p>
    <w:p>
      <w:pPr>
        <w:ind w:right="20" w:firstLine="762"/>
        <w:spacing w:after="0" w:line="247"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annual or interim financial statements will not be prevented or detected on a timely basis. Internal control over financial reporting is a process designed to provide reasonable assurance regarding the reliability of financial reporting and the preparation of financial statements in accordance with GAAP. In connection with our audit of consolidated financial statements for the year ended December 31, 2018, we identified material weaknesses in our internal control over financial reporting. We did not design or maintain an effective control environment commensurate with our financial reporting requirements. Specifically, we lacked a sufficient complement of personnel with (i) an appropriate level of accounting knowledge, training and experience to appropriately analyze, record and disclose accounting matters timely and accurately, and (ii) an appropriate level of knowledge and experience to establish effective information technology processes and controls. This material weakness contributed to the following material weaknesses:</w:t>
      </w:r>
    </w:p>
    <w:p>
      <w:pPr>
        <w:spacing w:after="0" w:line="60" w:lineRule="exact"/>
        <w:rPr>
          <w:sz w:val="20"/>
          <w:szCs w:val="20"/>
          <w:color w:val="auto"/>
        </w:rPr>
      </w:pPr>
    </w:p>
    <w:p>
      <w:pPr>
        <w:ind w:left="1020" w:right="300" w:hanging="256"/>
        <w:spacing w:after="0" w:line="257"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we did not design and maintain adequate controls over the preparation and review of certain account reconciliations and journal entries. Specifically, we did not design and maintain controls to ensure (i) the appropriate segregation of duties in the preparation and review of account reconciliations and journal entries and (ii) account reconciliations and journal entries were reviewed at the appropriate level of precision.</w:t>
      </w:r>
    </w:p>
    <w:p>
      <w:pPr>
        <w:spacing w:after="0" w:line="64" w:lineRule="exact"/>
        <w:rPr>
          <w:rFonts w:ascii="Times New Roman" w:cs="Times New Roman" w:eastAsia="Times New Roman" w:hAnsi="Times New Roman"/>
          <w:sz w:val="17"/>
          <w:szCs w:val="17"/>
          <w:color w:val="auto"/>
        </w:rPr>
      </w:pPr>
    </w:p>
    <w:p>
      <w:pPr>
        <w:ind w:left="1020" w:hanging="256"/>
        <w:spacing w:after="0" w:line="250"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we did not design and maintain effective controls over certain information technology general controls for information systems and applications that are relevant to the preparation of the consolidated financial statements. Specifically, we did not design and maintain sufficient user and privileged access controls to ensure appropriate segregation of duties and adequate restricted user access to financial applications; program change management controls to ensure that IT program and data changes affecting financial IT applications and underlying accounting records are identified, tested, authorized and implemented appropriately; or computer operations controls as well as testing and approval controls for program development.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153275"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04" w:lineRule="exact"/>
        <w:rPr>
          <w:sz w:val="20"/>
          <w:szCs w:val="20"/>
          <w:color w:val="auto"/>
        </w:rPr>
      </w:pPr>
    </w:p>
    <w:p>
      <w:pPr>
        <w:ind w:firstLine="764"/>
        <w:spacing w:after="0" w:line="257" w:lineRule="auto"/>
        <w:rPr>
          <w:sz w:val="20"/>
          <w:szCs w:val="20"/>
          <w:color w:val="auto"/>
        </w:rPr>
      </w:pPr>
      <w:r>
        <w:rPr>
          <w:rFonts w:ascii="Arial" w:cs="Arial" w:eastAsia="Arial" w:hAnsi="Arial"/>
          <w:sz w:val="17"/>
          <w:szCs w:val="17"/>
          <w:color w:val="auto"/>
        </w:rPr>
        <w:t>The control deficiencies described above did not result in a misstatement to our annual or interim consolidated financial statements. However, each of the control deficiencies described above, if not remediated, could result in a misstatement of one or more account balances or disclosures that would result in a material misstatement to the annual or interim consolidated financial statements that would not be prevented or detected, and, accordingly, we determined that these control deficiencies constitute material weaknesses.</w:t>
      </w:r>
    </w:p>
    <w:p>
      <w:pPr>
        <w:spacing w:after="0" w:line="183" w:lineRule="exact"/>
        <w:rPr>
          <w:sz w:val="20"/>
          <w:szCs w:val="20"/>
          <w:color w:val="auto"/>
        </w:rPr>
      </w:pPr>
    </w:p>
    <w:p>
      <w:pPr>
        <w:ind w:right="240" w:firstLine="762"/>
        <w:spacing w:after="0" w:line="290" w:lineRule="auto"/>
        <w:rPr>
          <w:sz w:val="20"/>
          <w:szCs w:val="20"/>
          <w:color w:val="auto"/>
        </w:rPr>
      </w:pPr>
      <w:r>
        <w:rPr>
          <w:rFonts w:ascii="Arial" w:cs="Arial" w:eastAsia="Arial" w:hAnsi="Arial"/>
          <w:sz w:val="17"/>
          <w:szCs w:val="17"/>
          <w:color w:val="auto"/>
        </w:rPr>
        <w:t>We have concluded that these material weaknesses arose because, as a private company, we did not have the necessary business processes, systems, personnel and related internal controls.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Remediation of Material Weakness</w:t>
      </w:r>
    </w:p>
    <w:p>
      <w:pPr>
        <w:spacing w:after="0" w:line="212" w:lineRule="exact"/>
        <w:rPr>
          <w:sz w:val="20"/>
          <w:szCs w:val="20"/>
          <w:color w:val="auto"/>
        </w:rPr>
      </w:pPr>
    </w:p>
    <w:p>
      <w:pPr>
        <w:ind w:right="120" w:firstLine="762"/>
        <w:spacing w:after="0" w:line="254" w:lineRule="auto"/>
        <w:rPr>
          <w:sz w:val="20"/>
          <w:szCs w:val="20"/>
          <w:color w:val="auto"/>
        </w:rPr>
      </w:pPr>
      <w:r>
        <w:rPr>
          <w:rFonts w:ascii="Arial" w:cs="Arial" w:eastAsia="Arial" w:hAnsi="Arial"/>
          <w:sz w:val="17"/>
          <w:szCs w:val="17"/>
          <w:color w:val="auto"/>
        </w:rPr>
        <w:t>In the year ended December 31, 2019, we undertook measures to address material weaknesses in our internal controls. In particular, we (i) hired additional finance and accounting personnel with expertise in preparation of financial statements and account reconciliations;</w:t>
      </w:r>
    </w:p>
    <w:p>
      <w:pPr>
        <w:spacing w:after="0" w:line="1" w:lineRule="exact"/>
        <w:rPr>
          <w:sz w:val="20"/>
          <w:szCs w:val="20"/>
          <w:color w:val="auto"/>
        </w:rPr>
      </w:pPr>
    </w:p>
    <w:p>
      <w:pPr>
        <w:ind w:right="60" w:firstLine="5"/>
        <w:spacing w:after="0" w:line="256" w:lineRule="auto"/>
        <w:tabs>
          <w:tab w:leader="none" w:pos="242" w:val="left"/>
        </w:tabs>
        <w:numPr>
          <w:ilvl w:val="0"/>
          <w:numId w:val="40"/>
        </w:numPr>
        <w:rPr>
          <w:rFonts w:ascii="Arial" w:cs="Arial" w:eastAsia="Arial" w:hAnsi="Arial"/>
          <w:sz w:val="17"/>
          <w:szCs w:val="17"/>
          <w:color w:val="auto"/>
        </w:rPr>
      </w:pPr>
      <w:r>
        <w:rPr>
          <w:rFonts w:ascii="Arial" w:cs="Arial" w:eastAsia="Arial" w:hAnsi="Arial"/>
          <w:sz w:val="17"/>
          <w:szCs w:val="17"/>
          <w:color w:val="auto"/>
        </w:rPr>
        <w:t>further developed and documented our accounting policies; and (iii) hired a director responsible for implementation of information technology general controls. In addition, in the year ended December 31, 2020, we continued to take steps to remediate these material weaknesses, including:</w:t>
      </w:r>
    </w:p>
    <w:p>
      <w:pPr>
        <w:spacing w:after="0" w:line="254" w:lineRule="exact"/>
        <w:rPr>
          <w:rFonts w:ascii="Arial" w:cs="Arial" w:eastAsia="Arial" w:hAnsi="Arial"/>
          <w:sz w:val="17"/>
          <w:szCs w:val="17"/>
          <w:color w:val="auto"/>
        </w:rPr>
      </w:pPr>
    </w:p>
    <w:p>
      <w:pPr>
        <w:ind w:left="1020" w:hanging="256"/>
        <w:spacing w:after="0"/>
        <w:tabs>
          <w:tab w:leader="none" w:pos="1020" w:val="left"/>
        </w:tabs>
        <w:numPr>
          <w:ilvl w:val="1"/>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hiring additional qualified accounting, financial reporting and information technology personnel with public company experience;</w:t>
      </w:r>
    </w:p>
    <w:p>
      <w:pPr>
        <w:spacing w:after="0" w:line="143" w:lineRule="exact"/>
        <w:rPr>
          <w:rFonts w:ascii="Times New Roman" w:cs="Times New Roman" w:eastAsia="Times New Roman" w:hAnsi="Times New Roman"/>
          <w:sz w:val="17"/>
          <w:szCs w:val="17"/>
          <w:color w:val="auto"/>
        </w:rPr>
      </w:pPr>
    </w:p>
    <w:p>
      <w:pPr>
        <w:ind w:left="1020" w:hanging="256"/>
        <w:spacing w:after="0"/>
        <w:tabs>
          <w:tab w:leader="none" w:pos="1020" w:val="left"/>
        </w:tabs>
        <w:numPr>
          <w:ilvl w:val="1"/>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providing additional training for our personnel on internal control over financial reporting;</w:t>
      </w:r>
    </w:p>
    <w:p>
      <w:pPr>
        <w:spacing w:after="0" w:line="143" w:lineRule="exact"/>
        <w:rPr>
          <w:rFonts w:ascii="Times New Roman" w:cs="Times New Roman" w:eastAsia="Times New Roman" w:hAnsi="Times New Roman"/>
          <w:sz w:val="17"/>
          <w:szCs w:val="17"/>
          <w:color w:val="auto"/>
        </w:rPr>
      </w:pPr>
    </w:p>
    <w:p>
      <w:pPr>
        <w:ind w:left="1020" w:hanging="256"/>
        <w:spacing w:after="0"/>
        <w:tabs>
          <w:tab w:leader="none" w:pos="1020" w:val="left"/>
        </w:tabs>
        <w:numPr>
          <w:ilvl w:val="1"/>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implementing new financial systems and processes;</w:t>
      </w:r>
    </w:p>
    <w:p>
      <w:pPr>
        <w:spacing w:after="0" w:line="143" w:lineRule="exact"/>
        <w:rPr>
          <w:rFonts w:ascii="Times New Roman" w:cs="Times New Roman" w:eastAsia="Times New Roman" w:hAnsi="Times New Roman"/>
          <w:sz w:val="17"/>
          <w:szCs w:val="17"/>
          <w:color w:val="auto"/>
        </w:rPr>
      </w:pPr>
    </w:p>
    <w:p>
      <w:pPr>
        <w:ind w:left="1020" w:hanging="256"/>
        <w:spacing w:after="0"/>
        <w:tabs>
          <w:tab w:leader="none" w:pos="1020" w:val="left"/>
        </w:tabs>
        <w:numPr>
          <w:ilvl w:val="1"/>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implementing additional review controls and processes and requiring timely account reconciliation and analyses;</w:t>
      </w:r>
    </w:p>
    <w:p>
      <w:pPr>
        <w:spacing w:after="0" w:line="143" w:lineRule="exact"/>
        <w:rPr>
          <w:rFonts w:ascii="Times New Roman" w:cs="Times New Roman" w:eastAsia="Times New Roman" w:hAnsi="Times New Roman"/>
          <w:sz w:val="17"/>
          <w:szCs w:val="17"/>
          <w:color w:val="auto"/>
        </w:rPr>
      </w:pPr>
    </w:p>
    <w:p>
      <w:pPr>
        <w:ind w:left="1020" w:hanging="256"/>
        <w:spacing w:after="0"/>
        <w:tabs>
          <w:tab w:leader="none" w:pos="1020" w:val="left"/>
        </w:tabs>
        <w:numPr>
          <w:ilvl w:val="1"/>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implementing processes and controls to better identify and manage segregation of duties; and</w:t>
      </w:r>
    </w:p>
    <w:p>
      <w:pPr>
        <w:spacing w:after="0" w:line="143" w:lineRule="exact"/>
        <w:rPr>
          <w:rFonts w:ascii="Times New Roman" w:cs="Times New Roman" w:eastAsia="Times New Roman" w:hAnsi="Times New Roman"/>
          <w:sz w:val="17"/>
          <w:szCs w:val="17"/>
          <w:color w:val="auto"/>
        </w:rPr>
      </w:pPr>
    </w:p>
    <w:p>
      <w:pPr>
        <w:ind w:left="1020" w:right="100" w:hanging="256"/>
        <w:spacing w:after="0" w:line="289" w:lineRule="auto"/>
        <w:tabs>
          <w:tab w:leader="none" w:pos="1020" w:val="left"/>
        </w:tabs>
        <w:numPr>
          <w:ilvl w:val="1"/>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engaging an external advisor to assist with evaluating and documenting the design and operating effectiveness of internal controls and assisting with the remediation of deficiencies, as necessary.</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07" w:lineRule="exact"/>
        <w:rPr>
          <w:sz w:val="20"/>
          <w:szCs w:val="20"/>
          <w:color w:val="auto"/>
        </w:rPr>
      </w:pPr>
    </w:p>
    <w:p>
      <w:pPr>
        <w:ind w:right="20" w:firstLine="762"/>
        <w:spacing w:after="0" w:line="253" w:lineRule="auto"/>
        <w:rPr>
          <w:sz w:val="20"/>
          <w:szCs w:val="20"/>
          <w:color w:val="auto"/>
        </w:rPr>
      </w:pPr>
      <w:r>
        <w:rPr>
          <w:rFonts w:ascii="Arial" w:cs="Arial" w:eastAsia="Arial" w:hAnsi="Arial"/>
          <w:sz w:val="17"/>
          <w:szCs w:val="17"/>
          <w:color w:val="auto"/>
        </w:rPr>
        <w:t>We are taking steps, as described above, to remediate the material weaknesses relating to our internal control over financial reporting. However, we will not be able to fully remediate these material weaknesses until these steps have been completed and the related internal controls have been operating effectively for a sufficient period of time. Except as otherwise described herein, there was no change in our internal control over financial reporting (as defined in Rules 13a-15(f) and 15d-15(f) under the Exchange Act) during the quarter ended December 31, 2020 that has materially affected, or is reasonably likely to materially affect, our internal control over financial reporting.</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07" w:lineRule="exact"/>
        <w:rPr>
          <w:sz w:val="20"/>
          <w:szCs w:val="20"/>
          <w:color w:val="auto"/>
        </w:rPr>
      </w:pPr>
    </w:p>
    <w:p>
      <w:pPr>
        <w:ind w:right="220" w:firstLine="762"/>
        <w:spacing w:after="0" w:line="265" w:lineRule="auto"/>
        <w:rPr>
          <w:sz w:val="20"/>
          <w:szCs w:val="20"/>
          <w:color w:val="auto"/>
        </w:rPr>
      </w:pPr>
      <w:r>
        <w:rPr>
          <w:rFonts w:ascii="Arial" w:cs="Arial" w:eastAsia="Arial" w:hAnsi="Arial"/>
          <w:sz w:val="17"/>
          <w:szCs w:val="17"/>
          <w:color w:val="auto"/>
        </w:rPr>
        <w:t>As we approach the completion of our first full year as a public company, Mr. Adam Valkin indicated to us on March 2, 2021 that he plans to step down as a director effective as of our 2021 Annual Meeting of Stockholders, and therefore he will not stand for re-election at that meeting.</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III</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07" w:lineRule="exact"/>
        <w:rPr>
          <w:sz w:val="20"/>
          <w:szCs w:val="20"/>
          <w:color w:val="auto"/>
        </w:rPr>
      </w:pPr>
    </w:p>
    <w:p>
      <w:pPr>
        <w:ind w:right="40" w:firstLine="750"/>
        <w:spacing w:after="0" w:line="253" w:lineRule="auto"/>
        <w:rPr>
          <w:sz w:val="20"/>
          <w:szCs w:val="20"/>
          <w:color w:val="auto"/>
        </w:rPr>
      </w:pPr>
      <w:r>
        <w:rPr>
          <w:rFonts w:ascii="Arial" w:cs="Arial" w:eastAsia="Arial" w:hAnsi="Arial"/>
          <w:sz w:val="17"/>
          <w:szCs w:val="17"/>
          <w:color w:val="auto"/>
        </w:rPr>
        <w:t xml:space="preserve">We have adopted a written code of ethics, entitled “Code of Business Conduct and Ethics,” that applies to all of our directors, executive officers and employees, including our principal executive officer, principal financial officer, principal accounting officer and controller, or persons performing similar functions. We make available our code of ethics free of charge through our investor relations website which is located at </w:t>
      </w:r>
      <w:r>
        <w:rPr>
          <w:rFonts w:ascii="Arial" w:cs="Arial" w:eastAsia="Arial" w:hAnsi="Arial"/>
          <w:sz w:val="17"/>
          <w:szCs w:val="17"/>
          <w:i w:val="1"/>
          <w:iCs w:val="1"/>
          <w:color w:val="auto"/>
        </w:rPr>
        <w:t>ir.vroom.com</w:t>
      </w:r>
      <w:r>
        <w:rPr>
          <w:rFonts w:ascii="Arial" w:cs="Arial" w:eastAsia="Arial" w:hAnsi="Arial"/>
          <w:sz w:val="17"/>
          <w:szCs w:val="17"/>
          <w:color w:val="auto"/>
        </w:rPr>
        <w:t>. We intend to post on our website all disclosures that are required by law or Nasdaq listing standards concerning any amendments</w:t>
      </w:r>
      <w:r>
        <w:rPr>
          <w:rFonts w:ascii="Arial" w:cs="Arial" w:eastAsia="Arial" w:hAnsi="Arial"/>
          <w:sz w:val="17"/>
          <w:szCs w:val="17"/>
          <w:i w:val="1"/>
          <w:iCs w:val="1"/>
          <w:color w:val="auto"/>
        </w:rPr>
        <w:t xml:space="preserve"> </w:t>
      </w:r>
      <w:r>
        <w:rPr>
          <w:rFonts w:ascii="Arial" w:cs="Arial" w:eastAsia="Arial" w:hAnsi="Arial"/>
          <w:sz w:val="17"/>
          <w:szCs w:val="17"/>
          <w:color w:val="auto"/>
        </w:rPr>
        <w:t>to, or waivers from, any provision of our code of ethics.</w:t>
      </w:r>
    </w:p>
    <w:p>
      <w:pPr>
        <w:spacing w:after="0" w:line="160" w:lineRule="exact"/>
        <w:rPr>
          <w:sz w:val="20"/>
          <w:szCs w:val="20"/>
          <w:color w:val="auto"/>
        </w:rPr>
      </w:pPr>
    </w:p>
    <w:p>
      <w:pPr>
        <w:ind w:firstLine="750"/>
        <w:spacing w:after="0" w:line="257" w:lineRule="auto"/>
        <w:rPr>
          <w:sz w:val="20"/>
          <w:szCs w:val="20"/>
          <w:color w:val="auto"/>
        </w:rPr>
      </w:pPr>
      <w:r>
        <w:rPr>
          <w:rFonts w:ascii="Arial" w:cs="Arial" w:eastAsia="Arial" w:hAnsi="Arial"/>
          <w:sz w:val="17"/>
          <w:szCs w:val="17"/>
          <w:color w:val="auto"/>
        </w:rPr>
        <w:t>The information concerning our executive offers and directors required by this Item 10 is contained under the caption “Information about our Executive Officers and Directors” at the end of Part I of this Annual Report on Form 10-K. The remaining information required by this item is incorporated by reference to Vroom’s Proxy Statement for its 2021 Annual Meeting of Stockholders to be filed with the SEC within 120 days after the end of the fiscal year ended December 31, 2020.</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07" w:lineRule="exact"/>
        <w:rPr>
          <w:sz w:val="20"/>
          <w:szCs w:val="20"/>
          <w:color w:val="auto"/>
        </w:rPr>
      </w:pPr>
    </w:p>
    <w:p>
      <w:pPr>
        <w:ind w:right="840" w:firstLine="750"/>
        <w:spacing w:after="0" w:line="290" w:lineRule="auto"/>
        <w:rPr>
          <w:sz w:val="20"/>
          <w:szCs w:val="20"/>
          <w:color w:val="auto"/>
        </w:rPr>
      </w:pPr>
      <w:r>
        <w:rPr>
          <w:rFonts w:ascii="Arial" w:cs="Arial" w:eastAsia="Arial" w:hAnsi="Arial"/>
          <w:sz w:val="17"/>
          <w:szCs w:val="17"/>
          <w:color w:val="auto"/>
        </w:rPr>
        <w:t>The information required by this item is incorporated by reference to Vroom’s Proxy Statement for its 2021 Annual Meeting of Stockholders to be filed with the SEC within 120 days after the end of the fiscal year ended December 31, 2020.</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07" w:lineRule="exact"/>
        <w:rPr>
          <w:sz w:val="20"/>
          <w:szCs w:val="20"/>
          <w:color w:val="auto"/>
        </w:rPr>
      </w:pPr>
    </w:p>
    <w:p>
      <w:pPr>
        <w:ind w:right="840" w:firstLine="750"/>
        <w:spacing w:after="0" w:line="290" w:lineRule="auto"/>
        <w:rPr>
          <w:sz w:val="20"/>
          <w:szCs w:val="20"/>
          <w:color w:val="auto"/>
        </w:rPr>
      </w:pPr>
      <w:r>
        <w:rPr>
          <w:rFonts w:ascii="Arial" w:cs="Arial" w:eastAsia="Arial" w:hAnsi="Arial"/>
          <w:sz w:val="17"/>
          <w:szCs w:val="17"/>
          <w:color w:val="auto"/>
        </w:rPr>
        <w:t>The information required by this item is incorporated by reference to Vroom’s Proxy Statement for its 2021 Annual Meeting of Stockholders to be filed with the SEC within 120 days after the end of the fiscal year ended December 31, 2020.</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07" w:lineRule="exact"/>
        <w:rPr>
          <w:sz w:val="20"/>
          <w:szCs w:val="20"/>
          <w:color w:val="auto"/>
        </w:rPr>
      </w:pPr>
    </w:p>
    <w:p>
      <w:pPr>
        <w:ind w:right="840" w:firstLine="750"/>
        <w:spacing w:after="0" w:line="290" w:lineRule="auto"/>
        <w:rPr>
          <w:sz w:val="20"/>
          <w:szCs w:val="20"/>
          <w:color w:val="auto"/>
        </w:rPr>
      </w:pPr>
      <w:r>
        <w:rPr>
          <w:rFonts w:ascii="Arial" w:cs="Arial" w:eastAsia="Arial" w:hAnsi="Arial"/>
          <w:sz w:val="17"/>
          <w:szCs w:val="17"/>
          <w:color w:val="auto"/>
        </w:rPr>
        <w:t>The information required by this item is incorporated by reference to Vroom’s Proxy Statement for its 2021 Annual Meeting of Stockholders to be filed with the SEC within 120 days after the end of the fiscal year ended December 31, 2020.</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107" w:lineRule="exact"/>
        <w:rPr>
          <w:sz w:val="20"/>
          <w:szCs w:val="20"/>
          <w:color w:val="auto"/>
        </w:rPr>
      </w:pPr>
    </w:p>
    <w:p>
      <w:pPr>
        <w:ind w:right="840" w:firstLine="750"/>
        <w:spacing w:after="0" w:line="290" w:lineRule="auto"/>
        <w:rPr>
          <w:sz w:val="20"/>
          <w:szCs w:val="20"/>
          <w:color w:val="auto"/>
        </w:rPr>
      </w:pPr>
      <w:r>
        <w:rPr>
          <w:rFonts w:ascii="Arial" w:cs="Arial" w:eastAsia="Arial" w:hAnsi="Arial"/>
          <w:sz w:val="17"/>
          <w:szCs w:val="17"/>
          <w:color w:val="auto"/>
        </w:rPr>
        <w:t>The information required by this item is incorporated by reference to Vroom’s Proxy Statement for its 2021 Annual Meeting of Stockholders to be filed with the SEC within 120 days after the end of the fiscal year ended December 31, 2020.</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PART IV</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212" w:lineRule="exact"/>
        <w:rPr>
          <w:sz w:val="20"/>
          <w:szCs w:val="20"/>
          <w:color w:val="auto"/>
        </w:rPr>
      </w:pPr>
    </w:p>
    <w:p>
      <w:pPr>
        <w:ind w:left="740" w:right="80" w:hanging="369"/>
        <w:spacing w:after="0" w:line="265" w:lineRule="auto"/>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Financial Statements: The Consolidated Financial Statements of Vroom are set forth in Part II, Item 8 of this Annual Report on Form 10-K.</w:t>
      </w:r>
    </w:p>
    <w:p>
      <w:pPr>
        <w:spacing w:after="0" w:line="386" w:lineRule="exact"/>
        <w:rPr>
          <w:rFonts w:ascii="Arial" w:cs="Arial" w:eastAsia="Arial" w:hAnsi="Arial"/>
          <w:sz w:val="17"/>
          <w:szCs w:val="17"/>
          <w:color w:val="auto"/>
        </w:rPr>
      </w:pPr>
    </w:p>
    <w:p>
      <w:pPr>
        <w:ind w:left="740" w:right="280" w:hanging="369"/>
        <w:spacing w:after="0" w:line="290" w:lineRule="auto"/>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Financial Statement Schedules: All financial statement schedules have been omitted because they are not applicable, not material or the required information is shown in Part II, Item 8 of this Annual Report on Form 10-K.</w:t>
      </w:r>
    </w:p>
    <w:p>
      <w:pPr>
        <w:spacing w:after="0" w:line="129" w:lineRule="exact"/>
        <w:rPr>
          <w:rFonts w:ascii="Arial" w:cs="Arial" w:eastAsia="Arial" w:hAnsi="Arial"/>
          <w:sz w:val="17"/>
          <w:szCs w:val="17"/>
          <w:color w:val="auto"/>
        </w:rPr>
      </w:pPr>
    </w:p>
    <w:p>
      <w:pPr>
        <w:ind w:left="740" w:right="320" w:hanging="369"/>
        <w:spacing w:after="0" w:line="290" w:lineRule="auto"/>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Exhibits: The exhibits listed in the accompanying Exhibit Index are filed, furnished or incorporated by reference as part of this Annual Report on Form 10-K.</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INDEX TO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212529"/>
              </w:rPr>
              <w:t>Filing</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212529"/>
                <w:w w:val="97"/>
              </w:rPr>
              <w:t>Filed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212529"/>
              </w:rPr>
              <w:t>Furnished</w:t>
            </w:r>
          </w:p>
        </w:tc>
        <w:tc>
          <w:tcPr>
            <w:tcW w:w="20" w:type="dxa"/>
            <w:vAlign w:val="bottom"/>
          </w:tcPr>
          <w:p>
            <w:pPr>
              <w:spacing w:after="0"/>
              <w:rPr>
                <w:sz w:val="14"/>
                <w:szCs w:val="14"/>
                <w:color w:val="auto"/>
              </w:rPr>
            </w:pPr>
          </w:p>
        </w:tc>
      </w:tr>
      <w:tr>
        <w:trPr>
          <w:trHeight w:val="170"/>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21"/>
          </w:tcPr>
          <w:p>
            <w:pPr>
              <w:ind w:left="820"/>
              <w:spacing w:after="0"/>
              <w:rPr>
                <w:sz w:val="20"/>
                <w:szCs w:val="20"/>
                <w:color w:val="auto"/>
              </w:rPr>
            </w:pPr>
            <w:r>
              <w:rPr>
                <w:rFonts w:ascii="Arial" w:cs="Arial" w:eastAsia="Arial" w:hAnsi="Arial"/>
                <w:sz w:val="14"/>
                <w:szCs w:val="14"/>
                <w:b w:val="1"/>
                <w:bCs w:val="1"/>
                <w:color w:val="212529"/>
              </w:rPr>
              <w:t>Exhibit Description</w:t>
            </w:r>
          </w:p>
        </w:tc>
        <w:tc>
          <w:tcPr>
            <w:tcW w:w="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w w:val="97"/>
              </w:rPr>
              <w:t>Form</w:t>
            </w:r>
          </w:p>
        </w:tc>
        <w:tc>
          <w:tcPr>
            <w:tcW w:w="80" w:type="dxa"/>
            <w:vAlign w:val="bottom"/>
          </w:tcPr>
          <w:p>
            <w:pPr>
              <w:spacing w:after="0"/>
              <w:rPr>
                <w:sz w:val="14"/>
                <w:szCs w:val="14"/>
                <w:color w:val="auto"/>
              </w:rPr>
            </w:pPr>
          </w:p>
        </w:tc>
        <w:tc>
          <w:tcPr>
            <w:tcW w:w="15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212529"/>
              </w:rPr>
              <w:t>File No.</w:t>
            </w:r>
          </w:p>
        </w:tc>
        <w:tc>
          <w:tcPr>
            <w:tcW w:w="100" w:type="dxa"/>
            <w:vAlign w:val="bottom"/>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212529"/>
              </w:rPr>
              <w:t>Exhibit</w:t>
            </w:r>
          </w:p>
        </w:tc>
        <w:tc>
          <w:tcPr>
            <w:tcW w:w="6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w w:val="98"/>
              </w:rPr>
              <w:t>Date</w:t>
            </w:r>
          </w:p>
        </w:tc>
        <w:tc>
          <w:tcPr>
            <w:tcW w:w="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20" w:type="dxa"/>
            <w:vAlign w:val="bottom"/>
          </w:tcPr>
          <w:p>
            <w:pPr>
              <w:spacing w:after="0"/>
              <w:rPr>
                <w:sz w:val="14"/>
                <w:szCs w:val="14"/>
                <w:color w:val="auto"/>
              </w:rPr>
            </w:pPr>
          </w:p>
        </w:tc>
      </w:tr>
      <w:tr>
        <w:trPr>
          <w:trHeight w:val="255"/>
        </w:trPr>
        <w:tc>
          <w:tcPr>
            <w:tcW w:w="940" w:type="dxa"/>
            <w:vAlign w:val="bottom"/>
          </w:tcPr>
          <w:p>
            <w:pPr>
              <w:ind w:left="60"/>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2"/>
                <w:szCs w:val="22"/>
                <w:color w:val="auto"/>
              </w:rPr>
            </w:pPr>
          </w:p>
        </w:tc>
        <w:tc>
          <w:tcPr>
            <w:tcW w:w="3540" w:type="dxa"/>
            <w:vAlign w:val="bottom"/>
            <w:gridSpan w:val="23"/>
          </w:tcPr>
          <w:p>
            <w:pPr>
              <w:spacing w:after="0"/>
              <w:rPr>
                <w:rFonts w:ascii="Arial" w:cs="Arial" w:eastAsia="Arial" w:hAnsi="Arial"/>
                <w:sz w:val="17"/>
                <w:szCs w:val="17"/>
                <w:color w:val="0000EE"/>
              </w:rPr>
            </w:pPr>
            <w:hyperlink r:id="rId138">
              <w:r>
                <w:rPr>
                  <w:rFonts w:ascii="Arial" w:cs="Arial" w:eastAsia="Arial" w:hAnsi="Arial"/>
                  <w:sz w:val="17"/>
                  <w:szCs w:val="17"/>
                  <w:color w:val="0000EE"/>
                </w:rPr>
                <w:t>Amended and Restated Certificate of</w:t>
              </w:r>
            </w:hyperlink>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rPr>
              <w:t>10-Q</w:t>
            </w:r>
          </w:p>
        </w:tc>
        <w:tc>
          <w:tcPr>
            <w:tcW w:w="1500" w:type="dxa"/>
            <w:vAlign w:val="bottom"/>
          </w:tcPr>
          <w:p>
            <w:pPr>
              <w:jc w:val="center"/>
              <w:spacing w:after="0"/>
              <w:rPr>
                <w:sz w:val="20"/>
                <w:szCs w:val="20"/>
                <w:color w:val="auto"/>
              </w:rPr>
            </w:pPr>
            <w:r>
              <w:rPr>
                <w:rFonts w:ascii="Arial" w:cs="Arial" w:eastAsia="Arial" w:hAnsi="Arial"/>
                <w:sz w:val="17"/>
                <w:szCs w:val="17"/>
                <w:color w:val="auto"/>
              </w:rPr>
              <w:t>001-39315</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rPr>
              <w:t>3.1</w:t>
            </w:r>
          </w:p>
        </w:tc>
        <w:tc>
          <w:tcPr>
            <w:tcW w:w="60" w:type="dxa"/>
            <w:vAlign w:val="bottom"/>
          </w:tcPr>
          <w:p>
            <w:pPr>
              <w:spacing w:after="0"/>
              <w:rPr>
                <w:sz w:val="22"/>
                <w:szCs w:val="22"/>
                <w:color w:val="auto"/>
              </w:rPr>
            </w:pPr>
          </w:p>
        </w:tc>
        <w:tc>
          <w:tcPr>
            <w:tcW w:w="1840" w:type="dxa"/>
            <w:vAlign w:val="bottom"/>
            <w:gridSpan w:val="2"/>
          </w:tcPr>
          <w:p>
            <w:pPr>
              <w:ind w:left="80"/>
              <w:spacing w:after="0"/>
              <w:rPr>
                <w:sz w:val="20"/>
                <w:szCs w:val="20"/>
                <w:color w:val="auto"/>
              </w:rPr>
            </w:pPr>
            <w:r>
              <w:rPr>
                <w:rFonts w:ascii="Arial" w:cs="Arial" w:eastAsia="Arial" w:hAnsi="Arial"/>
                <w:sz w:val="17"/>
                <w:szCs w:val="17"/>
                <w:color w:val="auto"/>
              </w:rPr>
              <w:t>August 13, 2020</w:t>
            </w:r>
          </w:p>
        </w:tc>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tcBorders>
              <w:top w:val="single" w:sz="8" w:color="0000EE"/>
            </w:tcBorders>
            <w:gridSpan w:val="7"/>
          </w:tcPr>
          <w:p>
            <w:pPr>
              <w:spacing w:after="0" w:line="176" w:lineRule="exact"/>
              <w:rPr>
                <w:rFonts w:ascii="Arial" w:cs="Arial" w:eastAsia="Arial" w:hAnsi="Arial"/>
                <w:sz w:val="17"/>
                <w:szCs w:val="17"/>
                <w:color w:val="0000EE"/>
              </w:rPr>
            </w:pPr>
            <w:hyperlink r:id="rId138">
              <w:r>
                <w:rPr>
                  <w:rFonts w:ascii="Arial" w:cs="Arial" w:eastAsia="Arial" w:hAnsi="Arial"/>
                  <w:sz w:val="17"/>
                  <w:szCs w:val="17"/>
                  <w:color w:val="0000EE"/>
                </w:rPr>
                <w:t>Incorporation of Vroom, Inc.</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7"/>
        </w:trPr>
        <w:tc>
          <w:tcPr>
            <w:tcW w:w="940" w:type="dxa"/>
            <w:vAlign w:val="bottom"/>
          </w:tcPr>
          <w:p>
            <w:pPr>
              <w:ind w:left="60"/>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4"/>
                <w:szCs w:val="24"/>
                <w:color w:val="auto"/>
              </w:rPr>
            </w:pPr>
          </w:p>
        </w:tc>
        <w:tc>
          <w:tcPr>
            <w:tcW w:w="3540" w:type="dxa"/>
            <w:vAlign w:val="bottom"/>
            <w:gridSpan w:val="23"/>
          </w:tcPr>
          <w:p>
            <w:pPr>
              <w:spacing w:after="0"/>
              <w:rPr>
                <w:rFonts w:ascii="Arial" w:cs="Arial" w:eastAsia="Arial" w:hAnsi="Arial"/>
                <w:sz w:val="17"/>
                <w:szCs w:val="17"/>
                <w:color w:val="0000EE"/>
              </w:rPr>
            </w:pPr>
            <w:hyperlink r:id="rId139">
              <w:r>
                <w:rPr>
                  <w:rFonts w:ascii="Arial" w:cs="Arial" w:eastAsia="Arial" w:hAnsi="Arial"/>
                  <w:sz w:val="17"/>
                  <w:szCs w:val="17"/>
                  <w:color w:val="0000EE"/>
                </w:rPr>
                <w:t>Amended and Restated Bylaws of Vroom,</w:t>
              </w:r>
            </w:hyperlink>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rPr>
              <w:t>10-Q</w:t>
            </w:r>
          </w:p>
        </w:tc>
        <w:tc>
          <w:tcPr>
            <w:tcW w:w="1500" w:type="dxa"/>
            <w:vAlign w:val="bottom"/>
          </w:tcPr>
          <w:p>
            <w:pPr>
              <w:jc w:val="center"/>
              <w:spacing w:after="0"/>
              <w:rPr>
                <w:sz w:val="20"/>
                <w:szCs w:val="20"/>
                <w:color w:val="auto"/>
              </w:rPr>
            </w:pPr>
            <w:r>
              <w:rPr>
                <w:rFonts w:ascii="Arial" w:cs="Arial" w:eastAsia="Arial" w:hAnsi="Arial"/>
                <w:sz w:val="17"/>
                <w:szCs w:val="17"/>
                <w:color w:val="auto"/>
              </w:rPr>
              <w:t>001-39315</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rPr>
              <w:t>3.2</w:t>
            </w:r>
          </w:p>
        </w:tc>
        <w:tc>
          <w:tcPr>
            <w:tcW w:w="60" w:type="dxa"/>
            <w:vAlign w:val="bottom"/>
          </w:tcPr>
          <w:p>
            <w:pPr>
              <w:spacing w:after="0"/>
              <w:rPr>
                <w:sz w:val="24"/>
                <w:szCs w:val="24"/>
                <w:color w:val="auto"/>
              </w:rPr>
            </w:pPr>
          </w:p>
        </w:tc>
        <w:tc>
          <w:tcPr>
            <w:tcW w:w="1840" w:type="dxa"/>
            <w:vAlign w:val="bottom"/>
            <w:gridSpan w:val="2"/>
          </w:tcPr>
          <w:p>
            <w:pPr>
              <w:ind w:left="80"/>
              <w:spacing w:after="0"/>
              <w:rPr>
                <w:sz w:val="20"/>
                <w:szCs w:val="20"/>
                <w:color w:val="auto"/>
              </w:rPr>
            </w:pPr>
            <w:r>
              <w:rPr>
                <w:rFonts w:ascii="Arial" w:cs="Arial" w:eastAsia="Arial" w:hAnsi="Arial"/>
                <w:sz w:val="17"/>
                <w:szCs w:val="17"/>
                <w:color w:val="auto"/>
              </w:rPr>
              <w:t>August 13,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0000EE"/>
              <w:bottom w:val="single" w:sz="8" w:color="0000EE"/>
            </w:tcBorders>
          </w:tcPr>
          <w:p>
            <w:pPr>
              <w:spacing w:after="0" w:line="176" w:lineRule="exact"/>
              <w:rPr>
                <w:rFonts w:ascii="Arial" w:cs="Arial" w:eastAsia="Arial" w:hAnsi="Arial"/>
                <w:sz w:val="17"/>
                <w:szCs w:val="17"/>
                <w:color w:val="0000EE"/>
                <w:w w:val="94"/>
              </w:rPr>
            </w:pPr>
            <w:hyperlink r:id="rId139">
              <w:r>
                <w:rPr>
                  <w:rFonts w:ascii="Arial" w:cs="Arial" w:eastAsia="Arial" w:hAnsi="Arial"/>
                  <w:sz w:val="17"/>
                  <w:szCs w:val="17"/>
                  <w:color w:val="0000EE"/>
                  <w:w w:val="94"/>
                </w:rPr>
                <w:t>Inc.</w:t>
              </w:r>
            </w:hyperlink>
          </w:p>
        </w:tc>
        <w:tc>
          <w:tcPr>
            <w:tcW w:w="3020" w:type="dxa"/>
            <w:vAlign w:val="bottom"/>
            <w:tcBorders>
              <w:top w:val="single" w:sz="8" w:color="0000EE"/>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7"/>
        </w:trPr>
        <w:tc>
          <w:tcPr>
            <w:tcW w:w="940" w:type="dxa"/>
            <w:vAlign w:val="bottom"/>
          </w:tcPr>
          <w:p>
            <w:pPr>
              <w:ind w:left="6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4"/>
                <w:szCs w:val="24"/>
                <w:color w:val="auto"/>
              </w:rPr>
            </w:pPr>
          </w:p>
        </w:tc>
        <w:tc>
          <w:tcPr>
            <w:tcW w:w="3540" w:type="dxa"/>
            <w:vAlign w:val="bottom"/>
            <w:gridSpan w:val="23"/>
          </w:tcPr>
          <w:p>
            <w:pPr>
              <w:spacing w:after="0"/>
              <w:rPr>
                <w:rFonts w:ascii="Arial" w:cs="Arial" w:eastAsia="Arial" w:hAnsi="Arial"/>
                <w:sz w:val="17"/>
                <w:szCs w:val="17"/>
                <w:color w:val="0000EE"/>
              </w:rPr>
            </w:pPr>
            <w:hyperlink r:id="rId140">
              <w:r>
                <w:rPr>
                  <w:rFonts w:ascii="Arial" w:cs="Arial" w:eastAsia="Arial" w:hAnsi="Arial"/>
                  <w:sz w:val="17"/>
                  <w:szCs w:val="17"/>
                  <w:color w:val="0000EE"/>
                </w:rPr>
                <w:t>Specimen Stock Certificate evidencing the</w:t>
              </w:r>
            </w:hyperlink>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S-1/A</w:t>
            </w:r>
          </w:p>
        </w:tc>
        <w:tc>
          <w:tcPr>
            <w:tcW w:w="1500" w:type="dxa"/>
            <w:vAlign w:val="bottom"/>
          </w:tcPr>
          <w:p>
            <w:pPr>
              <w:jc w:val="center"/>
              <w:spacing w:after="0"/>
              <w:rPr>
                <w:sz w:val="20"/>
                <w:szCs w:val="20"/>
                <w:color w:val="auto"/>
              </w:rPr>
            </w:pPr>
            <w:r>
              <w:rPr>
                <w:rFonts w:ascii="Arial" w:cs="Arial" w:eastAsia="Arial" w:hAnsi="Arial"/>
                <w:sz w:val="17"/>
                <w:szCs w:val="17"/>
                <w:color w:val="auto"/>
              </w:rPr>
              <w:t>333-238482</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rPr>
              <w:t>4.1</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June 1,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40" w:type="dxa"/>
            <w:vAlign w:val="bottom"/>
            <w:tcBorders>
              <w:top w:val="single" w:sz="8" w:color="0000EE"/>
            </w:tcBorders>
            <w:gridSpan w:val="19"/>
          </w:tcPr>
          <w:p>
            <w:pPr>
              <w:spacing w:after="0" w:line="176" w:lineRule="exact"/>
              <w:rPr>
                <w:rFonts w:ascii="Arial" w:cs="Arial" w:eastAsia="Arial" w:hAnsi="Arial"/>
                <w:sz w:val="17"/>
                <w:szCs w:val="17"/>
                <w:color w:val="0000EE"/>
              </w:rPr>
            </w:pPr>
            <w:hyperlink r:id="rId140">
              <w:r>
                <w:rPr>
                  <w:rFonts w:ascii="Arial" w:cs="Arial" w:eastAsia="Arial" w:hAnsi="Arial"/>
                  <w:sz w:val="17"/>
                  <w:szCs w:val="17"/>
                  <w:color w:val="0000EE"/>
                </w:rPr>
                <w:t>shares of common stock</w:t>
              </w:r>
            </w:hyperlink>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940" w:type="dxa"/>
            <w:vAlign w:val="bottom"/>
          </w:tcPr>
          <w:p>
            <w:pPr>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24"/>
                <w:szCs w:val="24"/>
                <w:color w:val="auto"/>
              </w:rPr>
            </w:pPr>
          </w:p>
        </w:tc>
        <w:tc>
          <w:tcPr>
            <w:tcW w:w="3540" w:type="dxa"/>
            <w:vAlign w:val="bottom"/>
            <w:gridSpan w:val="23"/>
          </w:tcPr>
          <w:p>
            <w:pPr>
              <w:spacing w:after="0"/>
              <w:rPr>
                <w:rFonts w:ascii="Arial" w:cs="Arial" w:eastAsia="Arial" w:hAnsi="Arial"/>
                <w:sz w:val="17"/>
                <w:szCs w:val="17"/>
                <w:color w:val="0000EE"/>
              </w:rPr>
            </w:pPr>
            <w:hyperlink r:id="rId141">
              <w:r>
                <w:rPr>
                  <w:rFonts w:ascii="Arial" w:cs="Arial" w:eastAsia="Arial" w:hAnsi="Arial"/>
                  <w:sz w:val="17"/>
                  <w:szCs w:val="17"/>
                  <w:color w:val="0000EE"/>
                </w:rPr>
                <w:t>Eighth Amended and Restated Investors’</w:t>
              </w:r>
            </w:hyperlink>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S-1/A</w:t>
            </w:r>
          </w:p>
        </w:tc>
        <w:tc>
          <w:tcPr>
            <w:tcW w:w="1500" w:type="dxa"/>
            <w:vAlign w:val="bottom"/>
          </w:tcPr>
          <w:p>
            <w:pPr>
              <w:jc w:val="center"/>
              <w:spacing w:after="0"/>
              <w:rPr>
                <w:sz w:val="20"/>
                <w:szCs w:val="20"/>
                <w:color w:val="auto"/>
              </w:rPr>
            </w:pPr>
            <w:r>
              <w:rPr>
                <w:rFonts w:ascii="Arial" w:cs="Arial" w:eastAsia="Arial" w:hAnsi="Arial"/>
                <w:sz w:val="17"/>
                <w:szCs w:val="17"/>
                <w:color w:val="auto"/>
              </w:rPr>
              <w:t>333-238482</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rPr>
              <w:t>4.2</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May 18,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tcBorders>
              <w:top w:val="single" w:sz="8" w:color="0000EE"/>
              <w:bottom w:val="single" w:sz="8" w:color="0000EE"/>
            </w:tcBorders>
            <w:gridSpan w:val="11"/>
          </w:tcPr>
          <w:p>
            <w:pPr>
              <w:spacing w:after="0" w:line="176" w:lineRule="exact"/>
              <w:rPr>
                <w:rFonts w:ascii="Arial" w:cs="Arial" w:eastAsia="Arial" w:hAnsi="Arial"/>
                <w:sz w:val="17"/>
                <w:szCs w:val="17"/>
                <w:color w:val="0000EE"/>
              </w:rPr>
            </w:pPr>
            <w:hyperlink r:id="rId141">
              <w:r>
                <w:rPr>
                  <w:rFonts w:ascii="Arial" w:cs="Arial" w:eastAsia="Arial" w:hAnsi="Arial"/>
                  <w:sz w:val="17"/>
                  <w:szCs w:val="17"/>
                  <w:color w:val="0000EE"/>
                </w:rPr>
                <w:t>Rights Agreement, dated as of November</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16"/>
          </w:tcPr>
          <w:p>
            <w:pPr>
              <w:spacing w:after="0" w:line="176" w:lineRule="exact"/>
              <w:rPr>
                <w:rFonts w:ascii="Arial" w:cs="Arial" w:eastAsia="Arial" w:hAnsi="Arial"/>
                <w:sz w:val="17"/>
                <w:szCs w:val="17"/>
                <w:color w:val="0000EE"/>
              </w:rPr>
            </w:pPr>
            <w:hyperlink r:id="rId141">
              <w:r>
                <w:rPr>
                  <w:rFonts w:ascii="Arial" w:cs="Arial" w:eastAsia="Arial" w:hAnsi="Arial"/>
                  <w:sz w:val="17"/>
                  <w:szCs w:val="17"/>
                  <w:color w:val="0000EE"/>
                </w:rPr>
                <w:t>21, 2019, by and among Vroom, Inc. and</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tcBorders>
              <w:top w:val="single" w:sz="8" w:color="0000EE"/>
            </w:tcBorders>
            <w:gridSpan w:val="10"/>
          </w:tcPr>
          <w:p>
            <w:pPr>
              <w:spacing w:after="0"/>
              <w:rPr>
                <w:rFonts w:ascii="Arial" w:cs="Arial" w:eastAsia="Arial" w:hAnsi="Arial"/>
                <w:sz w:val="17"/>
                <w:szCs w:val="17"/>
                <w:u w:val="single" w:color="auto"/>
                <w:color w:val="0000EE"/>
              </w:rPr>
            </w:pPr>
            <w:hyperlink r:id="rId141">
              <w:r>
                <w:rPr>
                  <w:rFonts w:ascii="Arial" w:cs="Arial" w:eastAsia="Arial" w:hAnsi="Arial"/>
                  <w:sz w:val="17"/>
                  <w:szCs w:val="17"/>
                  <w:u w:val="single" w:color="auto"/>
                  <w:color w:val="0000EE"/>
                </w:rPr>
                <w:t>certain holders of its capital stock</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3"/>
        </w:trPr>
        <w:tc>
          <w:tcPr>
            <w:tcW w:w="940" w:type="dxa"/>
            <w:vAlign w:val="bottom"/>
          </w:tcPr>
          <w:p>
            <w:pPr>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24"/>
                <w:szCs w:val="24"/>
                <w:color w:val="auto"/>
              </w:rPr>
            </w:pPr>
          </w:p>
        </w:tc>
        <w:tc>
          <w:tcPr>
            <w:tcW w:w="3540" w:type="dxa"/>
            <w:vAlign w:val="bottom"/>
            <w:gridSpan w:val="23"/>
          </w:tcPr>
          <w:p>
            <w:pPr>
              <w:spacing w:after="0"/>
              <w:rPr>
                <w:rFonts w:ascii="Arial" w:cs="Arial" w:eastAsia="Arial" w:hAnsi="Arial"/>
                <w:sz w:val="17"/>
                <w:szCs w:val="17"/>
                <w:u w:val="single" w:color="auto"/>
                <w:color w:val="0000EE"/>
              </w:rPr>
            </w:pPr>
            <w:hyperlink w:anchor="page118">
              <w:r>
                <w:rPr>
                  <w:rFonts w:ascii="Arial" w:cs="Arial" w:eastAsia="Arial" w:hAnsi="Arial"/>
                  <w:sz w:val="17"/>
                  <w:szCs w:val="17"/>
                  <w:u w:val="single" w:color="auto"/>
                  <w:color w:val="0000EE"/>
                </w:rPr>
                <w:t>Description of the Registrant’s Securities</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rPr>
              <w:t>X</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0"/>
        </w:trPr>
        <w:tc>
          <w:tcPr>
            <w:tcW w:w="940" w:type="dxa"/>
            <w:vAlign w:val="bottom"/>
          </w:tcPr>
          <w:p>
            <w:pPr>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4"/>
                <w:szCs w:val="24"/>
                <w:color w:val="auto"/>
              </w:rPr>
            </w:pPr>
          </w:p>
        </w:tc>
        <w:tc>
          <w:tcPr>
            <w:tcW w:w="3540" w:type="dxa"/>
            <w:vAlign w:val="bottom"/>
            <w:gridSpan w:val="23"/>
          </w:tcPr>
          <w:p>
            <w:pPr>
              <w:spacing w:after="0"/>
              <w:rPr>
                <w:rFonts w:ascii="Arial" w:cs="Arial" w:eastAsia="Arial" w:hAnsi="Arial"/>
                <w:sz w:val="17"/>
                <w:szCs w:val="17"/>
                <w:color w:val="0000EE"/>
              </w:rPr>
            </w:pPr>
            <w:hyperlink r:id="rId142">
              <w:r>
                <w:rPr>
                  <w:rFonts w:ascii="Arial" w:cs="Arial" w:eastAsia="Arial" w:hAnsi="Arial"/>
                  <w:sz w:val="17"/>
                  <w:szCs w:val="17"/>
                  <w:color w:val="0000EE"/>
                </w:rPr>
                <w:t>Second Amended &amp; Restated 2014 Equity</w:t>
              </w:r>
            </w:hyperlink>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S-1/A</w:t>
            </w:r>
          </w:p>
        </w:tc>
        <w:tc>
          <w:tcPr>
            <w:tcW w:w="1500" w:type="dxa"/>
            <w:vAlign w:val="bottom"/>
          </w:tcPr>
          <w:p>
            <w:pPr>
              <w:jc w:val="center"/>
              <w:spacing w:after="0"/>
              <w:rPr>
                <w:sz w:val="20"/>
                <w:szCs w:val="20"/>
                <w:color w:val="auto"/>
              </w:rPr>
            </w:pPr>
            <w:r>
              <w:rPr>
                <w:rFonts w:ascii="Arial" w:cs="Arial" w:eastAsia="Arial" w:hAnsi="Arial"/>
                <w:sz w:val="17"/>
                <w:szCs w:val="17"/>
                <w:color w:val="auto"/>
              </w:rPr>
              <w:t>333-238482</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10.1</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May 18,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top w:val="single" w:sz="8" w:color="0000EE"/>
              <w:bottom w:val="single" w:sz="8" w:color="0000EE"/>
            </w:tcBorders>
            <w:gridSpan w:val="5"/>
          </w:tcPr>
          <w:p>
            <w:pPr>
              <w:spacing w:after="0" w:line="176" w:lineRule="exact"/>
              <w:rPr>
                <w:rFonts w:ascii="Arial" w:cs="Arial" w:eastAsia="Arial" w:hAnsi="Arial"/>
                <w:sz w:val="17"/>
                <w:szCs w:val="17"/>
                <w:color w:val="0000EE"/>
              </w:rPr>
            </w:pPr>
            <w:hyperlink r:id="rId142">
              <w:r>
                <w:rPr>
                  <w:rFonts w:ascii="Arial" w:cs="Arial" w:eastAsia="Arial" w:hAnsi="Arial"/>
                  <w:sz w:val="17"/>
                  <w:szCs w:val="17"/>
                  <w:color w:val="0000EE"/>
                </w:rPr>
                <w:t>Incentive Plan, as amended</w:t>
              </w:r>
            </w:hyperlink>
          </w:p>
        </w:tc>
        <w:tc>
          <w:tcPr>
            <w:tcW w:w="1200" w:type="dxa"/>
            <w:vAlign w:val="bottom"/>
            <w:tcBorders>
              <w:top w:val="single" w:sz="8" w:color="0000EE"/>
            </w:tcBorders>
            <w:gridSpan w:val="15"/>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73"/>
        </w:trPr>
        <w:tc>
          <w:tcPr>
            <w:tcW w:w="940" w:type="dxa"/>
            <w:vAlign w:val="bottom"/>
          </w:tcPr>
          <w:p>
            <w:pPr>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4"/>
                <w:szCs w:val="24"/>
                <w:color w:val="auto"/>
              </w:rPr>
            </w:pPr>
          </w:p>
        </w:tc>
        <w:tc>
          <w:tcPr>
            <w:tcW w:w="3540" w:type="dxa"/>
            <w:vAlign w:val="bottom"/>
            <w:gridSpan w:val="23"/>
          </w:tcPr>
          <w:p>
            <w:pPr>
              <w:spacing w:after="0"/>
              <w:rPr>
                <w:rFonts w:ascii="Arial" w:cs="Arial" w:eastAsia="Arial" w:hAnsi="Arial"/>
                <w:sz w:val="17"/>
                <w:szCs w:val="17"/>
                <w:color w:val="0000EE"/>
              </w:rPr>
            </w:pPr>
            <w:hyperlink r:id="rId143">
              <w:r>
                <w:rPr>
                  <w:rFonts w:ascii="Arial" w:cs="Arial" w:eastAsia="Arial" w:hAnsi="Arial"/>
                  <w:sz w:val="17"/>
                  <w:szCs w:val="17"/>
                  <w:color w:val="0000EE"/>
                </w:rPr>
                <w:t>First Amendment to the Second Amended</w:t>
              </w:r>
            </w:hyperlink>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rPr>
              <w:t>10-Q</w:t>
            </w:r>
          </w:p>
        </w:tc>
        <w:tc>
          <w:tcPr>
            <w:tcW w:w="1500" w:type="dxa"/>
            <w:vAlign w:val="bottom"/>
          </w:tcPr>
          <w:p>
            <w:pPr>
              <w:jc w:val="center"/>
              <w:spacing w:after="0"/>
              <w:rPr>
                <w:sz w:val="20"/>
                <w:szCs w:val="20"/>
                <w:color w:val="auto"/>
              </w:rPr>
            </w:pPr>
            <w:r>
              <w:rPr>
                <w:rFonts w:ascii="Arial" w:cs="Arial" w:eastAsia="Arial" w:hAnsi="Arial"/>
                <w:sz w:val="17"/>
                <w:szCs w:val="17"/>
                <w:color w:val="auto"/>
              </w:rPr>
              <w:t>001-39315</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10.3</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August 13,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tcBorders>
              <w:top w:val="single" w:sz="8" w:color="0000EE"/>
            </w:tcBorders>
            <w:gridSpan w:val="18"/>
          </w:tcPr>
          <w:p>
            <w:pPr>
              <w:spacing w:after="0" w:line="176" w:lineRule="exact"/>
              <w:rPr>
                <w:rFonts w:ascii="Arial" w:cs="Arial" w:eastAsia="Arial" w:hAnsi="Arial"/>
                <w:sz w:val="17"/>
                <w:szCs w:val="17"/>
                <w:color w:val="0000EE"/>
              </w:rPr>
            </w:pPr>
            <w:hyperlink r:id="rId143">
              <w:r>
                <w:rPr>
                  <w:rFonts w:ascii="Arial" w:cs="Arial" w:eastAsia="Arial" w:hAnsi="Arial"/>
                  <w:sz w:val="17"/>
                  <w:szCs w:val="17"/>
                  <w:color w:val="0000EE"/>
                </w:rPr>
                <w:t>and Restated Vroom, Inc. 2014 Equity</w:t>
              </w:r>
            </w:hyperlink>
          </w:p>
        </w:tc>
        <w:tc>
          <w:tcPr>
            <w:tcW w:w="14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top w:val="single" w:sz="8" w:color="0000EE"/>
              <w:bottom w:val="single" w:sz="8" w:color="0000EE"/>
            </w:tcBorders>
            <w:gridSpan w:val="2"/>
          </w:tcPr>
          <w:p>
            <w:pPr>
              <w:spacing w:after="0" w:line="176" w:lineRule="exact"/>
              <w:rPr>
                <w:rFonts w:ascii="Arial" w:cs="Arial" w:eastAsia="Arial" w:hAnsi="Arial"/>
                <w:sz w:val="17"/>
                <w:szCs w:val="17"/>
                <w:color w:val="0000EE"/>
              </w:rPr>
            </w:pPr>
            <w:hyperlink r:id="rId143">
              <w:r>
                <w:rPr>
                  <w:rFonts w:ascii="Arial" w:cs="Arial" w:eastAsia="Arial" w:hAnsi="Arial"/>
                  <w:sz w:val="17"/>
                  <w:szCs w:val="17"/>
                  <w:color w:val="0000EE"/>
                </w:rPr>
                <w:t>Incentive Award Plan</w:t>
              </w:r>
            </w:hyperlink>
          </w:p>
        </w:tc>
        <w:tc>
          <w:tcPr>
            <w:tcW w:w="1320" w:type="dxa"/>
            <w:vAlign w:val="bottom"/>
            <w:tcBorders>
              <w:top w:val="single" w:sz="8" w:color="0000EE"/>
            </w:tcBorders>
            <w:gridSpan w:val="7"/>
          </w:tcPr>
          <w:p>
            <w:pPr>
              <w:spacing w:after="0"/>
              <w:rPr>
                <w:sz w:val="15"/>
                <w:szCs w:val="15"/>
                <w:color w:val="auto"/>
              </w:rPr>
            </w:pPr>
          </w:p>
        </w:tc>
        <w:tc>
          <w:tcPr>
            <w:tcW w:w="2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6"/>
          </w:tcPr>
          <w:p>
            <w:pPr>
              <w:spacing w:after="0"/>
              <w:rPr>
                <w:sz w:val="15"/>
                <w:szCs w:val="15"/>
                <w:color w:val="auto"/>
              </w:rPr>
            </w:pPr>
          </w:p>
        </w:tc>
        <w:tc>
          <w:tcPr>
            <w:tcW w:w="8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7"/>
        </w:trPr>
        <w:tc>
          <w:tcPr>
            <w:tcW w:w="940" w:type="dxa"/>
            <w:vAlign w:val="bottom"/>
          </w:tcPr>
          <w:p>
            <w:pPr>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24"/>
                <w:szCs w:val="24"/>
                <w:color w:val="auto"/>
              </w:rPr>
            </w:pPr>
          </w:p>
        </w:tc>
        <w:tc>
          <w:tcPr>
            <w:tcW w:w="3540" w:type="dxa"/>
            <w:vAlign w:val="bottom"/>
            <w:gridSpan w:val="23"/>
          </w:tcPr>
          <w:p>
            <w:pPr>
              <w:spacing w:after="0"/>
              <w:rPr>
                <w:rFonts w:ascii="Arial" w:cs="Arial" w:eastAsia="Arial" w:hAnsi="Arial"/>
                <w:sz w:val="17"/>
                <w:szCs w:val="17"/>
                <w:color w:val="0000EE"/>
              </w:rPr>
            </w:pPr>
            <w:hyperlink r:id="rId144">
              <w:r>
                <w:rPr>
                  <w:rFonts w:ascii="Arial" w:cs="Arial" w:eastAsia="Arial" w:hAnsi="Arial"/>
                  <w:sz w:val="17"/>
                  <w:szCs w:val="17"/>
                  <w:color w:val="0000EE"/>
                </w:rPr>
                <w:t>Second Amendment to the Second</w:t>
              </w:r>
            </w:hyperlink>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rPr>
              <w:t>10-Q</w:t>
            </w:r>
          </w:p>
        </w:tc>
        <w:tc>
          <w:tcPr>
            <w:tcW w:w="1500" w:type="dxa"/>
            <w:vAlign w:val="bottom"/>
          </w:tcPr>
          <w:p>
            <w:pPr>
              <w:jc w:val="center"/>
              <w:spacing w:after="0"/>
              <w:rPr>
                <w:sz w:val="20"/>
                <w:szCs w:val="20"/>
                <w:color w:val="auto"/>
              </w:rPr>
            </w:pPr>
            <w:r>
              <w:rPr>
                <w:rFonts w:ascii="Arial" w:cs="Arial" w:eastAsia="Arial" w:hAnsi="Arial"/>
                <w:sz w:val="17"/>
                <w:szCs w:val="17"/>
                <w:color w:val="auto"/>
              </w:rPr>
              <w:t>001-39315</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10.4</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August 13,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Borders>
              <w:top w:val="single" w:sz="8" w:color="0000EE"/>
            </w:tcBorders>
            <w:gridSpan w:val="6"/>
          </w:tcPr>
          <w:p>
            <w:pPr>
              <w:spacing w:after="0" w:line="176" w:lineRule="exact"/>
              <w:rPr>
                <w:rFonts w:ascii="Arial" w:cs="Arial" w:eastAsia="Arial" w:hAnsi="Arial"/>
                <w:sz w:val="17"/>
                <w:szCs w:val="17"/>
                <w:color w:val="0000EE"/>
                <w:w w:val="99"/>
              </w:rPr>
            </w:pPr>
            <w:hyperlink r:id="rId144">
              <w:r>
                <w:rPr>
                  <w:rFonts w:ascii="Arial" w:cs="Arial" w:eastAsia="Arial" w:hAnsi="Arial"/>
                  <w:sz w:val="17"/>
                  <w:szCs w:val="17"/>
                  <w:color w:val="0000EE"/>
                  <w:w w:val="99"/>
                </w:rPr>
                <w:t>Amended and Restated Vroom, Inc.</w:t>
              </w:r>
            </w:hyperlink>
          </w:p>
        </w:tc>
        <w:tc>
          <w:tcPr>
            <w:tcW w:w="760" w:type="dxa"/>
            <w:vAlign w:val="bottom"/>
            <w:gridSpan w:val="15"/>
          </w:tcPr>
          <w:p>
            <w:pPr>
              <w:jc w:val="right"/>
              <w:ind w:right="260"/>
              <w:spacing w:after="0" w:line="176" w:lineRule="exact"/>
              <w:rPr>
                <w:rFonts w:ascii="Arial" w:cs="Arial" w:eastAsia="Arial" w:hAnsi="Arial"/>
                <w:sz w:val="17"/>
                <w:szCs w:val="17"/>
                <w:color w:val="0000EE"/>
              </w:rPr>
            </w:pPr>
            <w:hyperlink r:id="rId144">
              <w:r>
                <w:rPr>
                  <w:rFonts w:ascii="Arial" w:cs="Arial" w:eastAsia="Arial" w:hAnsi="Arial"/>
                  <w:sz w:val="17"/>
                  <w:szCs w:val="17"/>
                  <w:color w:val="0000EE"/>
                </w:rPr>
                <w:t>2014</w:t>
              </w:r>
            </w:hyperlink>
          </w:p>
        </w:tc>
        <w:tc>
          <w:tcPr>
            <w:tcW w:w="8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60" w:type="dxa"/>
            <w:vAlign w:val="bottom"/>
            <w:tcBorders>
              <w:top w:val="single" w:sz="8" w:color="0000EE"/>
            </w:tcBorders>
            <w:gridSpan w:val="15"/>
          </w:tcPr>
          <w:p>
            <w:pPr>
              <w:spacing w:after="0" w:line="176" w:lineRule="exact"/>
              <w:rPr>
                <w:rFonts w:ascii="Arial" w:cs="Arial" w:eastAsia="Arial" w:hAnsi="Arial"/>
                <w:sz w:val="17"/>
                <w:szCs w:val="17"/>
                <w:color w:val="0000EE"/>
              </w:rPr>
            </w:pPr>
            <w:hyperlink r:id="rId144">
              <w:r>
                <w:rPr>
                  <w:rFonts w:ascii="Arial" w:cs="Arial" w:eastAsia="Arial" w:hAnsi="Arial"/>
                  <w:sz w:val="17"/>
                  <w:szCs w:val="17"/>
                  <w:color w:val="0000EE"/>
                </w:rPr>
                <w:t>Equity Incentive Award Plan</w:t>
              </w:r>
            </w:hyperlink>
          </w:p>
        </w:tc>
        <w:tc>
          <w:tcPr>
            <w:tcW w:w="200" w:type="dxa"/>
            <w:vAlign w:val="bottom"/>
            <w:gridSpan w:val="6"/>
          </w:tcPr>
          <w:p>
            <w:pPr>
              <w:spacing w:after="0"/>
              <w:rPr>
                <w:sz w:val="15"/>
                <w:szCs w:val="15"/>
                <w:color w:val="auto"/>
              </w:rPr>
            </w:pPr>
          </w:p>
        </w:tc>
        <w:tc>
          <w:tcPr>
            <w:tcW w:w="8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7"/>
        </w:trPr>
        <w:tc>
          <w:tcPr>
            <w:tcW w:w="940" w:type="dxa"/>
            <w:vAlign w:val="bottom"/>
          </w:tcPr>
          <w:p>
            <w:pPr>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24"/>
                <w:szCs w:val="24"/>
                <w:color w:val="auto"/>
              </w:rPr>
            </w:pPr>
          </w:p>
        </w:tc>
        <w:tc>
          <w:tcPr>
            <w:tcW w:w="3540" w:type="dxa"/>
            <w:vAlign w:val="bottom"/>
            <w:gridSpan w:val="23"/>
          </w:tcPr>
          <w:p>
            <w:pPr>
              <w:spacing w:after="0"/>
              <w:rPr>
                <w:rFonts w:ascii="Arial" w:cs="Arial" w:eastAsia="Arial" w:hAnsi="Arial"/>
                <w:sz w:val="17"/>
                <w:szCs w:val="17"/>
                <w:color w:val="0000EE"/>
              </w:rPr>
            </w:pPr>
            <w:hyperlink w:anchor="page123">
              <w:r>
                <w:rPr>
                  <w:rFonts w:ascii="Arial" w:cs="Arial" w:eastAsia="Arial" w:hAnsi="Arial"/>
                  <w:sz w:val="17"/>
                  <w:szCs w:val="17"/>
                  <w:color w:val="0000EE"/>
                </w:rPr>
                <w:t>Form of Stock Option Agreement pursuant to</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rPr>
              <w:t>X</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Borders>
              <w:top w:val="single" w:sz="8" w:color="0000EE"/>
            </w:tcBorders>
            <w:gridSpan w:val="21"/>
          </w:tcPr>
          <w:p>
            <w:pPr>
              <w:spacing w:after="0" w:line="176" w:lineRule="exact"/>
              <w:rPr>
                <w:rFonts w:ascii="Arial" w:cs="Arial" w:eastAsia="Arial" w:hAnsi="Arial"/>
                <w:sz w:val="17"/>
                <w:szCs w:val="17"/>
                <w:color w:val="0000EE"/>
              </w:rPr>
            </w:pPr>
            <w:hyperlink w:anchor="page123">
              <w:r>
                <w:rPr>
                  <w:rFonts w:ascii="Arial" w:cs="Arial" w:eastAsia="Arial" w:hAnsi="Arial"/>
                  <w:sz w:val="17"/>
                  <w:szCs w:val="17"/>
                  <w:color w:val="0000EE"/>
                </w:rPr>
                <w:t>the Second Amended and Restated 2014</w:t>
              </w:r>
            </w:hyperlink>
          </w:p>
        </w:tc>
        <w:tc>
          <w:tcPr>
            <w:tcW w:w="8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tcBorders>
              <w:top w:val="single" w:sz="8" w:color="0000EE"/>
            </w:tcBorders>
            <w:gridSpan w:val="14"/>
          </w:tcPr>
          <w:p>
            <w:pPr>
              <w:spacing w:after="0" w:line="176" w:lineRule="exact"/>
              <w:rPr>
                <w:rFonts w:ascii="Arial" w:cs="Arial" w:eastAsia="Arial" w:hAnsi="Arial"/>
                <w:sz w:val="17"/>
                <w:szCs w:val="17"/>
                <w:color w:val="0000EE"/>
              </w:rPr>
            </w:pPr>
            <w:hyperlink w:anchor="page123">
              <w:r>
                <w:rPr>
                  <w:rFonts w:ascii="Arial" w:cs="Arial" w:eastAsia="Arial" w:hAnsi="Arial"/>
                  <w:sz w:val="17"/>
                  <w:szCs w:val="17"/>
                  <w:color w:val="0000EE"/>
                </w:rPr>
                <w:t>Equity Incentive Award Plan</w:t>
              </w:r>
            </w:hyperlink>
          </w:p>
        </w:tc>
        <w:tc>
          <w:tcPr>
            <w:tcW w:w="300" w:type="dxa"/>
            <w:vAlign w:val="bottom"/>
            <w:gridSpan w:val="9"/>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7"/>
        </w:trPr>
        <w:tc>
          <w:tcPr>
            <w:tcW w:w="940" w:type="dxa"/>
            <w:vAlign w:val="bottom"/>
          </w:tcPr>
          <w:p>
            <w:pPr>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24"/>
                <w:szCs w:val="24"/>
                <w:color w:val="auto"/>
              </w:rPr>
            </w:pPr>
          </w:p>
        </w:tc>
        <w:tc>
          <w:tcPr>
            <w:tcW w:w="3540" w:type="dxa"/>
            <w:vAlign w:val="bottom"/>
            <w:gridSpan w:val="23"/>
          </w:tcPr>
          <w:p>
            <w:pPr>
              <w:spacing w:after="0"/>
              <w:rPr>
                <w:rFonts w:ascii="Arial" w:cs="Arial" w:eastAsia="Arial" w:hAnsi="Arial"/>
                <w:sz w:val="17"/>
                <w:szCs w:val="17"/>
                <w:color w:val="0000EE"/>
              </w:rPr>
            </w:pPr>
            <w:hyperlink w:anchor="page135">
              <w:r>
                <w:rPr>
                  <w:rFonts w:ascii="Arial" w:cs="Arial" w:eastAsia="Arial" w:hAnsi="Arial"/>
                  <w:sz w:val="17"/>
                  <w:szCs w:val="17"/>
                  <w:color w:val="0000EE"/>
                </w:rPr>
                <w:t>Form of Restricted Stock Unit Agreement</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rPr>
              <w:t>X</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0" w:type="dxa"/>
            <w:vAlign w:val="bottom"/>
            <w:tcBorders>
              <w:top w:val="single" w:sz="8" w:color="0000EE"/>
            </w:tcBorders>
            <w:gridSpan w:val="12"/>
          </w:tcPr>
          <w:p>
            <w:pPr>
              <w:spacing w:after="0" w:line="176" w:lineRule="exact"/>
              <w:rPr>
                <w:rFonts w:ascii="Arial" w:cs="Arial" w:eastAsia="Arial" w:hAnsi="Arial"/>
                <w:sz w:val="17"/>
                <w:szCs w:val="17"/>
                <w:color w:val="0000EE"/>
              </w:rPr>
            </w:pPr>
            <w:hyperlink w:anchor="page135">
              <w:r>
                <w:rPr>
                  <w:rFonts w:ascii="Arial" w:cs="Arial" w:eastAsia="Arial" w:hAnsi="Arial"/>
                  <w:sz w:val="17"/>
                  <w:szCs w:val="17"/>
                  <w:color w:val="0000EE"/>
                </w:rPr>
                <w:t>pursuant to the Second Amended and</w:t>
              </w:r>
            </w:hyperlink>
          </w:p>
        </w:tc>
        <w:tc>
          <w:tcPr>
            <w:tcW w:w="20" w:type="dxa"/>
            <w:vAlign w:val="bottom"/>
          </w:tcPr>
          <w:p>
            <w:pPr>
              <w:spacing w:after="0"/>
              <w:rPr>
                <w:sz w:val="15"/>
                <w:szCs w:val="15"/>
                <w:color w:val="auto"/>
              </w:rPr>
            </w:pPr>
          </w:p>
        </w:tc>
        <w:tc>
          <w:tcPr>
            <w:tcW w:w="320" w:type="dxa"/>
            <w:vAlign w:val="bottom"/>
            <w:gridSpan w:val="10"/>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Borders>
              <w:top w:val="single" w:sz="8" w:color="0000EE"/>
            </w:tcBorders>
            <w:gridSpan w:val="8"/>
          </w:tcPr>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Restated 2014 Equity Incentive Award</w:t>
              </w:r>
            </w:hyperlink>
          </w:p>
        </w:tc>
        <w:tc>
          <w:tcPr>
            <w:tcW w:w="600" w:type="dxa"/>
            <w:vAlign w:val="bottom"/>
            <w:gridSpan w:val="15"/>
          </w:tcPr>
          <w:p>
            <w:pPr>
              <w:ind w:left="60"/>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Plan</w:t>
              </w:r>
            </w:hyperlink>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7"/>
        </w:trPr>
        <w:tc>
          <w:tcPr>
            <w:tcW w:w="940" w:type="dxa"/>
            <w:vAlign w:val="bottom"/>
          </w:tcPr>
          <w:p>
            <w:pPr>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24"/>
                <w:szCs w:val="24"/>
                <w:color w:val="auto"/>
              </w:rPr>
            </w:pPr>
          </w:p>
        </w:tc>
        <w:tc>
          <w:tcPr>
            <w:tcW w:w="3540" w:type="dxa"/>
            <w:vAlign w:val="bottom"/>
            <w:gridSpan w:val="23"/>
          </w:tcPr>
          <w:p>
            <w:pPr>
              <w:spacing w:after="0"/>
              <w:rPr>
                <w:rFonts w:ascii="Arial" w:cs="Arial" w:eastAsia="Arial" w:hAnsi="Arial"/>
                <w:sz w:val="17"/>
                <w:szCs w:val="17"/>
                <w:u w:val="single" w:color="auto"/>
                <w:color w:val="0000EE"/>
              </w:rPr>
            </w:pPr>
            <w:hyperlink r:id="rId145">
              <w:r>
                <w:rPr>
                  <w:rFonts w:ascii="Arial" w:cs="Arial" w:eastAsia="Arial" w:hAnsi="Arial"/>
                  <w:sz w:val="17"/>
                  <w:szCs w:val="17"/>
                  <w:u w:val="single" w:color="auto"/>
                  <w:color w:val="0000EE"/>
                </w:rPr>
                <w:t>2019 Short Term Incentive Plan</w:t>
              </w:r>
            </w:hyperlink>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S-1/A</w:t>
            </w:r>
          </w:p>
        </w:tc>
        <w:tc>
          <w:tcPr>
            <w:tcW w:w="1500" w:type="dxa"/>
            <w:vAlign w:val="bottom"/>
          </w:tcPr>
          <w:p>
            <w:pPr>
              <w:jc w:val="center"/>
              <w:spacing w:after="0"/>
              <w:rPr>
                <w:sz w:val="20"/>
                <w:szCs w:val="20"/>
                <w:color w:val="auto"/>
              </w:rPr>
            </w:pPr>
            <w:r>
              <w:rPr>
                <w:rFonts w:ascii="Arial" w:cs="Arial" w:eastAsia="Arial" w:hAnsi="Arial"/>
                <w:sz w:val="17"/>
                <w:szCs w:val="17"/>
                <w:color w:val="auto"/>
              </w:rPr>
              <w:t>333-238482</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10.2</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May 18,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940" w:type="dxa"/>
            <w:vAlign w:val="bottom"/>
          </w:tcPr>
          <w:p>
            <w:pPr>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24"/>
                <w:szCs w:val="24"/>
                <w:color w:val="auto"/>
              </w:rPr>
            </w:pPr>
          </w:p>
        </w:tc>
        <w:tc>
          <w:tcPr>
            <w:tcW w:w="3540" w:type="dxa"/>
            <w:vAlign w:val="bottom"/>
            <w:gridSpan w:val="23"/>
          </w:tcPr>
          <w:p>
            <w:pPr>
              <w:spacing w:after="0"/>
              <w:rPr>
                <w:rFonts w:ascii="Arial" w:cs="Arial" w:eastAsia="Arial" w:hAnsi="Arial"/>
                <w:sz w:val="17"/>
                <w:szCs w:val="17"/>
                <w:u w:val="single" w:color="auto"/>
                <w:color w:val="0000EE"/>
              </w:rPr>
            </w:pPr>
            <w:hyperlink r:id="rId146">
              <w:r>
                <w:rPr>
                  <w:rFonts w:ascii="Arial" w:cs="Arial" w:eastAsia="Arial" w:hAnsi="Arial"/>
                  <w:sz w:val="17"/>
                  <w:szCs w:val="17"/>
                  <w:u w:val="single" w:color="auto"/>
                  <w:color w:val="0000EE"/>
                </w:rPr>
                <w:t>2020 Incentive Award Plan</w:t>
              </w:r>
            </w:hyperlink>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S-1/A</w:t>
            </w:r>
          </w:p>
        </w:tc>
        <w:tc>
          <w:tcPr>
            <w:tcW w:w="1500" w:type="dxa"/>
            <w:vAlign w:val="bottom"/>
          </w:tcPr>
          <w:p>
            <w:pPr>
              <w:jc w:val="center"/>
              <w:spacing w:after="0"/>
              <w:rPr>
                <w:sz w:val="20"/>
                <w:szCs w:val="20"/>
                <w:color w:val="auto"/>
              </w:rPr>
            </w:pPr>
            <w:r>
              <w:rPr>
                <w:rFonts w:ascii="Arial" w:cs="Arial" w:eastAsia="Arial" w:hAnsi="Arial"/>
                <w:sz w:val="17"/>
                <w:szCs w:val="17"/>
                <w:color w:val="auto"/>
              </w:rPr>
              <w:t>333-238482</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10.3</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June 1,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940" w:type="dxa"/>
            <w:vAlign w:val="bottom"/>
          </w:tcPr>
          <w:p>
            <w:pPr>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24"/>
                <w:szCs w:val="24"/>
                <w:color w:val="auto"/>
              </w:rPr>
            </w:pPr>
          </w:p>
        </w:tc>
        <w:tc>
          <w:tcPr>
            <w:tcW w:w="3220" w:type="dxa"/>
            <w:vAlign w:val="bottom"/>
            <w:tcBorders>
              <w:bottom w:val="single" w:sz="8" w:color="0000EE"/>
            </w:tcBorders>
            <w:gridSpan w:val="13"/>
          </w:tcPr>
          <w:p>
            <w:pPr>
              <w:spacing w:after="0"/>
              <w:rPr>
                <w:rFonts w:ascii="Arial" w:cs="Arial" w:eastAsia="Arial" w:hAnsi="Arial"/>
                <w:sz w:val="17"/>
                <w:szCs w:val="17"/>
                <w:color w:val="0000EE"/>
              </w:rPr>
            </w:pPr>
            <w:hyperlink r:id="rId147">
              <w:r>
                <w:rPr>
                  <w:rFonts w:ascii="Arial" w:cs="Arial" w:eastAsia="Arial" w:hAnsi="Arial"/>
                  <w:sz w:val="17"/>
                  <w:szCs w:val="17"/>
                  <w:color w:val="0000EE"/>
                </w:rPr>
                <w:t>Form of Restricted Stock Unit Agreement</w:t>
              </w:r>
            </w:hyperlink>
          </w:p>
        </w:tc>
        <w:tc>
          <w:tcPr>
            <w:tcW w:w="320" w:type="dxa"/>
            <w:vAlign w:val="bottom"/>
            <w:gridSpan w:val="10"/>
          </w:tcPr>
          <w:p>
            <w:pPr>
              <w:spacing w:after="0"/>
              <w:rPr>
                <w:sz w:val="24"/>
                <w:szCs w:val="2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rPr>
              <w:t>10-Q</w:t>
            </w:r>
          </w:p>
        </w:tc>
        <w:tc>
          <w:tcPr>
            <w:tcW w:w="1500" w:type="dxa"/>
            <w:vAlign w:val="bottom"/>
          </w:tcPr>
          <w:p>
            <w:pPr>
              <w:jc w:val="center"/>
              <w:spacing w:after="0"/>
              <w:rPr>
                <w:sz w:val="20"/>
                <w:szCs w:val="20"/>
                <w:color w:val="auto"/>
              </w:rPr>
            </w:pPr>
            <w:r>
              <w:rPr>
                <w:rFonts w:ascii="Arial" w:cs="Arial" w:eastAsia="Arial" w:hAnsi="Arial"/>
                <w:sz w:val="17"/>
                <w:szCs w:val="17"/>
                <w:color w:val="auto"/>
              </w:rPr>
              <w:t>001-39315</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10.2</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August 13,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gridSpan w:val="23"/>
          </w:tcPr>
          <w:p>
            <w:pPr>
              <w:spacing w:after="0"/>
              <w:rPr>
                <w:rFonts w:ascii="Arial" w:cs="Arial" w:eastAsia="Arial" w:hAnsi="Arial"/>
                <w:sz w:val="17"/>
                <w:szCs w:val="17"/>
                <w:u w:val="single" w:color="auto"/>
                <w:color w:val="0000EE"/>
              </w:rPr>
            </w:pPr>
            <w:hyperlink r:id="rId147">
              <w:r>
                <w:rPr>
                  <w:rFonts w:ascii="Arial" w:cs="Arial" w:eastAsia="Arial" w:hAnsi="Arial"/>
                  <w:sz w:val="17"/>
                  <w:szCs w:val="17"/>
                  <w:u w:val="single" w:color="auto"/>
                  <w:color w:val="0000EE"/>
                </w:rPr>
                <w:t>pursuant to the 2020 Incentive Award Plan</w:t>
              </w:r>
            </w:hyperlink>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96"/>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jc w:val="right"/>
              <w:ind w:right="954"/>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0"/>
        </w:trPr>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-7620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212529"/>
              </w:rPr>
              <w:t>Filing</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212529"/>
                <w:w w:val="97"/>
              </w:rPr>
              <w:t>Filed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212529"/>
              </w:rPr>
              <w:t>Furnished</w:t>
            </w:r>
          </w:p>
        </w:tc>
        <w:tc>
          <w:tcPr>
            <w:tcW w:w="20" w:type="dxa"/>
            <w:vAlign w:val="bottom"/>
          </w:tcPr>
          <w:p>
            <w:pPr>
              <w:spacing w:after="0"/>
              <w:rPr>
                <w:sz w:val="14"/>
                <w:szCs w:val="14"/>
                <w:color w:val="auto"/>
              </w:rPr>
            </w:pPr>
          </w:p>
        </w:tc>
      </w:tr>
      <w:tr>
        <w:trPr>
          <w:trHeight w:val="170"/>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24"/>
          </w:tcPr>
          <w:p>
            <w:pPr>
              <w:ind w:left="260"/>
              <w:spacing w:after="0"/>
              <w:rPr>
                <w:sz w:val="20"/>
                <w:szCs w:val="20"/>
                <w:color w:val="auto"/>
              </w:rPr>
            </w:pPr>
            <w:r>
              <w:rPr>
                <w:rFonts w:ascii="Arial" w:cs="Arial" w:eastAsia="Arial" w:hAnsi="Arial"/>
                <w:sz w:val="14"/>
                <w:szCs w:val="14"/>
                <w:b w:val="1"/>
                <w:bCs w:val="1"/>
                <w:color w:val="212529"/>
              </w:rPr>
              <w:t>Exhibit Description</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w w:val="97"/>
              </w:rPr>
              <w:t>Form</w:t>
            </w:r>
          </w:p>
        </w:tc>
        <w:tc>
          <w:tcPr>
            <w:tcW w:w="8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w w:val="98"/>
              </w:rPr>
              <w:t>File No.</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Exhibit</w:t>
            </w:r>
          </w:p>
        </w:tc>
        <w:tc>
          <w:tcPr>
            <w:tcW w:w="6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w w:val="98"/>
              </w:rPr>
              <w:t>Date</w:t>
            </w:r>
          </w:p>
        </w:tc>
        <w:tc>
          <w:tcPr>
            <w:tcW w:w="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20" w:type="dxa"/>
            <w:vAlign w:val="bottom"/>
          </w:tcPr>
          <w:p>
            <w:pPr>
              <w:spacing w:after="0"/>
              <w:rPr>
                <w:sz w:val="14"/>
                <w:szCs w:val="14"/>
                <w:color w:val="auto"/>
              </w:rPr>
            </w:pPr>
          </w:p>
        </w:tc>
      </w:tr>
      <w:tr>
        <w:trPr>
          <w:trHeight w:val="429"/>
        </w:trPr>
        <w:tc>
          <w:tcPr>
            <w:tcW w:w="940" w:type="dxa"/>
            <w:vAlign w:val="bottom"/>
          </w:tcPr>
          <w:p>
            <w:pPr>
              <w:spacing w:after="0"/>
              <w:rPr>
                <w:sz w:val="20"/>
                <w:szCs w:val="20"/>
                <w:color w:val="auto"/>
              </w:rPr>
            </w:pPr>
            <w:r>
              <w:rPr>
                <w:rFonts w:ascii="Arial" w:cs="Arial" w:eastAsia="Arial" w:hAnsi="Arial"/>
                <w:sz w:val="17"/>
                <w:szCs w:val="17"/>
                <w:color w:val="auto"/>
              </w:rPr>
              <w:t>10.9†</w:t>
            </w:r>
          </w:p>
        </w:tc>
        <w:tc>
          <w:tcPr>
            <w:tcW w:w="80" w:type="dxa"/>
            <w:vAlign w:val="bottom"/>
          </w:tcPr>
          <w:p>
            <w:pPr>
              <w:spacing w:after="0"/>
              <w:rPr>
                <w:sz w:val="24"/>
                <w:szCs w:val="24"/>
                <w:color w:val="auto"/>
              </w:rPr>
            </w:pPr>
          </w:p>
        </w:tc>
        <w:tc>
          <w:tcPr>
            <w:tcW w:w="3560" w:type="dxa"/>
            <w:vAlign w:val="bottom"/>
            <w:gridSpan w:val="26"/>
          </w:tcPr>
          <w:p>
            <w:pPr>
              <w:spacing w:after="0"/>
              <w:rPr>
                <w:rFonts w:ascii="Arial" w:cs="Arial" w:eastAsia="Arial" w:hAnsi="Arial"/>
                <w:sz w:val="17"/>
                <w:szCs w:val="17"/>
                <w:u w:val="single" w:color="auto"/>
                <w:color w:val="0000EE"/>
              </w:rPr>
            </w:pPr>
            <w:hyperlink r:id="rId150">
              <w:r>
                <w:rPr>
                  <w:rFonts w:ascii="Arial" w:cs="Arial" w:eastAsia="Arial" w:hAnsi="Arial"/>
                  <w:sz w:val="17"/>
                  <w:szCs w:val="17"/>
                  <w:u w:val="single" w:color="auto"/>
                  <w:color w:val="0000EE"/>
                </w:rPr>
                <w:t>Non-Employee Director Compensation Policy</w:t>
              </w:r>
            </w:hyperlink>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S-1/A</w:t>
            </w:r>
          </w:p>
        </w:tc>
        <w:tc>
          <w:tcPr>
            <w:tcW w:w="1500" w:type="dxa"/>
            <w:vAlign w:val="bottom"/>
          </w:tcPr>
          <w:p>
            <w:pPr>
              <w:jc w:val="center"/>
              <w:spacing w:after="0"/>
              <w:rPr>
                <w:sz w:val="20"/>
                <w:szCs w:val="20"/>
                <w:color w:val="auto"/>
              </w:rPr>
            </w:pPr>
            <w:r>
              <w:rPr>
                <w:rFonts w:ascii="Arial" w:cs="Arial" w:eastAsia="Arial" w:hAnsi="Arial"/>
                <w:sz w:val="17"/>
                <w:szCs w:val="17"/>
                <w:color w:val="auto"/>
              </w:rPr>
              <w:t>333-238482</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10.4</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June 1,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6"/>
        </w:trPr>
        <w:tc>
          <w:tcPr>
            <w:tcW w:w="940" w:type="dxa"/>
            <w:vAlign w:val="bottom"/>
          </w:tcPr>
          <w:p>
            <w:pPr>
              <w:spacing w:after="0"/>
              <w:rPr>
                <w:sz w:val="20"/>
                <w:szCs w:val="20"/>
                <w:color w:val="auto"/>
              </w:rPr>
            </w:pPr>
            <w:r>
              <w:rPr>
                <w:rFonts w:ascii="Arial" w:cs="Arial" w:eastAsia="Arial" w:hAnsi="Arial"/>
                <w:sz w:val="17"/>
                <w:szCs w:val="17"/>
                <w:color w:val="auto"/>
              </w:rPr>
              <w:t>10.10†</w:t>
            </w:r>
          </w:p>
        </w:tc>
        <w:tc>
          <w:tcPr>
            <w:tcW w:w="80" w:type="dxa"/>
            <w:vAlign w:val="bottom"/>
          </w:tcPr>
          <w:p>
            <w:pPr>
              <w:spacing w:after="0"/>
              <w:rPr>
                <w:sz w:val="24"/>
                <w:szCs w:val="24"/>
                <w:color w:val="auto"/>
              </w:rPr>
            </w:pPr>
          </w:p>
        </w:tc>
        <w:tc>
          <w:tcPr>
            <w:tcW w:w="3560" w:type="dxa"/>
            <w:vAlign w:val="bottom"/>
            <w:gridSpan w:val="26"/>
          </w:tcPr>
          <w:p>
            <w:pPr>
              <w:spacing w:after="0"/>
              <w:rPr>
                <w:rFonts w:ascii="Arial" w:cs="Arial" w:eastAsia="Arial" w:hAnsi="Arial"/>
                <w:sz w:val="17"/>
                <w:szCs w:val="17"/>
                <w:u w:val="single" w:color="auto"/>
                <w:color w:val="0000EE"/>
              </w:rPr>
            </w:pPr>
            <w:hyperlink r:id="rId151">
              <w:r>
                <w:rPr>
                  <w:rFonts w:ascii="Arial" w:cs="Arial" w:eastAsia="Arial" w:hAnsi="Arial"/>
                  <w:sz w:val="17"/>
                  <w:szCs w:val="17"/>
                  <w:u w:val="single" w:color="auto"/>
                  <w:color w:val="0000EE"/>
                </w:rPr>
                <w:t>Form of Indemnification Agreement</w:t>
              </w:r>
            </w:hyperlink>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S-1/A</w:t>
            </w:r>
          </w:p>
        </w:tc>
        <w:tc>
          <w:tcPr>
            <w:tcW w:w="1500" w:type="dxa"/>
            <w:vAlign w:val="bottom"/>
          </w:tcPr>
          <w:p>
            <w:pPr>
              <w:jc w:val="center"/>
              <w:spacing w:after="0"/>
              <w:rPr>
                <w:sz w:val="20"/>
                <w:szCs w:val="20"/>
                <w:color w:val="auto"/>
              </w:rPr>
            </w:pPr>
            <w:r>
              <w:rPr>
                <w:rFonts w:ascii="Arial" w:cs="Arial" w:eastAsia="Arial" w:hAnsi="Arial"/>
                <w:sz w:val="17"/>
                <w:szCs w:val="17"/>
                <w:color w:val="auto"/>
              </w:rPr>
              <w:t>333-238482</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10.5</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June 1,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940" w:type="dxa"/>
            <w:vAlign w:val="bottom"/>
          </w:tcPr>
          <w:p>
            <w:pPr>
              <w:spacing w:after="0"/>
              <w:rPr>
                <w:sz w:val="20"/>
                <w:szCs w:val="20"/>
                <w:color w:val="auto"/>
              </w:rPr>
            </w:pPr>
            <w:r>
              <w:rPr>
                <w:rFonts w:ascii="Arial" w:cs="Arial" w:eastAsia="Arial" w:hAnsi="Arial"/>
                <w:sz w:val="17"/>
                <w:szCs w:val="17"/>
                <w:color w:val="auto"/>
              </w:rPr>
              <w:t>10.11†</w:t>
            </w:r>
          </w:p>
        </w:tc>
        <w:tc>
          <w:tcPr>
            <w:tcW w:w="80" w:type="dxa"/>
            <w:vAlign w:val="bottom"/>
          </w:tcPr>
          <w:p>
            <w:pPr>
              <w:spacing w:after="0"/>
              <w:rPr>
                <w:sz w:val="24"/>
                <w:szCs w:val="24"/>
                <w:color w:val="auto"/>
              </w:rPr>
            </w:pPr>
          </w:p>
        </w:tc>
        <w:tc>
          <w:tcPr>
            <w:tcW w:w="3560" w:type="dxa"/>
            <w:vAlign w:val="bottom"/>
            <w:gridSpan w:val="26"/>
          </w:tcPr>
          <w:p>
            <w:pPr>
              <w:spacing w:after="0"/>
              <w:rPr>
                <w:rFonts w:ascii="Arial" w:cs="Arial" w:eastAsia="Arial" w:hAnsi="Arial"/>
                <w:sz w:val="17"/>
                <w:szCs w:val="17"/>
                <w:u w:val="single" w:color="auto"/>
                <w:color w:val="0000EE"/>
              </w:rPr>
            </w:pPr>
            <w:hyperlink w:anchor="page144">
              <w:r>
                <w:rPr>
                  <w:rFonts w:ascii="Arial" w:cs="Arial" w:eastAsia="Arial" w:hAnsi="Arial"/>
                  <w:sz w:val="17"/>
                  <w:szCs w:val="17"/>
                  <w:u w:val="single" w:color="auto"/>
                  <w:color w:val="0000EE"/>
                </w:rPr>
                <w:t>Executive Severance Plan</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rPr>
              <w:t>X</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940" w:type="dxa"/>
            <w:vAlign w:val="bottom"/>
          </w:tcPr>
          <w:p>
            <w:pPr>
              <w:spacing w:after="0"/>
              <w:rPr>
                <w:sz w:val="20"/>
                <w:szCs w:val="20"/>
                <w:color w:val="auto"/>
              </w:rPr>
            </w:pPr>
            <w:r>
              <w:rPr>
                <w:rFonts w:ascii="Arial" w:cs="Arial" w:eastAsia="Arial" w:hAnsi="Arial"/>
                <w:sz w:val="17"/>
                <w:szCs w:val="17"/>
                <w:color w:val="auto"/>
              </w:rPr>
              <w:t>10.12</w:t>
            </w:r>
          </w:p>
        </w:tc>
        <w:tc>
          <w:tcPr>
            <w:tcW w:w="80" w:type="dxa"/>
            <w:vAlign w:val="bottom"/>
          </w:tcPr>
          <w:p>
            <w:pPr>
              <w:spacing w:after="0"/>
              <w:rPr>
                <w:sz w:val="24"/>
                <w:szCs w:val="24"/>
                <w:color w:val="auto"/>
              </w:rPr>
            </w:pPr>
          </w:p>
        </w:tc>
        <w:tc>
          <w:tcPr>
            <w:tcW w:w="3560" w:type="dxa"/>
            <w:vAlign w:val="bottom"/>
            <w:gridSpan w:val="26"/>
          </w:tcPr>
          <w:p>
            <w:pPr>
              <w:spacing w:after="0"/>
              <w:rPr>
                <w:rFonts w:ascii="Arial" w:cs="Arial" w:eastAsia="Arial" w:hAnsi="Arial"/>
                <w:sz w:val="17"/>
                <w:szCs w:val="17"/>
                <w:color w:val="0000EE"/>
              </w:rPr>
            </w:pPr>
            <w:hyperlink r:id="rId152">
              <w:r>
                <w:rPr>
                  <w:rFonts w:ascii="Arial" w:cs="Arial" w:eastAsia="Arial" w:hAnsi="Arial"/>
                  <w:sz w:val="17"/>
                  <w:szCs w:val="17"/>
                  <w:color w:val="0000EE"/>
                </w:rPr>
                <w:t>Commercial Lease Agreement, dated August</w:t>
              </w:r>
            </w:hyperlink>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S-1/A</w:t>
            </w:r>
          </w:p>
        </w:tc>
        <w:tc>
          <w:tcPr>
            <w:tcW w:w="1500" w:type="dxa"/>
            <w:vAlign w:val="bottom"/>
          </w:tcPr>
          <w:p>
            <w:pPr>
              <w:jc w:val="center"/>
              <w:spacing w:after="0"/>
              <w:rPr>
                <w:sz w:val="20"/>
                <w:szCs w:val="20"/>
                <w:color w:val="auto"/>
              </w:rPr>
            </w:pPr>
            <w:r>
              <w:rPr>
                <w:rFonts w:ascii="Arial" w:cs="Arial" w:eastAsia="Arial" w:hAnsi="Arial"/>
                <w:sz w:val="17"/>
                <w:szCs w:val="17"/>
                <w:color w:val="auto"/>
              </w:rPr>
              <w:t>333-238482</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10.6</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June 1,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80" w:type="dxa"/>
            <w:vAlign w:val="bottom"/>
            <w:tcBorders>
              <w:top w:val="single" w:sz="8" w:color="0000EE"/>
            </w:tcBorders>
            <w:gridSpan w:val="22"/>
          </w:tcPr>
          <w:p>
            <w:pPr>
              <w:spacing w:after="0" w:line="176" w:lineRule="exact"/>
              <w:rPr>
                <w:rFonts w:ascii="Arial" w:cs="Arial" w:eastAsia="Arial" w:hAnsi="Arial"/>
                <w:sz w:val="17"/>
                <w:szCs w:val="17"/>
                <w:color w:val="0000EE"/>
              </w:rPr>
            </w:pPr>
            <w:hyperlink r:id="rId152">
              <w:r>
                <w:rPr>
                  <w:rFonts w:ascii="Arial" w:cs="Arial" w:eastAsia="Arial" w:hAnsi="Arial"/>
                  <w:sz w:val="17"/>
                  <w:szCs w:val="17"/>
                  <w:color w:val="0000EE"/>
                </w:rPr>
                <w:t>10, 2009, as amended, by and between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80" w:type="dxa"/>
            <w:vAlign w:val="bottom"/>
            <w:tcBorders>
              <w:top w:val="single" w:sz="8" w:color="0000EE"/>
              <w:bottom w:val="single" w:sz="8" w:color="0000EE"/>
            </w:tcBorders>
            <w:gridSpan w:val="7"/>
          </w:tcPr>
          <w:p>
            <w:pPr>
              <w:spacing w:after="0" w:line="176" w:lineRule="exact"/>
              <w:rPr>
                <w:rFonts w:ascii="Arial" w:cs="Arial" w:eastAsia="Arial" w:hAnsi="Arial"/>
                <w:sz w:val="17"/>
                <w:szCs w:val="17"/>
                <w:color w:val="0000EE"/>
              </w:rPr>
            </w:pPr>
            <w:hyperlink r:id="rId152">
              <w:r>
                <w:rPr>
                  <w:rFonts w:ascii="Arial" w:cs="Arial" w:eastAsia="Arial" w:hAnsi="Arial"/>
                  <w:sz w:val="17"/>
                  <w:szCs w:val="17"/>
                  <w:color w:val="0000EE"/>
                </w:rPr>
                <w:t>Texas Direct Auto and Robert P. Archer,</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bottom w:val="single" w:sz="8" w:color="0000EE"/>
            </w:tcBorders>
          </w:tcPr>
          <w:p>
            <w:pPr>
              <w:spacing w:after="0" w:line="176" w:lineRule="exact"/>
              <w:rPr>
                <w:rFonts w:ascii="Arial" w:cs="Arial" w:eastAsia="Arial" w:hAnsi="Arial"/>
                <w:sz w:val="17"/>
                <w:szCs w:val="17"/>
                <w:color w:val="0000EE"/>
                <w:w w:val="93"/>
              </w:rPr>
            </w:pPr>
            <w:hyperlink r:id="rId152">
              <w:r>
                <w:rPr>
                  <w:rFonts w:ascii="Arial" w:cs="Arial" w:eastAsia="Arial" w:hAnsi="Arial"/>
                  <w:sz w:val="17"/>
                  <w:szCs w:val="17"/>
                  <w:color w:val="0000EE"/>
                  <w:w w:val="93"/>
                </w:rPr>
                <w:t>ETAL</w:t>
              </w:r>
            </w:hyperlink>
          </w:p>
        </w:tc>
        <w:tc>
          <w:tcPr>
            <w:tcW w:w="268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7"/>
        </w:trPr>
        <w:tc>
          <w:tcPr>
            <w:tcW w:w="940" w:type="dxa"/>
            <w:vAlign w:val="bottom"/>
          </w:tcPr>
          <w:p>
            <w:pPr>
              <w:spacing w:after="0"/>
              <w:rPr>
                <w:sz w:val="20"/>
                <w:szCs w:val="20"/>
                <w:color w:val="auto"/>
              </w:rPr>
            </w:pPr>
            <w:r>
              <w:rPr>
                <w:rFonts w:ascii="Arial" w:cs="Arial" w:eastAsia="Arial" w:hAnsi="Arial"/>
                <w:sz w:val="17"/>
                <w:szCs w:val="17"/>
                <w:color w:val="auto"/>
              </w:rPr>
              <w:t>10.13</w:t>
            </w:r>
          </w:p>
        </w:tc>
        <w:tc>
          <w:tcPr>
            <w:tcW w:w="80" w:type="dxa"/>
            <w:vAlign w:val="bottom"/>
          </w:tcPr>
          <w:p>
            <w:pPr>
              <w:spacing w:after="0"/>
              <w:rPr>
                <w:sz w:val="24"/>
                <w:szCs w:val="24"/>
                <w:color w:val="auto"/>
              </w:rPr>
            </w:pPr>
          </w:p>
        </w:tc>
        <w:tc>
          <w:tcPr>
            <w:tcW w:w="3560" w:type="dxa"/>
            <w:vAlign w:val="bottom"/>
            <w:gridSpan w:val="26"/>
          </w:tcPr>
          <w:p>
            <w:pPr>
              <w:spacing w:after="0"/>
              <w:rPr>
                <w:rFonts w:ascii="Arial" w:cs="Arial" w:eastAsia="Arial" w:hAnsi="Arial"/>
                <w:sz w:val="17"/>
                <w:szCs w:val="17"/>
                <w:color w:val="0000EE"/>
              </w:rPr>
            </w:pPr>
            <w:hyperlink r:id="rId153">
              <w:r>
                <w:rPr>
                  <w:rFonts w:ascii="Arial" w:cs="Arial" w:eastAsia="Arial" w:hAnsi="Arial"/>
                  <w:sz w:val="17"/>
                  <w:szCs w:val="17"/>
                  <w:color w:val="0000EE"/>
                </w:rPr>
                <w:t>Lease Agreement, dated May 21, 2011, as</w:t>
              </w:r>
            </w:hyperlink>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S-1/A</w:t>
            </w:r>
          </w:p>
        </w:tc>
        <w:tc>
          <w:tcPr>
            <w:tcW w:w="1500" w:type="dxa"/>
            <w:vAlign w:val="bottom"/>
          </w:tcPr>
          <w:p>
            <w:pPr>
              <w:jc w:val="center"/>
              <w:spacing w:after="0"/>
              <w:rPr>
                <w:sz w:val="20"/>
                <w:szCs w:val="20"/>
                <w:color w:val="auto"/>
              </w:rPr>
            </w:pPr>
            <w:r>
              <w:rPr>
                <w:rFonts w:ascii="Arial" w:cs="Arial" w:eastAsia="Arial" w:hAnsi="Arial"/>
                <w:sz w:val="17"/>
                <w:szCs w:val="17"/>
                <w:color w:val="auto"/>
              </w:rPr>
              <w:t>333-248655</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10.7</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June 1,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80" w:type="dxa"/>
            <w:vAlign w:val="bottom"/>
            <w:tcBorders>
              <w:top w:val="single" w:sz="8" w:color="0000EE"/>
            </w:tcBorders>
            <w:gridSpan w:val="16"/>
          </w:tcPr>
          <w:p>
            <w:pPr>
              <w:spacing w:after="0" w:line="176" w:lineRule="exact"/>
              <w:rPr>
                <w:rFonts w:ascii="Arial" w:cs="Arial" w:eastAsia="Arial" w:hAnsi="Arial"/>
                <w:sz w:val="17"/>
                <w:szCs w:val="17"/>
                <w:color w:val="0000EE"/>
              </w:rPr>
            </w:pPr>
            <w:hyperlink r:id="rId153">
              <w:r>
                <w:rPr>
                  <w:rFonts w:ascii="Arial" w:cs="Arial" w:eastAsia="Arial" w:hAnsi="Arial"/>
                  <w:sz w:val="17"/>
                  <w:szCs w:val="17"/>
                  <w:color w:val="0000EE"/>
                </w:rPr>
                <w:t>amended, by and between Beechnut FEC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20" w:type="dxa"/>
            <w:vAlign w:val="bottom"/>
            <w:tcBorders>
              <w:top w:val="single" w:sz="8" w:color="0000EE"/>
            </w:tcBorders>
            <w:gridSpan w:val="13"/>
          </w:tcPr>
          <w:p>
            <w:pPr>
              <w:spacing w:after="0" w:line="176" w:lineRule="exact"/>
              <w:rPr>
                <w:rFonts w:ascii="Arial" w:cs="Arial" w:eastAsia="Arial" w:hAnsi="Arial"/>
                <w:sz w:val="17"/>
                <w:szCs w:val="17"/>
                <w:color w:val="0000EE"/>
              </w:rPr>
            </w:pPr>
            <w:hyperlink r:id="rId153">
              <w:r>
                <w:rPr>
                  <w:rFonts w:ascii="Arial" w:cs="Arial" w:eastAsia="Arial" w:hAnsi="Arial"/>
                  <w:sz w:val="17"/>
                  <w:szCs w:val="17"/>
                  <w:color w:val="0000EE"/>
                </w:rPr>
                <w:t>LLC and Left Gate Property Holding, Inc.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40" w:type="dxa"/>
            <w:vAlign w:val="bottom"/>
            <w:tcBorders>
              <w:top w:val="single" w:sz="8" w:color="0000EE"/>
            </w:tcBorders>
            <w:gridSpan w:val="10"/>
          </w:tcPr>
          <w:p>
            <w:pPr>
              <w:spacing w:after="0" w:line="176" w:lineRule="exact"/>
              <w:rPr>
                <w:rFonts w:ascii="Arial" w:cs="Arial" w:eastAsia="Arial" w:hAnsi="Arial"/>
                <w:sz w:val="17"/>
                <w:szCs w:val="17"/>
                <w:color w:val="0000EE"/>
              </w:rPr>
            </w:pPr>
            <w:hyperlink r:id="rId153">
              <w:r>
                <w:rPr>
                  <w:rFonts w:ascii="Arial" w:cs="Arial" w:eastAsia="Arial" w:hAnsi="Arial"/>
                  <w:sz w:val="17"/>
                  <w:szCs w:val="17"/>
                  <w:color w:val="0000EE"/>
                </w:rPr>
                <w:t>d/b/a as Texas Direct Auto</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940" w:type="dxa"/>
            <w:vAlign w:val="bottom"/>
          </w:tcPr>
          <w:p>
            <w:pPr>
              <w:spacing w:after="0"/>
              <w:rPr>
                <w:sz w:val="20"/>
                <w:szCs w:val="20"/>
                <w:color w:val="auto"/>
              </w:rPr>
            </w:pPr>
            <w:r>
              <w:rPr>
                <w:rFonts w:ascii="Arial" w:cs="Arial" w:eastAsia="Arial" w:hAnsi="Arial"/>
                <w:sz w:val="17"/>
                <w:szCs w:val="17"/>
                <w:color w:val="auto"/>
              </w:rPr>
              <w:t>10.14</w:t>
            </w:r>
          </w:p>
        </w:tc>
        <w:tc>
          <w:tcPr>
            <w:tcW w:w="80" w:type="dxa"/>
            <w:vAlign w:val="bottom"/>
          </w:tcPr>
          <w:p>
            <w:pPr>
              <w:spacing w:after="0"/>
              <w:rPr>
                <w:sz w:val="24"/>
                <w:szCs w:val="24"/>
                <w:color w:val="auto"/>
              </w:rPr>
            </w:pPr>
          </w:p>
        </w:tc>
        <w:tc>
          <w:tcPr>
            <w:tcW w:w="3560" w:type="dxa"/>
            <w:vAlign w:val="bottom"/>
            <w:gridSpan w:val="26"/>
          </w:tcPr>
          <w:p>
            <w:pPr>
              <w:spacing w:after="0"/>
              <w:rPr>
                <w:rFonts w:ascii="Arial" w:cs="Arial" w:eastAsia="Arial" w:hAnsi="Arial"/>
                <w:sz w:val="17"/>
                <w:szCs w:val="17"/>
                <w:color w:val="0000EE"/>
              </w:rPr>
            </w:pPr>
            <w:hyperlink w:anchor="page167">
              <w:r>
                <w:rPr>
                  <w:rFonts w:ascii="Arial" w:cs="Arial" w:eastAsia="Arial" w:hAnsi="Arial"/>
                  <w:sz w:val="17"/>
                  <w:szCs w:val="17"/>
                  <w:color w:val="0000EE"/>
                </w:rPr>
                <w:t>Second Amendment to Lease Agreement,</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rPr>
              <w:t>X</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Borders>
              <w:top w:val="single" w:sz="8" w:color="0000EE"/>
            </w:tcBorders>
            <w:gridSpan w:val="14"/>
          </w:tcPr>
          <w:p>
            <w:pPr>
              <w:spacing w:after="0" w:line="176" w:lineRule="exact"/>
              <w:rPr>
                <w:rFonts w:ascii="Arial" w:cs="Arial" w:eastAsia="Arial" w:hAnsi="Arial"/>
                <w:sz w:val="17"/>
                <w:szCs w:val="17"/>
                <w:color w:val="0000EE"/>
              </w:rPr>
            </w:pPr>
            <w:hyperlink w:anchor="page167">
              <w:r>
                <w:rPr>
                  <w:rFonts w:ascii="Arial" w:cs="Arial" w:eastAsia="Arial" w:hAnsi="Arial"/>
                  <w:sz w:val="17"/>
                  <w:szCs w:val="17"/>
                  <w:color w:val="0000EE"/>
                </w:rPr>
                <w:t>dated January 3, 2019, by and between</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80" w:type="dxa"/>
            <w:vAlign w:val="bottom"/>
            <w:tcBorders>
              <w:top w:val="single" w:sz="8" w:color="0000EE"/>
            </w:tcBorders>
            <w:gridSpan w:val="7"/>
          </w:tcPr>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Beechnut FEC LLC and Vroom, Inc.</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4"/>
        </w:trPr>
        <w:tc>
          <w:tcPr>
            <w:tcW w:w="940" w:type="dxa"/>
            <w:vAlign w:val="bottom"/>
          </w:tcPr>
          <w:p>
            <w:pPr>
              <w:spacing w:after="0"/>
              <w:rPr>
                <w:sz w:val="20"/>
                <w:szCs w:val="20"/>
                <w:color w:val="auto"/>
              </w:rPr>
            </w:pPr>
            <w:r>
              <w:rPr>
                <w:rFonts w:ascii="Arial" w:cs="Arial" w:eastAsia="Arial" w:hAnsi="Arial"/>
                <w:sz w:val="17"/>
                <w:szCs w:val="17"/>
                <w:color w:val="auto"/>
              </w:rPr>
              <w:t>10.15</w:t>
            </w:r>
          </w:p>
        </w:tc>
        <w:tc>
          <w:tcPr>
            <w:tcW w:w="80" w:type="dxa"/>
            <w:vAlign w:val="bottom"/>
          </w:tcPr>
          <w:p>
            <w:pPr>
              <w:spacing w:after="0"/>
              <w:rPr>
                <w:sz w:val="23"/>
                <w:szCs w:val="23"/>
                <w:color w:val="auto"/>
              </w:rPr>
            </w:pPr>
          </w:p>
        </w:tc>
        <w:tc>
          <w:tcPr>
            <w:tcW w:w="3560" w:type="dxa"/>
            <w:vAlign w:val="bottom"/>
            <w:gridSpan w:val="26"/>
          </w:tcPr>
          <w:p>
            <w:pPr>
              <w:spacing w:after="0"/>
              <w:rPr>
                <w:rFonts w:ascii="Arial" w:cs="Arial" w:eastAsia="Arial" w:hAnsi="Arial"/>
                <w:sz w:val="17"/>
                <w:szCs w:val="17"/>
                <w:color w:val="0000EE"/>
              </w:rPr>
            </w:pPr>
            <w:hyperlink w:anchor="page169">
              <w:r>
                <w:rPr>
                  <w:rFonts w:ascii="Arial" w:cs="Arial" w:eastAsia="Arial" w:hAnsi="Arial"/>
                  <w:sz w:val="17"/>
                  <w:szCs w:val="17"/>
                  <w:color w:val="0000EE"/>
                </w:rPr>
                <w:t>Third Amendment to Lease Agreement,</w:t>
              </w:r>
            </w:hyperlink>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rPr>
              <w:t>X</w:t>
            </w: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60" w:type="dxa"/>
            <w:vAlign w:val="bottom"/>
            <w:tcBorders>
              <w:top w:val="single" w:sz="8" w:color="0000EE"/>
              <w:bottom w:val="single" w:sz="8" w:color="0000EE"/>
            </w:tcBorders>
            <w:gridSpan w:val="6"/>
          </w:tcPr>
          <w:p>
            <w:pPr>
              <w:spacing w:after="0" w:line="176" w:lineRule="exact"/>
              <w:rPr>
                <w:rFonts w:ascii="Arial" w:cs="Arial" w:eastAsia="Arial" w:hAnsi="Arial"/>
                <w:sz w:val="17"/>
                <w:szCs w:val="17"/>
                <w:color w:val="0000EE"/>
                <w:w w:val="99"/>
              </w:rPr>
            </w:pPr>
            <w:hyperlink w:anchor="page169">
              <w:r>
                <w:rPr>
                  <w:rFonts w:ascii="Arial" w:cs="Arial" w:eastAsia="Arial" w:hAnsi="Arial"/>
                  <w:sz w:val="17"/>
                  <w:szCs w:val="17"/>
                  <w:color w:val="0000EE"/>
                  <w:w w:val="99"/>
                </w:rPr>
                <w:t>dated February 2, 2021, by and between</w:t>
              </w:r>
            </w:hyperlink>
          </w:p>
        </w:tc>
        <w:tc>
          <w:tcPr>
            <w:tcW w:w="60" w:type="dxa"/>
            <w:vAlign w:val="bottom"/>
            <w:tcBorders>
              <w:bottom w:val="single" w:sz="8" w:color="0000EE"/>
            </w:tcBorders>
            <w:gridSpan w:val="3"/>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gridSpan w:val="26"/>
          </w:tcPr>
          <w:p>
            <w:pPr>
              <w:spacing w:after="0" w:line="176" w:lineRule="exact"/>
              <w:rPr>
                <w:rFonts w:ascii="Arial" w:cs="Arial" w:eastAsia="Arial" w:hAnsi="Arial"/>
                <w:sz w:val="17"/>
                <w:szCs w:val="17"/>
                <w:color w:val="0000EE"/>
              </w:rPr>
            </w:pPr>
            <w:hyperlink w:anchor="page169">
              <w:r>
                <w:rPr>
                  <w:rFonts w:ascii="Arial" w:cs="Arial" w:eastAsia="Arial" w:hAnsi="Arial"/>
                  <w:sz w:val="17"/>
                  <w:szCs w:val="17"/>
                  <w:color w:val="0000EE"/>
                </w:rPr>
                <w:t>Beechnut FEC LLC and Left Gate Property</w:t>
              </w:r>
            </w:hyperlink>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20" w:type="dxa"/>
            <w:vAlign w:val="bottom"/>
            <w:tcBorders>
              <w:top w:val="single" w:sz="8" w:color="0000EE"/>
            </w:tcBorders>
            <w:gridSpan w:val="18"/>
          </w:tcPr>
          <w:p>
            <w:pPr>
              <w:spacing w:after="0"/>
              <w:rPr>
                <w:rFonts w:ascii="Arial" w:cs="Arial" w:eastAsia="Arial" w:hAnsi="Arial"/>
                <w:sz w:val="17"/>
                <w:szCs w:val="17"/>
                <w:u w:val="single" w:color="auto"/>
                <w:color w:val="0000EE"/>
              </w:rPr>
            </w:pPr>
            <w:hyperlink w:anchor="page169">
              <w:r>
                <w:rPr>
                  <w:rFonts w:ascii="Arial" w:cs="Arial" w:eastAsia="Arial" w:hAnsi="Arial"/>
                  <w:sz w:val="17"/>
                  <w:szCs w:val="17"/>
                  <w:u w:val="single" w:color="auto"/>
                  <w:color w:val="0000EE"/>
                </w:rPr>
                <w:t>Holding, LLC d/b/a Texas Direct Auto</w:t>
              </w:r>
            </w:hyperlink>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3"/>
        </w:trPr>
        <w:tc>
          <w:tcPr>
            <w:tcW w:w="940" w:type="dxa"/>
            <w:vAlign w:val="bottom"/>
          </w:tcPr>
          <w:p>
            <w:pPr>
              <w:spacing w:after="0"/>
              <w:rPr>
                <w:sz w:val="20"/>
                <w:szCs w:val="20"/>
                <w:color w:val="auto"/>
              </w:rPr>
            </w:pPr>
            <w:r>
              <w:rPr>
                <w:rFonts w:ascii="Arial" w:cs="Arial" w:eastAsia="Arial" w:hAnsi="Arial"/>
                <w:sz w:val="17"/>
                <w:szCs w:val="17"/>
                <w:color w:val="auto"/>
              </w:rPr>
              <w:t>10.16</w:t>
            </w:r>
          </w:p>
        </w:tc>
        <w:tc>
          <w:tcPr>
            <w:tcW w:w="80" w:type="dxa"/>
            <w:vAlign w:val="bottom"/>
          </w:tcPr>
          <w:p>
            <w:pPr>
              <w:spacing w:after="0"/>
              <w:rPr>
                <w:sz w:val="24"/>
                <w:szCs w:val="24"/>
                <w:color w:val="auto"/>
              </w:rPr>
            </w:pPr>
          </w:p>
        </w:tc>
        <w:tc>
          <w:tcPr>
            <w:tcW w:w="3300" w:type="dxa"/>
            <w:vAlign w:val="bottom"/>
            <w:tcBorders>
              <w:bottom w:val="single" w:sz="8" w:color="0000EE"/>
            </w:tcBorders>
            <w:gridSpan w:val="17"/>
          </w:tcPr>
          <w:p>
            <w:pPr>
              <w:spacing w:after="0"/>
              <w:rPr>
                <w:rFonts w:ascii="Arial" w:cs="Arial" w:eastAsia="Arial" w:hAnsi="Arial"/>
                <w:sz w:val="17"/>
                <w:szCs w:val="17"/>
                <w:color w:val="0000EE"/>
              </w:rPr>
            </w:pPr>
            <w:hyperlink r:id="rId154">
              <w:r>
                <w:rPr>
                  <w:rFonts w:ascii="Arial" w:cs="Arial" w:eastAsia="Arial" w:hAnsi="Arial"/>
                  <w:sz w:val="17"/>
                  <w:szCs w:val="17"/>
                  <w:color w:val="0000EE"/>
                </w:rPr>
                <w:t>Lease Agreement, dated May 21, 2011, by</w:t>
              </w:r>
            </w:hyperlink>
          </w:p>
        </w:tc>
        <w:tc>
          <w:tcPr>
            <w:tcW w:w="260" w:type="dxa"/>
            <w:vAlign w:val="bottom"/>
            <w:gridSpan w:val="9"/>
          </w:tcPr>
          <w:p>
            <w:pPr>
              <w:spacing w:after="0"/>
              <w:rPr>
                <w:sz w:val="24"/>
                <w:szCs w:val="2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S-1/A</w:t>
            </w:r>
          </w:p>
        </w:tc>
        <w:tc>
          <w:tcPr>
            <w:tcW w:w="1500" w:type="dxa"/>
            <w:vAlign w:val="bottom"/>
          </w:tcPr>
          <w:p>
            <w:pPr>
              <w:jc w:val="center"/>
              <w:spacing w:after="0"/>
              <w:rPr>
                <w:sz w:val="20"/>
                <w:szCs w:val="20"/>
                <w:color w:val="auto"/>
              </w:rPr>
            </w:pPr>
            <w:r>
              <w:rPr>
                <w:rFonts w:ascii="Arial" w:cs="Arial" w:eastAsia="Arial" w:hAnsi="Arial"/>
                <w:sz w:val="17"/>
                <w:szCs w:val="17"/>
                <w:color w:val="auto"/>
              </w:rPr>
              <w:t>333-248655</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10.8</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June 1,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gridSpan w:val="26"/>
          </w:tcPr>
          <w:p>
            <w:pPr>
              <w:spacing w:after="0" w:line="176" w:lineRule="exact"/>
              <w:rPr>
                <w:rFonts w:ascii="Arial" w:cs="Arial" w:eastAsia="Arial" w:hAnsi="Arial"/>
                <w:sz w:val="17"/>
                <w:szCs w:val="17"/>
                <w:color w:val="0000EE"/>
              </w:rPr>
            </w:pPr>
            <w:hyperlink r:id="rId154">
              <w:r>
                <w:rPr>
                  <w:rFonts w:ascii="Arial" w:cs="Arial" w:eastAsia="Arial" w:hAnsi="Arial"/>
                  <w:sz w:val="17"/>
                  <w:szCs w:val="17"/>
                  <w:color w:val="0000EE"/>
                </w:rPr>
                <w:t>and between Sohani Heritage Trust and Left</w:t>
              </w:r>
            </w:hyperlink>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0" w:type="dxa"/>
            <w:vAlign w:val="bottom"/>
            <w:tcBorders>
              <w:top w:val="single" w:sz="8" w:color="0000EE"/>
            </w:tcBorders>
            <w:gridSpan w:val="19"/>
          </w:tcPr>
          <w:p>
            <w:pPr>
              <w:spacing w:after="0" w:line="176" w:lineRule="exact"/>
              <w:rPr>
                <w:rFonts w:ascii="Arial" w:cs="Arial" w:eastAsia="Arial" w:hAnsi="Arial"/>
                <w:sz w:val="17"/>
                <w:szCs w:val="17"/>
                <w:color w:val="0000EE"/>
              </w:rPr>
            </w:pPr>
            <w:hyperlink r:id="rId154">
              <w:r>
                <w:rPr>
                  <w:rFonts w:ascii="Arial" w:cs="Arial" w:eastAsia="Arial" w:hAnsi="Arial"/>
                  <w:sz w:val="17"/>
                  <w:szCs w:val="17"/>
                  <w:color w:val="0000EE"/>
                </w:rPr>
                <w:t>Gate Property Holding, Inc. d/b/a Texas</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top w:val="single" w:sz="8" w:color="0000EE"/>
              <w:bottom w:val="single" w:sz="8" w:color="0000EE"/>
            </w:tcBorders>
            <w:gridSpan w:val="2"/>
          </w:tcPr>
          <w:p>
            <w:pPr>
              <w:spacing w:after="0" w:line="176" w:lineRule="exact"/>
              <w:rPr>
                <w:rFonts w:ascii="Arial" w:cs="Arial" w:eastAsia="Arial" w:hAnsi="Arial"/>
                <w:sz w:val="17"/>
                <w:szCs w:val="17"/>
                <w:color w:val="0000EE"/>
                <w:w w:val="99"/>
              </w:rPr>
            </w:pPr>
            <w:hyperlink r:id="rId154">
              <w:r>
                <w:rPr>
                  <w:rFonts w:ascii="Arial" w:cs="Arial" w:eastAsia="Arial" w:hAnsi="Arial"/>
                  <w:sz w:val="17"/>
                  <w:szCs w:val="17"/>
                  <w:color w:val="0000EE"/>
                  <w:w w:val="99"/>
                </w:rPr>
                <w:t>Direct Auto</w:t>
              </w:r>
            </w:hyperlink>
          </w:p>
        </w:tc>
        <w:tc>
          <w:tcPr>
            <w:tcW w:w="2180" w:type="dxa"/>
            <w:vAlign w:val="bottom"/>
            <w:tcBorders>
              <w:top w:val="single" w:sz="8" w:color="0000EE"/>
            </w:tcBorders>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18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7"/>
        </w:trPr>
        <w:tc>
          <w:tcPr>
            <w:tcW w:w="940" w:type="dxa"/>
            <w:vAlign w:val="bottom"/>
          </w:tcPr>
          <w:p>
            <w:pPr>
              <w:spacing w:after="0"/>
              <w:rPr>
                <w:sz w:val="20"/>
                <w:szCs w:val="20"/>
                <w:color w:val="auto"/>
              </w:rPr>
            </w:pPr>
            <w:r>
              <w:rPr>
                <w:rFonts w:ascii="Arial" w:cs="Arial" w:eastAsia="Arial" w:hAnsi="Arial"/>
                <w:sz w:val="17"/>
                <w:szCs w:val="17"/>
                <w:color w:val="auto"/>
              </w:rPr>
              <w:t>10.17</w:t>
            </w:r>
          </w:p>
        </w:tc>
        <w:tc>
          <w:tcPr>
            <w:tcW w:w="80" w:type="dxa"/>
            <w:vAlign w:val="bottom"/>
          </w:tcPr>
          <w:p>
            <w:pPr>
              <w:spacing w:after="0"/>
              <w:rPr>
                <w:sz w:val="24"/>
                <w:szCs w:val="24"/>
                <w:color w:val="auto"/>
              </w:rPr>
            </w:pPr>
          </w:p>
        </w:tc>
        <w:tc>
          <w:tcPr>
            <w:tcW w:w="3560" w:type="dxa"/>
            <w:vAlign w:val="bottom"/>
            <w:gridSpan w:val="26"/>
          </w:tcPr>
          <w:p>
            <w:pPr>
              <w:spacing w:after="0"/>
              <w:rPr>
                <w:rFonts w:ascii="Arial" w:cs="Arial" w:eastAsia="Arial" w:hAnsi="Arial"/>
                <w:sz w:val="17"/>
                <w:szCs w:val="17"/>
                <w:color w:val="0000EE"/>
              </w:rPr>
            </w:pPr>
            <w:hyperlink w:anchor="page171">
              <w:r>
                <w:rPr>
                  <w:rFonts w:ascii="Arial" w:cs="Arial" w:eastAsia="Arial" w:hAnsi="Arial"/>
                  <w:sz w:val="17"/>
                  <w:szCs w:val="17"/>
                  <w:color w:val="0000EE"/>
                </w:rPr>
                <w:t>First Amendment to Lease Agreement, dated</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rPr>
              <w:t>X</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80" w:type="dxa"/>
            <w:vAlign w:val="bottom"/>
            <w:tcBorders>
              <w:top w:val="single" w:sz="8" w:color="0000EE"/>
            </w:tcBorders>
            <w:gridSpan w:val="22"/>
          </w:tcPr>
          <w:p>
            <w:pPr>
              <w:spacing w:after="0" w:line="176" w:lineRule="exact"/>
              <w:rPr>
                <w:rFonts w:ascii="Arial" w:cs="Arial" w:eastAsia="Arial" w:hAnsi="Arial"/>
                <w:sz w:val="17"/>
                <w:szCs w:val="17"/>
                <w:color w:val="0000EE"/>
              </w:rPr>
            </w:pPr>
            <w:hyperlink w:anchor="page171">
              <w:r>
                <w:rPr>
                  <w:rFonts w:ascii="Arial" w:cs="Arial" w:eastAsia="Arial" w:hAnsi="Arial"/>
                  <w:sz w:val="17"/>
                  <w:szCs w:val="17"/>
                  <w:color w:val="0000EE"/>
                </w:rPr>
                <w:t>December 28, 2018, by and between Sohani</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40" w:type="dxa"/>
            <w:vAlign w:val="bottom"/>
            <w:tcBorders>
              <w:top w:val="single" w:sz="8" w:color="0000EE"/>
            </w:tcBorders>
            <w:gridSpan w:val="20"/>
          </w:tcPr>
          <w:p>
            <w:pPr>
              <w:spacing w:after="0" w:line="176" w:lineRule="exact"/>
              <w:rPr>
                <w:rFonts w:ascii="Arial" w:cs="Arial" w:eastAsia="Arial" w:hAnsi="Arial"/>
                <w:sz w:val="17"/>
                <w:szCs w:val="17"/>
                <w:color w:val="0000EE"/>
              </w:rPr>
            </w:pPr>
            <w:hyperlink w:anchor="page171">
              <w:r>
                <w:rPr>
                  <w:rFonts w:ascii="Arial" w:cs="Arial" w:eastAsia="Arial" w:hAnsi="Arial"/>
                  <w:sz w:val="17"/>
                  <w:szCs w:val="17"/>
                  <w:color w:val="0000EE"/>
                </w:rPr>
                <w:t>Heritage Trust and Left Gate Property, Inc.</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Borders>
              <w:top w:val="single" w:sz="8" w:color="0000EE"/>
              <w:bottom w:val="single" w:sz="8" w:color="0000EE"/>
            </w:tcBorders>
            <w:gridSpan w:val="3"/>
          </w:tcPr>
          <w:p>
            <w:pPr>
              <w:spacing w:after="0" w:line="176" w:lineRule="exact"/>
              <w:rPr>
                <w:rFonts w:ascii="Arial" w:cs="Arial" w:eastAsia="Arial" w:hAnsi="Arial"/>
                <w:sz w:val="17"/>
                <w:szCs w:val="17"/>
                <w:color w:val="0000EE"/>
              </w:rPr>
            </w:pPr>
            <w:hyperlink w:anchor="page171">
              <w:r>
                <w:rPr>
                  <w:rFonts w:ascii="Arial" w:cs="Arial" w:eastAsia="Arial" w:hAnsi="Arial"/>
                  <w:sz w:val="17"/>
                  <w:szCs w:val="17"/>
                  <w:color w:val="0000EE"/>
                </w:rPr>
                <w:t>d/b/a Texas Direct Auto</w:t>
              </w:r>
            </w:hyperlink>
          </w:p>
        </w:tc>
        <w:tc>
          <w:tcPr>
            <w:tcW w:w="1460" w:type="dxa"/>
            <w:vAlign w:val="bottom"/>
            <w:tcBorders>
              <w:top w:val="single" w:sz="8" w:color="0000EE"/>
            </w:tcBorders>
            <w:gridSpan w:val="12"/>
          </w:tcPr>
          <w:p>
            <w:pPr>
              <w:spacing w:after="0"/>
              <w:rPr>
                <w:sz w:val="15"/>
                <w:szCs w:val="15"/>
                <w:color w:val="auto"/>
              </w:rPr>
            </w:pPr>
          </w:p>
        </w:tc>
        <w:tc>
          <w:tcPr>
            <w:tcW w:w="20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7"/>
        </w:trPr>
        <w:tc>
          <w:tcPr>
            <w:tcW w:w="940" w:type="dxa"/>
            <w:vAlign w:val="bottom"/>
          </w:tcPr>
          <w:p>
            <w:pPr>
              <w:spacing w:after="0"/>
              <w:rPr>
                <w:sz w:val="20"/>
                <w:szCs w:val="20"/>
                <w:color w:val="auto"/>
              </w:rPr>
            </w:pPr>
            <w:r>
              <w:rPr>
                <w:rFonts w:ascii="Arial" w:cs="Arial" w:eastAsia="Arial" w:hAnsi="Arial"/>
                <w:sz w:val="17"/>
                <w:szCs w:val="17"/>
                <w:color w:val="auto"/>
              </w:rPr>
              <w:t>10.18</w:t>
            </w:r>
          </w:p>
        </w:tc>
        <w:tc>
          <w:tcPr>
            <w:tcW w:w="80" w:type="dxa"/>
            <w:vAlign w:val="bottom"/>
          </w:tcPr>
          <w:p>
            <w:pPr>
              <w:spacing w:after="0"/>
              <w:rPr>
                <w:sz w:val="24"/>
                <w:szCs w:val="24"/>
                <w:color w:val="auto"/>
              </w:rPr>
            </w:pPr>
          </w:p>
        </w:tc>
        <w:tc>
          <w:tcPr>
            <w:tcW w:w="3240" w:type="dxa"/>
            <w:vAlign w:val="bottom"/>
            <w:tcBorders>
              <w:bottom w:val="single" w:sz="8" w:color="0000EE"/>
            </w:tcBorders>
            <w:gridSpan w:val="14"/>
          </w:tcPr>
          <w:p>
            <w:pPr>
              <w:spacing w:after="0"/>
              <w:rPr>
                <w:rFonts w:ascii="Arial" w:cs="Arial" w:eastAsia="Arial" w:hAnsi="Arial"/>
                <w:sz w:val="17"/>
                <w:szCs w:val="17"/>
                <w:color w:val="0000EE"/>
              </w:rPr>
            </w:pPr>
            <w:hyperlink w:anchor="page174">
              <w:r>
                <w:rPr>
                  <w:rFonts w:ascii="Arial" w:cs="Arial" w:eastAsia="Arial" w:hAnsi="Arial"/>
                  <w:sz w:val="17"/>
                  <w:szCs w:val="17"/>
                  <w:color w:val="0000EE"/>
                </w:rPr>
                <w:t>Second Amendment to Lease Agreement,</w:t>
              </w:r>
            </w:hyperlink>
          </w:p>
        </w:tc>
        <w:tc>
          <w:tcPr>
            <w:tcW w:w="320" w:type="dxa"/>
            <w:vAlign w:val="bottom"/>
            <w:gridSpan w:val="12"/>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rPr>
              <w:t>X</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gridSpan w:val="26"/>
          </w:tcPr>
          <w:p>
            <w:pPr>
              <w:spacing w:after="0" w:line="176" w:lineRule="exact"/>
              <w:rPr>
                <w:rFonts w:ascii="Arial" w:cs="Arial" w:eastAsia="Arial" w:hAnsi="Arial"/>
                <w:sz w:val="17"/>
                <w:szCs w:val="17"/>
                <w:color w:val="0000EE"/>
              </w:rPr>
            </w:pPr>
            <w:hyperlink w:anchor="page174">
              <w:r>
                <w:rPr>
                  <w:rFonts w:ascii="Arial" w:cs="Arial" w:eastAsia="Arial" w:hAnsi="Arial"/>
                  <w:sz w:val="17"/>
                  <w:szCs w:val="17"/>
                  <w:color w:val="0000EE"/>
                </w:rPr>
                <w:t>dated April 28, 2020, by and between Sohani</w:t>
              </w:r>
            </w:hyperlink>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tcBorders>
              <w:top w:val="single" w:sz="8" w:color="0000EE"/>
              <w:bottom w:val="single" w:sz="8" w:color="0000EE"/>
            </w:tcBorders>
            <w:gridSpan w:val="23"/>
          </w:tcPr>
          <w:p>
            <w:pPr>
              <w:spacing w:after="0" w:line="176" w:lineRule="exact"/>
              <w:rPr>
                <w:rFonts w:ascii="Arial" w:cs="Arial" w:eastAsia="Arial" w:hAnsi="Arial"/>
                <w:sz w:val="17"/>
                <w:szCs w:val="17"/>
                <w:color w:val="0000EE"/>
              </w:rPr>
            </w:pPr>
            <w:hyperlink w:anchor="page174">
              <w:r>
                <w:rPr>
                  <w:rFonts w:ascii="Arial" w:cs="Arial" w:eastAsia="Arial" w:hAnsi="Arial"/>
                  <w:sz w:val="17"/>
                  <w:szCs w:val="17"/>
                  <w:color w:val="0000EE"/>
                </w:rPr>
                <w:t>Heritage Trust and Vroom, Inc., as successor</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24"/>
          </w:tcPr>
          <w:p>
            <w:pPr>
              <w:spacing w:after="0" w:line="180" w:lineRule="exact"/>
              <w:rPr>
                <w:rFonts w:ascii="Arial" w:cs="Arial" w:eastAsia="Arial" w:hAnsi="Arial"/>
                <w:sz w:val="17"/>
                <w:szCs w:val="17"/>
                <w:u w:val="single" w:color="auto"/>
                <w:color w:val="0000EE"/>
              </w:rPr>
            </w:pPr>
            <w:hyperlink w:anchor="page174">
              <w:r>
                <w:rPr>
                  <w:rFonts w:ascii="Arial" w:cs="Arial" w:eastAsia="Arial" w:hAnsi="Arial"/>
                  <w:sz w:val="17"/>
                  <w:szCs w:val="17"/>
                  <w:u w:val="single" w:color="auto"/>
                  <w:color w:val="0000EE"/>
                </w:rPr>
                <w:t>to Left Gate Property Holding, Inc. d/b/a</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6"/>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26"/>
          </w:tcPr>
          <w:p>
            <w:pPr>
              <w:spacing w:after="0"/>
              <w:rPr>
                <w:rFonts w:ascii="Arial" w:cs="Arial" w:eastAsia="Arial" w:hAnsi="Arial"/>
                <w:sz w:val="17"/>
                <w:szCs w:val="17"/>
                <w:u w:val="single" w:color="auto"/>
                <w:color w:val="0000EE"/>
              </w:rPr>
            </w:pPr>
            <w:hyperlink w:anchor="page174">
              <w:r>
                <w:rPr>
                  <w:rFonts w:ascii="Arial" w:cs="Arial" w:eastAsia="Arial" w:hAnsi="Arial"/>
                  <w:sz w:val="17"/>
                  <w:szCs w:val="17"/>
                  <w:u w:val="single" w:color="auto"/>
                  <w:color w:val="0000EE"/>
                </w:rPr>
                <w:t>Texas Direct Auto</w:t>
              </w:r>
            </w:hyperlink>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4"/>
        </w:trPr>
        <w:tc>
          <w:tcPr>
            <w:tcW w:w="940" w:type="dxa"/>
            <w:vAlign w:val="bottom"/>
          </w:tcPr>
          <w:p>
            <w:pPr>
              <w:spacing w:after="0"/>
              <w:rPr>
                <w:sz w:val="20"/>
                <w:szCs w:val="20"/>
                <w:color w:val="auto"/>
              </w:rPr>
            </w:pPr>
            <w:r>
              <w:rPr>
                <w:rFonts w:ascii="Arial" w:cs="Arial" w:eastAsia="Arial" w:hAnsi="Arial"/>
                <w:sz w:val="17"/>
                <w:szCs w:val="17"/>
                <w:color w:val="auto"/>
              </w:rPr>
              <w:t>10.19</w:t>
            </w:r>
          </w:p>
        </w:tc>
        <w:tc>
          <w:tcPr>
            <w:tcW w:w="80" w:type="dxa"/>
            <w:vAlign w:val="bottom"/>
          </w:tcPr>
          <w:p>
            <w:pPr>
              <w:spacing w:after="0"/>
              <w:rPr>
                <w:sz w:val="24"/>
                <w:szCs w:val="24"/>
                <w:color w:val="auto"/>
              </w:rPr>
            </w:pPr>
          </w:p>
        </w:tc>
        <w:tc>
          <w:tcPr>
            <w:tcW w:w="3560" w:type="dxa"/>
            <w:vAlign w:val="bottom"/>
            <w:gridSpan w:val="26"/>
          </w:tcPr>
          <w:p>
            <w:pPr>
              <w:spacing w:after="0"/>
              <w:rPr>
                <w:rFonts w:ascii="Arial" w:cs="Arial" w:eastAsia="Arial" w:hAnsi="Arial"/>
                <w:sz w:val="17"/>
                <w:szCs w:val="17"/>
                <w:color w:val="0000EE"/>
              </w:rPr>
            </w:pPr>
            <w:hyperlink w:anchor="page177">
              <w:r>
                <w:rPr>
                  <w:rFonts w:ascii="Arial" w:cs="Arial" w:eastAsia="Arial" w:hAnsi="Arial"/>
                  <w:sz w:val="17"/>
                  <w:szCs w:val="17"/>
                  <w:color w:val="0000EE"/>
                </w:rPr>
                <w:t>Third Amendment to Lease Agreement,</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rPr>
              <w:t>X</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60" w:type="dxa"/>
            <w:vAlign w:val="bottom"/>
            <w:tcBorders>
              <w:top w:val="single" w:sz="8" w:color="0000EE"/>
              <w:bottom w:val="single" w:sz="8" w:color="0000EE"/>
            </w:tcBorders>
            <w:gridSpan w:val="6"/>
          </w:tcPr>
          <w:p>
            <w:pPr>
              <w:spacing w:after="0" w:line="176" w:lineRule="exact"/>
              <w:rPr>
                <w:rFonts w:ascii="Arial" w:cs="Arial" w:eastAsia="Arial" w:hAnsi="Arial"/>
                <w:sz w:val="17"/>
                <w:szCs w:val="17"/>
                <w:color w:val="0000EE"/>
                <w:w w:val="98"/>
              </w:rPr>
            </w:pPr>
            <w:hyperlink w:anchor="page177">
              <w:r>
                <w:rPr>
                  <w:rFonts w:ascii="Arial" w:cs="Arial" w:eastAsia="Arial" w:hAnsi="Arial"/>
                  <w:sz w:val="17"/>
                  <w:szCs w:val="17"/>
                  <w:color w:val="0000EE"/>
                  <w:w w:val="98"/>
                </w:rPr>
                <w:t>dated January 28, 2021, by and between</w:t>
              </w:r>
            </w:hyperlink>
          </w:p>
        </w:tc>
        <w:tc>
          <w:tcPr>
            <w:tcW w:w="60" w:type="dxa"/>
            <w:vAlign w:val="bottom"/>
            <w:tcBorders>
              <w:bottom w:val="single" w:sz="8" w:color="0000EE"/>
            </w:tcBorders>
            <w:gridSpan w:val="3"/>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9"/>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gridSpan w:val="26"/>
          </w:tcPr>
          <w:p>
            <w:pPr>
              <w:spacing w:after="0" w:line="176" w:lineRule="exact"/>
              <w:rPr>
                <w:rFonts w:ascii="Arial" w:cs="Arial" w:eastAsia="Arial" w:hAnsi="Arial"/>
                <w:sz w:val="17"/>
                <w:szCs w:val="17"/>
                <w:color w:val="0000EE"/>
              </w:rPr>
            </w:pPr>
            <w:hyperlink w:anchor="page177">
              <w:r>
                <w:rPr>
                  <w:rFonts w:ascii="Arial" w:cs="Arial" w:eastAsia="Arial" w:hAnsi="Arial"/>
                  <w:sz w:val="17"/>
                  <w:szCs w:val="17"/>
                  <w:color w:val="0000EE"/>
                </w:rPr>
                <w:t>Sohani Heritage Trust and Left Gate Property</w:t>
              </w:r>
            </w:hyperlink>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40" w:type="dxa"/>
            <w:vAlign w:val="bottom"/>
            <w:tcBorders>
              <w:top w:val="single" w:sz="8" w:color="0000EE"/>
            </w:tcBorders>
            <w:gridSpan w:val="25"/>
          </w:tcPr>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Holding, LLC d/b/a Texas Direct Auto</w:t>
              </w:r>
            </w:hyperlink>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4"/>
        </w:trPr>
        <w:tc>
          <w:tcPr>
            <w:tcW w:w="940" w:type="dxa"/>
            <w:vAlign w:val="bottom"/>
          </w:tcPr>
          <w:p>
            <w:pPr>
              <w:spacing w:after="0"/>
              <w:rPr>
                <w:sz w:val="20"/>
                <w:szCs w:val="20"/>
                <w:color w:val="auto"/>
              </w:rPr>
            </w:pPr>
            <w:r>
              <w:rPr>
                <w:rFonts w:ascii="Arial" w:cs="Arial" w:eastAsia="Arial" w:hAnsi="Arial"/>
                <w:sz w:val="17"/>
                <w:szCs w:val="17"/>
                <w:color w:val="auto"/>
              </w:rPr>
              <w:t>10.20</w:t>
            </w:r>
          </w:p>
        </w:tc>
        <w:tc>
          <w:tcPr>
            <w:tcW w:w="80" w:type="dxa"/>
            <w:vAlign w:val="bottom"/>
          </w:tcPr>
          <w:p>
            <w:pPr>
              <w:spacing w:after="0"/>
              <w:rPr>
                <w:sz w:val="23"/>
                <w:szCs w:val="23"/>
                <w:color w:val="auto"/>
              </w:rPr>
            </w:pPr>
          </w:p>
        </w:tc>
        <w:tc>
          <w:tcPr>
            <w:tcW w:w="3560" w:type="dxa"/>
            <w:vAlign w:val="bottom"/>
            <w:gridSpan w:val="26"/>
          </w:tcPr>
          <w:p>
            <w:pPr>
              <w:spacing w:after="0"/>
              <w:rPr>
                <w:rFonts w:ascii="Arial" w:cs="Arial" w:eastAsia="Arial" w:hAnsi="Arial"/>
                <w:sz w:val="17"/>
                <w:szCs w:val="17"/>
                <w:color w:val="0000EE"/>
              </w:rPr>
            </w:pPr>
            <w:hyperlink r:id="rId155">
              <w:r>
                <w:rPr>
                  <w:rFonts w:ascii="Arial" w:cs="Arial" w:eastAsia="Arial" w:hAnsi="Arial"/>
                  <w:sz w:val="17"/>
                  <w:szCs w:val="17"/>
                  <w:color w:val="0000EE"/>
                </w:rPr>
                <w:t>Development Agreement, dated June 28,</w:t>
              </w:r>
            </w:hyperlink>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S-1/A</w:t>
            </w:r>
          </w:p>
        </w:tc>
        <w:tc>
          <w:tcPr>
            <w:tcW w:w="1500" w:type="dxa"/>
            <w:vAlign w:val="bottom"/>
          </w:tcPr>
          <w:p>
            <w:pPr>
              <w:jc w:val="center"/>
              <w:spacing w:after="0"/>
              <w:rPr>
                <w:sz w:val="20"/>
                <w:szCs w:val="20"/>
                <w:color w:val="auto"/>
              </w:rPr>
            </w:pPr>
            <w:r>
              <w:rPr>
                <w:rFonts w:ascii="Arial" w:cs="Arial" w:eastAsia="Arial" w:hAnsi="Arial"/>
                <w:sz w:val="17"/>
                <w:szCs w:val="17"/>
                <w:color w:val="auto"/>
              </w:rPr>
              <w:t>333-248655</w:t>
            </w:r>
          </w:p>
        </w:tc>
        <w:tc>
          <w:tcPr>
            <w:tcW w:w="10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10.9</w:t>
            </w:r>
          </w:p>
        </w:tc>
        <w:tc>
          <w:tcPr>
            <w:tcW w:w="60" w:type="dxa"/>
            <w:vAlign w:val="bottom"/>
          </w:tcPr>
          <w:p>
            <w:pPr>
              <w:spacing w:after="0"/>
              <w:rPr>
                <w:sz w:val="23"/>
                <w:szCs w:val="23"/>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June 1, 2020</w:t>
            </w:r>
          </w:p>
        </w:tc>
        <w:tc>
          <w:tcPr>
            <w:tcW w:w="8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tcBorders>
              <w:top w:val="single" w:sz="8" w:color="0000EE"/>
            </w:tcBorders>
            <w:gridSpan w:val="12"/>
          </w:tcPr>
          <w:p>
            <w:pPr>
              <w:spacing w:after="0" w:line="176" w:lineRule="exact"/>
              <w:rPr>
                <w:rFonts w:ascii="Arial" w:cs="Arial" w:eastAsia="Arial" w:hAnsi="Arial"/>
                <w:sz w:val="17"/>
                <w:szCs w:val="17"/>
                <w:color w:val="0000EE"/>
              </w:rPr>
            </w:pPr>
            <w:hyperlink r:id="rId155">
              <w:r>
                <w:rPr>
                  <w:rFonts w:ascii="Arial" w:cs="Arial" w:eastAsia="Arial" w:hAnsi="Arial"/>
                  <w:sz w:val="17"/>
                  <w:szCs w:val="17"/>
                  <w:color w:val="0000EE"/>
                </w:rPr>
                <w:t>2011, as amended, by and between The</w:t>
              </w:r>
            </w:hyperlink>
          </w:p>
        </w:tc>
        <w:tc>
          <w:tcPr>
            <w:tcW w:w="380" w:type="dxa"/>
            <w:vAlign w:val="bottom"/>
            <w:gridSpan w:val="14"/>
          </w:tcPr>
          <w:p>
            <w:pPr>
              <w:spacing w:after="0" w:line="176" w:lineRule="exact"/>
              <w:rPr>
                <w:rFonts w:ascii="Arial" w:cs="Arial" w:eastAsia="Arial" w:hAnsi="Arial"/>
                <w:sz w:val="17"/>
                <w:szCs w:val="17"/>
                <w:color w:val="0000EE"/>
              </w:rPr>
            </w:pPr>
            <w:hyperlink r:id="rId155">
              <w:r>
                <w:rPr>
                  <w:rFonts w:ascii="Arial" w:cs="Arial" w:eastAsia="Arial" w:hAnsi="Arial"/>
                  <w:sz w:val="17"/>
                  <w:szCs w:val="17"/>
                  <w:color w:val="0000EE"/>
                </w:rPr>
                <w:t>City</w:t>
              </w:r>
            </w:hyperlink>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gridSpan w:val="21"/>
          </w:tcPr>
          <w:p>
            <w:pPr>
              <w:spacing w:after="0" w:line="176" w:lineRule="exact"/>
              <w:rPr>
                <w:rFonts w:ascii="Arial" w:cs="Arial" w:eastAsia="Arial" w:hAnsi="Arial"/>
                <w:sz w:val="17"/>
                <w:szCs w:val="17"/>
                <w:color w:val="0000EE"/>
              </w:rPr>
            </w:pPr>
            <w:hyperlink r:id="rId155">
              <w:r>
                <w:rPr>
                  <w:rFonts w:ascii="Arial" w:cs="Arial" w:eastAsia="Arial" w:hAnsi="Arial"/>
                  <w:sz w:val="17"/>
                  <w:szCs w:val="17"/>
                  <w:color w:val="0000EE"/>
                </w:rPr>
                <w:t>of Meadows Place, Texas and Left Gate</w:t>
              </w:r>
            </w:hyperlink>
          </w:p>
        </w:tc>
        <w:tc>
          <w:tcPr>
            <w:tcW w:w="100" w:type="dxa"/>
            <w:vAlign w:val="bottom"/>
            <w:gridSpan w:val="5"/>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20" w:type="dxa"/>
            <w:vAlign w:val="bottom"/>
            <w:tcBorders>
              <w:top w:val="single" w:sz="8" w:color="0000EE"/>
            </w:tcBorders>
            <w:gridSpan w:val="9"/>
          </w:tcPr>
          <w:p>
            <w:pPr>
              <w:spacing w:after="0" w:line="180" w:lineRule="exact"/>
              <w:rPr>
                <w:rFonts w:ascii="Arial" w:cs="Arial" w:eastAsia="Arial" w:hAnsi="Arial"/>
                <w:sz w:val="17"/>
                <w:szCs w:val="17"/>
                <w:u w:val="single" w:color="auto"/>
                <w:color w:val="0000EE"/>
              </w:rPr>
            </w:pPr>
            <w:hyperlink r:id="rId155">
              <w:r>
                <w:rPr>
                  <w:rFonts w:ascii="Arial" w:cs="Arial" w:eastAsia="Arial" w:hAnsi="Arial"/>
                  <w:sz w:val="17"/>
                  <w:szCs w:val="17"/>
                  <w:u w:val="single" w:color="auto"/>
                  <w:color w:val="0000EE"/>
                </w:rPr>
                <w:t>Property Holding, Inc. d/b/a Texas Direct</w:t>
              </w:r>
            </w:hyperlink>
          </w:p>
        </w:tc>
        <w:tc>
          <w:tcPr>
            <w:tcW w:w="440" w:type="dxa"/>
            <w:vAlign w:val="bottom"/>
            <w:gridSpan w:val="17"/>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6"/>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26"/>
          </w:tcPr>
          <w:p>
            <w:pPr>
              <w:spacing w:after="0"/>
              <w:rPr>
                <w:rFonts w:ascii="Arial" w:cs="Arial" w:eastAsia="Arial" w:hAnsi="Arial"/>
                <w:sz w:val="17"/>
                <w:szCs w:val="17"/>
                <w:u w:val="single" w:color="auto"/>
                <w:color w:val="0000EE"/>
              </w:rPr>
            </w:pPr>
            <w:hyperlink r:id="rId155">
              <w:r>
                <w:rPr>
                  <w:rFonts w:ascii="Arial" w:cs="Arial" w:eastAsia="Arial" w:hAnsi="Arial"/>
                  <w:sz w:val="17"/>
                  <w:szCs w:val="17"/>
                  <w:u w:val="single" w:color="auto"/>
                  <w:color w:val="0000EE"/>
                </w:rPr>
                <w:t>Auto and Vroom</w:t>
              </w:r>
            </w:hyperlink>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6"/>
        </w:trPr>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jc w:val="right"/>
              <w:ind w:right="955"/>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-7620</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212529"/>
              </w:rPr>
              <w:t>Filing</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212529"/>
                <w:w w:val="97"/>
              </w:rPr>
              <w:t>Filed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212529"/>
              </w:rPr>
              <w:t>Furnished</w:t>
            </w:r>
          </w:p>
        </w:tc>
        <w:tc>
          <w:tcPr>
            <w:tcW w:w="20" w:type="dxa"/>
            <w:vAlign w:val="bottom"/>
          </w:tcPr>
          <w:p>
            <w:pPr>
              <w:spacing w:after="0"/>
              <w:rPr>
                <w:sz w:val="14"/>
                <w:szCs w:val="14"/>
                <w:color w:val="auto"/>
              </w:rPr>
            </w:pPr>
          </w:p>
        </w:tc>
      </w:tr>
      <w:tr>
        <w:trPr>
          <w:trHeight w:val="170"/>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0"/>
          </w:tcPr>
          <w:p>
            <w:pPr>
              <w:ind w:left="160"/>
              <w:spacing w:after="0"/>
              <w:rPr>
                <w:sz w:val="20"/>
                <w:szCs w:val="20"/>
                <w:color w:val="auto"/>
              </w:rPr>
            </w:pPr>
            <w:r>
              <w:rPr>
                <w:rFonts w:ascii="Arial" w:cs="Arial" w:eastAsia="Arial" w:hAnsi="Arial"/>
                <w:sz w:val="14"/>
                <w:szCs w:val="14"/>
                <w:b w:val="1"/>
                <w:bCs w:val="1"/>
                <w:color w:val="212529"/>
              </w:rPr>
              <w:t>Exhibit Description</w:t>
            </w:r>
          </w:p>
        </w:tc>
        <w:tc>
          <w:tcPr>
            <w:tcW w:w="5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212529"/>
                <w:w w:val="97"/>
              </w:rPr>
              <w:t>Form</w:t>
            </w:r>
          </w:p>
        </w:tc>
        <w:tc>
          <w:tcPr>
            <w:tcW w:w="80" w:type="dxa"/>
            <w:vAlign w:val="bottom"/>
          </w:tcPr>
          <w:p>
            <w:pPr>
              <w:spacing w:after="0"/>
              <w:rPr>
                <w:sz w:val="14"/>
                <w:szCs w:val="14"/>
                <w:color w:val="auto"/>
              </w:rPr>
            </w:pPr>
          </w:p>
        </w:tc>
        <w:tc>
          <w:tcPr>
            <w:tcW w:w="15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212529"/>
              </w:rPr>
              <w:t>File No.</w:t>
            </w:r>
          </w:p>
        </w:tc>
        <w:tc>
          <w:tcPr>
            <w:tcW w:w="100" w:type="dxa"/>
            <w:vAlign w:val="bottom"/>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212529"/>
              </w:rPr>
              <w:t>Exhibit</w:t>
            </w:r>
          </w:p>
        </w:tc>
        <w:tc>
          <w:tcPr>
            <w:tcW w:w="6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w w:val="98"/>
              </w:rPr>
              <w:t>Date</w:t>
            </w:r>
          </w:p>
        </w:tc>
        <w:tc>
          <w:tcPr>
            <w:tcW w:w="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20" w:type="dxa"/>
            <w:vAlign w:val="bottom"/>
          </w:tcPr>
          <w:p>
            <w:pPr>
              <w:spacing w:after="0"/>
              <w:rPr>
                <w:sz w:val="14"/>
                <w:szCs w:val="14"/>
                <w:color w:val="auto"/>
              </w:rPr>
            </w:pPr>
          </w:p>
        </w:tc>
      </w:tr>
      <w:tr>
        <w:trPr>
          <w:trHeight w:val="255"/>
        </w:trPr>
        <w:tc>
          <w:tcPr>
            <w:tcW w:w="940" w:type="dxa"/>
            <w:vAlign w:val="bottom"/>
          </w:tcPr>
          <w:p>
            <w:pPr>
              <w:spacing w:after="0"/>
              <w:rPr>
                <w:sz w:val="20"/>
                <w:szCs w:val="20"/>
                <w:color w:val="auto"/>
              </w:rPr>
            </w:pPr>
            <w:r>
              <w:rPr>
                <w:rFonts w:ascii="Arial" w:cs="Arial" w:eastAsia="Arial" w:hAnsi="Arial"/>
                <w:sz w:val="17"/>
                <w:szCs w:val="17"/>
                <w:color w:val="auto"/>
              </w:rPr>
              <w:t>10.21#</w:t>
            </w:r>
          </w:p>
        </w:tc>
        <w:tc>
          <w:tcPr>
            <w:tcW w:w="80" w:type="dxa"/>
            <w:vAlign w:val="bottom"/>
          </w:tcPr>
          <w:p>
            <w:pPr>
              <w:spacing w:after="0"/>
              <w:rPr>
                <w:sz w:val="22"/>
                <w:szCs w:val="22"/>
                <w:color w:val="auto"/>
              </w:rPr>
            </w:pPr>
          </w:p>
        </w:tc>
        <w:tc>
          <w:tcPr>
            <w:tcW w:w="3660" w:type="dxa"/>
            <w:vAlign w:val="bottom"/>
            <w:gridSpan w:val="34"/>
          </w:tcPr>
          <w:p>
            <w:pPr>
              <w:spacing w:after="0"/>
              <w:rPr>
                <w:rFonts w:ascii="Arial" w:cs="Arial" w:eastAsia="Arial" w:hAnsi="Arial"/>
                <w:sz w:val="17"/>
                <w:szCs w:val="17"/>
                <w:color w:val="0000EE"/>
              </w:rPr>
            </w:pPr>
            <w:hyperlink r:id="rId158">
              <w:r>
                <w:rPr>
                  <w:rFonts w:ascii="Arial" w:cs="Arial" w:eastAsia="Arial" w:hAnsi="Arial"/>
                  <w:sz w:val="17"/>
                  <w:szCs w:val="17"/>
                  <w:color w:val="0000EE"/>
                </w:rPr>
                <w:t>Inventory Financing and Security Agreement,</w:t>
              </w:r>
            </w:hyperlink>
          </w:p>
        </w:tc>
        <w:tc>
          <w:tcPr>
            <w:tcW w:w="62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S-1/A</w:t>
            </w:r>
          </w:p>
        </w:tc>
        <w:tc>
          <w:tcPr>
            <w:tcW w:w="1500" w:type="dxa"/>
            <w:vAlign w:val="bottom"/>
          </w:tcPr>
          <w:p>
            <w:pPr>
              <w:jc w:val="center"/>
              <w:spacing w:after="0"/>
              <w:rPr>
                <w:sz w:val="20"/>
                <w:szCs w:val="20"/>
                <w:color w:val="auto"/>
              </w:rPr>
            </w:pPr>
            <w:r>
              <w:rPr>
                <w:rFonts w:ascii="Arial" w:cs="Arial" w:eastAsia="Arial" w:hAnsi="Arial"/>
                <w:sz w:val="17"/>
                <w:szCs w:val="17"/>
                <w:color w:val="auto"/>
              </w:rPr>
              <w:t>333-248655</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rPr>
              <w:t>10.10</w:t>
            </w:r>
          </w:p>
        </w:tc>
        <w:tc>
          <w:tcPr>
            <w:tcW w:w="60" w:type="dxa"/>
            <w:vAlign w:val="bottom"/>
          </w:tcPr>
          <w:p>
            <w:pPr>
              <w:spacing w:after="0"/>
              <w:rPr>
                <w:sz w:val="22"/>
                <w:szCs w:val="22"/>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May 18, 2020</w:t>
            </w:r>
          </w:p>
        </w:tc>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20" w:type="dxa"/>
            <w:vAlign w:val="bottom"/>
            <w:tcBorders>
              <w:top w:val="single" w:sz="8" w:color="0000EE"/>
            </w:tcBorders>
            <w:gridSpan w:val="32"/>
          </w:tcPr>
          <w:p>
            <w:pPr>
              <w:spacing w:after="0" w:line="176" w:lineRule="exact"/>
              <w:rPr>
                <w:rFonts w:ascii="Arial" w:cs="Arial" w:eastAsia="Arial" w:hAnsi="Arial"/>
                <w:sz w:val="17"/>
                <w:szCs w:val="17"/>
                <w:color w:val="0000EE"/>
              </w:rPr>
            </w:pPr>
            <w:hyperlink r:id="rId158">
              <w:r>
                <w:rPr>
                  <w:rFonts w:ascii="Arial" w:cs="Arial" w:eastAsia="Arial" w:hAnsi="Arial"/>
                  <w:sz w:val="17"/>
                  <w:szCs w:val="17"/>
                  <w:color w:val="0000EE"/>
                </w:rPr>
                <w:t>dated March 6, 2020, by and among Ally</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60" w:type="dxa"/>
            <w:vAlign w:val="bottom"/>
            <w:gridSpan w:val="34"/>
          </w:tcPr>
          <w:p>
            <w:pPr>
              <w:spacing w:after="0" w:line="176" w:lineRule="exact"/>
              <w:rPr>
                <w:rFonts w:ascii="Arial" w:cs="Arial" w:eastAsia="Arial" w:hAnsi="Arial"/>
                <w:sz w:val="17"/>
                <w:szCs w:val="17"/>
                <w:color w:val="0000EE"/>
              </w:rPr>
            </w:pPr>
            <w:hyperlink r:id="rId158">
              <w:r>
                <w:rPr>
                  <w:rFonts w:ascii="Arial" w:cs="Arial" w:eastAsia="Arial" w:hAnsi="Arial"/>
                  <w:sz w:val="17"/>
                  <w:szCs w:val="17"/>
                  <w:color w:val="0000EE"/>
                </w:rPr>
                <w:t>Bank, Ally Financial Inc., Left Gate Property</w:t>
              </w:r>
            </w:hyperlink>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tcBorders>
              <w:top w:val="single" w:sz="8" w:color="0000EE"/>
              <w:bottom w:val="single" w:sz="8" w:color="0000EE"/>
            </w:tcBorders>
            <w:gridSpan w:val="6"/>
          </w:tcPr>
          <w:p>
            <w:pPr>
              <w:spacing w:after="0" w:line="176" w:lineRule="exact"/>
              <w:rPr>
                <w:rFonts w:ascii="Arial" w:cs="Arial" w:eastAsia="Arial" w:hAnsi="Arial"/>
                <w:sz w:val="17"/>
                <w:szCs w:val="17"/>
                <w:color w:val="0000EE"/>
              </w:rPr>
            </w:pPr>
            <w:hyperlink r:id="rId158">
              <w:r>
                <w:rPr>
                  <w:rFonts w:ascii="Arial" w:cs="Arial" w:eastAsia="Arial" w:hAnsi="Arial"/>
                  <w:sz w:val="17"/>
                  <w:szCs w:val="17"/>
                  <w:color w:val="0000EE"/>
                </w:rPr>
                <w:t>Holding, LLC and Vroom, Inc.</w:t>
              </w:r>
            </w:hyperlink>
          </w:p>
        </w:tc>
        <w:tc>
          <w:tcPr>
            <w:tcW w:w="1120" w:type="dxa"/>
            <w:vAlign w:val="bottom"/>
            <w:tcBorders>
              <w:top w:val="single" w:sz="8" w:color="0000EE"/>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7"/>
        </w:trPr>
        <w:tc>
          <w:tcPr>
            <w:tcW w:w="940" w:type="dxa"/>
            <w:vAlign w:val="bottom"/>
          </w:tcPr>
          <w:p>
            <w:pPr>
              <w:spacing w:after="0"/>
              <w:rPr>
                <w:sz w:val="20"/>
                <w:szCs w:val="20"/>
                <w:color w:val="auto"/>
              </w:rPr>
            </w:pPr>
            <w:r>
              <w:rPr>
                <w:rFonts w:ascii="Arial" w:cs="Arial" w:eastAsia="Arial" w:hAnsi="Arial"/>
                <w:sz w:val="17"/>
                <w:szCs w:val="17"/>
                <w:color w:val="auto"/>
              </w:rPr>
              <w:t>10.22#</w:t>
            </w:r>
          </w:p>
        </w:tc>
        <w:tc>
          <w:tcPr>
            <w:tcW w:w="80" w:type="dxa"/>
            <w:vAlign w:val="bottom"/>
          </w:tcPr>
          <w:p>
            <w:pPr>
              <w:spacing w:after="0"/>
              <w:rPr>
                <w:sz w:val="24"/>
                <w:szCs w:val="24"/>
                <w:color w:val="auto"/>
              </w:rPr>
            </w:pPr>
          </w:p>
        </w:tc>
        <w:tc>
          <w:tcPr>
            <w:tcW w:w="3500" w:type="dxa"/>
            <w:vAlign w:val="bottom"/>
            <w:tcBorders>
              <w:bottom w:val="single" w:sz="8" w:color="0000EE"/>
            </w:tcBorders>
            <w:gridSpan w:val="26"/>
          </w:tcPr>
          <w:p>
            <w:pPr>
              <w:spacing w:after="0"/>
              <w:rPr>
                <w:rFonts w:ascii="Arial" w:cs="Arial" w:eastAsia="Arial" w:hAnsi="Arial"/>
                <w:sz w:val="17"/>
                <w:szCs w:val="17"/>
                <w:color w:val="0000EE"/>
              </w:rPr>
            </w:pPr>
            <w:hyperlink r:id="rId159">
              <w:r>
                <w:rPr>
                  <w:rFonts w:ascii="Arial" w:cs="Arial" w:eastAsia="Arial" w:hAnsi="Arial"/>
                  <w:sz w:val="17"/>
                  <w:szCs w:val="17"/>
                  <w:color w:val="0000EE"/>
                </w:rPr>
                <w:t>First Amendment to Inventory Financing and</w:t>
              </w:r>
            </w:hyperlink>
          </w:p>
        </w:tc>
        <w:tc>
          <w:tcPr>
            <w:tcW w:w="160" w:type="dxa"/>
            <w:vAlign w:val="bottom"/>
            <w:gridSpan w:val="8"/>
          </w:tcPr>
          <w:p>
            <w:pPr>
              <w:spacing w:after="0"/>
              <w:rPr>
                <w:sz w:val="24"/>
                <w:szCs w:val="2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7"/>
                <w:szCs w:val="17"/>
                <w:color w:val="auto"/>
              </w:rPr>
              <w:t>10-Q</w:t>
            </w:r>
          </w:p>
        </w:tc>
        <w:tc>
          <w:tcPr>
            <w:tcW w:w="1500" w:type="dxa"/>
            <w:vAlign w:val="bottom"/>
          </w:tcPr>
          <w:p>
            <w:pPr>
              <w:jc w:val="center"/>
              <w:spacing w:after="0"/>
              <w:rPr>
                <w:sz w:val="20"/>
                <w:szCs w:val="20"/>
                <w:color w:val="auto"/>
              </w:rPr>
            </w:pPr>
            <w:r>
              <w:rPr>
                <w:rFonts w:ascii="Arial" w:cs="Arial" w:eastAsia="Arial" w:hAnsi="Arial"/>
                <w:sz w:val="17"/>
                <w:szCs w:val="17"/>
                <w:color w:val="auto"/>
              </w:rPr>
              <w:t>001-39315</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10.9</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August 13,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60" w:type="dxa"/>
            <w:vAlign w:val="bottom"/>
            <w:gridSpan w:val="34"/>
          </w:tcPr>
          <w:p>
            <w:pPr>
              <w:spacing w:after="0" w:line="176" w:lineRule="exact"/>
              <w:rPr>
                <w:rFonts w:ascii="Arial" w:cs="Arial" w:eastAsia="Arial" w:hAnsi="Arial"/>
                <w:sz w:val="17"/>
                <w:szCs w:val="17"/>
                <w:color w:val="0000EE"/>
              </w:rPr>
            </w:pPr>
            <w:hyperlink r:id="rId159">
              <w:r>
                <w:rPr>
                  <w:rFonts w:ascii="Arial" w:cs="Arial" w:eastAsia="Arial" w:hAnsi="Arial"/>
                  <w:sz w:val="17"/>
                  <w:szCs w:val="17"/>
                  <w:color w:val="0000EE"/>
                </w:rPr>
                <w:t>Security Agreement, dated June 19, 2020, by</w:t>
              </w:r>
            </w:hyperlink>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40" w:type="dxa"/>
            <w:vAlign w:val="bottom"/>
            <w:tcBorders>
              <w:top w:val="single" w:sz="8" w:color="0000EE"/>
            </w:tcBorders>
            <w:gridSpan w:val="33"/>
          </w:tcPr>
          <w:p>
            <w:pPr>
              <w:spacing w:after="0" w:line="176" w:lineRule="exact"/>
              <w:rPr>
                <w:rFonts w:ascii="Arial" w:cs="Arial" w:eastAsia="Arial" w:hAnsi="Arial"/>
                <w:sz w:val="17"/>
                <w:szCs w:val="17"/>
                <w:color w:val="0000EE"/>
              </w:rPr>
            </w:pPr>
            <w:hyperlink r:id="rId159">
              <w:r>
                <w:rPr>
                  <w:rFonts w:ascii="Arial" w:cs="Arial" w:eastAsia="Arial" w:hAnsi="Arial"/>
                  <w:sz w:val="17"/>
                  <w:szCs w:val="17"/>
                  <w:color w:val="0000EE"/>
                </w:rPr>
                <w:t>and among Ally Bank, Ally Financial Inc., Left</w:t>
              </w:r>
            </w:hyperlink>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0" w:type="dxa"/>
            <w:vAlign w:val="bottom"/>
            <w:tcBorders>
              <w:top w:val="single" w:sz="8" w:color="0000EE"/>
            </w:tcBorders>
            <w:gridSpan w:val="31"/>
          </w:tcPr>
          <w:p>
            <w:pPr>
              <w:spacing w:after="0"/>
              <w:rPr>
                <w:rFonts w:ascii="Arial" w:cs="Arial" w:eastAsia="Arial" w:hAnsi="Arial"/>
                <w:sz w:val="17"/>
                <w:szCs w:val="17"/>
                <w:u w:val="single" w:color="auto"/>
                <w:color w:val="0000EE"/>
              </w:rPr>
            </w:pPr>
            <w:hyperlink r:id="rId159">
              <w:r>
                <w:rPr>
                  <w:rFonts w:ascii="Arial" w:cs="Arial" w:eastAsia="Arial" w:hAnsi="Arial"/>
                  <w:sz w:val="17"/>
                  <w:szCs w:val="17"/>
                  <w:u w:val="single" w:color="auto"/>
                  <w:color w:val="0000EE"/>
                </w:rPr>
                <w:t>Gate Property Holding, LLC and Vroom, Inc.</w:t>
              </w:r>
            </w:hyperlink>
          </w:p>
        </w:tc>
        <w:tc>
          <w:tcPr>
            <w:tcW w:w="60" w:type="dxa"/>
            <w:vAlign w:val="bottom"/>
            <w:gridSpan w:val="3"/>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3"/>
        </w:trPr>
        <w:tc>
          <w:tcPr>
            <w:tcW w:w="940" w:type="dxa"/>
            <w:vAlign w:val="bottom"/>
          </w:tcPr>
          <w:p>
            <w:pPr>
              <w:spacing w:after="0"/>
              <w:rPr>
                <w:sz w:val="20"/>
                <w:szCs w:val="20"/>
                <w:color w:val="auto"/>
              </w:rPr>
            </w:pPr>
            <w:r>
              <w:rPr>
                <w:rFonts w:ascii="Arial" w:cs="Arial" w:eastAsia="Arial" w:hAnsi="Arial"/>
                <w:sz w:val="17"/>
                <w:szCs w:val="17"/>
                <w:color w:val="auto"/>
              </w:rPr>
              <w:t>10.23#</w:t>
            </w:r>
          </w:p>
        </w:tc>
        <w:tc>
          <w:tcPr>
            <w:tcW w:w="80" w:type="dxa"/>
            <w:vAlign w:val="bottom"/>
          </w:tcPr>
          <w:p>
            <w:pPr>
              <w:spacing w:after="0"/>
              <w:rPr>
                <w:sz w:val="24"/>
                <w:szCs w:val="24"/>
                <w:color w:val="auto"/>
              </w:rPr>
            </w:pPr>
          </w:p>
        </w:tc>
        <w:tc>
          <w:tcPr>
            <w:tcW w:w="3660" w:type="dxa"/>
            <w:vAlign w:val="bottom"/>
            <w:gridSpan w:val="34"/>
          </w:tcPr>
          <w:p>
            <w:pPr>
              <w:spacing w:after="0"/>
              <w:rPr>
                <w:rFonts w:ascii="Arial" w:cs="Arial" w:eastAsia="Arial" w:hAnsi="Arial"/>
                <w:sz w:val="17"/>
                <w:szCs w:val="17"/>
                <w:color w:val="0000EE"/>
              </w:rPr>
            </w:pPr>
            <w:hyperlink r:id="rId160">
              <w:r>
                <w:rPr>
                  <w:rFonts w:ascii="Arial" w:cs="Arial" w:eastAsia="Arial" w:hAnsi="Arial"/>
                  <w:sz w:val="17"/>
                  <w:szCs w:val="17"/>
                  <w:color w:val="0000EE"/>
                </w:rPr>
                <w:t>Second Amendment to Inventory Financing</w:t>
              </w:r>
            </w:hyperlink>
          </w:p>
        </w:tc>
        <w:tc>
          <w:tcPr>
            <w:tcW w:w="620" w:type="dxa"/>
            <w:vAlign w:val="bottom"/>
            <w:gridSpan w:val="2"/>
          </w:tcPr>
          <w:p>
            <w:pPr>
              <w:jc w:val="center"/>
              <w:ind w:right="200"/>
              <w:spacing w:after="0"/>
              <w:rPr>
                <w:sz w:val="20"/>
                <w:szCs w:val="20"/>
                <w:color w:val="auto"/>
              </w:rPr>
            </w:pPr>
            <w:r>
              <w:rPr>
                <w:rFonts w:ascii="Arial" w:cs="Arial" w:eastAsia="Arial" w:hAnsi="Arial"/>
                <w:sz w:val="17"/>
                <w:szCs w:val="17"/>
                <w:color w:val="auto"/>
              </w:rPr>
              <w:t>10-Q</w:t>
            </w:r>
          </w:p>
        </w:tc>
        <w:tc>
          <w:tcPr>
            <w:tcW w:w="1500" w:type="dxa"/>
            <w:vAlign w:val="bottom"/>
          </w:tcPr>
          <w:p>
            <w:pPr>
              <w:jc w:val="center"/>
              <w:spacing w:after="0"/>
              <w:rPr>
                <w:sz w:val="20"/>
                <w:szCs w:val="20"/>
                <w:color w:val="auto"/>
              </w:rPr>
            </w:pPr>
            <w:r>
              <w:rPr>
                <w:rFonts w:ascii="Arial" w:cs="Arial" w:eastAsia="Arial" w:hAnsi="Arial"/>
                <w:sz w:val="17"/>
                <w:szCs w:val="17"/>
                <w:color w:val="auto"/>
              </w:rPr>
              <w:t>001-39315</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10.1</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November 12,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60" w:type="dxa"/>
            <w:vAlign w:val="bottom"/>
            <w:tcBorders>
              <w:top w:val="single" w:sz="8" w:color="0000EE"/>
              <w:bottom w:val="single" w:sz="8" w:color="0000EE"/>
            </w:tcBorders>
            <w:gridSpan w:val="14"/>
          </w:tcPr>
          <w:p>
            <w:pPr>
              <w:spacing w:after="0" w:line="176" w:lineRule="exact"/>
              <w:rPr>
                <w:rFonts w:ascii="Arial" w:cs="Arial" w:eastAsia="Arial" w:hAnsi="Arial"/>
                <w:sz w:val="17"/>
                <w:szCs w:val="17"/>
                <w:color w:val="0000EE"/>
              </w:rPr>
            </w:pPr>
            <w:hyperlink r:id="rId160">
              <w:r>
                <w:rPr>
                  <w:rFonts w:ascii="Arial" w:cs="Arial" w:eastAsia="Arial" w:hAnsi="Arial"/>
                  <w:sz w:val="17"/>
                  <w:szCs w:val="17"/>
                  <w:color w:val="0000EE"/>
                </w:rPr>
                <w:t>and Security Agreement, dated October 1,</w:t>
              </w:r>
            </w:hyperlink>
          </w:p>
        </w:tc>
        <w:tc>
          <w:tcPr>
            <w:tcW w:w="120" w:type="dxa"/>
            <w:vAlign w:val="bottom"/>
            <w:tcBorders>
              <w:top w:val="single" w:sz="8" w:color="0000EE"/>
            </w:tcBorders>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60" w:type="dxa"/>
            <w:vAlign w:val="bottom"/>
            <w:gridSpan w:val="34"/>
          </w:tcPr>
          <w:p>
            <w:pPr>
              <w:spacing w:after="0" w:line="176" w:lineRule="exact"/>
              <w:rPr>
                <w:rFonts w:ascii="Arial" w:cs="Arial" w:eastAsia="Arial" w:hAnsi="Arial"/>
                <w:sz w:val="17"/>
                <w:szCs w:val="17"/>
                <w:color w:val="0000EE"/>
              </w:rPr>
            </w:pPr>
            <w:hyperlink r:id="rId160">
              <w:r>
                <w:rPr>
                  <w:rFonts w:ascii="Arial" w:cs="Arial" w:eastAsia="Arial" w:hAnsi="Arial"/>
                  <w:sz w:val="17"/>
                  <w:szCs w:val="17"/>
                  <w:color w:val="0000EE"/>
                </w:rPr>
                <w:t>2020 by and among Ally Bank, Ally Financial,</w:t>
              </w:r>
            </w:hyperlink>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20" w:type="dxa"/>
            <w:vAlign w:val="bottom"/>
            <w:tcBorders>
              <w:top w:val="single" w:sz="8" w:color="0000EE"/>
            </w:tcBorders>
            <w:gridSpan w:val="32"/>
          </w:tcPr>
          <w:p>
            <w:pPr>
              <w:spacing w:after="0" w:line="180" w:lineRule="exact"/>
              <w:rPr>
                <w:rFonts w:ascii="Arial" w:cs="Arial" w:eastAsia="Arial" w:hAnsi="Arial"/>
                <w:sz w:val="17"/>
                <w:szCs w:val="17"/>
                <w:u w:val="single" w:color="auto"/>
                <w:color w:val="0000EE"/>
              </w:rPr>
            </w:pPr>
            <w:hyperlink r:id="rId160">
              <w:r>
                <w:rPr>
                  <w:rFonts w:ascii="Arial" w:cs="Arial" w:eastAsia="Arial" w:hAnsi="Arial"/>
                  <w:sz w:val="17"/>
                  <w:szCs w:val="17"/>
                  <w:u w:val="single" w:color="auto"/>
                  <w:color w:val="0000EE"/>
                </w:rPr>
                <w:t>Inc., Left Gate Property Holding, LLC and</w:t>
              </w:r>
            </w:hyperlink>
          </w:p>
        </w:tc>
        <w:tc>
          <w:tcPr>
            <w:tcW w:w="4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6"/>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60" w:type="dxa"/>
            <w:vAlign w:val="bottom"/>
            <w:gridSpan w:val="34"/>
          </w:tcPr>
          <w:p>
            <w:pPr>
              <w:spacing w:after="0"/>
              <w:rPr>
                <w:rFonts w:ascii="Arial" w:cs="Arial" w:eastAsia="Arial" w:hAnsi="Arial"/>
                <w:sz w:val="17"/>
                <w:szCs w:val="17"/>
                <w:u w:val="single" w:color="auto"/>
                <w:color w:val="0000EE"/>
              </w:rPr>
            </w:pPr>
            <w:hyperlink r:id="rId160">
              <w:r>
                <w:rPr>
                  <w:rFonts w:ascii="Arial" w:cs="Arial" w:eastAsia="Arial" w:hAnsi="Arial"/>
                  <w:sz w:val="17"/>
                  <w:szCs w:val="17"/>
                  <w:u w:val="single" w:color="auto"/>
                  <w:color w:val="0000EE"/>
                </w:rPr>
                <w:t>Vroom, Inc.</w:t>
              </w:r>
            </w:hyperlink>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9"/>
        </w:trPr>
        <w:tc>
          <w:tcPr>
            <w:tcW w:w="940" w:type="dxa"/>
            <w:vAlign w:val="bottom"/>
          </w:tcPr>
          <w:p>
            <w:pPr>
              <w:spacing w:after="0"/>
              <w:rPr>
                <w:sz w:val="20"/>
                <w:szCs w:val="20"/>
                <w:color w:val="auto"/>
              </w:rPr>
            </w:pPr>
            <w:r>
              <w:rPr>
                <w:rFonts w:ascii="Arial" w:cs="Arial" w:eastAsia="Arial" w:hAnsi="Arial"/>
                <w:sz w:val="17"/>
                <w:szCs w:val="17"/>
                <w:color w:val="auto"/>
              </w:rPr>
              <w:t>10.24#</w:t>
            </w:r>
          </w:p>
        </w:tc>
        <w:tc>
          <w:tcPr>
            <w:tcW w:w="80" w:type="dxa"/>
            <w:vAlign w:val="bottom"/>
          </w:tcPr>
          <w:p>
            <w:pPr>
              <w:spacing w:after="0"/>
              <w:rPr>
                <w:sz w:val="24"/>
                <w:szCs w:val="24"/>
                <w:color w:val="auto"/>
              </w:rPr>
            </w:pPr>
          </w:p>
        </w:tc>
        <w:tc>
          <w:tcPr>
            <w:tcW w:w="2740" w:type="dxa"/>
            <w:vAlign w:val="bottom"/>
            <w:tcBorders>
              <w:bottom w:val="single" w:sz="8" w:color="0000EE"/>
            </w:tcBorders>
            <w:gridSpan w:val="8"/>
          </w:tcPr>
          <w:p>
            <w:pPr>
              <w:spacing w:after="0"/>
              <w:rPr>
                <w:rFonts w:ascii="Arial" w:cs="Arial" w:eastAsia="Arial" w:hAnsi="Arial"/>
                <w:sz w:val="17"/>
                <w:szCs w:val="17"/>
                <w:color w:val="0000EE"/>
              </w:rPr>
            </w:pPr>
            <w:hyperlink r:id="rId161">
              <w:r>
                <w:rPr>
                  <w:rFonts w:ascii="Arial" w:cs="Arial" w:eastAsia="Arial" w:hAnsi="Arial"/>
                  <w:sz w:val="17"/>
                  <w:szCs w:val="17"/>
                  <w:color w:val="0000EE"/>
                </w:rPr>
                <w:t>Customer Experience Management</w:t>
              </w:r>
            </w:hyperlink>
          </w:p>
        </w:tc>
        <w:tc>
          <w:tcPr>
            <w:tcW w:w="920" w:type="dxa"/>
            <w:vAlign w:val="bottom"/>
            <w:gridSpan w:val="26"/>
          </w:tcPr>
          <w:p>
            <w:pPr>
              <w:spacing w:after="0"/>
              <w:rPr>
                <w:sz w:val="24"/>
                <w:szCs w:val="2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S-1/A</w:t>
            </w:r>
          </w:p>
        </w:tc>
        <w:tc>
          <w:tcPr>
            <w:tcW w:w="1500" w:type="dxa"/>
            <w:vAlign w:val="bottom"/>
          </w:tcPr>
          <w:p>
            <w:pPr>
              <w:jc w:val="center"/>
              <w:spacing w:after="0"/>
              <w:rPr>
                <w:sz w:val="20"/>
                <w:szCs w:val="20"/>
                <w:color w:val="auto"/>
              </w:rPr>
            </w:pPr>
            <w:r>
              <w:rPr>
                <w:rFonts w:ascii="Arial" w:cs="Arial" w:eastAsia="Arial" w:hAnsi="Arial"/>
                <w:sz w:val="17"/>
                <w:szCs w:val="17"/>
                <w:color w:val="auto"/>
              </w:rPr>
              <w:t>333-248655</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rPr>
              <w:t>10.11</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June 1,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60" w:type="dxa"/>
            <w:vAlign w:val="bottom"/>
            <w:gridSpan w:val="34"/>
          </w:tcPr>
          <w:p>
            <w:pPr>
              <w:spacing w:after="0" w:line="176" w:lineRule="exact"/>
              <w:rPr>
                <w:rFonts w:ascii="Arial" w:cs="Arial" w:eastAsia="Arial" w:hAnsi="Arial"/>
                <w:sz w:val="17"/>
                <w:szCs w:val="17"/>
                <w:color w:val="0000EE"/>
              </w:rPr>
            </w:pPr>
            <w:hyperlink r:id="rId161">
              <w:r>
                <w:rPr>
                  <w:rFonts w:ascii="Arial" w:cs="Arial" w:eastAsia="Arial" w:hAnsi="Arial"/>
                  <w:sz w:val="17"/>
                  <w:szCs w:val="17"/>
                  <w:color w:val="0000EE"/>
                </w:rPr>
                <w:t>Agreement, dated April 17, 2020, by and</w:t>
              </w:r>
            </w:hyperlink>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20" w:type="dxa"/>
            <w:vAlign w:val="bottom"/>
            <w:tcBorders>
              <w:top w:val="single" w:sz="8" w:color="0000EE"/>
              <w:bottom w:val="single" w:sz="8" w:color="0000EE"/>
            </w:tcBorders>
            <w:gridSpan w:val="11"/>
          </w:tcPr>
          <w:p>
            <w:pPr>
              <w:spacing w:after="0" w:line="176" w:lineRule="exact"/>
              <w:rPr>
                <w:rFonts w:ascii="Arial" w:cs="Arial" w:eastAsia="Arial" w:hAnsi="Arial"/>
                <w:sz w:val="17"/>
                <w:szCs w:val="17"/>
                <w:color w:val="0000EE"/>
              </w:rPr>
            </w:pPr>
            <w:hyperlink r:id="rId161">
              <w:r>
                <w:rPr>
                  <w:rFonts w:ascii="Arial" w:cs="Arial" w:eastAsia="Arial" w:hAnsi="Arial"/>
                  <w:sz w:val="17"/>
                  <w:szCs w:val="17"/>
                  <w:color w:val="0000EE"/>
                </w:rPr>
                <w:t>between Rock Connections LLC and Left</w:t>
              </w:r>
            </w:hyperlink>
          </w:p>
        </w:tc>
        <w:tc>
          <w:tcPr>
            <w:tcW w:w="4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gridSpan w:val="13"/>
          </w:tcPr>
          <w:p>
            <w:pPr>
              <w:spacing w:after="0"/>
              <w:rPr>
                <w:rFonts w:ascii="Arial" w:cs="Arial" w:eastAsia="Arial" w:hAnsi="Arial"/>
                <w:sz w:val="17"/>
                <w:szCs w:val="17"/>
                <w:u w:val="single" w:color="auto"/>
                <w:color w:val="0000EE"/>
              </w:rPr>
            </w:pPr>
            <w:hyperlink r:id="rId161">
              <w:r>
                <w:rPr>
                  <w:rFonts w:ascii="Arial" w:cs="Arial" w:eastAsia="Arial" w:hAnsi="Arial"/>
                  <w:sz w:val="17"/>
                  <w:szCs w:val="17"/>
                  <w:u w:val="single" w:color="auto"/>
                  <w:color w:val="0000EE"/>
                </w:rPr>
                <w:t>Gate Property Holding, LLC</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4"/>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6"/>
        </w:trPr>
        <w:tc>
          <w:tcPr>
            <w:tcW w:w="940" w:type="dxa"/>
            <w:vAlign w:val="bottom"/>
          </w:tcPr>
          <w:p>
            <w:pPr>
              <w:spacing w:after="0"/>
              <w:rPr>
                <w:sz w:val="20"/>
                <w:szCs w:val="20"/>
                <w:color w:val="auto"/>
              </w:rPr>
            </w:pPr>
            <w:r>
              <w:rPr>
                <w:rFonts w:ascii="Arial" w:cs="Arial" w:eastAsia="Arial" w:hAnsi="Arial"/>
                <w:sz w:val="17"/>
                <w:szCs w:val="17"/>
                <w:color w:val="auto"/>
              </w:rPr>
              <w:t>10.25#</w:t>
            </w:r>
          </w:p>
        </w:tc>
        <w:tc>
          <w:tcPr>
            <w:tcW w:w="80" w:type="dxa"/>
            <w:vAlign w:val="bottom"/>
          </w:tcPr>
          <w:p>
            <w:pPr>
              <w:spacing w:after="0"/>
              <w:rPr>
                <w:sz w:val="24"/>
                <w:szCs w:val="24"/>
                <w:color w:val="auto"/>
              </w:rPr>
            </w:pPr>
          </w:p>
        </w:tc>
        <w:tc>
          <w:tcPr>
            <w:tcW w:w="3660" w:type="dxa"/>
            <w:vAlign w:val="bottom"/>
            <w:gridSpan w:val="34"/>
          </w:tcPr>
          <w:p>
            <w:pPr>
              <w:spacing w:after="0"/>
              <w:rPr>
                <w:rFonts w:ascii="Arial" w:cs="Arial" w:eastAsia="Arial" w:hAnsi="Arial"/>
                <w:sz w:val="17"/>
                <w:szCs w:val="17"/>
                <w:color w:val="0000EE"/>
              </w:rPr>
            </w:pPr>
            <w:hyperlink w:anchor="page179">
              <w:r>
                <w:rPr>
                  <w:rFonts w:ascii="Arial" w:cs="Arial" w:eastAsia="Arial" w:hAnsi="Arial"/>
                  <w:sz w:val="17"/>
                  <w:szCs w:val="17"/>
                  <w:color w:val="0000EE"/>
                </w:rPr>
                <w:t>Assignment and Assumption Agreement,</w:t>
              </w:r>
            </w:hyperlink>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rPr>
              <w:t>X</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60" w:type="dxa"/>
            <w:vAlign w:val="bottom"/>
            <w:tcBorders>
              <w:top w:val="single" w:sz="8" w:color="0000EE"/>
            </w:tcBorders>
            <w:gridSpan w:val="12"/>
          </w:tcPr>
          <w:p>
            <w:pPr>
              <w:spacing w:after="0" w:line="176" w:lineRule="exact"/>
              <w:rPr>
                <w:rFonts w:ascii="Arial" w:cs="Arial" w:eastAsia="Arial" w:hAnsi="Arial"/>
                <w:sz w:val="17"/>
                <w:szCs w:val="17"/>
                <w:color w:val="0000EE"/>
              </w:rPr>
            </w:pPr>
            <w:hyperlink w:anchor="page179">
              <w:r>
                <w:rPr>
                  <w:rFonts w:ascii="Arial" w:cs="Arial" w:eastAsia="Arial" w:hAnsi="Arial"/>
                  <w:sz w:val="17"/>
                  <w:szCs w:val="17"/>
                  <w:color w:val="0000EE"/>
                </w:rPr>
                <w:t>dated August 17, 2020, by and between</w:t>
              </w:r>
            </w:hyperlink>
          </w:p>
        </w:tc>
        <w:tc>
          <w:tcPr>
            <w:tcW w:w="500" w:type="dxa"/>
            <w:vAlign w:val="bottom"/>
            <w:gridSpan w:val="22"/>
          </w:tcPr>
          <w:p>
            <w:pPr>
              <w:spacing w:after="0" w:line="176" w:lineRule="exact"/>
              <w:rPr>
                <w:rFonts w:ascii="Arial" w:cs="Arial" w:eastAsia="Arial" w:hAnsi="Arial"/>
                <w:sz w:val="17"/>
                <w:szCs w:val="17"/>
                <w:color w:val="0000EE"/>
              </w:rPr>
            </w:pPr>
            <w:hyperlink w:anchor="page179">
              <w:r>
                <w:rPr>
                  <w:rFonts w:ascii="Arial" w:cs="Arial" w:eastAsia="Arial" w:hAnsi="Arial"/>
                  <w:sz w:val="17"/>
                  <w:szCs w:val="17"/>
                  <w:color w:val="0000EE"/>
                </w:rPr>
                <w:t>Left</w:t>
              </w:r>
            </w:hyperlink>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gridSpan w:val="24"/>
          </w:tcPr>
          <w:p>
            <w:pPr>
              <w:spacing w:after="0" w:line="176" w:lineRule="exact"/>
              <w:rPr>
                <w:rFonts w:ascii="Arial" w:cs="Arial" w:eastAsia="Arial" w:hAnsi="Arial"/>
                <w:sz w:val="17"/>
                <w:szCs w:val="17"/>
                <w:color w:val="0000EE"/>
              </w:rPr>
            </w:pPr>
            <w:hyperlink w:anchor="page179">
              <w:r>
                <w:rPr>
                  <w:rFonts w:ascii="Arial" w:cs="Arial" w:eastAsia="Arial" w:hAnsi="Arial"/>
                  <w:sz w:val="17"/>
                  <w:szCs w:val="17"/>
                  <w:color w:val="0000EE"/>
                </w:rPr>
                <w:t>Gate Property Holding, LLC, Rock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20" w:type="dxa"/>
            <w:vAlign w:val="bottom"/>
            <w:tcBorders>
              <w:top w:val="single" w:sz="8" w:color="0000EE"/>
            </w:tcBorders>
            <w:gridSpan w:val="7"/>
          </w:tcPr>
          <w:p>
            <w:pPr>
              <w:spacing w:after="0"/>
              <w:rPr>
                <w:rFonts w:ascii="Arial" w:cs="Arial" w:eastAsia="Arial" w:hAnsi="Arial"/>
                <w:sz w:val="17"/>
                <w:szCs w:val="17"/>
                <w:u w:val="single" w:color="auto"/>
                <w:color w:val="0000EE"/>
                <w:w w:val="99"/>
              </w:rPr>
            </w:pPr>
            <w:hyperlink w:anchor="page179">
              <w:r>
                <w:rPr>
                  <w:rFonts w:ascii="Arial" w:cs="Arial" w:eastAsia="Arial" w:hAnsi="Arial"/>
                  <w:sz w:val="17"/>
                  <w:szCs w:val="17"/>
                  <w:u w:val="single" w:color="auto"/>
                  <w:color w:val="0000EE"/>
                  <w:w w:val="99"/>
                </w:rPr>
                <w:t>Connections LLC and Rocket Auto</w:t>
              </w:r>
            </w:hyperlink>
          </w:p>
        </w:tc>
        <w:tc>
          <w:tcPr>
            <w:tcW w:w="1040" w:type="dxa"/>
            <w:vAlign w:val="bottom"/>
            <w:gridSpan w:val="27"/>
          </w:tcPr>
          <w:p>
            <w:pPr>
              <w:ind w:left="100"/>
              <w:spacing w:after="0"/>
              <w:rPr>
                <w:rFonts w:ascii="Arial" w:cs="Arial" w:eastAsia="Arial" w:hAnsi="Arial"/>
                <w:sz w:val="17"/>
                <w:szCs w:val="17"/>
                <w:u w:val="single" w:color="auto"/>
                <w:color w:val="0000EE"/>
              </w:rPr>
            </w:pPr>
            <w:hyperlink w:anchor="page179">
              <w:r>
                <w:rPr>
                  <w:rFonts w:ascii="Arial" w:cs="Arial" w:eastAsia="Arial" w:hAnsi="Arial"/>
                  <w:sz w:val="17"/>
                  <w:szCs w:val="17"/>
                  <w:u w:val="single" w:color="auto"/>
                  <w:color w:val="0000EE"/>
                </w:rPr>
                <w:t>LLC</w:t>
              </w:r>
            </w:hyperlink>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4"/>
        </w:trPr>
        <w:tc>
          <w:tcPr>
            <w:tcW w:w="940" w:type="dxa"/>
            <w:vAlign w:val="bottom"/>
          </w:tcPr>
          <w:p>
            <w:pPr>
              <w:spacing w:after="0"/>
              <w:rPr>
                <w:sz w:val="20"/>
                <w:szCs w:val="20"/>
                <w:color w:val="auto"/>
              </w:rPr>
            </w:pPr>
            <w:r>
              <w:rPr>
                <w:rFonts w:ascii="Arial" w:cs="Arial" w:eastAsia="Arial" w:hAnsi="Arial"/>
                <w:sz w:val="17"/>
                <w:szCs w:val="17"/>
                <w:color w:val="auto"/>
              </w:rPr>
              <w:t>10.26#</w:t>
            </w:r>
          </w:p>
        </w:tc>
        <w:tc>
          <w:tcPr>
            <w:tcW w:w="80" w:type="dxa"/>
            <w:vAlign w:val="bottom"/>
          </w:tcPr>
          <w:p>
            <w:pPr>
              <w:spacing w:after="0"/>
              <w:rPr>
                <w:sz w:val="23"/>
                <w:szCs w:val="23"/>
                <w:color w:val="auto"/>
              </w:rPr>
            </w:pPr>
          </w:p>
        </w:tc>
        <w:tc>
          <w:tcPr>
            <w:tcW w:w="3660" w:type="dxa"/>
            <w:vAlign w:val="bottom"/>
            <w:gridSpan w:val="34"/>
          </w:tcPr>
          <w:p>
            <w:pPr>
              <w:spacing w:after="0"/>
              <w:rPr>
                <w:rFonts w:ascii="Arial" w:cs="Arial" w:eastAsia="Arial" w:hAnsi="Arial"/>
                <w:sz w:val="17"/>
                <w:szCs w:val="17"/>
                <w:color w:val="0000EE"/>
              </w:rPr>
            </w:pPr>
            <w:hyperlink r:id="rId162">
              <w:r>
                <w:rPr>
                  <w:rFonts w:ascii="Arial" w:cs="Arial" w:eastAsia="Arial" w:hAnsi="Arial"/>
                  <w:sz w:val="17"/>
                  <w:szCs w:val="17"/>
                  <w:color w:val="0000EE"/>
                </w:rPr>
                <w:t>Retail Reconditioning Services Agreement,</w:t>
              </w:r>
            </w:hyperlink>
          </w:p>
        </w:tc>
        <w:tc>
          <w:tcPr>
            <w:tcW w:w="62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S-1/A</w:t>
            </w:r>
          </w:p>
        </w:tc>
        <w:tc>
          <w:tcPr>
            <w:tcW w:w="1500" w:type="dxa"/>
            <w:vAlign w:val="bottom"/>
          </w:tcPr>
          <w:p>
            <w:pPr>
              <w:jc w:val="center"/>
              <w:spacing w:after="0"/>
              <w:rPr>
                <w:sz w:val="20"/>
                <w:szCs w:val="20"/>
                <w:color w:val="auto"/>
              </w:rPr>
            </w:pPr>
            <w:r>
              <w:rPr>
                <w:rFonts w:ascii="Arial" w:cs="Arial" w:eastAsia="Arial" w:hAnsi="Arial"/>
                <w:sz w:val="17"/>
                <w:szCs w:val="17"/>
                <w:color w:val="auto"/>
              </w:rPr>
              <w:t>333-248655</w:t>
            </w:r>
          </w:p>
        </w:tc>
        <w:tc>
          <w:tcPr>
            <w:tcW w:w="10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rPr>
              <w:t>10.12</w:t>
            </w:r>
          </w:p>
        </w:tc>
        <w:tc>
          <w:tcPr>
            <w:tcW w:w="60" w:type="dxa"/>
            <w:vAlign w:val="bottom"/>
          </w:tcPr>
          <w:p>
            <w:pPr>
              <w:spacing w:after="0"/>
              <w:rPr>
                <w:sz w:val="23"/>
                <w:szCs w:val="23"/>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June 1, 2020</w:t>
            </w:r>
          </w:p>
        </w:tc>
        <w:tc>
          <w:tcPr>
            <w:tcW w:w="8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60" w:type="dxa"/>
            <w:vAlign w:val="bottom"/>
            <w:tcBorders>
              <w:top w:val="single" w:sz="8" w:color="0000EE"/>
            </w:tcBorders>
            <w:gridSpan w:val="19"/>
          </w:tcPr>
          <w:p>
            <w:pPr>
              <w:spacing w:after="0" w:line="176" w:lineRule="exact"/>
              <w:rPr>
                <w:rFonts w:ascii="Arial" w:cs="Arial" w:eastAsia="Arial" w:hAnsi="Arial"/>
                <w:sz w:val="17"/>
                <w:szCs w:val="17"/>
                <w:color w:val="0000EE"/>
              </w:rPr>
            </w:pPr>
            <w:hyperlink r:id="rId162">
              <w:r>
                <w:rPr>
                  <w:rFonts w:ascii="Arial" w:cs="Arial" w:eastAsia="Arial" w:hAnsi="Arial"/>
                  <w:sz w:val="17"/>
                  <w:szCs w:val="17"/>
                  <w:color w:val="0000EE"/>
                </w:rPr>
                <w:t>dated May 20, 2020, by and between</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60" w:type="dxa"/>
            <w:vAlign w:val="bottom"/>
            <w:gridSpan w:val="34"/>
          </w:tcPr>
          <w:p>
            <w:pPr>
              <w:spacing w:after="0" w:line="176" w:lineRule="exact"/>
              <w:rPr>
                <w:rFonts w:ascii="Arial" w:cs="Arial" w:eastAsia="Arial" w:hAnsi="Arial"/>
                <w:sz w:val="17"/>
                <w:szCs w:val="17"/>
                <w:color w:val="0000EE"/>
              </w:rPr>
            </w:pPr>
            <w:hyperlink r:id="rId162">
              <w:r>
                <w:rPr>
                  <w:rFonts w:ascii="Arial" w:cs="Arial" w:eastAsia="Arial" w:hAnsi="Arial"/>
                  <w:sz w:val="17"/>
                  <w:szCs w:val="17"/>
                  <w:color w:val="0000EE"/>
                </w:rPr>
                <w:t>Manheim Remarketing, Inc d/b/a Manheim</w:t>
              </w:r>
            </w:hyperlink>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40" w:type="dxa"/>
            <w:vAlign w:val="bottom"/>
            <w:tcBorders>
              <w:top w:val="single" w:sz="8" w:color="0000EE"/>
            </w:tcBorders>
            <w:gridSpan w:val="18"/>
          </w:tcPr>
          <w:p>
            <w:pPr>
              <w:spacing w:after="0" w:line="180" w:lineRule="exact"/>
              <w:rPr>
                <w:rFonts w:ascii="Arial" w:cs="Arial" w:eastAsia="Arial" w:hAnsi="Arial"/>
                <w:sz w:val="17"/>
                <w:szCs w:val="17"/>
                <w:u w:val="single" w:color="auto"/>
                <w:color w:val="0000EE"/>
              </w:rPr>
            </w:pPr>
            <w:hyperlink r:id="rId162">
              <w:r>
                <w:rPr>
                  <w:rFonts w:ascii="Arial" w:cs="Arial" w:eastAsia="Arial" w:hAnsi="Arial"/>
                  <w:sz w:val="17"/>
                  <w:szCs w:val="17"/>
                  <w:u w:val="single" w:color="auto"/>
                  <w:color w:val="0000EE"/>
                </w:rPr>
                <w:t>Retail Solutions and Left Gate Property</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6"/>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60" w:type="dxa"/>
            <w:vAlign w:val="bottom"/>
            <w:gridSpan w:val="34"/>
          </w:tcPr>
          <w:p>
            <w:pPr>
              <w:spacing w:after="0"/>
              <w:rPr>
                <w:rFonts w:ascii="Arial" w:cs="Arial" w:eastAsia="Arial" w:hAnsi="Arial"/>
                <w:sz w:val="17"/>
                <w:szCs w:val="17"/>
                <w:u w:val="single" w:color="auto"/>
                <w:color w:val="0000EE"/>
              </w:rPr>
            </w:pPr>
            <w:hyperlink r:id="rId162">
              <w:r>
                <w:rPr>
                  <w:rFonts w:ascii="Arial" w:cs="Arial" w:eastAsia="Arial" w:hAnsi="Arial"/>
                  <w:sz w:val="17"/>
                  <w:szCs w:val="17"/>
                  <w:u w:val="single" w:color="auto"/>
                  <w:color w:val="0000EE"/>
                </w:rPr>
                <w:t>Holding, LLC d/b/a Vroom</w:t>
              </w:r>
            </w:hyperlink>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4"/>
        </w:trPr>
        <w:tc>
          <w:tcPr>
            <w:tcW w:w="940" w:type="dxa"/>
            <w:vAlign w:val="bottom"/>
          </w:tcPr>
          <w:p>
            <w:pPr>
              <w:spacing w:after="0"/>
              <w:rPr>
                <w:sz w:val="20"/>
                <w:szCs w:val="20"/>
                <w:color w:val="auto"/>
              </w:rPr>
            </w:pPr>
            <w:r>
              <w:rPr>
                <w:rFonts w:ascii="Arial" w:cs="Arial" w:eastAsia="Arial" w:hAnsi="Arial"/>
                <w:sz w:val="17"/>
                <w:szCs w:val="17"/>
                <w:color w:val="auto"/>
              </w:rPr>
              <w:t>10.27</w:t>
            </w: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3660" w:type="dxa"/>
            <w:vAlign w:val="bottom"/>
            <w:gridSpan w:val="34"/>
          </w:tcPr>
          <w:p>
            <w:pPr>
              <w:spacing w:after="0"/>
              <w:rPr>
                <w:rFonts w:ascii="Arial" w:cs="Arial" w:eastAsia="Arial" w:hAnsi="Arial"/>
                <w:sz w:val="17"/>
                <w:szCs w:val="17"/>
                <w:color w:val="0000EE"/>
              </w:rPr>
            </w:pPr>
            <w:hyperlink r:id="rId163">
              <w:r>
                <w:rPr>
                  <w:rFonts w:ascii="Arial" w:cs="Arial" w:eastAsia="Arial" w:hAnsi="Arial"/>
                  <w:sz w:val="17"/>
                  <w:szCs w:val="17"/>
                  <w:color w:val="0000EE"/>
                </w:rPr>
                <w:t>Employment Agreement, dated June 8,</w:t>
              </w:r>
            </w:hyperlink>
          </w:p>
        </w:tc>
        <w:tc>
          <w:tcPr>
            <w:tcW w:w="62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S-1/A</w:t>
            </w:r>
          </w:p>
        </w:tc>
        <w:tc>
          <w:tcPr>
            <w:tcW w:w="1500" w:type="dxa"/>
            <w:vAlign w:val="bottom"/>
          </w:tcPr>
          <w:p>
            <w:pPr>
              <w:jc w:val="center"/>
              <w:spacing w:after="0"/>
              <w:rPr>
                <w:sz w:val="20"/>
                <w:szCs w:val="20"/>
                <w:color w:val="auto"/>
              </w:rPr>
            </w:pPr>
            <w:r>
              <w:rPr>
                <w:rFonts w:ascii="Arial" w:cs="Arial" w:eastAsia="Arial" w:hAnsi="Arial"/>
                <w:sz w:val="17"/>
                <w:szCs w:val="17"/>
                <w:color w:val="auto"/>
              </w:rPr>
              <w:t>333-248655</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rPr>
              <w:t>10.13</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June 1,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tcBorders>
              <w:top w:val="single" w:sz="8" w:color="0000EE"/>
            </w:tcBorders>
            <w:gridSpan w:val="10"/>
          </w:tcPr>
          <w:p>
            <w:pPr>
              <w:spacing w:after="0" w:line="176" w:lineRule="exact"/>
              <w:rPr>
                <w:rFonts w:ascii="Arial" w:cs="Arial" w:eastAsia="Arial" w:hAnsi="Arial"/>
                <w:sz w:val="17"/>
                <w:szCs w:val="17"/>
                <w:color w:val="0000EE"/>
              </w:rPr>
            </w:pPr>
            <w:hyperlink r:id="rId163">
              <w:r>
                <w:rPr>
                  <w:rFonts w:ascii="Arial" w:cs="Arial" w:eastAsia="Arial" w:hAnsi="Arial"/>
                  <w:sz w:val="17"/>
                  <w:szCs w:val="17"/>
                  <w:color w:val="0000EE"/>
                </w:rPr>
                <w:t>2016, by and between Vroom, Inc. and</w:t>
              </w:r>
            </w:hyperlink>
          </w:p>
        </w:tc>
        <w:tc>
          <w:tcPr>
            <w:tcW w:w="640" w:type="dxa"/>
            <w:vAlign w:val="bottom"/>
            <w:gridSpan w:val="24"/>
          </w:tcPr>
          <w:p>
            <w:pPr>
              <w:spacing w:after="0" w:line="176" w:lineRule="exact"/>
              <w:rPr>
                <w:rFonts w:ascii="Arial" w:cs="Arial" w:eastAsia="Arial" w:hAnsi="Arial"/>
                <w:sz w:val="17"/>
                <w:szCs w:val="17"/>
                <w:color w:val="0000EE"/>
              </w:rPr>
            </w:pPr>
            <w:hyperlink r:id="rId163">
              <w:r>
                <w:rPr>
                  <w:rFonts w:ascii="Arial" w:cs="Arial" w:eastAsia="Arial" w:hAnsi="Arial"/>
                  <w:sz w:val="17"/>
                  <w:szCs w:val="17"/>
                  <w:color w:val="0000EE"/>
                </w:rPr>
                <w:t>Paul</w:t>
              </w:r>
            </w:hyperlink>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0000EE"/>
              <w:bottom w:val="single" w:sz="8" w:color="0000EE"/>
            </w:tcBorders>
            <w:gridSpan w:val="4"/>
          </w:tcPr>
          <w:p>
            <w:pPr>
              <w:spacing w:after="0" w:line="176" w:lineRule="exact"/>
              <w:rPr>
                <w:rFonts w:ascii="Arial" w:cs="Arial" w:eastAsia="Arial" w:hAnsi="Arial"/>
                <w:sz w:val="17"/>
                <w:szCs w:val="17"/>
                <w:color w:val="0000EE"/>
              </w:rPr>
            </w:pPr>
            <w:hyperlink r:id="rId163">
              <w:r>
                <w:rPr>
                  <w:rFonts w:ascii="Arial" w:cs="Arial" w:eastAsia="Arial" w:hAnsi="Arial"/>
                  <w:sz w:val="17"/>
                  <w:szCs w:val="17"/>
                  <w:color w:val="0000EE"/>
                </w:rPr>
                <w:t>J. Hennessy</w:t>
              </w:r>
            </w:hyperlink>
          </w:p>
        </w:tc>
        <w:tc>
          <w:tcPr>
            <w:tcW w:w="2480" w:type="dxa"/>
            <w:vAlign w:val="bottom"/>
            <w:tcBorders>
              <w:top w:val="single" w:sz="8" w:color="0000EE"/>
            </w:tcBorders>
            <w:gridSpan w:val="19"/>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38"/>
        </w:trPr>
        <w:tc>
          <w:tcPr>
            <w:tcW w:w="940" w:type="dxa"/>
            <w:vAlign w:val="bottom"/>
          </w:tcPr>
          <w:p>
            <w:pPr>
              <w:spacing w:after="0"/>
              <w:rPr>
                <w:sz w:val="20"/>
                <w:szCs w:val="20"/>
                <w:color w:val="auto"/>
              </w:rPr>
            </w:pPr>
            <w:r>
              <w:rPr>
                <w:rFonts w:ascii="Arial" w:cs="Arial" w:eastAsia="Arial" w:hAnsi="Arial"/>
                <w:sz w:val="17"/>
                <w:szCs w:val="17"/>
                <w:color w:val="auto"/>
              </w:rPr>
              <w:t>10.28</w:t>
            </w: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3660" w:type="dxa"/>
            <w:vAlign w:val="bottom"/>
            <w:gridSpan w:val="34"/>
          </w:tcPr>
          <w:p>
            <w:pPr>
              <w:spacing w:after="0"/>
              <w:rPr>
                <w:rFonts w:ascii="Arial" w:cs="Arial" w:eastAsia="Arial" w:hAnsi="Arial"/>
                <w:sz w:val="17"/>
                <w:szCs w:val="17"/>
                <w:color w:val="0000EE"/>
              </w:rPr>
            </w:pPr>
            <w:hyperlink r:id="rId164">
              <w:r>
                <w:rPr>
                  <w:rFonts w:ascii="Arial" w:cs="Arial" w:eastAsia="Arial" w:hAnsi="Arial"/>
                  <w:sz w:val="17"/>
                  <w:szCs w:val="17"/>
                  <w:color w:val="0000EE"/>
                </w:rPr>
                <w:t>Employment Offer Letter, dated October 15,</w:t>
              </w:r>
            </w:hyperlink>
          </w:p>
        </w:tc>
        <w:tc>
          <w:tcPr>
            <w:tcW w:w="62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S-1/A</w:t>
            </w:r>
          </w:p>
        </w:tc>
        <w:tc>
          <w:tcPr>
            <w:tcW w:w="1500" w:type="dxa"/>
            <w:vAlign w:val="bottom"/>
          </w:tcPr>
          <w:p>
            <w:pPr>
              <w:jc w:val="center"/>
              <w:spacing w:after="0"/>
              <w:rPr>
                <w:sz w:val="20"/>
                <w:szCs w:val="20"/>
                <w:color w:val="auto"/>
              </w:rPr>
            </w:pPr>
            <w:r>
              <w:rPr>
                <w:rFonts w:ascii="Arial" w:cs="Arial" w:eastAsia="Arial" w:hAnsi="Arial"/>
                <w:sz w:val="17"/>
                <w:szCs w:val="17"/>
                <w:color w:val="auto"/>
              </w:rPr>
              <w:t>333-248655</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rPr>
              <w:t>10.14</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June 1,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bottom w:val="single" w:sz="8" w:color="0000EE"/>
            </w:tcBorders>
            <w:gridSpan w:val="22"/>
          </w:tcPr>
          <w:p>
            <w:pPr>
              <w:spacing w:after="0" w:line="176" w:lineRule="exact"/>
              <w:rPr>
                <w:rFonts w:ascii="Arial" w:cs="Arial" w:eastAsia="Arial" w:hAnsi="Arial"/>
                <w:sz w:val="17"/>
                <w:szCs w:val="17"/>
                <w:color w:val="0000EE"/>
                <w:w w:val="99"/>
              </w:rPr>
            </w:pPr>
            <w:hyperlink r:id="rId164">
              <w:r>
                <w:rPr>
                  <w:rFonts w:ascii="Arial" w:cs="Arial" w:eastAsia="Arial" w:hAnsi="Arial"/>
                  <w:sz w:val="17"/>
                  <w:szCs w:val="17"/>
                  <w:color w:val="0000EE"/>
                  <w:w w:val="99"/>
                </w:rPr>
                <w:t>2018, by and between Vroom, Inc. and David</w:t>
              </w:r>
            </w:hyperlink>
          </w:p>
        </w:tc>
        <w:tc>
          <w:tcPr>
            <w:tcW w:w="60" w:type="dxa"/>
            <w:vAlign w:val="bottom"/>
            <w:tcBorders>
              <w:bottom w:val="single" w:sz="8" w:color="0000EE"/>
            </w:tcBorders>
            <w:gridSpan w:val="3"/>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0000EE"/>
            </w:tcBorders>
          </w:tcPr>
          <w:p>
            <w:pPr>
              <w:spacing w:after="0" w:line="176" w:lineRule="exact"/>
              <w:rPr>
                <w:rFonts w:ascii="Arial" w:cs="Arial" w:eastAsia="Arial" w:hAnsi="Arial"/>
                <w:sz w:val="17"/>
                <w:szCs w:val="17"/>
                <w:color w:val="0000EE"/>
                <w:w w:val="99"/>
              </w:rPr>
            </w:pPr>
            <w:hyperlink r:id="rId164">
              <w:r>
                <w:rPr>
                  <w:rFonts w:ascii="Arial" w:cs="Arial" w:eastAsia="Arial" w:hAnsi="Arial"/>
                  <w:sz w:val="17"/>
                  <w:szCs w:val="17"/>
                  <w:color w:val="0000EE"/>
                  <w:w w:val="99"/>
                </w:rPr>
                <w:t>K. Jones</w:t>
              </w:r>
            </w:hyperlink>
          </w:p>
        </w:tc>
        <w:tc>
          <w:tcPr>
            <w:tcW w:w="2880" w:type="dxa"/>
            <w:vAlign w:val="bottom"/>
            <w:gridSpan w:val="28"/>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7"/>
        </w:trPr>
        <w:tc>
          <w:tcPr>
            <w:tcW w:w="940" w:type="dxa"/>
            <w:vAlign w:val="bottom"/>
          </w:tcPr>
          <w:p>
            <w:pPr>
              <w:spacing w:after="0"/>
              <w:rPr>
                <w:sz w:val="20"/>
                <w:szCs w:val="20"/>
                <w:color w:val="auto"/>
              </w:rPr>
            </w:pPr>
            <w:r>
              <w:rPr>
                <w:rFonts w:ascii="Arial" w:cs="Arial" w:eastAsia="Arial" w:hAnsi="Arial"/>
                <w:sz w:val="17"/>
                <w:szCs w:val="17"/>
                <w:color w:val="auto"/>
              </w:rPr>
              <w:t>10.29</w:t>
            </w: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3320" w:type="dxa"/>
            <w:vAlign w:val="bottom"/>
            <w:tcBorders>
              <w:bottom w:val="single" w:sz="8" w:color="0000EE"/>
            </w:tcBorders>
            <w:gridSpan w:val="17"/>
          </w:tcPr>
          <w:p>
            <w:pPr>
              <w:spacing w:after="0"/>
              <w:rPr>
                <w:rFonts w:ascii="Arial" w:cs="Arial" w:eastAsia="Arial" w:hAnsi="Arial"/>
                <w:sz w:val="17"/>
                <w:szCs w:val="17"/>
                <w:color w:val="0000EE"/>
              </w:rPr>
            </w:pPr>
            <w:hyperlink r:id="rId165">
              <w:r>
                <w:rPr>
                  <w:rFonts w:ascii="Arial" w:cs="Arial" w:eastAsia="Arial" w:hAnsi="Arial"/>
                  <w:sz w:val="17"/>
                  <w:szCs w:val="17"/>
                  <w:color w:val="0000EE"/>
                </w:rPr>
                <w:t>Employment Offer Letter, dated January 6,</w:t>
              </w:r>
            </w:hyperlink>
          </w:p>
        </w:tc>
        <w:tc>
          <w:tcPr>
            <w:tcW w:w="340" w:type="dxa"/>
            <w:vAlign w:val="bottom"/>
            <w:gridSpan w:val="17"/>
          </w:tcPr>
          <w:p>
            <w:pPr>
              <w:spacing w:after="0"/>
              <w:rPr>
                <w:sz w:val="24"/>
                <w:szCs w:val="2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S-1/A</w:t>
            </w:r>
          </w:p>
        </w:tc>
        <w:tc>
          <w:tcPr>
            <w:tcW w:w="1500" w:type="dxa"/>
            <w:vAlign w:val="bottom"/>
          </w:tcPr>
          <w:p>
            <w:pPr>
              <w:jc w:val="center"/>
              <w:spacing w:after="0"/>
              <w:rPr>
                <w:sz w:val="20"/>
                <w:szCs w:val="20"/>
                <w:color w:val="auto"/>
              </w:rPr>
            </w:pPr>
            <w:r>
              <w:rPr>
                <w:rFonts w:ascii="Arial" w:cs="Arial" w:eastAsia="Arial" w:hAnsi="Arial"/>
                <w:sz w:val="17"/>
                <w:szCs w:val="17"/>
                <w:color w:val="auto"/>
              </w:rPr>
              <w:t>333-248655</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rPr>
              <w:t>10.15</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June 1,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60" w:type="dxa"/>
            <w:vAlign w:val="bottom"/>
            <w:gridSpan w:val="34"/>
          </w:tcPr>
          <w:p>
            <w:pPr>
              <w:spacing w:after="0" w:line="176" w:lineRule="exact"/>
              <w:rPr>
                <w:rFonts w:ascii="Arial" w:cs="Arial" w:eastAsia="Arial" w:hAnsi="Arial"/>
                <w:sz w:val="17"/>
                <w:szCs w:val="17"/>
                <w:color w:val="0000EE"/>
              </w:rPr>
            </w:pPr>
            <w:hyperlink r:id="rId165">
              <w:r>
                <w:rPr>
                  <w:rFonts w:ascii="Arial" w:cs="Arial" w:eastAsia="Arial" w:hAnsi="Arial"/>
                  <w:sz w:val="17"/>
                  <w:szCs w:val="17"/>
                  <w:color w:val="0000EE"/>
                </w:rPr>
                <w:t>2019, by and between Vroom, Inc. and Mark</w:t>
              </w:r>
            </w:hyperlink>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top w:val="single" w:sz="8" w:color="0000EE"/>
              <w:bottom w:val="single" w:sz="8" w:color="0000EE"/>
            </w:tcBorders>
            <w:gridSpan w:val="2"/>
          </w:tcPr>
          <w:p>
            <w:pPr>
              <w:spacing w:after="0" w:line="176" w:lineRule="exact"/>
              <w:rPr>
                <w:rFonts w:ascii="Arial" w:cs="Arial" w:eastAsia="Arial" w:hAnsi="Arial"/>
                <w:sz w:val="17"/>
                <w:szCs w:val="17"/>
                <w:color w:val="0000EE"/>
              </w:rPr>
            </w:pPr>
            <w:hyperlink r:id="rId165">
              <w:r>
                <w:rPr>
                  <w:rFonts w:ascii="Arial" w:cs="Arial" w:eastAsia="Arial" w:hAnsi="Arial"/>
                  <w:sz w:val="17"/>
                  <w:szCs w:val="17"/>
                  <w:color w:val="0000EE"/>
                </w:rPr>
                <w:t>Roszkowski</w:t>
              </w:r>
            </w:hyperlink>
          </w:p>
        </w:tc>
        <w:tc>
          <w:tcPr>
            <w:tcW w:w="2560" w:type="dxa"/>
            <w:vAlign w:val="bottom"/>
            <w:tcBorders>
              <w:top w:val="single" w:sz="8" w:color="0000EE"/>
            </w:tcBorders>
            <w:gridSpan w:val="2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7"/>
        </w:trPr>
        <w:tc>
          <w:tcPr>
            <w:tcW w:w="940" w:type="dxa"/>
            <w:vAlign w:val="bottom"/>
          </w:tcPr>
          <w:p>
            <w:pPr>
              <w:spacing w:after="0"/>
              <w:rPr>
                <w:sz w:val="20"/>
                <w:szCs w:val="20"/>
                <w:color w:val="auto"/>
              </w:rPr>
            </w:pPr>
            <w:r>
              <w:rPr>
                <w:rFonts w:ascii="Arial" w:cs="Arial" w:eastAsia="Arial" w:hAnsi="Arial"/>
                <w:sz w:val="17"/>
                <w:szCs w:val="17"/>
                <w:color w:val="auto"/>
              </w:rPr>
              <w:t>10.30</w:t>
            </w: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3660" w:type="dxa"/>
            <w:vAlign w:val="bottom"/>
            <w:gridSpan w:val="34"/>
          </w:tcPr>
          <w:p>
            <w:pPr>
              <w:spacing w:after="0"/>
              <w:rPr>
                <w:rFonts w:ascii="Arial" w:cs="Arial" w:eastAsia="Arial" w:hAnsi="Arial"/>
                <w:sz w:val="17"/>
                <w:szCs w:val="17"/>
                <w:color w:val="0000EE"/>
              </w:rPr>
            </w:pPr>
            <w:hyperlink r:id="rId166">
              <w:r>
                <w:rPr>
                  <w:rFonts w:ascii="Arial" w:cs="Arial" w:eastAsia="Arial" w:hAnsi="Arial"/>
                  <w:sz w:val="17"/>
                  <w:szCs w:val="17"/>
                  <w:color w:val="0000EE"/>
                </w:rPr>
                <w:t>Employment Offer Letter, dated December</w:t>
              </w:r>
            </w:hyperlink>
          </w:p>
        </w:tc>
        <w:tc>
          <w:tcPr>
            <w:tcW w:w="62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S-1/A</w:t>
            </w:r>
          </w:p>
        </w:tc>
        <w:tc>
          <w:tcPr>
            <w:tcW w:w="1500" w:type="dxa"/>
            <w:vAlign w:val="bottom"/>
          </w:tcPr>
          <w:p>
            <w:pPr>
              <w:jc w:val="center"/>
              <w:spacing w:after="0"/>
              <w:rPr>
                <w:sz w:val="20"/>
                <w:szCs w:val="20"/>
                <w:color w:val="auto"/>
              </w:rPr>
            </w:pPr>
            <w:r>
              <w:rPr>
                <w:rFonts w:ascii="Arial" w:cs="Arial" w:eastAsia="Arial" w:hAnsi="Arial"/>
                <w:sz w:val="17"/>
                <w:szCs w:val="17"/>
                <w:color w:val="auto"/>
              </w:rPr>
              <w:t>333-248655</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rPr>
              <w:t>10.18</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September 8,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60" w:type="dxa"/>
            <w:vAlign w:val="bottom"/>
            <w:tcBorders>
              <w:top w:val="single" w:sz="8" w:color="0000EE"/>
              <w:bottom w:val="single" w:sz="8" w:color="0000EE"/>
            </w:tcBorders>
            <w:gridSpan w:val="14"/>
          </w:tcPr>
          <w:p>
            <w:pPr>
              <w:spacing w:after="0" w:line="176" w:lineRule="exact"/>
              <w:rPr>
                <w:rFonts w:ascii="Arial" w:cs="Arial" w:eastAsia="Arial" w:hAnsi="Arial"/>
                <w:sz w:val="17"/>
                <w:szCs w:val="17"/>
                <w:color w:val="0000EE"/>
              </w:rPr>
            </w:pPr>
            <w:hyperlink r:id="rId166">
              <w:r>
                <w:rPr>
                  <w:rFonts w:ascii="Arial" w:cs="Arial" w:eastAsia="Arial" w:hAnsi="Arial"/>
                  <w:sz w:val="17"/>
                  <w:szCs w:val="17"/>
                  <w:color w:val="0000EE"/>
                </w:rPr>
                <w:t>29, 2018, by and between Vroom, Inc. and</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bottom w:val="single" w:sz="8" w:color="0000EE"/>
            </w:tcBorders>
            <w:gridSpan w:val="5"/>
          </w:tcPr>
          <w:p>
            <w:pPr>
              <w:spacing w:after="0" w:line="176" w:lineRule="exact"/>
              <w:rPr>
                <w:rFonts w:ascii="Arial" w:cs="Arial" w:eastAsia="Arial" w:hAnsi="Arial"/>
                <w:sz w:val="17"/>
                <w:szCs w:val="17"/>
                <w:color w:val="0000EE"/>
              </w:rPr>
            </w:pPr>
            <w:hyperlink r:id="rId166">
              <w:r>
                <w:rPr>
                  <w:rFonts w:ascii="Arial" w:cs="Arial" w:eastAsia="Arial" w:hAnsi="Arial"/>
                  <w:sz w:val="17"/>
                  <w:szCs w:val="17"/>
                  <w:color w:val="0000EE"/>
                </w:rPr>
                <w:t>Patricia Moran</w:t>
              </w:r>
            </w:hyperlink>
          </w:p>
        </w:tc>
        <w:tc>
          <w:tcPr>
            <w:tcW w:w="2180" w:type="dxa"/>
            <w:vAlign w:val="bottom"/>
            <w:gridSpan w:val="11"/>
          </w:tcPr>
          <w:p>
            <w:pPr>
              <w:spacing w:after="0"/>
              <w:rPr>
                <w:sz w:val="15"/>
                <w:szCs w:val="15"/>
                <w:color w:val="auto"/>
              </w:rPr>
            </w:pPr>
          </w:p>
        </w:tc>
        <w:tc>
          <w:tcPr>
            <w:tcW w:w="20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7"/>
        </w:trPr>
        <w:tc>
          <w:tcPr>
            <w:tcW w:w="940" w:type="dxa"/>
            <w:vAlign w:val="bottom"/>
          </w:tcPr>
          <w:p>
            <w:pPr>
              <w:spacing w:after="0"/>
              <w:rPr>
                <w:sz w:val="20"/>
                <w:szCs w:val="20"/>
                <w:color w:val="auto"/>
              </w:rPr>
            </w:pPr>
            <w:r>
              <w:rPr>
                <w:rFonts w:ascii="Arial" w:cs="Arial" w:eastAsia="Arial" w:hAnsi="Arial"/>
                <w:sz w:val="17"/>
                <w:szCs w:val="17"/>
                <w:color w:val="auto"/>
              </w:rPr>
              <w:t>10.31</w:t>
            </w: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3660" w:type="dxa"/>
            <w:vAlign w:val="bottom"/>
            <w:gridSpan w:val="34"/>
          </w:tcPr>
          <w:p>
            <w:pPr>
              <w:spacing w:after="0"/>
              <w:rPr>
                <w:rFonts w:ascii="Arial" w:cs="Arial" w:eastAsia="Arial" w:hAnsi="Arial"/>
                <w:sz w:val="17"/>
                <w:szCs w:val="17"/>
                <w:color w:val="0000EE"/>
              </w:rPr>
            </w:pPr>
            <w:hyperlink r:id="rId167">
              <w:r>
                <w:rPr>
                  <w:rFonts w:ascii="Arial" w:cs="Arial" w:eastAsia="Arial" w:hAnsi="Arial"/>
                  <w:sz w:val="17"/>
                  <w:szCs w:val="17"/>
                  <w:color w:val="0000EE"/>
                </w:rPr>
                <w:t>Employment Offer Letter, dated November 3,</w:t>
              </w:r>
            </w:hyperlink>
          </w:p>
        </w:tc>
        <w:tc>
          <w:tcPr>
            <w:tcW w:w="62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S-1/A</w:t>
            </w:r>
          </w:p>
        </w:tc>
        <w:tc>
          <w:tcPr>
            <w:tcW w:w="1500" w:type="dxa"/>
            <w:vAlign w:val="bottom"/>
          </w:tcPr>
          <w:p>
            <w:pPr>
              <w:jc w:val="center"/>
              <w:spacing w:after="0"/>
              <w:rPr>
                <w:sz w:val="20"/>
                <w:szCs w:val="20"/>
                <w:color w:val="auto"/>
              </w:rPr>
            </w:pPr>
            <w:r>
              <w:rPr>
                <w:rFonts w:ascii="Arial" w:cs="Arial" w:eastAsia="Arial" w:hAnsi="Arial"/>
                <w:sz w:val="17"/>
                <w:szCs w:val="17"/>
                <w:color w:val="auto"/>
              </w:rPr>
              <w:t>333-248655</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rPr>
              <w:t>10.19</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September 8,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40" w:type="dxa"/>
            <w:vAlign w:val="bottom"/>
            <w:tcBorders>
              <w:top w:val="single" w:sz="8" w:color="0000EE"/>
            </w:tcBorders>
            <w:gridSpan w:val="28"/>
          </w:tcPr>
          <w:p>
            <w:pPr>
              <w:spacing w:after="0" w:line="176" w:lineRule="exact"/>
              <w:rPr>
                <w:rFonts w:ascii="Arial" w:cs="Arial" w:eastAsia="Arial" w:hAnsi="Arial"/>
                <w:sz w:val="17"/>
                <w:szCs w:val="17"/>
                <w:color w:val="0000EE"/>
              </w:rPr>
            </w:pPr>
            <w:hyperlink r:id="rId167">
              <w:r>
                <w:rPr>
                  <w:rFonts w:ascii="Arial" w:cs="Arial" w:eastAsia="Arial" w:hAnsi="Arial"/>
                  <w:sz w:val="17"/>
                  <w:szCs w:val="17"/>
                  <w:color w:val="0000EE"/>
                </w:rPr>
                <w:t>2016, by and between Vroom, Inc. and Carol</w:t>
              </w:r>
            </w:hyperlink>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tcBorders>
              <w:top w:val="single" w:sz="8" w:color="0000EE"/>
            </w:tcBorders>
            <w:gridSpan w:val="27"/>
          </w:tcPr>
          <w:p>
            <w:pPr>
              <w:spacing w:after="0" w:line="176" w:lineRule="exact"/>
              <w:rPr>
                <w:rFonts w:ascii="Arial" w:cs="Arial" w:eastAsia="Arial" w:hAnsi="Arial"/>
                <w:sz w:val="17"/>
                <w:szCs w:val="17"/>
                <w:color w:val="0000EE"/>
              </w:rPr>
            </w:pPr>
            <w:hyperlink r:id="rId167">
              <w:r>
                <w:rPr>
                  <w:rFonts w:ascii="Arial" w:cs="Arial" w:eastAsia="Arial" w:hAnsi="Arial"/>
                  <w:sz w:val="17"/>
                  <w:szCs w:val="17"/>
                  <w:color w:val="0000EE"/>
                </w:rPr>
                <w:t>Denise Stott</w:t>
              </w:r>
            </w:hyperlink>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340" w:type="dxa"/>
            <w:vAlign w:val="bottom"/>
            <w:gridSpan w:val="12"/>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940" w:type="dxa"/>
            <w:vAlign w:val="bottom"/>
          </w:tcPr>
          <w:p>
            <w:pPr>
              <w:spacing w:after="0"/>
              <w:rPr>
                <w:sz w:val="20"/>
                <w:szCs w:val="20"/>
                <w:color w:val="auto"/>
              </w:rPr>
            </w:pPr>
            <w:r>
              <w:rPr>
                <w:rFonts w:ascii="Arial" w:cs="Arial" w:eastAsia="Arial" w:hAnsi="Arial"/>
                <w:sz w:val="17"/>
                <w:szCs w:val="17"/>
                <w:color w:val="auto"/>
              </w:rPr>
              <w:t>10.32</w:t>
            </w: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3660" w:type="dxa"/>
            <w:vAlign w:val="bottom"/>
            <w:gridSpan w:val="34"/>
          </w:tcPr>
          <w:p>
            <w:pPr>
              <w:spacing w:after="0"/>
              <w:rPr>
                <w:rFonts w:ascii="Arial" w:cs="Arial" w:eastAsia="Arial" w:hAnsi="Arial"/>
                <w:sz w:val="17"/>
                <w:szCs w:val="17"/>
                <w:color w:val="0000EE"/>
              </w:rPr>
            </w:pPr>
            <w:hyperlink r:id="rId168">
              <w:r>
                <w:rPr>
                  <w:rFonts w:ascii="Arial" w:cs="Arial" w:eastAsia="Arial" w:hAnsi="Arial"/>
                  <w:sz w:val="17"/>
                  <w:szCs w:val="17"/>
                  <w:color w:val="0000EE"/>
                </w:rPr>
                <w:t>Nominee and Indemnity Agreement, dated</w:t>
              </w:r>
            </w:hyperlink>
          </w:p>
        </w:tc>
        <w:tc>
          <w:tcPr>
            <w:tcW w:w="62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S-1/A</w:t>
            </w:r>
          </w:p>
        </w:tc>
        <w:tc>
          <w:tcPr>
            <w:tcW w:w="1500" w:type="dxa"/>
            <w:vAlign w:val="bottom"/>
          </w:tcPr>
          <w:p>
            <w:pPr>
              <w:jc w:val="center"/>
              <w:spacing w:after="0"/>
              <w:rPr>
                <w:sz w:val="20"/>
                <w:szCs w:val="20"/>
                <w:color w:val="auto"/>
              </w:rPr>
            </w:pPr>
            <w:r>
              <w:rPr>
                <w:rFonts w:ascii="Arial" w:cs="Arial" w:eastAsia="Arial" w:hAnsi="Arial"/>
                <w:sz w:val="17"/>
                <w:szCs w:val="17"/>
                <w:color w:val="auto"/>
              </w:rPr>
              <w:t>333-248655</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rPr>
              <w:t>10.20</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September 8,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80" w:type="dxa"/>
            <w:vAlign w:val="bottom"/>
            <w:tcBorders>
              <w:top w:val="single" w:sz="8" w:color="0000EE"/>
              <w:bottom w:val="single" w:sz="8" w:color="0000EE"/>
            </w:tcBorders>
            <w:gridSpan w:val="15"/>
          </w:tcPr>
          <w:p>
            <w:pPr>
              <w:spacing w:after="0" w:line="176" w:lineRule="exact"/>
              <w:rPr>
                <w:rFonts w:ascii="Arial" w:cs="Arial" w:eastAsia="Arial" w:hAnsi="Arial"/>
                <w:sz w:val="17"/>
                <w:szCs w:val="17"/>
                <w:color w:val="0000EE"/>
                <w:w w:val="96"/>
              </w:rPr>
            </w:pPr>
            <w:hyperlink r:id="rId168">
              <w:r>
                <w:rPr>
                  <w:rFonts w:ascii="Arial" w:cs="Arial" w:eastAsia="Arial" w:hAnsi="Arial"/>
                  <w:sz w:val="17"/>
                  <w:szCs w:val="17"/>
                  <w:color w:val="0000EE"/>
                  <w:w w:val="96"/>
                </w:rPr>
                <w:t>September 1, 2020, by and among Catterton</w:t>
              </w:r>
            </w:hyperlink>
          </w:p>
        </w:tc>
        <w:tc>
          <w:tcPr>
            <w:tcW w:w="220" w:type="dxa"/>
            <w:vAlign w:val="bottom"/>
            <w:tcBorders>
              <w:bottom w:val="single" w:sz="8" w:color="0000EE"/>
            </w:tcBorders>
            <w:gridSpan w:val="11"/>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tcBorders>
              <w:bottom w:val="single" w:sz="8" w:color="0000EE"/>
            </w:tcBorders>
            <w:gridSpan w:val="26"/>
          </w:tcPr>
          <w:p>
            <w:pPr>
              <w:spacing w:after="0" w:line="176" w:lineRule="exact"/>
              <w:rPr>
                <w:rFonts w:ascii="Arial" w:cs="Arial" w:eastAsia="Arial" w:hAnsi="Arial"/>
                <w:sz w:val="17"/>
                <w:szCs w:val="17"/>
                <w:color w:val="0000EE"/>
              </w:rPr>
            </w:pPr>
            <w:hyperlink r:id="rId168">
              <w:r>
                <w:rPr>
                  <w:rFonts w:ascii="Arial" w:cs="Arial" w:eastAsia="Arial" w:hAnsi="Arial"/>
                  <w:sz w:val="17"/>
                  <w:szCs w:val="17"/>
                  <w:color w:val="0000EE"/>
                </w:rPr>
                <w:t>Management Company, L.L.C. as investment</w:t>
              </w:r>
            </w:hyperlink>
          </w:p>
        </w:tc>
        <w:tc>
          <w:tcPr>
            <w:tcW w:w="80" w:type="dxa"/>
            <w:vAlign w:val="bottom"/>
            <w:tcBorders>
              <w:bottom w:val="single" w:sz="8" w:color="0000EE"/>
            </w:tcBorders>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30"/>
          </w:tcPr>
          <w:p>
            <w:pPr>
              <w:spacing w:after="0" w:line="180" w:lineRule="exact"/>
              <w:rPr>
                <w:rFonts w:ascii="Arial" w:cs="Arial" w:eastAsia="Arial" w:hAnsi="Arial"/>
                <w:sz w:val="17"/>
                <w:szCs w:val="17"/>
                <w:u w:val="single" w:color="auto"/>
                <w:color w:val="0000EE"/>
              </w:rPr>
            </w:pPr>
            <w:hyperlink r:id="rId168">
              <w:r>
                <w:rPr>
                  <w:rFonts w:ascii="Arial" w:cs="Arial" w:eastAsia="Arial" w:hAnsi="Arial"/>
                  <w:sz w:val="17"/>
                  <w:szCs w:val="17"/>
                  <w:u w:val="single" w:color="auto"/>
                  <w:color w:val="0000EE"/>
                </w:rPr>
                <w:t>manager of CGP2 Lone Star, L.P., Scott</w:t>
              </w:r>
            </w:hyperlink>
          </w:p>
        </w:tc>
        <w:tc>
          <w:tcPr>
            <w:tcW w:w="8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6"/>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60" w:type="dxa"/>
            <w:vAlign w:val="bottom"/>
            <w:gridSpan w:val="34"/>
          </w:tcPr>
          <w:p>
            <w:pPr>
              <w:spacing w:after="0"/>
              <w:rPr>
                <w:rFonts w:ascii="Arial" w:cs="Arial" w:eastAsia="Arial" w:hAnsi="Arial"/>
                <w:sz w:val="17"/>
                <w:szCs w:val="17"/>
                <w:u w:val="single" w:color="auto"/>
                <w:color w:val="0000EE"/>
              </w:rPr>
            </w:pPr>
            <w:hyperlink r:id="rId168">
              <w:r>
                <w:rPr>
                  <w:rFonts w:ascii="Arial" w:cs="Arial" w:eastAsia="Arial" w:hAnsi="Arial"/>
                  <w:sz w:val="17"/>
                  <w:szCs w:val="17"/>
                  <w:u w:val="single" w:color="auto"/>
                  <w:color w:val="0000EE"/>
                </w:rPr>
                <w:t>Dahnke and Vroom, Inc.</w:t>
              </w:r>
            </w:hyperlink>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6"/>
        </w:trPr>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jc w:val="right"/>
              <w:ind w:right="954"/>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-7620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212529"/>
              </w:rPr>
              <w:t>Filing</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212529"/>
                <w:w w:val="97"/>
              </w:rPr>
              <w:t>Filed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212529"/>
              </w:rPr>
              <w:t>Furnished</w:t>
            </w:r>
          </w:p>
        </w:tc>
      </w:tr>
      <w:tr>
        <w:trPr>
          <w:trHeight w:val="170"/>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3500" w:type="dxa"/>
            <w:vAlign w:val="bottom"/>
            <w:tcBorders>
              <w:bottom w:val="single" w:sz="8" w:color="auto"/>
            </w:tcBorders>
            <w:gridSpan w:val="12"/>
          </w:tcPr>
          <w:p>
            <w:pPr>
              <w:ind w:left="1100"/>
              <w:spacing w:after="0"/>
              <w:rPr>
                <w:sz w:val="20"/>
                <w:szCs w:val="20"/>
                <w:color w:val="auto"/>
              </w:rPr>
            </w:pPr>
            <w:r>
              <w:rPr>
                <w:rFonts w:ascii="Arial" w:cs="Arial" w:eastAsia="Arial" w:hAnsi="Arial"/>
                <w:sz w:val="14"/>
                <w:szCs w:val="14"/>
                <w:b w:val="1"/>
                <w:bCs w:val="1"/>
                <w:color w:val="212529"/>
              </w:rPr>
              <w:t>Exhibit Description</w:t>
            </w:r>
          </w:p>
        </w:tc>
        <w:tc>
          <w:tcPr>
            <w:tcW w:w="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w w:val="97"/>
              </w:rPr>
              <w:t>Form</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w w:val="98"/>
              </w:rPr>
              <w:t>File No.</w:t>
            </w:r>
          </w:p>
        </w:tc>
        <w:tc>
          <w:tcPr>
            <w:tcW w:w="100" w:type="dxa"/>
            <w:vAlign w:val="bottom"/>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212529"/>
              </w:rPr>
              <w:t>Exhibit</w:t>
            </w:r>
          </w:p>
        </w:tc>
        <w:tc>
          <w:tcPr>
            <w:tcW w:w="6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w w:val="98"/>
              </w:rPr>
              <w:t>Date</w:t>
            </w:r>
          </w:p>
        </w:tc>
        <w:tc>
          <w:tcPr>
            <w:tcW w:w="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r>
      <w:tr>
        <w:trPr>
          <w:trHeight w:val="386"/>
        </w:trPr>
        <w:tc>
          <w:tcPr>
            <w:tcW w:w="940" w:type="dxa"/>
            <w:vAlign w:val="bottom"/>
          </w:tcPr>
          <w:p>
            <w:pPr>
              <w:spacing w:after="0"/>
              <w:rPr>
                <w:sz w:val="20"/>
                <w:szCs w:val="20"/>
                <w:color w:val="auto"/>
              </w:rPr>
            </w:pPr>
            <w:r>
              <w:rPr>
                <w:rFonts w:ascii="Arial" w:cs="Arial" w:eastAsia="Arial" w:hAnsi="Arial"/>
                <w:sz w:val="17"/>
                <w:szCs w:val="17"/>
                <w:color w:val="auto"/>
              </w:rPr>
              <w:t>10.33</w:t>
            </w: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3540" w:type="dxa"/>
            <w:vAlign w:val="bottom"/>
            <w:gridSpan w:val="13"/>
          </w:tcPr>
          <w:p>
            <w:pPr>
              <w:spacing w:after="0"/>
              <w:rPr>
                <w:rFonts w:ascii="Arial" w:cs="Arial" w:eastAsia="Arial" w:hAnsi="Arial"/>
                <w:sz w:val="17"/>
                <w:szCs w:val="17"/>
                <w:color w:val="0000EE"/>
              </w:rPr>
            </w:pPr>
            <w:hyperlink r:id="rId171">
              <w:r>
                <w:rPr>
                  <w:rFonts w:ascii="Arial" w:cs="Arial" w:eastAsia="Arial" w:hAnsi="Arial"/>
                  <w:sz w:val="17"/>
                  <w:szCs w:val="17"/>
                  <w:color w:val="0000EE"/>
                </w:rPr>
                <w:t>Nominee and Indemnity Agreement, dated</w:t>
              </w:r>
            </w:hyperlink>
          </w:p>
        </w:tc>
        <w:tc>
          <w:tcPr>
            <w:tcW w:w="740" w:type="dxa"/>
            <w:vAlign w:val="bottom"/>
            <w:gridSpan w:val="2"/>
          </w:tcPr>
          <w:p>
            <w:pPr>
              <w:jc w:val="center"/>
              <w:ind w:right="100"/>
              <w:spacing w:after="0"/>
              <w:rPr>
                <w:sz w:val="20"/>
                <w:szCs w:val="20"/>
                <w:color w:val="auto"/>
              </w:rPr>
            </w:pPr>
            <w:r>
              <w:rPr>
                <w:rFonts w:ascii="Arial" w:cs="Arial" w:eastAsia="Arial" w:hAnsi="Arial"/>
                <w:sz w:val="17"/>
                <w:szCs w:val="17"/>
                <w:color w:val="auto"/>
              </w:rPr>
              <w:t>S-1/A</w:t>
            </w:r>
          </w:p>
        </w:tc>
        <w:tc>
          <w:tcPr>
            <w:tcW w:w="1480" w:type="dxa"/>
            <w:vAlign w:val="bottom"/>
          </w:tcPr>
          <w:p>
            <w:pPr>
              <w:jc w:val="right"/>
              <w:ind w:right="202"/>
              <w:spacing w:after="0"/>
              <w:rPr>
                <w:sz w:val="20"/>
                <w:szCs w:val="20"/>
                <w:color w:val="auto"/>
              </w:rPr>
            </w:pPr>
            <w:r>
              <w:rPr>
                <w:rFonts w:ascii="Arial" w:cs="Arial" w:eastAsia="Arial" w:hAnsi="Arial"/>
                <w:sz w:val="17"/>
                <w:szCs w:val="17"/>
                <w:color w:val="auto"/>
              </w:rPr>
              <w:t>333-248655</w:t>
            </w:r>
          </w:p>
        </w:tc>
        <w:tc>
          <w:tcPr>
            <w:tcW w:w="10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7"/>
                <w:szCs w:val="17"/>
                <w:color w:val="auto"/>
              </w:rPr>
              <w:t>10.21</w:t>
            </w:r>
          </w:p>
        </w:tc>
        <w:tc>
          <w:tcPr>
            <w:tcW w:w="60" w:type="dxa"/>
            <w:vAlign w:val="bottom"/>
          </w:tcPr>
          <w:p>
            <w:pPr>
              <w:spacing w:after="0"/>
              <w:rPr>
                <w:sz w:val="24"/>
                <w:szCs w:val="2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7"/>
                <w:szCs w:val="17"/>
                <w:color w:val="auto"/>
              </w:rPr>
              <w:t>September 8, 2020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tcBorders>
              <w:top w:val="single" w:sz="8" w:color="0000EE"/>
              <w:bottom w:val="single" w:sz="8" w:color="0000EE"/>
            </w:tcBorders>
            <w:gridSpan w:val="7"/>
          </w:tcPr>
          <w:p>
            <w:pPr>
              <w:spacing w:after="0" w:line="176" w:lineRule="exact"/>
              <w:rPr>
                <w:rFonts w:ascii="Arial" w:cs="Arial" w:eastAsia="Arial" w:hAnsi="Arial"/>
                <w:sz w:val="17"/>
                <w:szCs w:val="17"/>
                <w:color w:val="0000EE"/>
                <w:w w:val="96"/>
              </w:rPr>
            </w:pPr>
            <w:hyperlink r:id="rId171">
              <w:r>
                <w:rPr>
                  <w:rFonts w:ascii="Arial" w:cs="Arial" w:eastAsia="Arial" w:hAnsi="Arial"/>
                  <w:sz w:val="17"/>
                  <w:szCs w:val="17"/>
                  <w:color w:val="0000EE"/>
                  <w:w w:val="96"/>
                </w:rPr>
                <w:t>September 1, 2020, by and among Catterton</w:t>
              </w:r>
            </w:hyperlink>
          </w:p>
        </w:tc>
        <w:tc>
          <w:tcPr>
            <w:tcW w:w="6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Borders>
              <w:bottom w:val="single" w:sz="8" w:color="0000EE"/>
            </w:tcBorders>
            <w:gridSpan w:val="10"/>
          </w:tcPr>
          <w:p>
            <w:pPr>
              <w:spacing w:after="0" w:line="176" w:lineRule="exact"/>
              <w:rPr>
                <w:rFonts w:ascii="Arial" w:cs="Arial" w:eastAsia="Arial" w:hAnsi="Arial"/>
                <w:sz w:val="17"/>
                <w:szCs w:val="17"/>
                <w:color w:val="0000EE"/>
              </w:rPr>
            </w:pPr>
            <w:hyperlink r:id="rId171">
              <w:r>
                <w:rPr>
                  <w:rFonts w:ascii="Arial" w:cs="Arial" w:eastAsia="Arial" w:hAnsi="Arial"/>
                  <w:sz w:val="17"/>
                  <w:szCs w:val="17"/>
                  <w:color w:val="0000EE"/>
                </w:rPr>
                <w:t>Management Company, L.L.C. as investment</w:t>
              </w:r>
            </w:hyperlink>
          </w:p>
        </w:tc>
        <w:tc>
          <w:tcPr>
            <w:tcW w:w="40" w:type="dxa"/>
            <w:vAlign w:val="bottom"/>
            <w:tcBorders>
              <w:bottom w:val="single" w:sz="8" w:color="0000EE"/>
            </w:tcBorders>
          </w:tcPr>
          <w:p>
            <w:pPr>
              <w:spacing w:after="0"/>
              <w:rPr>
                <w:sz w:val="15"/>
                <w:szCs w:val="15"/>
                <w:color w:val="auto"/>
              </w:rPr>
            </w:pPr>
          </w:p>
        </w:tc>
        <w:tc>
          <w:tcPr>
            <w:tcW w:w="6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11"/>
          </w:tcPr>
          <w:p>
            <w:pPr>
              <w:spacing w:after="0" w:line="180" w:lineRule="exact"/>
              <w:rPr>
                <w:rFonts w:ascii="Arial" w:cs="Arial" w:eastAsia="Arial" w:hAnsi="Arial"/>
                <w:sz w:val="17"/>
                <w:szCs w:val="17"/>
                <w:u w:val="single" w:color="auto"/>
                <w:color w:val="0000EE"/>
              </w:rPr>
            </w:pPr>
            <w:hyperlink r:id="rId171">
              <w:r>
                <w:rPr>
                  <w:rFonts w:ascii="Arial" w:cs="Arial" w:eastAsia="Arial" w:hAnsi="Arial"/>
                  <w:sz w:val="17"/>
                  <w:szCs w:val="17"/>
                  <w:u w:val="single" w:color="auto"/>
                  <w:color w:val="0000EE"/>
                </w:rPr>
                <w:t>manager of CGP2 Lone Star, L.P., Michael</w:t>
              </w:r>
            </w:hyperlink>
          </w:p>
        </w:tc>
        <w:tc>
          <w:tcPr>
            <w:tcW w:w="6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6"/>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13"/>
          </w:tcPr>
          <w:p>
            <w:pPr>
              <w:spacing w:after="0"/>
              <w:rPr>
                <w:rFonts w:ascii="Arial" w:cs="Arial" w:eastAsia="Arial" w:hAnsi="Arial"/>
                <w:sz w:val="17"/>
                <w:szCs w:val="17"/>
                <w:u w:val="single" w:color="auto"/>
                <w:color w:val="0000EE"/>
              </w:rPr>
            </w:pPr>
            <w:hyperlink r:id="rId171">
              <w:r>
                <w:rPr>
                  <w:rFonts w:ascii="Arial" w:cs="Arial" w:eastAsia="Arial" w:hAnsi="Arial"/>
                  <w:sz w:val="17"/>
                  <w:szCs w:val="17"/>
                  <w:u w:val="single" w:color="auto"/>
                  <w:color w:val="0000EE"/>
                </w:rPr>
                <w:t>Farello and Vroom, Inc.</w:t>
              </w:r>
            </w:hyperlink>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24"/>
                <w:szCs w:val="24"/>
                <w:color w:val="auto"/>
              </w:rPr>
            </w:pPr>
          </w:p>
        </w:tc>
        <w:tc>
          <w:tcPr>
            <w:tcW w:w="3540" w:type="dxa"/>
            <w:vAlign w:val="bottom"/>
            <w:gridSpan w:val="13"/>
          </w:tcPr>
          <w:p>
            <w:pPr>
              <w:spacing w:after="0"/>
              <w:rPr>
                <w:rFonts w:ascii="Arial" w:cs="Arial" w:eastAsia="Arial" w:hAnsi="Arial"/>
                <w:sz w:val="17"/>
                <w:szCs w:val="17"/>
                <w:u w:val="single" w:color="auto"/>
                <w:color w:val="0000EE"/>
              </w:rPr>
            </w:pPr>
            <w:hyperlink w:anchor="page182">
              <w:r>
                <w:rPr>
                  <w:rFonts w:ascii="Arial" w:cs="Arial" w:eastAsia="Arial" w:hAnsi="Arial"/>
                  <w:sz w:val="17"/>
                  <w:szCs w:val="17"/>
                  <w:u w:val="single" w:color="auto"/>
                  <w:color w:val="0000EE"/>
                </w:rPr>
                <w:t>Subsidiaries of the Registrant</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rPr>
              <w:t>X</w:t>
            </w:r>
          </w:p>
        </w:tc>
        <w:tc>
          <w:tcPr>
            <w:tcW w:w="1000" w:type="dxa"/>
            <w:vAlign w:val="bottom"/>
          </w:tcPr>
          <w:p>
            <w:pPr>
              <w:spacing w:after="0"/>
              <w:rPr>
                <w:sz w:val="24"/>
                <w:szCs w:val="24"/>
                <w:color w:val="auto"/>
              </w:rPr>
            </w:pPr>
          </w:p>
        </w:tc>
      </w:tr>
      <w:tr>
        <w:trPr>
          <w:trHeight w:val="406"/>
        </w:trPr>
        <w:tc>
          <w:tcPr>
            <w:tcW w:w="940" w:type="dxa"/>
            <w:vAlign w:val="bottom"/>
          </w:tcPr>
          <w:p>
            <w:pPr>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24"/>
                <w:szCs w:val="24"/>
                <w:color w:val="auto"/>
              </w:rPr>
            </w:pPr>
          </w:p>
        </w:tc>
        <w:tc>
          <w:tcPr>
            <w:tcW w:w="3540" w:type="dxa"/>
            <w:vAlign w:val="bottom"/>
            <w:gridSpan w:val="13"/>
          </w:tcPr>
          <w:p>
            <w:pPr>
              <w:spacing w:after="0"/>
              <w:rPr>
                <w:rFonts w:ascii="Arial" w:cs="Arial" w:eastAsia="Arial" w:hAnsi="Arial"/>
                <w:sz w:val="17"/>
                <w:szCs w:val="17"/>
                <w:u w:val="single" w:color="auto"/>
                <w:color w:val="0000EE"/>
              </w:rPr>
            </w:pPr>
            <w:hyperlink w:anchor="page183">
              <w:r>
                <w:rPr>
                  <w:rFonts w:ascii="Arial" w:cs="Arial" w:eastAsia="Arial" w:hAnsi="Arial"/>
                  <w:sz w:val="17"/>
                  <w:szCs w:val="17"/>
                  <w:u w:val="single" w:color="auto"/>
                  <w:color w:val="0000EE"/>
                </w:rPr>
                <w:t>Consent of PricewaterhouseCoopers LLP</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rPr>
              <w:t>X</w:t>
            </w:r>
          </w:p>
        </w:tc>
        <w:tc>
          <w:tcPr>
            <w:tcW w:w="1000" w:type="dxa"/>
            <w:vAlign w:val="bottom"/>
          </w:tcPr>
          <w:p>
            <w:pPr>
              <w:spacing w:after="0"/>
              <w:rPr>
                <w:sz w:val="24"/>
                <w:szCs w:val="24"/>
                <w:color w:val="auto"/>
              </w:rPr>
            </w:pPr>
          </w:p>
        </w:tc>
      </w:tr>
      <w:tr>
        <w:trPr>
          <w:trHeight w:val="297"/>
        </w:trPr>
        <w:tc>
          <w:tcPr>
            <w:tcW w:w="940" w:type="dxa"/>
            <w:vAlign w:val="bottom"/>
          </w:tcPr>
          <w:p>
            <w:pPr>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24"/>
                <w:szCs w:val="24"/>
                <w:color w:val="auto"/>
              </w:rPr>
            </w:pPr>
          </w:p>
        </w:tc>
        <w:tc>
          <w:tcPr>
            <w:tcW w:w="3220" w:type="dxa"/>
            <w:vAlign w:val="bottom"/>
            <w:tcBorders>
              <w:bottom w:val="single" w:sz="8" w:color="0000EE"/>
            </w:tcBorders>
            <w:gridSpan w:val="6"/>
          </w:tcPr>
          <w:p>
            <w:pPr>
              <w:spacing w:after="0"/>
              <w:rPr>
                <w:rFonts w:ascii="Arial" w:cs="Arial" w:eastAsia="Arial" w:hAnsi="Arial"/>
                <w:sz w:val="17"/>
                <w:szCs w:val="17"/>
                <w:color w:val="0000EE"/>
              </w:rPr>
            </w:pPr>
            <w:hyperlink w:anchor="page184">
              <w:r>
                <w:rPr>
                  <w:rFonts w:ascii="Arial" w:cs="Arial" w:eastAsia="Arial" w:hAnsi="Arial"/>
                  <w:sz w:val="17"/>
                  <w:szCs w:val="17"/>
                  <w:color w:val="0000EE"/>
                </w:rPr>
                <w:t>Certification of Principal Executive Officer</w:t>
              </w:r>
            </w:hyperlink>
          </w:p>
        </w:tc>
        <w:tc>
          <w:tcPr>
            <w:tcW w:w="320" w:type="dxa"/>
            <w:vAlign w:val="bottom"/>
            <w:gridSpan w:val="7"/>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rPr>
              <w:t>X</w:t>
            </w:r>
          </w:p>
        </w:tc>
        <w:tc>
          <w:tcPr>
            <w:tcW w:w="100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40" w:type="dxa"/>
            <w:vAlign w:val="bottom"/>
            <w:gridSpan w:val="13"/>
          </w:tcPr>
          <w:p>
            <w:pPr>
              <w:spacing w:after="0" w:line="176" w:lineRule="exact"/>
              <w:rPr>
                <w:rFonts w:ascii="Arial" w:cs="Arial" w:eastAsia="Arial" w:hAnsi="Arial"/>
                <w:sz w:val="17"/>
                <w:szCs w:val="17"/>
                <w:color w:val="0000EE"/>
              </w:rPr>
            </w:pPr>
            <w:hyperlink w:anchor="page184">
              <w:r>
                <w:rPr>
                  <w:rFonts w:ascii="Arial" w:cs="Arial" w:eastAsia="Arial" w:hAnsi="Arial"/>
                  <w:sz w:val="17"/>
                  <w:szCs w:val="17"/>
                  <w:color w:val="0000EE"/>
                </w:rPr>
                <w:t>Pursuant to Rules 13a-14(a) and 15d-14(a)</w:t>
              </w:r>
            </w:hyperlink>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40" w:type="dxa"/>
            <w:vAlign w:val="bottom"/>
            <w:tcBorders>
              <w:top w:val="single" w:sz="8" w:color="0000EE"/>
              <w:bottom w:val="single" w:sz="8" w:color="0000EE"/>
            </w:tcBorders>
            <w:gridSpan w:val="8"/>
          </w:tcPr>
          <w:p>
            <w:pPr>
              <w:spacing w:after="0" w:line="176" w:lineRule="exact"/>
              <w:rPr>
                <w:rFonts w:ascii="Arial" w:cs="Arial" w:eastAsia="Arial" w:hAnsi="Arial"/>
                <w:sz w:val="17"/>
                <w:szCs w:val="17"/>
                <w:color w:val="0000EE"/>
              </w:rPr>
            </w:pPr>
            <w:hyperlink w:anchor="page184">
              <w:r>
                <w:rPr>
                  <w:rFonts w:ascii="Arial" w:cs="Arial" w:eastAsia="Arial" w:hAnsi="Arial"/>
                  <w:sz w:val="17"/>
                  <w:szCs w:val="17"/>
                  <w:color w:val="0000EE"/>
                </w:rPr>
                <w:t>under the Securities Exchange Act of 1934,</w:t>
              </w:r>
            </w:hyperlink>
          </w:p>
        </w:tc>
        <w:tc>
          <w:tcPr>
            <w:tcW w:w="20" w:type="dxa"/>
            <w:vAlign w:val="bottom"/>
            <w:tcBorders>
              <w:bottom w:val="single" w:sz="8" w:color="0000EE"/>
            </w:tcBorders>
          </w:tcPr>
          <w:p>
            <w:pPr>
              <w:spacing w:after="0"/>
              <w:rPr>
                <w:sz w:val="15"/>
                <w:szCs w:val="15"/>
                <w:color w:val="auto"/>
              </w:rPr>
            </w:pPr>
          </w:p>
        </w:tc>
        <w:tc>
          <w:tcPr>
            <w:tcW w:w="180" w:type="dxa"/>
            <w:vAlign w:val="bottom"/>
            <w:gridSpan w:val="4"/>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60" w:type="dxa"/>
            <w:vAlign w:val="bottom"/>
            <w:gridSpan w:val="9"/>
          </w:tcPr>
          <w:p>
            <w:pPr>
              <w:spacing w:after="0" w:line="180" w:lineRule="exact"/>
              <w:rPr>
                <w:rFonts w:ascii="Arial" w:cs="Arial" w:eastAsia="Arial" w:hAnsi="Arial"/>
                <w:sz w:val="17"/>
                <w:szCs w:val="17"/>
                <w:u w:val="single" w:color="auto"/>
                <w:color w:val="0000EE"/>
              </w:rPr>
            </w:pPr>
            <w:hyperlink w:anchor="page184">
              <w:r>
                <w:rPr>
                  <w:rFonts w:ascii="Arial" w:cs="Arial" w:eastAsia="Arial" w:hAnsi="Arial"/>
                  <w:sz w:val="17"/>
                  <w:szCs w:val="17"/>
                  <w:u w:val="single" w:color="auto"/>
                  <w:color w:val="0000EE"/>
                </w:rPr>
                <w:t>as Adopted Pursuant to Section 302 of the</w:t>
              </w:r>
            </w:hyperlink>
          </w:p>
        </w:tc>
        <w:tc>
          <w:tcPr>
            <w:tcW w:w="180" w:type="dxa"/>
            <w:vAlign w:val="bottom"/>
            <w:gridSpan w:val="4"/>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6"/>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13"/>
          </w:tcPr>
          <w:p>
            <w:pPr>
              <w:spacing w:after="0"/>
              <w:rPr>
                <w:rFonts w:ascii="Arial" w:cs="Arial" w:eastAsia="Arial" w:hAnsi="Arial"/>
                <w:sz w:val="17"/>
                <w:szCs w:val="17"/>
                <w:u w:val="single" w:color="auto"/>
                <w:color w:val="0000EE"/>
              </w:rPr>
            </w:pPr>
            <w:hyperlink w:anchor="page184">
              <w:r>
                <w:rPr>
                  <w:rFonts w:ascii="Arial" w:cs="Arial" w:eastAsia="Arial" w:hAnsi="Arial"/>
                  <w:sz w:val="17"/>
                  <w:szCs w:val="17"/>
                  <w:u w:val="single" w:color="auto"/>
                  <w:color w:val="0000EE"/>
                </w:rPr>
                <w:t>Sarbanes-Oxley Act of 2002</w:t>
              </w:r>
            </w:hyperlink>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94"/>
        </w:trPr>
        <w:tc>
          <w:tcPr>
            <w:tcW w:w="940" w:type="dxa"/>
            <w:vAlign w:val="bottom"/>
          </w:tcPr>
          <w:p>
            <w:pPr>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24"/>
                <w:szCs w:val="24"/>
                <w:color w:val="auto"/>
              </w:rPr>
            </w:pPr>
          </w:p>
        </w:tc>
        <w:tc>
          <w:tcPr>
            <w:tcW w:w="3160" w:type="dxa"/>
            <w:vAlign w:val="bottom"/>
            <w:tcBorders>
              <w:bottom w:val="single" w:sz="8" w:color="0000EE"/>
            </w:tcBorders>
            <w:gridSpan w:val="4"/>
          </w:tcPr>
          <w:p>
            <w:pPr>
              <w:spacing w:after="0"/>
              <w:rPr>
                <w:rFonts w:ascii="Arial" w:cs="Arial" w:eastAsia="Arial" w:hAnsi="Arial"/>
                <w:sz w:val="17"/>
                <w:szCs w:val="17"/>
                <w:color w:val="0000EE"/>
              </w:rPr>
            </w:pPr>
            <w:hyperlink w:anchor="page185">
              <w:r>
                <w:rPr>
                  <w:rFonts w:ascii="Arial" w:cs="Arial" w:eastAsia="Arial" w:hAnsi="Arial"/>
                  <w:sz w:val="17"/>
                  <w:szCs w:val="17"/>
                  <w:color w:val="0000EE"/>
                </w:rPr>
                <w:t>Certification of Principal Financial Officer</w:t>
              </w:r>
            </w:hyperlink>
          </w:p>
        </w:tc>
        <w:tc>
          <w:tcPr>
            <w:tcW w:w="380" w:type="dxa"/>
            <w:vAlign w:val="bottom"/>
            <w:gridSpan w:val="9"/>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rPr>
              <w:t>X</w:t>
            </w:r>
          </w:p>
        </w:tc>
        <w:tc>
          <w:tcPr>
            <w:tcW w:w="100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40" w:type="dxa"/>
            <w:vAlign w:val="bottom"/>
            <w:gridSpan w:val="13"/>
          </w:tcPr>
          <w:p>
            <w:pPr>
              <w:spacing w:after="0" w:line="176" w:lineRule="exact"/>
              <w:rPr>
                <w:rFonts w:ascii="Arial" w:cs="Arial" w:eastAsia="Arial" w:hAnsi="Arial"/>
                <w:sz w:val="17"/>
                <w:szCs w:val="17"/>
                <w:color w:val="0000EE"/>
              </w:rPr>
            </w:pPr>
            <w:hyperlink w:anchor="page185">
              <w:r>
                <w:rPr>
                  <w:rFonts w:ascii="Arial" w:cs="Arial" w:eastAsia="Arial" w:hAnsi="Arial"/>
                  <w:sz w:val="17"/>
                  <w:szCs w:val="17"/>
                  <w:color w:val="0000EE"/>
                </w:rPr>
                <w:t>Pursuant to Rules 13a-14(a) and 15d-14(a)</w:t>
              </w:r>
            </w:hyperlink>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40" w:type="dxa"/>
            <w:vAlign w:val="bottom"/>
            <w:tcBorders>
              <w:top w:val="single" w:sz="8" w:color="0000EE"/>
            </w:tcBorders>
            <w:gridSpan w:val="8"/>
          </w:tcPr>
          <w:p>
            <w:pPr>
              <w:spacing w:after="0" w:line="176" w:lineRule="exact"/>
              <w:rPr>
                <w:rFonts w:ascii="Arial" w:cs="Arial" w:eastAsia="Arial" w:hAnsi="Arial"/>
                <w:sz w:val="17"/>
                <w:szCs w:val="17"/>
                <w:color w:val="0000EE"/>
              </w:rPr>
            </w:pPr>
            <w:hyperlink w:anchor="page185">
              <w:r>
                <w:rPr>
                  <w:rFonts w:ascii="Arial" w:cs="Arial" w:eastAsia="Arial" w:hAnsi="Arial"/>
                  <w:sz w:val="17"/>
                  <w:szCs w:val="17"/>
                  <w:color w:val="0000EE"/>
                </w:rPr>
                <w:t>under the Securities Exchange Act of 1934,</w:t>
              </w:r>
            </w:hyperlink>
          </w:p>
        </w:tc>
        <w:tc>
          <w:tcPr>
            <w:tcW w:w="200" w:type="dxa"/>
            <w:vAlign w:val="bottom"/>
            <w:gridSpan w:val="5"/>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60" w:type="dxa"/>
            <w:vAlign w:val="bottom"/>
            <w:tcBorders>
              <w:top w:val="single" w:sz="8" w:color="0000EE"/>
            </w:tcBorders>
            <w:gridSpan w:val="9"/>
          </w:tcPr>
          <w:p>
            <w:pPr>
              <w:spacing w:after="0" w:line="180" w:lineRule="exact"/>
              <w:rPr>
                <w:rFonts w:ascii="Arial" w:cs="Arial" w:eastAsia="Arial" w:hAnsi="Arial"/>
                <w:sz w:val="17"/>
                <w:szCs w:val="17"/>
                <w:u w:val="single" w:color="auto"/>
                <w:color w:val="0000EE"/>
              </w:rPr>
            </w:pPr>
            <w:hyperlink w:anchor="page185">
              <w:r>
                <w:rPr>
                  <w:rFonts w:ascii="Arial" w:cs="Arial" w:eastAsia="Arial" w:hAnsi="Arial"/>
                  <w:sz w:val="17"/>
                  <w:szCs w:val="17"/>
                  <w:u w:val="single" w:color="auto"/>
                  <w:color w:val="0000EE"/>
                </w:rPr>
                <w:t>as Adopted Pursuant to Section 302 of the</w:t>
              </w:r>
            </w:hyperlink>
          </w:p>
        </w:tc>
        <w:tc>
          <w:tcPr>
            <w:tcW w:w="180" w:type="dxa"/>
            <w:vAlign w:val="bottom"/>
            <w:gridSpan w:val="4"/>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6"/>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13"/>
          </w:tcPr>
          <w:p>
            <w:pPr>
              <w:spacing w:after="0"/>
              <w:rPr>
                <w:rFonts w:ascii="Arial" w:cs="Arial" w:eastAsia="Arial" w:hAnsi="Arial"/>
                <w:sz w:val="17"/>
                <w:szCs w:val="17"/>
                <w:u w:val="single" w:color="auto"/>
                <w:color w:val="0000EE"/>
              </w:rPr>
            </w:pPr>
            <w:hyperlink w:anchor="page185">
              <w:r>
                <w:rPr>
                  <w:rFonts w:ascii="Arial" w:cs="Arial" w:eastAsia="Arial" w:hAnsi="Arial"/>
                  <w:sz w:val="17"/>
                  <w:szCs w:val="17"/>
                  <w:u w:val="single" w:color="auto"/>
                  <w:color w:val="0000EE"/>
                </w:rPr>
                <w:t>Sarbanes-Oxley Act of 2002</w:t>
              </w:r>
            </w:hyperlink>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4"/>
        </w:trPr>
        <w:tc>
          <w:tcPr>
            <w:tcW w:w="940" w:type="dxa"/>
            <w:vAlign w:val="bottom"/>
          </w:tcPr>
          <w:p>
            <w:pPr>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24"/>
                <w:szCs w:val="24"/>
                <w:color w:val="auto"/>
              </w:rPr>
            </w:pPr>
          </w:p>
        </w:tc>
        <w:tc>
          <w:tcPr>
            <w:tcW w:w="3540" w:type="dxa"/>
            <w:vAlign w:val="bottom"/>
            <w:gridSpan w:val="13"/>
          </w:tcPr>
          <w:p>
            <w:pPr>
              <w:spacing w:after="0"/>
              <w:rPr>
                <w:rFonts w:ascii="Arial" w:cs="Arial" w:eastAsia="Arial" w:hAnsi="Arial"/>
                <w:sz w:val="17"/>
                <w:szCs w:val="17"/>
                <w:color w:val="0000EE"/>
              </w:rPr>
            </w:pPr>
            <w:hyperlink w:anchor="page186">
              <w:r>
                <w:rPr>
                  <w:rFonts w:ascii="Arial" w:cs="Arial" w:eastAsia="Arial" w:hAnsi="Arial"/>
                  <w:sz w:val="17"/>
                  <w:szCs w:val="17"/>
                  <w:color w:val="0000EE"/>
                </w:rPr>
                <w:t>Certification of Principal Executive Officer</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XX</w:t>
            </w: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0" w:type="dxa"/>
            <w:vAlign w:val="bottom"/>
            <w:tcBorders>
              <w:top w:val="single" w:sz="8" w:color="0000EE"/>
            </w:tcBorders>
            <w:gridSpan w:val="5"/>
          </w:tcPr>
          <w:p>
            <w:pPr>
              <w:spacing w:after="0" w:line="176" w:lineRule="exact"/>
              <w:rPr>
                <w:rFonts w:ascii="Arial" w:cs="Arial" w:eastAsia="Arial" w:hAnsi="Arial"/>
                <w:sz w:val="17"/>
                <w:szCs w:val="17"/>
                <w:color w:val="0000EE"/>
              </w:rPr>
            </w:pPr>
            <w:hyperlink w:anchor="page186">
              <w:r>
                <w:rPr>
                  <w:rFonts w:ascii="Arial" w:cs="Arial" w:eastAsia="Arial" w:hAnsi="Arial"/>
                  <w:sz w:val="17"/>
                  <w:szCs w:val="17"/>
                  <w:color w:val="0000EE"/>
                </w:rPr>
                <w:t>Pursuant to 18 U.S.C. Section 1350, as</w:t>
              </w:r>
            </w:hyperlink>
          </w:p>
        </w:tc>
        <w:tc>
          <w:tcPr>
            <w:tcW w:w="340" w:type="dxa"/>
            <w:vAlign w:val="bottom"/>
            <w:gridSpan w:val="8"/>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Borders>
              <w:top w:val="single" w:sz="8" w:color="0000EE"/>
              <w:bottom w:val="single" w:sz="8" w:color="0000EE"/>
            </w:tcBorders>
          </w:tcPr>
          <w:p>
            <w:pPr>
              <w:spacing w:after="0" w:line="176" w:lineRule="exact"/>
              <w:rPr>
                <w:rFonts w:ascii="Arial" w:cs="Arial" w:eastAsia="Arial" w:hAnsi="Arial"/>
                <w:sz w:val="17"/>
                <w:szCs w:val="17"/>
                <w:color w:val="0000EE"/>
              </w:rPr>
            </w:pPr>
            <w:hyperlink w:anchor="page186">
              <w:r>
                <w:rPr>
                  <w:rFonts w:ascii="Arial" w:cs="Arial" w:eastAsia="Arial" w:hAnsi="Arial"/>
                  <w:sz w:val="17"/>
                  <w:szCs w:val="17"/>
                  <w:color w:val="0000EE"/>
                </w:rPr>
                <w:t>Adopted Pursuant to Section 906 of the</w:t>
              </w:r>
            </w:hyperlink>
          </w:p>
        </w:tc>
        <w:tc>
          <w:tcPr>
            <w:tcW w:w="20" w:type="dxa"/>
            <w:vAlign w:val="bottom"/>
            <w:tcBorders>
              <w:bottom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gridSpan w:val="10"/>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9"/>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spacing w:after="0"/>
              <w:rPr>
                <w:rFonts w:ascii="Arial" w:cs="Arial" w:eastAsia="Arial" w:hAnsi="Arial"/>
                <w:sz w:val="17"/>
                <w:szCs w:val="17"/>
                <w:u w:val="single" w:color="auto"/>
                <w:color w:val="0000EE"/>
              </w:rPr>
            </w:pPr>
            <w:hyperlink w:anchor="page186">
              <w:r>
                <w:rPr>
                  <w:rFonts w:ascii="Arial" w:cs="Arial" w:eastAsia="Arial" w:hAnsi="Arial"/>
                  <w:sz w:val="17"/>
                  <w:szCs w:val="17"/>
                  <w:u w:val="single" w:color="auto"/>
                  <w:color w:val="0000EE"/>
                </w:rPr>
                <w:t>Sarbanes-Oxley Act of 2002</w:t>
              </w:r>
            </w:hyperlink>
          </w:p>
        </w:tc>
        <w:tc>
          <w:tcPr>
            <w:tcW w:w="80" w:type="dxa"/>
            <w:vAlign w:val="bottom"/>
          </w:tcPr>
          <w:p>
            <w:pPr>
              <w:spacing w:after="0"/>
              <w:rPr>
                <w:sz w:val="19"/>
                <w:szCs w:val="19"/>
                <w:color w:val="auto"/>
              </w:rPr>
            </w:pPr>
          </w:p>
        </w:tc>
        <w:tc>
          <w:tcPr>
            <w:tcW w:w="400" w:type="dxa"/>
            <w:vAlign w:val="bottom"/>
            <w:gridSpan w:val="10"/>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4"/>
        </w:trPr>
        <w:tc>
          <w:tcPr>
            <w:tcW w:w="940" w:type="dxa"/>
            <w:vAlign w:val="bottom"/>
          </w:tcPr>
          <w:p>
            <w:pPr>
              <w:spacing w:after="0"/>
              <w:rPr>
                <w:sz w:val="20"/>
                <w:szCs w:val="20"/>
                <w:color w:val="auto"/>
              </w:rPr>
            </w:pPr>
            <w:r>
              <w:rPr>
                <w:rFonts w:ascii="Arial" w:cs="Arial" w:eastAsia="Arial" w:hAnsi="Arial"/>
                <w:sz w:val="17"/>
                <w:szCs w:val="17"/>
                <w:color w:val="auto"/>
              </w:rPr>
              <w:t>32.2</w:t>
            </w:r>
          </w:p>
        </w:tc>
        <w:tc>
          <w:tcPr>
            <w:tcW w:w="100" w:type="dxa"/>
            <w:vAlign w:val="bottom"/>
          </w:tcPr>
          <w:p>
            <w:pPr>
              <w:spacing w:after="0"/>
              <w:rPr>
                <w:sz w:val="23"/>
                <w:szCs w:val="23"/>
                <w:color w:val="auto"/>
              </w:rPr>
            </w:pPr>
          </w:p>
        </w:tc>
        <w:tc>
          <w:tcPr>
            <w:tcW w:w="3540" w:type="dxa"/>
            <w:vAlign w:val="bottom"/>
            <w:gridSpan w:val="13"/>
          </w:tcPr>
          <w:p>
            <w:pPr>
              <w:spacing w:after="0"/>
              <w:rPr>
                <w:rFonts w:ascii="Arial" w:cs="Arial" w:eastAsia="Arial" w:hAnsi="Arial"/>
                <w:sz w:val="17"/>
                <w:szCs w:val="17"/>
                <w:color w:val="0000EE"/>
              </w:rPr>
            </w:pPr>
            <w:hyperlink w:anchor="page187">
              <w:r>
                <w:rPr>
                  <w:rFonts w:ascii="Arial" w:cs="Arial" w:eastAsia="Arial" w:hAnsi="Arial"/>
                  <w:sz w:val="17"/>
                  <w:szCs w:val="17"/>
                  <w:color w:val="0000EE"/>
                </w:rPr>
                <w:t>Certification of Principal Financial Officer</w:t>
              </w:r>
            </w:hyperlink>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XX</w:t>
            </w: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tcBorders>
              <w:top w:val="single" w:sz="8" w:color="0000EE"/>
            </w:tcBorders>
            <w:gridSpan w:val="3"/>
          </w:tcPr>
          <w:p>
            <w:pPr>
              <w:spacing w:after="0" w:line="176" w:lineRule="exact"/>
              <w:rPr>
                <w:rFonts w:ascii="Arial" w:cs="Arial" w:eastAsia="Arial" w:hAnsi="Arial"/>
                <w:sz w:val="17"/>
                <w:szCs w:val="17"/>
                <w:color w:val="0000EE"/>
              </w:rPr>
            </w:pPr>
            <w:hyperlink w:anchor="page187">
              <w:r>
                <w:rPr>
                  <w:rFonts w:ascii="Arial" w:cs="Arial" w:eastAsia="Arial" w:hAnsi="Arial"/>
                  <w:sz w:val="17"/>
                  <w:szCs w:val="17"/>
                  <w:color w:val="0000EE"/>
                </w:rPr>
                <w:t>Pursuant to 18 U.S.C. Section 1350, as</w:t>
              </w:r>
            </w:hyperlink>
          </w:p>
        </w:tc>
        <w:tc>
          <w:tcPr>
            <w:tcW w:w="400" w:type="dxa"/>
            <w:vAlign w:val="bottom"/>
            <w:gridSpan w:val="10"/>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Borders>
              <w:top w:val="single" w:sz="8" w:color="0000EE"/>
            </w:tcBorders>
          </w:tcPr>
          <w:p>
            <w:pPr>
              <w:spacing w:after="0" w:line="176" w:lineRule="exact"/>
              <w:rPr>
                <w:rFonts w:ascii="Arial" w:cs="Arial" w:eastAsia="Arial" w:hAnsi="Arial"/>
                <w:sz w:val="17"/>
                <w:szCs w:val="17"/>
                <w:color w:val="0000EE"/>
              </w:rPr>
            </w:pPr>
            <w:hyperlink w:anchor="page187">
              <w:r>
                <w:rPr>
                  <w:rFonts w:ascii="Arial" w:cs="Arial" w:eastAsia="Arial" w:hAnsi="Arial"/>
                  <w:sz w:val="17"/>
                  <w:szCs w:val="17"/>
                  <w:color w:val="0000EE"/>
                </w:rPr>
                <w:t>Adopted Pursuant to Section 906 of the</w:t>
              </w:r>
            </w:hyperlink>
          </w:p>
        </w:tc>
        <w:tc>
          <w:tcPr>
            <w:tcW w:w="500" w:type="dxa"/>
            <w:vAlign w:val="bottom"/>
            <w:gridSpan w:val="12"/>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9"/>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Borders>
              <w:top w:val="single" w:sz="8" w:color="0000EE"/>
            </w:tcBorders>
            <w:gridSpan w:val="2"/>
          </w:tcPr>
          <w:p>
            <w:pPr>
              <w:spacing w:after="0"/>
              <w:rPr>
                <w:rFonts w:ascii="Arial" w:cs="Arial" w:eastAsia="Arial" w:hAnsi="Arial"/>
                <w:sz w:val="17"/>
                <w:szCs w:val="17"/>
                <w:u w:val="single" w:color="auto"/>
                <w:color w:val="0000EE"/>
              </w:rPr>
            </w:pPr>
            <w:hyperlink w:anchor="page187">
              <w:r>
                <w:rPr>
                  <w:rFonts w:ascii="Arial" w:cs="Arial" w:eastAsia="Arial" w:hAnsi="Arial"/>
                  <w:sz w:val="17"/>
                  <w:szCs w:val="17"/>
                  <w:u w:val="single" w:color="auto"/>
                  <w:color w:val="0000EE"/>
                </w:rPr>
                <w:t>Sarbanes-Oxley Act of 2002</w:t>
              </w:r>
            </w:hyperlink>
          </w:p>
        </w:tc>
        <w:tc>
          <w:tcPr>
            <w:tcW w:w="480" w:type="dxa"/>
            <w:vAlign w:val="bottom"/>
            <w:gridSpan w:val="11"/>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8"/>
        </w:trPr>
        <w:tc>
          <w:tcPr>
            <w:tcW w:w="940" w:type="dxa"/>
            <w:vAlign w:val="bottom"/>
          </w:tcPr>
          <w:p>
            <w:pPr>
              <w:spacing w:after="0"/>
              <w:rPr>
                <w:sz w:val="20"/>
                <w:szCs w:val="20"/>
                <w:color w:val="auto"/>
              </w:rPr>
            </w:pPr>
            <w:r>
              <w:rPr>
                <w:rFonts w:ascii="Arial" w:cs="Arial" w:eastAsia="Arial" w:hAnsi="Arial"/>
                <w:sz w:val="17"/>
                <w:szCs w:val="17"/>
                <w:color w:val="auto"/>
              </w:rPr>
              <w:t>101.INS</w:t>
            </w:r>
          </w:p>
        </w:tc>
        <w:tc>
          <w:tcPr>
            <w:tcW w:w="100" w:type="dxa"/>
            <w:vAlign w:val="bottom"/>
          </w:tcPr>
          <w:p>
            <w:pPr>
              <w:spacing w:after="0"/>
              <w:rPr>
                <w:sz w:val="24"/>
                <w:szCs w:val="24"/>
                <w:color w:val="auto"/>
              </w:rPr>
            </w:pPr>
          </w:p>
        </w:tc>
        <w:tc>
          <w:tcPr>
            <w:tcW w:w="3540" w:type="dxa"/>
            <w:vAlign w:val="bottom"/>
            <w:gridSpan w:val="13"/>
          </w:tcPr>
          <w:p>
            <w:pPr>
              <w:spacing w:after="0"/>
              <w:rPr>
                <w:sz w:val="20"/>
                <w:szCs w:val="20"/>
                <w:color w:val="auto"/>
              </w:rPr>
            </w:pPr>
            <w:r>
              <w:rPr>
                <w:rFonts w:ascii="Arial" w:cs="Arial" w:eastAsia="Arial" w:hAnsi="Arial"/>
                <w:sz w:val="17"/>
                <w:szCs w:val="17"/>
                <w:color w:val="auto"/>
              </w:rPr>
              <w:t>XBRL Instance Document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61"/>
        </w:trPr>
        <w:tc>
          <w:tcPr>
            <w:tcW w:w="940" w:type="dxa"/>
            <w:vAlign w:val="bottom"/>
          </w:tcPr>
          <w:p>
            <w:pPr>
              <w:spacing w:after="0"/>
              <w:rPr>
                <w:sz w:val="20"/>
                <w:szCs w:val="20"/>
                <w:color w:val="auto"/>
              </w:rPr>
            </w:pPr>
            <w:r>
              <w:rPr>
                <w:rFonts w:ascii="Arial" w:cs="Arial" w:eastAsia="Arial" w:hAnsi="Arial"/>
                <w:sz w:val="17"/>
                <w:szCs w:val="17"/>
                <w:color w:val="auto"/>
              </w:rPr>
              <w:t>101.SCH</w:t>
            </w:r>
          </w:p>
        </w:tc>
        <w:tc>
          <w:tcPr>
            <w:tcW w:w="100" w:type="dxa"/>
            <w:vAlign w:val="bottom"/>
          </w:tcPr>
          <w:p>
            <w:pPr>
              <w:spacing w:after="0"/>
              <w:rPr>
                <w:sz w:val="22"/>
                <w:szCs w:val="22"/>
                <w:color w:val="auto"/>
              </w:rPr>
            </w:pPr>
          </w:p>
        </w:tc>
        <w:tc>
          <w:tcPr>
            <w:tcW w:w="3540" w:type="dxa"/>
            <w:vAlign w:val="bottom"/>
            <w:gridSpan w:val="13"/>
          </w:tcPr>
          <w:p>
            <w:pPr>
              <w:spacing w:after="0"/>
              <w:rPr>
                <w:sz w:val="20"/>
                <w:szCs w:val="20"/>
                <w:color w:val="auto"/>
              </w:rPr>
            </w:pPr>
            <w:r>
              <w:rPr>
                <w:rFonts w:ascii="Arial" w:cs="Arial" w:eastAsia="Arial" w:hAnsi="Arial"/>
                <w:sz w:val="17"/>
                <w:szCs w:val="17"/>
                <w:color w:val="auto"/>
              </w:rPr>
              <w:t>XBRL Taxonomy Extension Schema</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36"/>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13"/>
          </w:tcPr>
          <w:p>
            <w:pPr>
              <w:spacing w:after="0"/>
              <w:rPr>
                <w:sz w:val="20"/>
                <w:szCs w:val="20"/>
                <w:color w:val="auto"/>
              </w:rPr>
            </w:pPr>
            <w:r>
              <w:rPr>
                <w:rFonts w:ascii="Arial" w:cs="Arial" w:eastAsia="Arial" w:hAnsi="Arial"/>
                <w:sz w:val="17"/>
                <w:szCs w:val="17"/>
                <w:color w:val="auto"/>
              </w:rPr>
              <w:t>Document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8"/>
        </w:trPr>
        <w:tc>
          <w:tcPr>
            <w:tcW w:w="940" w:type="dxa"/>
            <w:vAlign w:val="bottom"/>
          </w:tcPr>
          <w:p>
            <w:pPr>
              <w:spacing w:after="0"/>
              <w:rPr>
                <w:sz w:val="20"/>
                <w:szCs w:val="20"/>
                <w:color w:val="auto"/>
              </w:rPr>
            </w:pPr>
            <w:r>
              <w:rPr>
                <w:rFonts w:ascii="Arial" w:cs="Arial" w:eastAsia="Arial" w:hAnsi="Arial"/>
                <w:sz w:val="17"/>
                <w:szCs w:val="17"/>
                <w:color w:val="auto"/>
              </w:rPr>
              <w:t>101.CAL</w:t>
            </w:r>
          </w:p>
        </w:tc>
        <w:tc>
          <w:tcPr>
            <w:tcW w:w="100" w:type="dxa"/>
            <w:vAlign w:val="bottom"/>
          </w:tcPr>
          <w:p>
            <w:pPr>
              <w:spacing w:after="0"/>
              <w:rPr>
                <w:sz w:val="21"/>
                <w:szCs w:val="21"/>
                <w:color w:val="auto"/>
              </w:rPr>
            </w:pPr>
          </w:p>
        </w:tc>
        <w:tc>
          <w:tcPr>
            <w:tcW w:w="3540" w:type="dxa"/>
            <w:vAlign w:val="bottom"/>
            <w:gridSpan w:val="13"/>
          </w:tcPr>
          <w:p>
            <w:pPr>
              <w:spacing w:after="0"/>
              <w:rPr>
                <w:sz w:val="20"/>
                <w:szCs w:val="20"/>
                <w:color w:val="auto"/>
              </w:rPr>
            </w:pPr>
            <w:r>
              <w:rPr>
                <w:rFonts w:ascii="Arial" w:cs="Arial" w:eastAsia="Arial" w:hAnsi="Arial"/>
                <w:sz w:val="17"/>
                <w:szCs w:val="17"/>
                <w:color w:val="auto"/>
              </w:rPr>
              <w:t>XBRL Taxonomy Extension Calculation</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36"/>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13"/>
          </w:tcPr>
          <w:p>
            <w:pPr>
              <w:spacing w:after="0"/>
              <w:rPr>
                <w:sz w:val="20"/>
                <w:szCs w:val="20"/>
                <w:color w:val="auto"/>
              </w:rPr>
            </w:pPr>
            <w:r>
              <w:rPr>
                <w:rFonts w:ascii="Arial" w:cs="Arial" w:eastAsia="Arial" w:hAnsi="Arial"/>
                <w:sz w:val="17"/>
                <w:szCs w:val="17"/>
                <w:color w:val="auto"/>
              </w:rPr>
              <w:t>Linkbase Document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8"/>
        </w:trPr>
        <w:tc>
          <w:tcPr>
            <w:tcW w:w="940" w:type="dxa"/>
            <w:vAlign w:val="bottom"/>
          </w:tcPr>
          <w:p>
            <w:pPr>
              <w:spacing w:after="0"/>
              <w:rPr>
                <w:sz w:val="20"/>
                <w:szCs w:val="20"/>
                <w:color w:val="auto"/>
              </w:rPr>
            </w:pPr>
            <w:r>
              <w:rPr>
                <w:rFonts w:ascii="Arial" w:cs="Arial" w:eastAsia="Arial" w:hAnsi="Arial"/>
                <w:sz w:val="17"/>
                <w:szCs w:val="17"/>
                <w:color w:val="auto"/>
              </w:rPr>
              <w:t>101.DEF</w:t>
            </w:r>
          </w:p>
        </w:tc>
        <w:tc>
          <w:tcPr>
            <w:tcW w:w="100" w:type="dxa"/>
            <w:vAlign w:val="bottom"/>
          </w:tcPr>
          <w:p>
            <w:pPr>
              <w:spacing w:after="0"/>
              <w:rPr>
                <w:sz w:val="21"/>
                <w:szCs w:val="21"/>
                <w:color w:val="auto"/>
              </w:rPr>
            </w:pPr>
          </w:p>
        </w:tc>
        <w:tc>
          <w:tcPr>
            <w:tcW w:w="3540" w:type="dxa"/>
            <w:vAlign w:val="bottom"/>
            <w:gridSpan w:val="13"/>
          </w:tcPr>
          <w:p>
            <w:pPr>
              <w:spacing w:after="0"/>
              <w:rPr>
                <w:sz w:val="20"/>
                <w:szCs w:val="20"/>
                <w:color w:val="auto"/>
              </w:rPr>
            </w:pPr>
            <w:r>
              <w:rPr>
                <w:rFonts w:ascii="Arial" w:cs="Arial" w:eastAsia="Arial" w:hAnsi="Arial"/>
                <w:sz w:val="17"/>
                <w:szCs w:val="17"/>
                <w:color w:val="auto"/>
              </w:rPr>
              <w:t>XBRL Taxonomy Extension Definition</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36"/>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13"/>
          </w:tcPr>
          <w:p>
            <w:pPr>
              <w:spacing w:after="0"/>
              <w:rPr>
                <w:sz w:val="20"/>
                <w:szCs w:val="20"/>
                <w:color w:val="auto"/>
              </w:rPr>
            </w:pPr>
            <w:r>
              <w:rPr>
                <w:rFonts w:ascii="Arial" w:cs="Arial" w:eastAsia="Arial" w:hAnsi="Arial"/>
                <w:sz w:val="17"/>
                <w:szCs w:val="17"/>
                <w:color w:val="auto"/>
              </w:rPr>
              <w:t>Linkbase Document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8"/>
        </w:trPr>
        <w:tc>
          <w:tcPr>
            <w:tcW w:w="940" w:type="dxa"/>
            <w:vAlign w:val="bottom"/>
          </w:tcPr>
          <w:p>
            <w:pPr>
              <w:spacing w:after="0"/>
              <w:rPr>
                <w:sz w:val="20"/>
                <w:szCs w:val="20"/>
                <w:color w:val="auto"/>
              </w:rPr>
            </w:pPr>
            <w:r>
              <w:rPr>
                <w:rFonts w:ascii="Arial" w:cs="Arial" w:eastAsia="Arial" w:hAnsi="Arial"/>
                <w:sz w:val="17"/>
                <w:szCs w:val="17"/>
                <w:color w:val="auto"/>
              </w:rPr>
              <w:t>101.LAB</w:t>
            </w:r>
          </w:p>
        </w:tc>
        <w:tc>
          <w:tcPr>
            <w:tcW w:w="100" w:type="dxa"/>
            <w:vAlign w:val="bottom"/>
          </w:tcPr>
          <w:p>
            <w:pPr>
              <w:spacing w:after="0"/>
              <w:rPr>
                <w:sz w:val="21"/>
                <w:szCs w:val="21"/>
                <w:color w:val="auto"/>
              </w:rPr>
            </w:pPr>
          </w:p>
        </w:tc>
        <w:tc>
          <w:tcPr>
            <w:tcW w:w="3540" w:type="dxa"/>
            <w:vAlign w:val="bottom"/>
            <w:gridSpan w:val="13"/>
          </w:tcPr>
          <w:p>
            <w:pPr>
              <w:spacing w:after="0"/>
              <w:rPr>
                <w:sz w:val="20"/>
                <w:szCs w:val="20"/>
                <w:color w:val="auto"/>
              </w:rPr>
            </w:pPr>
            <w:r>
              <w:rPr>
                <w:rFonts w:ascii="Arial" w:cs="Arial" w:eastAsia="Arial" w:hAnsi="Arial"/>
                <w:sz w:val="17"/>
                <w:szCs w:val="17"/>
                <w:color w:val="auto"/>
              </w:rPr>
              <w:t>XBRL Taxonomy Extension Label Linkbase</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36"/>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13"/>
          </w:tcPr>
          <w:p>
            <w:pPr>
              <w:spacing w:after="0"/>
              <w:rPr>
                <w:sz w:val="20"/>
                <w:szCs w:val="20"/>
                <w:color w:val="auto"/>
              </w:rPr>
            </w:pPr>
            <w:r>
              <w:rPr>
                <w:rFonts w:ascii="Arial" w:cs="Arial" w:eastAsia="Arial" w:hAnsi="Arial"/>
                <w:sz w:val="17"/>
                <w:szCs w:val="17"/>
                <w:color w:val="auto"/>
              </w:rPr>
              <w:t>Document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8"/>
        </w:trPr>
        <w:tc>
          <w:tcPr>
            <w:tcW w:w="940" w:type="dxa"/>
            <w:vAlign w:val="bottom"/>
          </w:tcPr>
          <w:p>
            <w:pPr>
              <w:spacing w:after="0"/>
              <w:rPr>
                <w:sz w:val="20"/>
                <w:szCs w:val="20"/>
                <w:color w:val="auto"/>
              </w:rPr>
            </w:pPr>
            <w:r>
              <w:rPr>
                <w:rFonts w:ascii="Arial" w:cs="Arial" w:eastAsia="Arial" w:hAnsi="Arial"/>
                <w:sz w:val="17"/>
                <w:szCs w:val="17"/>
                <w:color w:val="auto"/>
              </w:rPr>
              <w:t>101.PRE</w:t>
            </w:r>
          </w:p>
        </w:tc>
        <w:tc>
          <w:tcPr>
            <w:tcW w:w="100" w:type="dxa"/>
            <w:vAlign w:val="bottom"/>
          </w:tcPr>
          <w:p>
            <w:pPr>
              <w:spacing w:after="0"/>
              <w:rPr>
                <w:sz w:val="21"/>
                <w:szCs w:val="21"/>
                <w:color w:val="auto"/>
              </w:rPr>
            </w:pPr>
          </w:p>
        </w:tc>
        <w:tc>
          <w:tcPr>
            <w:tcW w:w="3540" w:type="dxa"/>
            <w:vAlign w:val="bottom"/>
            <w:gridSpan w:val="13"/>
          </w:tcPr>
          <w:p>
            <w:pPr>
              <w:spacing w:after="0"/>
              <w:rPr>
                <w:sz w:val="20"/>
                <w:szCs w:val="20"/>
                <w:color w:val="auto"/>
              </w:rPr>
            </w:pPr>
            <w:r>
              <w:rPr>
                <w:rFonts w:ascii="Arial" w:cs="Arial" w:eastAsia="Arial" w:hAnsi="Arial"/>
                <w:sz w:val="17"/>
                <w:szCs w:val="17"/>
                <w:color w:val="auto"/>
              </w:rPr>
              <w:t>XBRL Taxonomy Extension Presentation</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36"/>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13"/>
          </w:tcPr>
          <w:p>
            <w:pPr>
              <w:spacing w:after="0"/>
              <w:rPr>
                <w:sz w:val="20"/>
                <w:szCs w:val="20"/>
                <w:color w:val="auto"/>
              </w:rPr>
            </w:pPr>
            <w:r>
              <w:rPr>
                <w:rFonts w:ascii="Arial" w:cs="Arial" w:eastAsia="Arial" w:hAnsi="Arial"/>
                <w:sz w:val="17"/>
                <w:szCs w:val="17"/>
                <w:color w:val="auto"/>
              </w:rPr>
              <w:t>Linkbase Document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136765"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20" w:lineRule="exact"/>
        <w:rPr>
          <w:sz w:val="20"/>
          <w:szCs w:val="20"/>
          <w:color w:val="auto"/>
        </w:rPr>
      </w:pPr>
    </w:p>
    <w:p>
      <w:pPr>
        <w:ind w:left="720" w:hanging="715"/>
        <w:spacing w:after="0"/>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w:t>
      </w:r>
    </w:p>
    <w:p>
      <w:pPr>
        <w:spacing w:after="0" w:line="19" w:lineRule="exact"/>
        <w:rPr>
          <w:sz w:val="20"/>
          <w:szCs w:val="20"/>
          <w:color w:val="auto"/>
        </w:rPr>
      </w:pPr>
    </w:p>
    <w:p>
      <w:pPr>
        <w:ind w:left="720" w:hanging="715"/>
        <w:spacing w:after="0"/>
        <w:tabs>
          <w:tab w:leader="none" w:pos="7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Certain portions of this exhibit (indicated by “[***]”) have been omitted pursuant to Regulation S-K, Item (601)(b)(10).</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None.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12" w:lineRule="exact"/>
        <w:rPr>
          <w:sz w:val="20"/>
          <w:szCs w:val="20"/>
          <w:color w:val="auto"/>
        </w:rPr>
      </w:pPr>
    </w:p>
    <w:p>
      <w:pPr>
        <w:ind w:right="460" w:firstLine="762"/>
        <w:spacing w:after="0" w:line="29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3100" w:type="dxa"/>
            <w:vAlign w:val="bottom"/>
            <w:tcBorders>
              <w:top w:val="single" w:sz="8" w:color="auto"/>
              <w:left w:val="single" w:sz="8" w:color="auto"/>
            </w:tcBorders>
          </w:tcPr>
          <w:p>
            <w:pPr>
              <w:spacing w:after="0"/>
              <w:rPr>
                <w:sz w:val="21"/>
                <w:szCs w:val="21"/>
                <w:color w:val="auto"/>
              </w:rPr>
            </w:pPr>
          </w:p>
        </w:tc>
        <w:tc>
          <w:tcPr>
            <w:tcW w:w="2920" w:type="dxa"/>
            <w:vAlign w:val="bottom"/>
            <w:tcBorders>
              <w:top w:val="single" w:sz="8" w:color="auto"/>
            </w:tcBorders>
            <w:gridSpan w:val="2"/>
          </w:tcPr>
          <w:p>
            <w:pPr>
              <w:ind w:left="1560"/>
              <w:spacing w:after="0"/>
              <w:rPr>
                <w:sz w:val="20"/>
                <w:szCs w:val="20"/>
                <w:color w:val="auto"/>
              </w:rPr>
            </w:pPr>
            <w:r>
              <w:rPr>
                <w:rFonts w:ascii="Arial" w:cs="Arial" w:eastAsia="Arial" w:hAnsi="Arial"/>
                <w:sz w:val="17"/>
                <w:szCs w:val="17"/>
                <w:color w:val="auto"/>
              </w:rPr>
              <w:t>Vroom, Inc.</w:t>
            </w:r>
          </w:p>
        </w:tc>
        <w:tc>
          <w:tcPr>
            <w:tcW w:w="5240" w:type="dxa"/>
            <w:vAlign w:val="bottom"/>
            <w:tcBorders>
              <w:top w:val="single" w:sz="8" w:color="auto"/>
              <w:right w:val="single" w:sz="8" w:color="auto"/>
            </w:tcBorders>
          </w:tcPr>
          <w:p>
            <w:pPr>
              <w:spacing w:after="0"/>
              <w:rPr>
                <w:sz w:val="21"/>
                <w:szCs w:val="21"/>
                <w:color w:val="auto"/>
              </w:rPr>
            </w:pPr>
          </w:p>
        </w:tc>
      </w:tr>
      <w:tr>
        <w:trPr>
          <w:trHeight w:val="301"/>
        </w:trPr>
        <w:tc>
          <w:tcPr>
            <w:tcW w:w="3100" w:type="dxa"/>
            <w:vAlign w:val="bottom"/>
            <w:tcBorders>
              <w:left w:val="single" w:sz="8" w:color="auto"/>
            </w:tcBorders>
          </w:tcPr>
          <w:p>
            <w:pPr>
              <w:ind w:left="20"/>
              <w:spacing w:after="0"/>
              <w:rPr>
                <w:sz w:val="20"/>
                <w:szCs w:val="20"/>
                <w:color w:val="auto"/>
              </w:rPr>
            </w:pPr>
            <w:r>
              <w:rPr>
                <w:rFonts w:ascii="Arial" w:cs="Arial" w:eastAsia="Arial" w:hAnsi="Arial"/>
                <w:sz w:val="17"/>
                <w:szCs w:val="17"/>
                <w:color w:val="auto"/>
              </w:rPr>
              <w:t>Date: March 3, 2021</w:t>
            </w:r>
          </w:p>
        </w:tc>
        <w:tc>
          <w:tcPr>
            <w:tcW w:w="2920" w:type="dxa"/>
            <w:vAlign w:val="bottom"/>
            <w:gridSpan w:val="2"/>
          </w:tcPr>
          <w:p>
            <w:pPr>
              <w:ind w:left="1520"/>
              <w:spacing w:after="0"/>
              <w:rPr>
                <w:sz w:val="20"/>
                <w:szCs w:val="20"/>
                <w:color w:val="auto"/>
              </w:rPr>
            </w:pPr>
            <w:r>
              <w:rPr>
                <w:rFonts w:ascii="Arial" w:cs="Arial" w:eastAsia="Arial" w:hAnsi="Arial"/>
                <w:sz w:val="17"/>
                <w:szCs w:val="17"/>
                <w:color w:val="auto"/>
              </w:rPr>
              <w:t>By:</w:t>
            </w:r>
          </w:p>
        </w:tc>
        <w:tc>
          <w:tcPr>
            <w:tcW w:w="5240" w:type="dxa"/>
            <w:vAlign w:val="bottom"/>
            <w:tcBorders>
              <w:right w:val="single" w:sz="8" w:color="auto"/>
            </w:tcBorders>
          </w:tcPr>
          <w:p>
            <w:pPr>
              <w:jc w:val="center"/>
              <w:ind w:right="1033"/>
              <w:spacing w:after="0"/>
              <w:rPr>
                <w:sz w:val="20"/>
                <w:szCs w:val="20"/>
                <w:color w:val="auto"/>
              </w:rPr>
            </w:pPr>
            <w:r>
              <w:rPr>
                <w:rFonts w:ascii="Arial" w:cs="Arial" w:eastAsia="Arial" w:hAnsi="Arial"/>
                <w:sz w:val="17"/>
                <w:szCs w:val="17"/>
                <w:color w:val="auto"/>
              </w:rPr>
              <w:t>/s/ Paul J. Hennessy</w:t>
            </w:r>
          </w:p>
        </w:tc>
      </w:tr>
      <w:tr>
        <w:trPr>
          <w:trHeight w:val="193"/>
        </w:trPr>
        <w:tc>
          <w:tcPr>
            <w:tcW w:w="3100" w:type="dxa"/>
            <w:vAlign w:val="bottom"/>
            <w:tcBorders>
              <w:left w:val="single" w:sz="8" w:color="auto"/>
            </w:tcBorders>
          </w:tcPr>
          <w:p>
            <w:pPr>
              <w:spacing w:after="0"/>
              <w:rPr>
                <w:sz w:val="16"/>
                <w:szCs w:val="16"/>
                <w:color w:val="auto"/>
              </w:rPr>
            </w:pPr>
          </w:p>
        </w:tc>
        <w:tc>
          <w:tcPr>
            <w:tcW w:w="18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5240" w:type="dxa"/>
            <w:vAlign w:val="bottom"/>
            <w:tcBorders>
              <w:top w:val="single" w:sz="8" w:color="auto"/>
              <w:right w:val="single" w:sz="8" w:color="auto"/>
            </w:tcBorders>
          </w:tcPr>
          <w:p>
            <w:pPr>
              <w:jc w:val="center"/>
              <w:ind w:right="1033"/>
              <w:spacing w:after="0" w:line="193" w:lineRule="exact"/>
              <w:rPr>
                <w:sz w:val="20"/>
                <w:szCs w:val="20"/>
                <w:color w:val="auto"/>
              </w:rPr>
            </w:pPr>
            <w:r>
              <w:rPr>
                <w:rFonts w:ascii="Arial" w:cs="Arial" w:eastAsia="Arial" w:hAnsi="Arial"/>
                <w:sz w:val="17"/>
                <w:szCs w:val="17"/>
                <w:color w:val="auto"/>
              </w:rPr>
              <w:t>Paul J. Hennessy</w:t>
            </w:r>
          </w:p>
        </w:tc>
      </w:tr>
      <w:tr>
        <w:trPr>
          <w:trHeight w:val="211"/>
        </w:trPr>
        <w:tc>
          <w:tcPr>
            <w:tcW w:w="3100" w:type="dxa"/>
            <w:vAlign w:val="bottom"/>
            <w:tcBorders>
              <w:lef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40" w:type="dxa"/>
            <w:vAlign w:val="bottom"/>
            <w:tcBorders>
              <w:right w:val="single" w:sz="8" w:color="auto"/>
            </w:tcBorders>
          </w:tcPr>
          <w:p>
            <w:pPr>
              <w:jc w:val="center"/>
              <w:ind w:right="1033"/>
              <w:spacing w:after="0"/>
              <w:rPr>
                <w:sz w:val="20"/>
                <w:szCs w:val="20"/>
                <w:color w:val="auto"/>
              </w:rPr>
            </w:pPr>
            <w:r>
              <w:rPr>
                <w:rFonts w:ascii="Arial" w:cs="Arial" w:eastAsia="Arial" w:hAnsi="Arial"/>
                <w:sz w:val="17"/>
                <w:szCs w:val="17"/>
                <w:color w:val="auto"/>
              </w:rPr>
              <w:t>Chief Executive Officer</w:t>
            </w:r>
          </w:p>
        </w:tc>
      </w:tr>
      <w:tr>
        <w:trPr>
          <w:trHeight w:val="234"/>
        </w:trPr>
        <w:tc>
          <w:tcPr>
            <w:tcW w:w="3100" w:type="dxa"/>
            <w:vAlign w:val="bottom"/>
            <w:tcBorders>
              <w:left w:val="single" w:sz="8" w:color="auto"/>
            </w:tcBorders>
          </w:tcPr>
          <w:p>
            <w:pPr>
              <w:spacing w:after="0"/>
              <w:rPr>
                <w:sz w:val="20"/>
                <w:szCs w:val="20"/>
                <w:color w:val="auto"/>
              </w:rPr>
            </w:pPr>
          </w:p>
        </w:tc>
        <w:tc>
          <w:tcPr>
            <w:tcW w:w="1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40" w:type="dxa"/>
            <w:vAlign w:val="bottom"/>
            <w:tcBorders>
              <w:right w:val="single" w:sz="8" w:color="auto"/>
            </w:tcBorders>
          </w:tcPr>
          <w:p>
            <w:pPr>
              <w:ind w:left="1000"/>
              <w:spacing w:after="0"/>
              <w:rPr>
                <w:sz w:val="20"/>
                <w:szCs w:val="20"/>
                <w:color w:val="auto"/>
              </w:rPr>
            </w:pPr>
            <w:r>
              <w:rPr>
                <w:rFonts w:ascii="Arial" w:cs="Arial" w:eastAsia="Arial" w:hAnsi="Arial"/>
                <w:sz w:val="17"/>
                <w:szCs w:val="17"/>
                <w:i w:val="1"/>
                <w:iCs w:val="1"/>
                <w:color w:val="auto"/>
              </w:rPr>
              <w:t>(principal executive officer)</w:t>
            </w:r>
          </w:p>
        </w:tc>
      </w:tr>
      <w:tr>
        <w:trPr>
          <w:trHeight w:val="520"/>
        </w:trPr>
        <w:tc>
          <w:tcPr>
            <w:tcW w:w="3100" w:type="dxa"/>
            <w:vAlign w:val="bottom"/>
            <w:tcBorders>
              <w:left w:val="single" w:sz="8" w:color="auto"/>
            </w:tcBorders>
          </w:tcPr>
          <w:p>
            <w:pPr>
              <w:ind w:left="20"/>
              <w:spacing w:after="0"/>
              <w:rPr>
                <w:sz w:val="20"/>
                <w:szCs w:val="20"/>
                <w:color w:val="auto"/>
              </w:rPr>
            </w:pPr>
            <w:r>
              <w:rPr>
                <w:rFonts w:ascii="Arial" w:cs="Arial" w:eastAsia="Arial" w:hAnsi="Arial"/>
                <w:sz w:val="17"/>
                <w:szCs w:val="17"/>
                <w:color w:val="auto"/>
              </w:rPr>
              <w:t>Date: March 3, 2021</w:t>
            </w:r>
          </w:p>
        </w:tc>
        <w:tc>
          <w:tcPr>
            <w:tcW w:w="2920" w:type="dxa"/>
            <w:vAlign w:val="bottom"/>
            <w:gridSpan w:val="2"/>
          </w:tcPr>
          <w:p>
            <w:pPr>
              <w:ind w:left="1520"/>
              <w:spacing w:after="0"/>
              <w:rPr>
                <w:sz w:val="20"/>
                <w:szCs w:val="20"/>
                <w:color w:val="auto"/>
              </w:rPr>
            </w:pPr>
            <w:r>
              <w:rPr>
                <w:rFonts w:ascii="Arial" w:cs="Arial" w:eastAsia="Arial" w:hAnsi="Arial"/>
                <w:sz w:val="17"/>
                <w:szCs w:val="17"/>
                <w:color w:val="auto"/>
              </w:rPr>
              <w:t>By:</w:t>
            </w:r>
          </w:p>
        </w:tc>
        <w:tc>
          <w:tcPr>
            <w:tcW w:w="5240" w:type="dxa"/>
            <w:vAlign w:val="bottom"/>
            <w:tcBorders>
              <w:right w:val="single" w:sz="8" w:color="auto"/>
            </w:tcBorders>
          </w:tcPr>
          <w:p>
            <w:pPr>
              <w:jc w:val="center"/>
              <w:ind w:right="1033"/>
              <w:spacing w:after="0"/>
              <w:rPr>
                <w:sz w:val="20"/>
                <w:szCs w:val="20"/>
                <w:color w:val="auto"/>
              </w:rPr>
            </w:pPr>
            <w:r>
              <w:rPr>
                <w:rFonts w:ascii="Arial" w:cs="Arial" w:eastAsia="Arial" w:hAnsi="Arial"/>
                <w:sz w:val="17"/>
                <w:szCs w:val="17"/>
                <w:color w:val="auto"/>
              </w:rPr>
              <w:t>/s/ David K Jones</w:t>
            </w:r>
          </w:p>
        </w:tc>
      </w:tr>
      <w:tr>
        <w:trPr>
          <w:trHeight w:val="193"/>
        </w:trPr>
        <w:tc>
          <w:tcPr>
            <w:tcW w:w="3100" w:type="dxa"/>
            <w:vAlign w:val="bottom"/>
            <w:tcBorders>
              <w:left w:val="single" w:sz="8" w:color="auto"/>
            </w:tcBorders>
          </w:tcPr>
          <w:p>
            <w:pPr>
              <w:spacing w:after="0"/>
              <w:rPr>
                <w:sz w:val="16"/>
                <w:szCs w:val="16"/>
                <w:color w:val="auto"/>
              </w:rPr>
            </w:pPr>
          </w:p>
        </w:tc>
        <w:tc>
          <w:tcPr>
            <w:tcW w:w="18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5240" w:type="dxa"/>
            <w:vAlign w:val="bottom"/>
            <w:tcBorders>
              <w:top w:val="single" w:sz="8" w:color="auto"/>
              <w:right w:val="single" w:sz="8" w:color="auto"/>
            </w:tcBorders>
          </w:tcPr>
          <w:p>
            <w:pPr>
              <w:jc w:val="center"/>
              <w:ind w:right="1013"/>
              <w:spacing w:after="0" w:line="193" w:lineRule="exact"/>
              <w:rPr>
                <w:sz w:val="20"/>
                <w:szCs w:val="20"/>
                <w:color w:val="auto"/>
              </w:rPr>
            </w:pPr>
            <w:r>
              <w:rPr>
                <w:rFonts w:ascii="Arial" w:cs="Arial" w:eastAsia="Arial" w:hAnsi="Arial"/>
                <w:sz w:val="17"/>
                <w:szCs w:val="17"/>
                <w:color w:val="auto"/>
              </w:rPr>
              <w:t>David K. Jones</w:t>
            </w:r>
          </w:p>
        </w:tc>
      </w:tr>
      <w:tr>
        <w:trPr>
          <w:trHeight w:val="211"/>
        </w:trPr>
        <w:tc>
          <w:tcPr>
            <w:tcW w:w="3100" w:type="dxa"/>
            <w:vAlign w:val="bottom"/>
            <w:tcBorders>
              <w:lef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40" w:type="dxa"/>
            <w:vAlign w:val="bottom"/>
            <w:tcBorders>
              <w:right w:val="single" w:sz="8" w:color="auto"/>
            </w:tcBorders>
          </w:tcPr>
          <w:p>
            <w:pPr>
              <w:jc w:val="center"/>
              <w:ind w:right="1033"/>
              <w:spacing w:after="0"/>
              <w:rPr>
                <w:sz w:val="20"/>
                <w:szCs w:val="20"/>
                <w:color w:val="auto"/>
              </w:rPr>
            </w:pPr>
            <w:r>
              <w:rPr>
                <w:rFonts w:ascii="Arial" w:cs="Arial" w:eastAsia="Arial" w:hAnsi="Arial"/>
                <w:sz w:val="17"/>
                <w:szCs w:val="17"/>
                <w:color w:val="auto"/>
              </w:rPr>
              <w:t>Chief Financial Officer</w:t>
            </w:r>
          </w:p>
        </w:tc>
      </w:tr>
      <w:tr>
        <w:trPr>
          <w:trHeight w:val="217"/>
        </w:trPr>
        <w:tc>
          <w:tcPr>
            <w:tcW w:w="3100" w:type="dxa"/>
            <w:vAlign w:val="bottom"/>
            <w:tcBorders>
              <w:left w:val="single" w:sz="8" w:color="auto"/>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jc w:val="center"/>
              <w:ind w:right="1033"/>
              <w:spacing w:after="0"/>
              <w:rPr>
                <w:sz w:val="20"/>
                <w:szCs w:val="20"/>
                <w:color w:val="auto"/>
              </w:rPr>
            </w:pPr>
            <w:r>
              <w:rPr>
                <w:rFonts w:ascii="Arial" w:cs="Arial" w:eastAsia="Arial" w:hAnsi="Arial"/>
                <w:sz w:val="17"/>
                <w:szCs w:val="17"/>
                <w:i w:val="1"/>
                <w:iCs w:val="1"/>
                <w:color w:val="auto"/>
              </w:rPr>
              <w:t>(principal financial and accounting officer)</w:t>
            </w:r>
          </w:p>
        </w:tc>
      </w:tr>
    </w:tbl>
    <w:p>
      <w:pPr>
        <w:spacing w:after="0" w:line="187" w:lineRule="exact"/>
        <w:rPr>
          <w:sz w:val="20"/>
          <w:szCs w:val="20"/>
          <w:color w:val="auto"/>
        </w:rPr>
      </w:pPr>
    </w:p>
    <w:p>
      <w:pPr>
        <w:ind w:right="300" w:firstLine="762"/>
        <w:spacing w:after="0" w:line="290"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Signature</w:t>
            </w:r>
          </w:p>
        </w:tc>
        <w:tc>
          <w:tcPr>
            <w:tcW w:w="40" w:type="dxa"/>
            <w:vAlign w:val="bottom"/>
          </w:tcPr>
          <w:p>
            <w:pPr>
              <w:spacing w:after="0"/>
              <w:rPr>
                <w:sz w:val="14"/>
                <w:szCs w:val="14"/>
                <w:color w:val="auto"/>
              </w:rPr>
            </w:pPr>
          </w:p>
        </w:tc>
        <w:tc>
          <w:tcPr>
            <w:tcW w:w="5560" w:type="dxa"/>
            <w:vAlign w:val="bottom"/>
            <w:tcBorders>
              <w:bottom w:val="single" w:sz="8" w:color="auto"/>
            </w:tcBorders>
          </w:tcPr>
          <w:p>
            <w:pPr>
              <w:jc w:val="right"/>
              <w:ind w:right="2570"/>
              <w:spacing w:after="0"/>
              <w:rPr>
                <w:sz w:val="20"/>
                <w:szCs w:val="20"/>
                <w:color w:val="auto"/>
              </w:rPr>
            </w:pPr>
            <w:r>
              <w:rPr>
                <w:rFonts w:ascii="Arial" w:cs="Arial" w:eastAsia="Arial" w:hAnsi="Arial"/>
                <w:sz w:val="14"/>
                <w:szCs w:val="14"/>
                <w:b w:val="1"/>
                <w:bCs w:val="1"/>
                <w:color w:val="auto"/>
              </w:rPr>
              <w:t>Title</w:t>
            </w:r>
          </w:p>
        </w:tc>
        <w:tc>
          <w:tcPr>
            <w:tcW w:w="80" w:type="dxa"/>
            <w:vAlign w:val="bottom"/>
          </w:tcPr>
          <w:p>
            <w:pPr>
              <w:spacing w:after="0"/>
              <w:rPr>
                <w:sz w:val="14"/>
                <w:szCs w:val="14"/>
                <w:color w:val="auto"/>
              </w:rPr>
            </w:pPr>
          </w:p>
        </w:tc>
        <w:tc>
          <w:tcPr>
            <w:tcW w:w="15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25"/>
        </w:trPr>
        <w:tc>
          <w:tcPr>
            <w:tcW w:w="4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Paul J. Hennessy</w:t>
            </w:r>
          </w:p>
        </w:tc>
        <w:tc>
          <w:tcPr>
            <w:tcW w:w="5600" w:type="dxa"/>
            <w:vAlign w:val="bottom"/>
            <w:gridSpan w:val="2"/>
          </w:tcPr>
          <w:p>
            <w:pPr>
              <w:ind w:left="40"/>
              <w:spacing w:after="0"/>
              <w:rPr>
                <w:sz w:val="20"/>
                <w:szCs w:val="20"/>
                <w:color w:val="auto"/>
              </w:rPr>
            </w:pPr>
            <w:r>
              <w:rPr>
                <w:rFonts w:ascii="Arial" w:cs="Arial" w:eastAsia="Arial" w:hAnsi="Arial"/>
                <w:sz w:val="17"/>
                <w:szCs w:val="17"/>
                <w:color w:val="auto"/>
              </w:rPr>
              <w:t>Chief Executive Officer (Principal Executive Officer) and Director</w:t>
            </w:r>
          </w:p>
        </w:tc>
        <w:tc>
          <w:tcPr>
            <w:tcW w:w="8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Arial" w:cs="Arial" w:eastAsia="Arial" w:hAnsi="Arial"/>
                <w:sz w:val="17"/>
                <w:szCs w:val="17"/>
                <w:color w:val="auto"/>
              </w:rPr>
              <w:t>March 3, 2021</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7"/>
                <w:szCs w:val="17"/>
                <w:color w:val="auto"/>
              </w:rPr>
              <w:t>Paul J. Hennessy</w:t>
            </w:r>
          </w:p>
        </w:tc>
        <w:tc>
          <w:tcPr>
            <w:tcW w:w="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040" w:type="dxa"/>
            <w:vAlign w:val="bottom"/>
          </w:tcPr>
          <w:p>
            <w:pPr>
              <w:spacing w:after="0"/>
              <w:rPr>
                <w:sz w:val="20"/>
                <w:szCs w:val="20"/>
                <w:color w:val="auto"/>
              </w:rPr>
            </w:pPr>
            <w:r>
              <w:rPr>
                <w:rFonts w:ascii="Arial" w:cs="Arial" w:eastAsia="Arial" w:hAnsi="Arial"/>
                <w:sz w:val="17"/>
                <w:szCs w:val="17"/>
                <w:color w:val="auto"/>
              </w:rPr>
              <w:t>/s/ David K. Jones</w:t>
            </w:r>
          </w:p>
        </w:tc>
        <w:tc>
          <w:tcPr>
            <w:tcW w:w="5600" w:type="dxa"/>
            <w:vAlign w:val="bottom"/>
            <w:gridSpan w:val="2"/>
          </w:tcPr>
          <w:p>
            <w:pPr>
              <w:ind w:left="40"/>
              <w:spacing w:after="0"/>
              <w:rPr>
                <w:sz w:val="20"/>
                <w:szCs w:val="20"/>
                <w:color w:val="auto"/>
              </w:rPr>
            </w:pPr>
            <w:r>
              <w:rPr>
                <w:rFonts w:ascii="Arial" w:cs="Arial" w:eastAsia="Arial" w:hAnsi="Arial"/>
                <w:sz w:val="17"/>
                <w:szCs w:val="17"/>
                <w:color w:val="auto"/>
              </w:rPr>
              <w:t>Chief Financial Officer (Principal Financial Officer and Principal</w:t>
            </w:r>
          </w:p>
        </w:tc>
        <w:tc>
          <w:tcPr>
            <w:tcW w:w="80" w:type="dxa"/>
            <w:vAlign w:val="bottom"/>
          </w:tcPr>
          <w:p>
            <w:pPr>
              <w:spacing w:after="0"/>
              <w:rPr>
                <w:sz w:val="23"/>
                <w:szCs w:val="23"/>
                <w:color w:val="auto"/>
              </w:rPr>
            </w:pPr>
          </w:p>
        </w:tc>
        <w:tc>
          <w:tcPr>
            <w:tcW w:w="1520" w:type="dxa"/>
            <w:vAlign w:val="bottom"/>
          </w:tcPr>
          <w:p>
            <w:pPr>
              <w:spacing w:after="0"/>
              <w:rPr>
                <w:sz w:val="20"/>
                <w:szCs w:val="20"/>
                <w:color w:val="auto"/>
              </w:rPr>
            </w:pPr>
            <w:r>
              <w:rPr>
                <w:rFonts w:ascii="Arial" w:cs="Arial" w:eastAsia="Arial" w:hAnsi="Arial"/>
                <w:sz w:val="17"/>
                <w:szCs w:val="17"/>
                <w:color w:val="auto"/>
              </w:rPr>
              <w:t>March 3, 2021</w:t>
            </w:r>
          </w:p>
        </w:tc>
        <w:tc>
          <w:tcPr>
            <w:tcW w:w="0" w:type="dxa"/>
            <w:vAlign w:val="bottom"/>
          </w:tcPr>
          <w:p>
            <w:pPr>
              <w:spacing w:after="0"/>
              <w:rPr>
                <w:sz w:val="1"/>
                <w:szCs w:val="1"/>
                <w:color w:val="auto"/>
              </w:rPr>
            </w:pPr>
          </w:p>
        </w:tc>
      </w:tr>
      <w:tr>
        <w:trPr>
          <w:trHeight w:val="23"/>
        </w:trPr>
        <w:tc>
          <w:tcPr>
            <w:tcW w:w="4040" w:type="dxa"/>
            <w:vAlign w:val="bottom"/>
            <w:tcBorders>
              <w:bottom w:val="single" w:sz="8" w:color="auto"/>
            </w:tcBorders>
          </w:tcPr>
          <w:p>
            <w:pPr>
              <w:spacing w:after="0" w:line="20" w:lineRule="exact"/>
              <w:rPr>
                <w:sz w:val="1"/>
                <w:szCs w:val="1"/>
                <w:color w:val="auto"/>
              </w:rPr>
            </w:pPr>
          </w:p>
        </w:tc>
        <w:tc>
          <w:tcPr>
            <w:tcW w:w="5600" w:type="dxa"/>
            <w:vAlign w:val="bottom"/>
            <w:gridSpan w:val="2"/>
            <w:vMerge w:val="restart"/>
          </w:tcPr>
          <w:p>
            <w:pPr>
              <w:ind w:left="40"/>
              <w:spacing w:after="0"/>
              <w:rPr>
                <w:sz w:val="20"/>
                <w:szCs w:val="20"/>
                <w:color w:val="auto"/>
              </w:rPr>
            </w:pPr>
            <w:r>
              <w:rPr>
                <w:rFonts w:ascii="Arial" w:cs="Arial" w:eastAsia="Arial" w:hAnsi="Arial"/>
                <w:sz w:val="17"/>
                <w:szCs w:val="17"/>
                <w:color w:val="auto"/>
              </w:rPr>
              <w:t>Accounting Officer)</w:t>
            </w: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7"/>
                <w:szCs w:val="17"/>
                <w:color w:val="auto"/>
              </w:rPr>
              <w:t>David K. Jones</w:t>
            </w:r>
          </w:p>
        </w:tc>
        <w:tc>
          <w:tcPr>
            <w:tcW w:w="56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4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Robert J. Mylod, Jr.</w:t>
            </w:r>
          </w:p>
        </w:tc>
        <w:tc>
          <w:tcPr>
            <w:tcW w:w="5600" w:type="dxa"/>
            <w:vAlign w:val="bottom"/>
            <w:gridSpan w:val="2"/>
          </w:tcPr>
          <w:p>
            <w:pPr>
              <w:ind w:left="40"/>
              <w:spacing w:after="0"/>
              <w:rPr>
                <w:sz w:val="20"/>
                <w:szCs w:val="20"/>
                <w:color w:val="auto"/>
              </w:rPr>
            </w:pPr>
            <w:r>
              <w:rPr>
                <w:rFonts w:ascii="Arial" w:cs="Arial" w:eastAsia="Arial" w:hAnsi="Arial"/>
                <w:sz w:val="17"/>
                <w:szCs w:val="17"/>
                <w:color w:val="auto"/>
              </w:rPr>
              <w:t>Director</w:t>
            </w:r>
          </w:p>
        </w:tc>
        <w:tc>
          <w:tcPr>
            <w:tcW w:w="8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Arial" w:cs="Arial" w:eastAsia="Arial" w:hAnsi="Arial"/>
                <w:sz w:val="17"/>
                <w:szCs w:val="17"/>
                <w:color w:val="auto"/>
              </w:rPr>
              <w:t>March 3, 2021</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7"/>
                <w:szCs w:val="17"/>
                <w:color w:val="auto"/>
              </w:rPr>
              <w:t>Robert J. Mylod, Jr.</w:t>
            </w:r>
          </w:p>
        </w:tc>
        <w:tc>
          <w:tcPr>
            <w:tcW w:w="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4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Scott A. Dahnke</w:t>
            </w:r>
          </w:p>
        </w:tc>
        <w:tc>
          <w:tcPr>
            <w:tcW w:w="5600" w:type="dxa"/>
            <w:vAlign w:val="bottom"/>
            <w:gridSpan w:val="2"/>
          </w:tcPr>
          <w:p>
            <w:pPr>
              <w:ind w:left="40"/>
              <w:spacing w:after="0"/>
              <w:rPr>
                <w:sz w:val="20"/>
                <w:szCs w:val="20"/>
                <w:color w:val="auto"/>
              </w:rPr>
            </w:pPr>
            <w:r>
              <w:rPr>
                <w:rFonts w:ascii="Arial" w:cs="Arial" w:eastAsia="Arial" w:hAnsi="Arial"/>
                <w:sz w:val="17"/>
                <w:szCs w:val="17"/>
                <w:color w:val="auto"/>
              </w:rPr>
              <w:t>Director</w:t>
            </w:r>
          </w:p>
        </w:tc>
        <w:tc>
          <w:tcPr>
            <w:tcW w:w="8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Arial" w:cs="Arial" w:eastAsia="Arial" w:hAnsi="Arial"/>
                <w:sz w:val="17"/>
                <w:szCs w:val="17"/>
                <w:color w:val="auto"/>
              </w:rPr>
              <w:t>March 3, 2021</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7"/>
                <w:szCs w:val="17"/>
                <w:color w:val="auto"/>
              </w:rPr>
              <w:t>Scott A. Dahnke</w:t>
            </w:r>
          </w:p>
        </w:tc>
        <w:tc>
          <w:tcPr>
            <w:tcW w:w="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4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Michael J. Farello</w:t>
            </w:r>
          </w:p>
        </w:tc>
        <w:tc>
          <w:tcPr>
            <w:tcW w:w="5600" w:type="dxa"/>
            <w:vAlign w:val="bottom"/>
            <w:gridSpan w:val="2"/>
          </w:tcPr>
          <w:p>
            <w:pPr>
              <w:ind w:left="40"/>
              <w:spacing w:after="0"/>
              <w:rPr>
                <w:sz w:val="20"/>
                <w:szCs w:val="20"/>
                <w:color w:val="auto"/>
              </w:rPr>
            </w:pPr>
            <w:r>
              <w:rPr>
                <w:rFonts w:ascii="Arial" w:cs="Arial" w:eastAsia="Arial" w:hAnsi="Arial"/>
                <w:sz w:val="17"/>
                <w:szCs w:val="17"/>
                <w:color w:val="auto"/>
              </w:rPr>
              <w:t>Director</w:t>
            </w:r>
          </w:p>
        </w:tc>
        <w:tc>
          <w:tcPr>
            <w:tcW w:w="8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Arial" w:cs="Arial" w:eastAsia="Arial" w:hAnsi="Arial"/>
                <w:sz w:val="17"/>
                <w:szCs w:val="17"/>
                <w:color w:val="auto"/>
              </w:rPr>
              <w:t>March 3, 2021</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7"/>
                <w:szCs w:val="17"/>
                <w:color w:val="auto"/>
              </w:rPr>
              <w:t>Michael J. Farello</w:t>
            </w:r>
          </w:p>
        </w:tc>
        <w:tc>
          <w:tcPr>
            <w:tcW w:w="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4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Laura W. Lang</w:t>
            </w:r>
          </w:p>
        </w:tc>
        <w:tc>
          <w:tcPr>
            <w:tcW w:w="5600" w:type="dxa"/>
            <w:vAlign w:val="bottom"/>
            <w:gridSpan w:val="2"/>
          </w:tcPr>
          <w:p>
            <w:pPr>
              <w:ind w:left="40"/>
              <w:spacing w:after="0"/>
              <w:rPr>
                <w:sz w:val="20"/>
                <w:szCs w:val="20"/>
                <w:color w:val="auto"/>
              </w:rPr>
            </w:pPr>
            <w:r>
              <w:rPr>
                <w:rFonts w:ascii="Arial" w:cs="Arial" w:eastAsia="Arial" w:hAnsi="Arial"/>
                <w:sz w:val="17"/>
                <w:szCs w:val="17"/>
                <w:color w:val="auto"/>
              </w:rPr>
              <w:t>Director</w:t>
            </w:r>
          </w:p>
        </w:tc>
        <w:tc>
          <w:tcPr>
            <w:tcW w:w="8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Arial" w:cs="Arial" w:eastAsia="Arial" w:hAnsi="Arial"/>
                <w:sz w:val="17"/>
                <w:szCs w:val="17"/>
                <w:color w:val="auto"/>
              </w:rPr>
              <w:t>March 3, 2021</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7"/>
                <w:szCs w:val="17"/>
                <w:color w:val="auto"/>
              </w:rPr>
              <w:t>Laura W. Lang</w:t>
            </w:r>
          </w:p>
        </w:tc>
        <w:tc>
          <w:tcPr>
            <w:tcW w:w="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4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Laura G. O’Shaughnessy</w:t>
            </w:r>
          </w:p>
        </w:tc>
        <w:tc>
          <w:tcPr>
            <w:tcW w:w="5600" w:type="dxa"/>
            <w:vAlign w:val="bottom"/>
            <w:gridSpan w:val="2"/>
          </w:tcPr>
          <w:p>
            <w:pPr>
              <w:ind w:left="40"/>
              <w:spacing w:after="0"/>
              <w:rPr>
                <w:sz w:val="20"/>
                <w:szCs w:val="20"/>
                <w:color w:val="auto"/>
              </w:rPr>
            </w:pPr>
            <w:r>
              <w:rPr>
                <w:rFonts w:ascii="Arial" w:cs="Arial" w:eastAsia="Arial" w:hAnsi="Arial"/>
                <w:sz w:val="17"/>
                <w:szCs w:val="17"/>
                <w:color w:val="auto"/>
              </w:rPr>
              <w:t>Director</w:t>
            </w:r>
          </w:p>
        </w:tc>
        <w:tc>
          <w:tcPr>
            <w:tcW w:w="8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Arial" w:cs="Arial" w:eastAsia="Arial" w:hAnsi="Arial"/>
                <w:sz w:val="17"/>
                <w:szCs w:val="17"/>
                <w:color w:val="auto"/>
              </w:rPr>
              <w:t>March 3, 2021</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7"/>
                <w:szCs w:val="17"/>
                <w:color w:val="auto"/>
              </w:rPr>
              <w:t>Laura G. O’Shaughnessy</w:t>
            </w:r>
          </w:p>
        </w:tc>
        <w:tc>
          <w:tcPr>
            <w:tcW w:w="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4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Adam Valkin</w:t>
            </w:r>
          </w:p>
        </w:tc>
        <w:tc>
          <w:tcPr>
            <w:tcW w:w="5600" w:type="dxa"/>
            <w:vAlign w:val="bottom"/>
            <w:gridSpan w:val="2"/>
          </w:tcPr>
          <w:p>
            <w:pPr>
              <w:ind w:left="40"/>
              <w:spacing w:after="0"/>
              <w:rPr>
                <w:sz w:val="20"/>
                <w:szCs w:val="20"/>
                <w:color w:val="auto"/>
              </w:rPr>
            </w:pPr>
            <w:r>
              <w:rPr>
                <w:rFonts w:ascii="Arial" w:cs="Arial" w:eastAsia="Arial" w:hAnsi="Arial"/>
                <w:sz w:val="17"/>
                <w:szCs w:val="17"/>
                <w:color w:val="auto"/>
              </w:rPr>
              <w:t>Director</w:t>
            </w:r>
          </w:p>
        </w:tc>
        <w:tc>
          <w:tcPr>
            <w:tcW w:w="8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Arial" w:cs="Arial" w:eastAsia="Arial" w:hAnsi="Arial"/>
                <w:sz w:val="17"/>
                <w:szCs w:val="17"/>
                <w:color w:val="auto"/>
              </w:rPr>
              <w:t>March 3, 2021</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7"/>
                <w:szCs w:val="17"/>
                <w:color w:val="auto"/>
              </w:rPr>
              <w:t>Adam Valkin</w:t>
            </w:r>
          </w:p>
        </w:tc>
        <w:tc>
          <w:tcPr>
            <w:tcW w:w="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1"/>
        </w:trPr>
        <w:tc>
          <w:tcPr>
            <w:tcW w:w="4040" w:type="dxa"/>
            <w:vAlign w:val="bottom"/>
          </w:tcPr>
          <w:p>
            <w:pPr>
              <w:spacing w:after="0"/>
              <w:rPr>
                <w:sz w:val="24"/>
                <w:szCs w:val="24"/>
                <w:color w:val="auto"/>
              </w:rPr>
            </w:pPr>
          </w:p>
        </w:tc>
        <w:tc>
          <w:tcPr>
            <w:tcW w:w="5600" w:type="dxa"/>
            <w:vAlign w:val="bottom"/>
            <w:gridSpan w:val="2"/>
          </w:tcPr>
          <w:p>
            <w:pPr>
              <w:jc w:val="right"/>
              <w:ind w:right="3810"/>
              <w:spacing w:after="0"/>
              <w:rPr>
                <w:sz w:val="20"/>
                <w:szCs w:val="20"/>
                <w:color w:val="auto"/>
              </w:rPr>
            </w:pPr>
            <w:r>
              <w:rPr>
                <w:rFonts w:ascii="Arial" w:cs="Arial" w:eastAsia="Arial" w:hAnsi="Arial"/>
                <w:sz w:val="17"/>
                <w:szCs w:val="17"/>
                <w:color w:val="auto"/>
              </w:rPr>
              <w:t>117</w:t>
            </w: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7"/>
          <w:szCs w:val="17"/>
          <w:b w:val="1"/>
          <w:bCs w:val="1"/>
          <w:color w:val="auto"/>
        </w:rPr>
        <w:t>Exhibit 4.3</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REGISTRANT’S SECURITIES</w:t>
      </w:r>
    </w:p>
    <w:p>
      <w:pPr>
        <w:spacing w:after="0" w:line="212"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following summary describes the material provisions of the common stock of Vroom, Inc. (“we”, “our”, the “Company”) that is registered under Section 12 of the Securities and Exchange Act of 1934, as amended, and does not purport to be complete. For a complete description of the terms and provisions of our common stock, we urge you to read our amended and restated certificate of incorporation and amended and restated bylaws.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Our amended and restated certificate of incorporation authorizes capital stock consisting of:</w:t>
      </w:r>
    </w:p>
    <w:p>
      <w:pPr>
        <w:spacing w:after="0" w:line="105" w:lineRule="exact"/>
        <w:rPr>
          <w:sz w:val="20"/>
          <w:szCs w:val="20"/>
          <w:color w:val="auto"/>
        </w:rPr>
      </w:pPr>
    </w:p>
    <w:p>
      <w:pPr>
        <w:ind w:left="1020" w:hanging="283"/>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500,000,000 shares of common stock, par value $0.001 per share; and</w:t>
      </w:r>
    </w:p>
    <w:p>
      <w:pPr>
        <w:spacing w:after="0" w:line="105" w:lineRule="exact"/>
        <w:rPr>
          <w:rFonts w:ascii="Arial" w:cs="Arial" w:eastAsia="Arial" w:hAnsi="Arial"/>
          <w:sz w:val="17"/>
          <w:szCs w:val="17"/>
          <w:color w:val="auto"/>
        </w:rPr>
      </w:pPr>
    </w:p>
    <w:p>
      <w:pPr>
        <w:ind w:left="1020" w:hanging="283"/>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10,000,000 shares of preferred stock, par value $0.001 per share.</w:t>
      </w:r>
    </w:p>
    <w:p>
      <w:pPr>
        <w:spacing w:after="0" w:line="210" w:lineRule="exact"/>
        <w:rPr>
          <w:sz w:val="20"/>
          <w:szCs w:val="20"/>
          <w:color w:val="auto"/>
        </w:rPr>
      </w:pPr>
    </w:p>
    <w:p>
      <w:pPr>
        <w:ind w:right="160" w:firstLine="735"/>
        <w:spacing w:after="0" w:line="265" w:lineRule="auto"/>
        <w:rPr>
          <w:sz w:val="20"/>
          <w:szCs w:val="20"/>
          <w:color w:val="auto"/>
        </w:rPr>
      </w:pPr>
      <w:r>
        <w:rPr>
          <w:rFonts w:ascii="Arial" w:cs="Arial" w:eastAsia="Arial" w:hAnsi="Arial"/>
          <w:sz w:val="17"/>
          <w:szCs w:val="17"/>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103" w:lineRule="exact"/>
        <w:rPr>
          <w:sz w:val="20"/>
          <w:szCs w:val="20"/>
          <w:color w:val="auto"/>
        </w:rPr>
      </w:pPr>
    </w:p>
    <w:p>
      <w:pPr>
        <w:ind w:right="560" w:firstLine="735"/>
        <w:spacing w:after="0" w:line="290" w:lineRule="auto"/>
        <w:rPr>
          <w:sz w:val="20"/>
          <w:szCs w:val="20"/>
          <w:color w:val="auto"/>
        </w:rPr>
      </w:pPr>
      <w:r>
        <w:rPr>
          <w:rFonts w:ascii="Arial" w:cs="Arial" w:eastAsia="Arial" w:hAnsi="Arial"/>
          <w:sz w:val="17"/>
          <w:szCs w:val="17"/>
          <w:color w:val="auto"/>
        </w:rPr>
        <w:t>Holders of shares of our common stock are entitled to one vote for each share held of record on all matters submitted to a vote of stockholders. The holders of our common stock do not have cumulative voting rights in the election of directors.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03" w:lineRule="exact"/>
        <w:rPr>
          <w:sz w:val="20"/>
          <w:szCs w:val="20"/>
          <w:color w:val="auto"/>
        </w:rPr>
      </w:pPr>
    </w:p>
    <w:p>
      <w:pPr>
        <w:ind w:right="580" w:firstLine="735"/>
        <w:spacing w:after="0" w:line="265" w:lineRule="auto"/>
        <w:rPr>
          <w:sz w:val="20"/>
          <w:szCs w:val="20"/>
          <w:color w:val="auto"/>
        </w:rPr>
      </w:pPr>
      <w:r>
        <w:rPr>
          <w:rFonts w:ascii="Arial" w:cs="Arial" w:eastAsia="Arial" w:hAnsi="Arial"/>
          <w:sz w:val="17"/>
          <w:szCs w:val="17"/>
          <w:color w:val="auto"/>
        </w:rPr>
        <w:t>Holders of shares of our common stock are entitled to receive ratably those dividends, if any, as may be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w:t>
      </w:r>
    </w:p>
    <w:p>
      <w:pPr>
        <w:spacing w:after="0" w:line="103" w:lineRule="exact"/>
        <w:rPr>
          <w:sz w:val="20"/>
          <w:szCs w:val="20"/>
          <w:color w:val="auto"/>
        </w:rPr>
      </w:pPr>
    </w:p>
    <w:p>
      <w:pPr>
        <w:jc w:val="both"/>
        <w:ind w:right="360" w:firstLine="735"/>
        <w:spacing w:after="0" w:line="265" w:lineRule="auto"/>
        <w:rPr>
          <w:sz w:val="20"/>
          <w:szCs w:val="20"/>
          <w:color w:val="auto"/>
        </w:rPr>
      </w:pPr>
      <w:r>
        <w:rPr>
          <w:rFonts w:ascii="Arial" w:cs="Arial" w:eastAsia="Arial" w:hAnsi="Arial"/>
          <w:sz w:val="17"/>
          <w:szCs w:val="17"/>
          <w:color w:val="auto"/>
        </w:rPr>
        <w:t>In the event of our dissolution or liquidation, after payment in full of all amounts required to be paid to creditors and to the holders of preferred stock having liquidation preferences, if any, the holders of shares of our common stock are entitled to share ratably in the remaining assets legally available for distribution.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103" w:lineRule="exact"/>
        <w:rPr>
          <w:sz w:val="20"/>
          <w:szCs w:val="20"/>
          <w:color w:val="auto"/>
        </w:rPr>
      </w:pPr>
    </w:p>
    <w:p>
      <w:pPr>
        <w:ind w:right="80" w:firstLine="735"/>
        <w:spacing w:after="0" w:line="265" w:lineRule="auto"/>
        <w:rPr>
          <w:sz w:val="20"/>
          <w:szCs w:val="20"/>
          <w:color w:val="auto"/>
        </w:rPr>
      </w:pPr>
      <w:r>
        <w:rPr>
          <w:rFonts w:ascii="Arial" w:cs="Arial" w:eastAsia="Arial" w:hAnsi="Arial"/>
          <w:sz w:val="17"/>
          <w:szCs w:val="17"/>
          <w:color w:val="auto"/>
        </w:rPr>
        <w:t>Holders of our common stock do not have preemptive, subscription, redemption or conversion rights.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7153275"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10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All shares of our common stock outstanding upon consummation of this offering will be fully paid and non-assessable.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Preferred Stock</w:t>
      </w:r>
    </w:p>
    <w:p>
      <w:pPr>
        <w:spacing w:after="0" w:line="212" w:lineRule="exact"/>
        <w:rPr>
          <w:sz w:val="20"/>
          <w:szCs w:val="20"/>
          <w:color w:val="auto"/>
        </w:rPr>
      </w:pPr>
    </w:p>
    <w:p>
      <w:pPr>
        <w:ind w:right="1080" w:firstLine="735"/>
        <w:spacing w:after="0" w:line="290" w:lineRule="auto"/>
        <w:rPr>
          <w:sz w:val="20"/>
          <w:szCs w:val="20"/>
          <w:color w:val="auto"/>
        </w:rPr>
      </w:pPr>
      <w:r>
        <w:rPr>
          <w:rFonts w:ascii="Arial" w:cs="Arial" w:eastAsia="Arial" w:hAnsi="Arial"/>
          <w:sz w:val="17"/>
          <w:szCs w:val="17"/>
          <w:color w:val="auto"/>
        </w:rPr>
        <w:t>Pursuant to our amended and restated certificate of incorporation, the total number of authorized shares of preferred stock is 10,000,000 shares. We have no shares of preferred stock outstanding.</w:t>
      </w:r>
    </w:p>
    <w:p>
      <w:pPr>
        <w:spacing w:after="0" w:line="129" w:lineRule="exact"/>
        <w:rPr>
          <w:sz w:val="20"/>
          <w:szCs w:val="20"/>
          <w:color w:val="auto"/>
        </w:rPr>
      </w:pPr>
    </w:p>
    <w:p>
      <w:pPr>
        <w:ind w:firstLine="735"/>
        <w:spacing w:after="0" w:line="257" w:lineRule="auto"/>
        <w:rPr>
          <w:sz w:val="20"/>
          <w:szCs w:val="20"/>
          <w:color w:val="auto"/>
        </w:rPr>
      </w:pPr>
      <w:r>
        <w:rPr>
          <w:rFonts w:ascii="Arial" w:cs="Arial" w:eastAsia="Arial" w:hAnsi="Arial"/>
          <w:sz w:val="17"/>
          <w:szCs w:val="17"/>
          <w:color w:val="auto"/>
        </w:rPr>
        <w:t>Under the terms of our amended and restated certificate of incorporation, our board of directors is authorized to direct us to issue shares of preferred stock in one or more series without stockholder approval. Our board of directors has the discretion to determine the rights, powers, preferences, privileges and restrictions, including voting rights, dividend rights, conversion rights, redemption privileges and liquidation preferences, of each series of preferred stock.</w:t>
      </w:r>
    </w:p>
    <w:p>
      <w:pPr>
        <w:spacing w:after="0" w:line="157" w:lineRule="exact"/>
        <w:rPr>
          <w:sz w:val="20"/>
          <w:szCs w:val="20"/>
          <w:color w:val="auto"/>
        </w:rPr>
      </w:pPr>
    </w:p>
    <w:p>
      <w:pPr>
        <w:ind w:right="20" w:firstLine="735"/>
        <w:spacing w:after="0" w:line="249" w:lineRule="auto"/>
        <w:rPr>
          <w:sz w:val="20"/>
          <w:szCs w:val="20"/>
          <w:color w:val="auto"/>
        </w:rPr>
      </w:pPr>
      <w:r>
        <w:rPr>
          <w:rFonts w:ascii="Arial" w:cs="Arial" w:eastAsia="Arial" w:hAnsi="Arial"/>
          <w:sz w:val="17"/>
          <w:szCs w:val="17"/>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Forum Selection</w:t>
      </w:r>
    </w:p>
    <w:p>
      <w:pPr>
        <w:spacing w:after="0" w:line="212" w:lineRule="exact"/>
        <w:rPr>
          <w:sz w:val="20"/>
          <w:szCs w:val="20"/>
          <w:color w:val="auto"/>
        </w:rPr>
      </w:pPr>
    </w:p>
    <w:p>
      <w:pPr>
        <w:ind w:firstLine="735"/>
        <w:spacing w:after="0" w:line="245"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will, to the fullest extent permitted by applicable law, be the sole and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amended and restated certificate of incorporation or our amended and restated bylaws, or as to which the DGCL confers exclusive jurisdiction on the Court of Chancery; or (4) any action asserting a claim against us, any director or our officers or employees that is governed by the internal affairs doctrine; provided that the exclusive forum provisions will not apply to suits brought to enforce any liability or duty created by the Exchange Act, or to any claim for which the federal courts have exclusive jurisdiction. Our amended and restated certificate of incorporation further provides that, unless we consent in writing to the selections of an alternative forum, the federal district courts are the sole and exclusive forum for the resolution of any complaint asserting a cause of action arising under the Securities Act of 1933, as amended.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Dividends</w:t>
      </w:r>
    </w:p>
    <w:p>
      <w:pPr>
        <w:spacing w:after="0" w:line="212" w:lineRule="exact"/>
        <w:rPr>
          <w:sz w:val="20"/>
          <w:szCs w:val="20"/>
          <w:color w:val="auto"/>
        </w:rPr>
      </w:pPr>
    </w:p>
    <w:p>
      <w:pPr>
        <w:ind w:right="20" w:firstLine="735"/>
        <w:spacing w:after="0" w:line="253" w:lineRule="auto"/>
        <w:rPr>
          <w:sz w:val="20"/>
          <w:szCs w:val="20"/>
          <w:color w:val="auto"/>
        </w:rPr>
      </w:pPr>
      <w:r>
        <w:rPr>
          <w:rFonts w:ascii="Arial" w:cs="Arial" w:eastAsia="Arial" w:hAnsi="Arial"/>
          <w:sz w:val="17"/>
          <w:szCs w:val="17"/>
          <w:color w:val="auto"/>
        </w:rPr>
        <w:t>Declaration and payment of any dividend will be subject to the discretion of our board of directors. The time and amount of dividends will be dependent upon, among other things,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dividends and distributions to stockholders and any other factors or considerations our board of directors may regard as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332105</wp:posOffset>
            </wp:positionV>
            <wp:extent cx="7153275"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668" w:right="339" w:bottom="1440" w:gutter="0" w:footer="0" w:header="0"/>
        </w:sectPr>
      </w:pPr>
    </w:p>
    <w:bookmarkStart w:id="119" w:name="page120"/>
    <w:bookmarkEnd w:id="119"/>
    <w:p>
      <w:pPr>
        <w:jc w:val="center"/>
        <w:ind w:left="740"/>
        <w:spacing w:after="0"/>
        <w:rPr>
          <w:sz w:val="20"/>
          <w:szCs w:val="20"/>
          <w:color w:val="auto"/>
        </w:rPr>
      </w:pPr>
      <w:r>
        <w:rPr>
          <w:rFonts w:ascii="Arial" w:cs="Arial" w:eastAsia="Arial" w:hAnsi="Arial"/>
          <w:sz w:val="17"/>
          <w:szCs w:val="17"/>
          <w:b w:val="1"/>
          <w:bCs w:val="1"/>
          <w:color w:val="auto"/>
        </w:rPr>
        <w:t>Anti-Takeover Provisions</w:t>
      </w:r>
    </w:p>
    <w:p>
      <w:pPr>
        <w:spacing w:after="0" w:line="212" w:lineRule="exact"/>
        <w:rPr>
          <w:sz w:val="20"/>
          <w:szCs w:val="20"/>
          <w:color w:val="auto"/>
        </w:rPr>
      </w:pPr>
    </w:p>
    <w:p>
      <w:pPr>
        <w:ind w:right="180" w:firstLine="735"/>
        <w:spacing w:after="0" w:line="250" w:lineRule="auto"/>
        <w:rPr>
          <w:sz w:val="20"/>
          <w:szCs w:val="20"/>
          <w:color w:val="auto"/>
        </w:rPr>
      </w:pPr>
      <w:r>
        <w:rPr>
          <w:rFonts w:ascii="Arial" w:cs="Arial" w:eastAsia="Arial" w:hAnsi="Arial"/>
          <w:sz w:val="17"/>
          <w:szCs w:val="17"/>
          <w:color w:val="auto"/>
        </w:rPr>
        <w:t>Our amended and restated certificate of incorporation, our amended and restated bylaws and the Delaware General Corporation Law (“DGCL”)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Action; Special Meetings of Stockholders</w:t>
      </w:r>
    </w:p>
    <w:p>
      <w:pPr>
        <w:spacing w:after="0" w:line="103" w:lineRule="exact"/>
        <w:rPr>
          <w:sz w:val="20"/>
          <w:szCs w:val="20"/>
          <w:color w:val="auto"/>
        </w:rPr>
      </w:pPr>
    </w:p>
    <w:p>
      <w:pPr>
        <w:ind w:right="20" w:firstLine="735"/>
        <w:spacing w:after="0" w:line="249"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our stockholders 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Further, our amended and restated bylaws provide that only our board of directors, the chairperson of our board of directors or our chief executive officer may call special meetings of our stockholders,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Advance Notice Requirements for Stockholder Proposals and Director Nominations</w:t>
      </w:r>
    </w:p>
    <w:p>
      <w:pPr>
        <w:spacing w:after="0" w:line="103" w:lineRule="exact"/>
        <w:rPr>
          <w:sz w:val="20"/>
          <w:szCs w:val="20"/>
          <w:color w:val="auto"/>
        </w:rPr>
      </w:pPr>
    </w:p>
    <w:p>
      <w:pPr>
        <w:ind w:firstLine="735"/>
        <w:spacing w:after="0" w:line="244" w:lineRule="auto"/>
        <w:rPr>
          <w:sz w:val="20"/>
          <w:szCs w:val="20"/>
          <w:color w:val="auto"/>
        </w:rPr>
      </w:pPr>
      <w:r>
        <w:rPr>
          <w:rFonts w:ascii="Arial" w:cs="Arial" w:eastAsia="Arial" w:hAnsi="Arial"/>
          <w:sz w:val="17"/>
          <w:szCs w:val="17"/>
          <w:color w:val="auto"/>
        </w:rPr>
        <w:t>In addition, our amended and restated bylaws establish an advance notice procedure for stockholder proposals to be brought before an annual meeting or special meeting of stockholders, including proposed nominations of candidates for election to our board of directors. Generally, in order for any matter to be “properly brought” before a meeting, the matter must be (a) specified in a notice of meeting given by or at the direction of our board of directors, (b) if not specified in a notice of meeting, otherwise brought before the meeting by our board of directors or the chairperson of the meeting, or (c) otherwise properly brought before the meeting by a stockholder present in person who (1) was a stockholder both at the time of giving the notice and at the time of the meeting, (2) is entitled to vote at the meeting, and (3) has complied with the advance notice procedures specified in the amended and restated bylaws or properly made such proposal in accordance with Rule 14a-8 under the Exchange Act and the rules and regulations thereunder, which proposal has been included in the proxy statement for the annual meeting. Further, for business to be properly brought before an annual meeting by a stockholder, the stockholder must (a) provide Timely Notice (as defined below) thereof in writing and in proper form to the secretary and (b) provide any updates or supplements to such notice at the times and in the forms required by our amended and restated bylaws. To be timely, a stockholder’s notice must be delivered to, or mailed and received at, our principal executive offices not less than 90 days nor more than 120 days prior to the one-year anniversary of the preceding year’s annual meeting; provided, however, that if the date of the annual meeting is more than 30 days before or more than 60 days after such anniversary date, to be timely, notice by the stockholder must be so delivered, or mailed and received, not later than the 10th day following the day on which public disclosure of the date of such annual meeting was first made (such notice within such time periods, “Timely Notice”).</w:t>
      </w:r>
    </w:p>
    <w:p>
      <w:pPr>
        <w:spacing w:after="0" w:line="172" w:lineRule="exact"/>
        <w:rPr>
          <w:sz w:val="20"/>
          <w:szCs w:val="20"/>
          <w:color w:val="auto"/>
        </w:rPr>
      </w:pPr>
    </w:p>
    <w:p>
      <w:pPr>
        <w:ind w:right="200" w:firstLine="735"/>
        <w:spacing w:after="0" w:line="253" w:lineRule="auto"/>
        <w:rPr>
          <w:sz w:val="20"/>
          <w:szCs w:val="20"/>
          <w:color w:val="auto"/>
        </w:rPr>
      </w:pPr>
      <w:r>
        <w:rPr>
          <w:rFonts w:ascii="Arial" w:cs="Arial" w:eastAsia="Arial" w:hAnsi="Arial"/>
          <w:sz w:val="17"/>
          <w:szCs w:val="17"/>
          <w:color w:val="auto"/>
        </w:rPr>
        <w:t>Stockholders at a special meeting may only consider proposals or nominations specified in the notice of meeting or, in the case of our annual meetings, brought before the meeting by or at the direction of our board of directors or by a qualified stockholder of record on the record date for the meeting, who is entitled to vote at the meeting and who has delivered Timely Notice as discussed above. These provisions could have the effect of delaying stockholder actions that are favored by the holders of a majority of our outstanding voting securities until the next stockholder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332105</wp:posOffset>
            </wp:positionV>
            <wp:extent cx="7153275"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i w:val="1"/>
          <w:iCs w:val="1"/>
          <w:color w:val="auto"/>
        </w:rPr>
        <w:t>Amendment of Certificate of Incorporation or Bylaws</w:t>
      </w:r>
    </w:p>
    <w:p>
      <w:pPr>
        <w:spacing w:after="0" w:line="103" w:lineRule="exact"/>
        <w:rPr>
          <w:sz w:val="20"/>
          <w:szCs w:val="20"/>
          <w:color w:val="auto"/>
        </w:rPr>
      </w:pPr>
    </w:p>
    <w:p>
      <w:pPr>
        <w:jc w:val="both"/>
        <w:ind w:firstLine="735"/>
        <w:spacing w:after="0" w:line="257" w:lineRule="auto"/>
        <w:rPr>
          <w:sz w:val="20"/>
          <w:szCs w:val="20"/>
          <w:color w:val="auto"/>
        </w:rPr>
      </w:pPr>
      <w:r>
        <w:rPr>
          <w:rFonts w:ascii="Arial" w:cs="Arial" w:eastAsia="Arial" w:hAnsi="Arial"/>
          <w:sz w:val="17"/>
          <w:szCs w:val="17"/>
          <w:color w:val="auto"/>
        </w:rPr>
        <w:t>Our amended and restated bylaws may be amended or repealed by a majority vote of our board of directors or by the affirmative vote of two-thirds of the voting power of the outstanding shares of capital stock entitled to vote thereon. The affirmative vote of a majority of our board of directors and two-thirds in voting power of the outstanding shares entitled to vote thereon would be required to amend our amended and restated certificate of incorporation.</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Section 203 of the DGCL</w:t>
      </w:r>
    </w:p>
    <w:p>
      <w:pPr>
        <w:spacing w:after="0" w:line="103" w:lineRule="exact"/>
        <w:rPr>
          <w:sz w:val="20"/>
          <w:szCs w:val="20"/>
          <w:color w:val="auto"/>
        </w:rPr>
      </w:pPr>
    </w:p>
    <w:p>
      <w:pPr>
        <w:ind w:right="240" w:firstLine="735"/>
        <w:spacing w:after="0" w:line="265" w:lineRule="auto"/>
        <w:rPr>
          <w:sz w:val="20"/>
          <w:szCs w:val="20"/>
          <w:color w:val="auto"/>
        </w:rPr>
      </w:pPr>
      <w:r>
        <w:rPr>
          <w:rFonts w:ascii="Arial" w:cs="Arial" w:eastAsia="Arial" w:hAnsi="Arial"/>
          <w:sz w:val="17"/>
          <w:szCs w:val="17"/>
          <w:color w:val="auto"/>
        </w:rPr>
        <w:t>We are governed by the provisions of Section 203 of the DGCL. In general, Section 203 prohibits a public Delaware corporation from engaging in a “business combination” with an “interested stockholder” for a period of three years after the time of the transaction in which the person became an interested stockholder, unless:</w:t>
      </w:r>
    </w:p>
    <w:p>
      <w:pPr>
        <w:spacing w:after="0" w:line="46" w:lineRule="exact"/>
        <w:rPr>
          <w:sz w:val="20"/>
          <w:szCs w:val="20"/>
          <w:color w:val="auto"/>
        </w:rPr>
      </w:pPr>
    </w:p>
    <w:p>
      <w:pPr>
        <w:ind w:left="1020" w:right="60" w:hanging="283"/>
        <w:spacing w:after="0" w:line="290"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24" w:lineRule="exact"/>
        <w:rPr>
          <w:rFonts w:ascii="Arial" w:cs="Arial" w:eastAsia="Arial" w:hAnsi="Arial"/>
          <w:sz w:val="17"/>
          <w:szCs w:val="17"/>
          <w:color w:val="auto"/>
        </w:rPr>
      </w:pPr>
    </w:p>
    <w:p>
      <w:pPr>
        <w:ind w:left="1020" w:right="20" w:hanging="283"/>
        <w:spacing w:after="0" w:line="253"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55" w:lineRule="exact"/>
        <w:rPr>
          <w:rFonts w:ascii="Arial" w:cs="Arial" w:eastAsia="Arial" w:hAnsi="Arial"/>
          <w:sz w:val="17"/>
          <w:szCs w:val="17"/>
          <w:color w:val="auto"/>
        </w:rPr>
      </w:pPr>
    </w:p>
    <w:p>
      <w:pPr>
        <w:ind w:left="1020" w:right="80" w:hanging="283"/>
        <w:spacing w:after="0" w:line="268"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outstanding voting stock which is not owned by the interested stockholder.</w:t>
      </w:r>
    </w:p>
    <w:p>
      <w:pPr>
        <w:spacing w:after="0" w:line="143" w:lineRule="exact"/>
        <w:rPr>
          <w:sz w:val="20"/>
          <w:szCs w:val="20"/>
          <w:color w:val="auto"/>
        </w:rPr>
      </w:pPr>
    </w:p>
    <w:p>
      <w:pPr>
        <w:ind w:right="180" w:firstLine="735"/>
        <w:spacing w:after="0" w:line="257" w:lineRule="auto"/>
        <w:rPr>
          <w:sz w:val="20"/>
          <w:szCs w:val="20"/>
          <w:color w:val="auto"/>
        </w:rPr>
      </w:pPr>
      <w:r>
        <w:rPr>
          <w:rFonts w:ascii="Arial" w:cs="Arial" w:eastAsia="Arial" w:hAnsi="Arial"/>
          <w:sz w:val="17"/>
          <w:szCs w:val="17"/>
          <w:color w:val="auto"/>
        </w:rPr>
        <w:t>In general, Section 203 defines a “business combination” to include mergers, asset sales and other transactions resulting in financial benefit to a stockholder and an “interested stockholder” as a person who, together with affiliates and associates, owns, or, if such person is an affiliate or associate of the corporation, within three years did own, 15% or more of the corporation’s outstanding voting stock. These provisions may have the effect of delaying, deferring or preventing changes in control of our company.</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Limitations on Liability and Indemnification of Officers and Directors</w:t>
      </w:r>
    </w:p>
    <w:p>
      <w:pPr>
        <w:spacing w:after="0" w:line="212" w:lineRule="exact"/>
        <w:rPr>
          <w:sz w:val="20"/>
          <w:szCs w:val="20"/>
          <w:color w:val="auto"/>
        </w:rPr>
      </w:pPr>
    </w:p>
    <w:p>
      <w:pPr>
        <w:ind w:right="100" w:firstLine="735"/>
        <w:spacing w:after="0" w:line="244" w:lineRule="auto"/>
        <w:rPr>
          <w:sz w:val="20"/>
          <w:szCs w:val="20"/>
          <w:color w:val="auto"/>
        </w:rPr>
      </w:pPr>
      <w:r>
        <w:rPr>
          <w:rFonts w:ascii="Arial" w:cs="Arial" w:eastAsia="Arial" w:hAnsi="Arial"/>
          <w:sz w:val="17"/>
          <w:szCs w:val="17"/>
          <w:color w:val="auto"/>
        </w:rPr>
        <w:t>Our amended and restated certificate of incorporation and amended and restated bylaws provide indemnification and advancement of expenses for our directors and officers to the fullest extent permitted by the DGCL, subject to certain limited exceptions. We have entered into separate indemnification agreements with each of our directors and our executive officers. In some cases, the provisions of our indemnification agreements with our directors and executive officers may be broader than the specific indemnification provisions contained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 This provision does not, however, eliminate the personal liability of our directors for monetary damages resulting from:</w:t>
      </w:r>
    </w:p>
    <w:p>
      <w:pPr>
        <w:spacing w:after="0" w:line="2" w:lineRule="exact"/>
        <w:rPr>
          <w:sz w:val="20"/>
          <w:szCs w:val="20"/>
          <w:color w:val="auto"/>
        </w:rPr>
      </w:pPr>
    </w:p>
    <w:p>
      <w:pPr>
        <w:ind w:left="260" w:hanging="255"/>
        <w:spacing w:after="0"/>
        <w:tabs>
          <w:tab w:leader="none" w:pos="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breach of the director’s duty of loyalty, (2) acts or omissions not in good faith that involve intentional misconduct or knowing violation of law,</w:t>
      </w:r>
    </w:p>
    <w:p>
      <w:pPr>
        <w:ind w:right="460" w:firstLine="5"/>
        <w:spacing w:after="0" w:line="263" w:lineRule="auto"/>
        <w:tabs>
          <w:tab w:leader="none" w:pos="262"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 unlawful payment of dividends or an unlawful stock purchase or redemption, or (4) any transaction from which the director derived an improper personal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7153275"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00"/>
          </w:cols>
          <w:pgMar w:left="320" w:top="668" w:right="379" w:bottom="1440" w:gutter="0" w:footer="0" w:header="0"/>
        </w:sectPr>
      </w:pPr>
    </w:p>
    <w:bookmarkStart w:id="121" w:name="page122"/>
    <w:bookmarkEnd w:id="121"/>
    <w:p>
      <w:pPr>
        <w:ind w:left="740"/>
        <w:spacing w:after="0"/>
        <w:rPr>
          <w:sz w:val="20"/>
          <w:szCs w:val="20"/>
          <w:color w:val="auto"/>
        </w:rPr>
      </w:pPr>
      <w:r>
        <w:rPr>
          <w:rFonts w:ascii="Arial" w:cs="Arial" w:eastAsia="Arial" w:hAnsi="Arial"/>
          <w:sz w:val="17"/>
          <w:szCs w:val="17"/>
          <w:color w:val="auto"/>
        </w:rPr>
        <w:t>These provisions may be held not to be enforceable for violations of the federal securities laws of the United States.</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Dissenters’ Rights of Appraisal and Payment</w:t>
      </w:r>
    </w:p>
    <w:p>
      <w:pPr>
        <w:spacing w:after="0" w:line="212" w:lineRule="exact"/>
        <w:rPr>
          <w:sz w:val="20"/>
          <w:szCs w:val="20"/>
          <w:color w:val="auto"/>
        </w:rPr>
      </w:pPr>
    </w:p>
    <w:p>
      <w:pPr>
        <w:ind w:firstLine="735"/>
        <w:spacing w:after="0" w:line="265" w:lineRule="auto"/>
        <w:rPr>
          <w:sz w:val="20"/>
          <w:szCs w:val="20"/>
          <w:color w:val="auto"/>
        </w:rPr>
      </w:pPr>
      <w:r>
        <w:rPr>
          <w:rFonts w:ascii="Arial" w:cs="Arial" w:eastAsia="Arial" w:hAnsi="Arial"/>
          <w:sz w:val="17"/>
          <w:szCs w:val="17"/>
          <w:color w:val="auto"/>
        </w:rPr>
        <w:t>Under the DGCL, with certain exceptions, our stockholders have appraisal rights in connection with a merger or consolidation of Vroom, Inc. Pursuant to Section 262 of the DGCL, stockholders who properly demand and perfect appraisal rights in connection with such merger or consolidation will have the right to receive payment of the fair value of their shares as determined by the Delaware Court of Chancery.</w:t>
      </w: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Stockholders’ Derivative Actions</w:t>
      </w:r>
    </w:p>
    <w:p>
      <w:pPr>
        <w:spacing w:after="0" w:line="212" w:lineRule="exact"/>
        <w:rPr>
          <w:sz w:val="20"/>
          <w:szCs w:val="20"/>
          <w:color w:val="auto"/>
        </w:rPr>
      </w:pPr>
    </w:p>
    <w:p>
      <w:pPr>
        <w:ind w:right="440" w:firstLine="735"/>
        <w:spacing w:after="0" w:line="265" w:lineRule="auto"/>
        <w:rPr>
          <w:sz w:val="20"/>
          <w:szCs w:val="20"/>
          <w:color w:val="auto"/>
        </w:rPr>
      </w:pPr>
      <w:r>
        <w:rPr>
          <w:rFonts w:ascii="Arial" w:cs="Arial" w:eastAsia="Arial" w:hAnsi="Arial"/>
          <w:sz w:val="17"/>
          <w:szCs w:val="17"/>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w:t>
      </w:r>
    </w:p>
    <w:p>
      <w:pPr>
        <w:spacing w:after="0" w:line="25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Trading Symbol and Market</w:t>
      </w:r>
    </w:p>
    <w:p>
      <w:pPr>
        <w:spacing w:after="0" w:line="2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Our common stock is listed on The Nasdaq Global Select Market under the symbol “VRM.”</w:t>
      </w:r>
    </w:p>
    <w:p>
      <w:pPr>
        <w:sectPr>
          <w:pgSz w:w="11900" w:h="16838" w:orient="portrait"/>
          <w:cols w:equalWidth="0" w:num="1">
            <w:col w:w="11180"/>
          </w:cols>
          <w:pgMar w:left="320" w:top="561" w:right="39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1"/>
          <w:szCs w:val="21"/>
          <w:b w:val="1"/>
          <w:bCs w:val="1"/>
          <w:color w:val="auto"/>
        </w:rPr>
        <w:t>Exhibit 10.4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Attn.: </w:t>
      </w:r>
      <w:r>
        <w:rPr>
          <w:rFonts w:ascii="Times New Roman" w:cs="Times New Roman" w:eastAsia="Times New Roman" w:hAnsi="Times New Roman"/>
          <w:sz w:val="22"/>
          <w:szCs w:val="22"/>
          <w:b w:val="1"/>
          <w:bCs w:val="1"/>
          <w:color w:val="auto"/>
        </w:rPr>
        <w:t>[Name]</w:t>
      </w:r>
    </w:p>
    <w:p>
      <w:pPr>
        <w:spacing w:after="0" w:line="2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 xml:space="preserve">Subject: </w:t>
      </w:r>
      <w:r>
        <w:rPr>
          <w:rFonts w:ascii="Times New Roman" w:cs="Times New Roman" w:eastAsia="Times New Roman" w:hAnsi="Times New Roman"/>
          <w:sz w:val="21"/>
          <w:szCs w:val="21"/>
          <w:b w:val="1"/>
          <w:bCs w:val="1"/>
          <w:u w:val="single" w:color="auto"/>
          <w:color w:val="auto"/>
        </w:rPr>
        <w:t>United States Option Agreement</w:t>
      </w:r>
    </w:p>
    <w:p>
      <w:pPr>
        <w:spacing w:after="0" w:line="207" w:lineRule="exact"/>
        <w:rPr>
          <w:sz w:val="20"/>
          <w:szCs w:val="20"/>
          <w:color w:val="auto"/>
        </w:rPr>
      </w:pPr>
    </w:p>
    <w:p>
      <w:pPr>
        <w:jc w:val="both"/>
        <w:ind w:left="820" w:right="740" w:hanging="815"/>
        <w:spacing w:after="0" w:line="245" w:lineRule="auto"/>
        <w:tabs>
          <w:tab w:leader="none" w:pos="82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decided to grant you Options under the Vroom, Inc. Second Amended and Restated 2014 Equity Incentive Plan (as amended,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xml:space="preserve">”), a copy of which is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forming an integral part hereof. Unless otherwise defined herein, capitalized terms used herein shall have the meaning ascribed to them in the Plan.</w:t>
      </w:r>
    </w:p>
    <w:p>
      <w:pPr>
        <w:spacing w:after="0" w:line="374" w:lineRule="exact"/>
        <w:rPr>
          <w:rFonts w:ascii="Times New Roman" w:cs="Times New Roman" w:eastAsia="Times New Roman" w:hAnsi="Times New Roman"/>
          <w:sz w:val="21"/>
          <w:szCs w:val="21"/>
          <w:color w:val="auto"/>
        </w:rPr>
      </w:pPr>
    </w:p>
    <w:p>
      <w:pPr>
        <w:ind w:left="820" w:right="740" w:hanging="815"/>
        <w:spacing w:after="0" w:line="266" w:lineRule="auto"/>
        <w:tabs>
          <w:tab w:leader="none" w:pos="82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terms of the Option shall commence on the Date of Grant and terminate at the Expiration Date, or at the time at which the Options expire pursuant to the terms of the Plan and as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w:t>
      </w:r>
    </w:p>
    <w:p>
      <w:pPr>
        <w:spacing w:after="0" w:line="354" w:lineRule="exact"/>
        <w:rPr>
          <w:rFonts w:ascii="Times New Roman" w:cs="Times New Roman" w:eastAsia="Times New Roman" w:hAnsi="Times New Roman"/>
          <w:sz w:val="21"/>
          <w:szCs w:val="21"/>
          <w:color w:val="auto"/>
        </w:rPr>
      </w:pPr>
    </w:p>
    <w:p>
      <w:pPr>
        <w:jc w:val="both"/>
        <w:ind w:left="820" w:right="740" w:hanging="815"/>
        <w:spacing w:after="0" w:line="242" w:lineRule="auto"/>
        <w:tabs>
          <w:tab w:leader="none" w:pos="82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number of Options granted to you as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shall be exercisable for one share of Common Stock, upon payment of the Purchase Price as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The Options may be exercised only to purchase whole shares of Common Stock, and in no case may a fraction of a share of Common Stock be purchased. If any fractional share of Common Stock would be deliverable upon exercise, such fraction shall be rounded up one-half or less, or otherwise rounded down, to the nearest whole number.</w:t>
      </w:r>
    </w:p>
    <w:p>
      <w:pPr>
        <w:spacing w:after="0" w:line="378" w:lineRule="exact"/>
        <w:rPr>
          <w:rFonts w:ascii="Times New Roman" w:cs="Times New Roman" w:eastAsia="Times New Roman" w:hAnsi="Times New Roman"/>
          <w:sz w:val="21"/>
          <w:szCs w:val="21"/>
          <w:color w:val="auto"/>
        </w:rPr>
      </w:pPr>
    </w:p>
    <w:p>
      <w:pPr>
        <w:jc w:val="both"/>
        <w:ind w:left="820" w:right="740" w:hanging="815"/>
        <w:spacing w:after="0" w:line="242" w:lineRule="auto"/>
        <w:tabs>
          <w:tab w:leader="none" w:pos="82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provisions of the Plan, your Options shall vest and become exercisable according to the Vesting Dates as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provided that you are employed by or provide services to the Company and/or its Subsidiaries on the applicable Vesting Date. For the avoidance of any doubt, you hereby acknowledge that any and all unexercised Options granted to you shall terminate and shall no longer be exercisable on the Expiration Date.</w:t>
      </w:r>
    </w:p>
    <w:p>
      <w:pPr>
        <w:spacing w:after="0" w:line="378" w:lineRule="exact"/>
        <w:rPr>
          <w:rFonts w:ascii="Times New Roman" w:cs="Times New Roman" w:eastAsia="Times New Roman" w:hAnsi="Times New Roman"/>
          <w:sz w:val="21"/>
          <w:szCs w:val="21"/>
          <w:color w:val="auto"/>
        </w:rPr>
      </w:pPr>
    </w:p>
    <w:p>
      <w:pPr>
        <w:jc w:val="both"/>
        <w:ind w:left="820" w:right="740" w:hanging="815"/>
        <w:spacing w:after="0" w:line="238" w:lineRule="auto"/>
        <w:tabs>
          <w:tab w:leader="none" w:pos="82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You may exercise your Options in accordance with the provisions of the Plan by submitting an Exercise Notice in the form attached as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hereto, the irrevocable proxy and power of attorney attached as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hereto, the Counterpart Signature Page and Joinder to the Eighth Amended and Restated Right of First Refusal and Co-Sale Agreement (as amended) attached as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 xml:space="preserve"> hereto, and the Adoption Agreement to the Eighth Amended and Restated Voting Agreement attached as </w:t>
      </w:r>
      <w:r>
        <w:rPr>
          <w:rFonts w:ascii="Times New Roman" w:cs="Times New Roman" w:eastAsia="Times New Roman" w:hAnsi="Times New Roman"/>
          <w:sz w:val="21"/>
          <w:szCs w:val="21"/>
          <w:u w:val="single" w:color="auto"/>
          <w:color w:val="auto"/>
        </w:rPr>
        <w:t>Exhibit F</w:t>
      </w:r>
      <w:r>
        <w:rPr>
          <w:rFonts w:ascii="Times New Roman" w:cs="Times New Roman" w:eastAsia="Times New Roman" w:hAnsi="Times New Roman"/>
          <w:sz w:val="21"/>
          <w:szCs w:val="21"/>
          <w:color w:val="auto"/>
        </w:rPr>
        <w:t xml:space="preserve"> hereto. By signing this Option Agreement, you hereby acknowledge and agree that until the consummation of the listing for trading on a stock exchange or market or trading system of the Company’s (or a successor corporation’s) shares, any shares of Common Stock acquired by you upon the exercise of any of your Options shall be voted by and subject to the irrevocable proxy and power of attorney, attached as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w:t>
      </w:r>
    </w:p>
    <w:p>
      <w:pPr>
        <w:spacing w:after="0" w:line="382" w:lineRule="exact"/>
        <w:rPr>
          <w:rFonts w:ascii="Times New Roman" w:cs="Times New Roman" w:eastAsia="Times New Roman" w:hAnsi="Times New Roman"/>
          <w:sz w:val="21"/>
          <w:szCs w:val="21"/>
          <w:color w:val="auto"/>
        </w:rPr>
      </w:pPr>
    </w:p>
    <w:p>
      <w:pPr>
        <w:ind w:left="640" w:right="740" w:hanging="635"/>
        <w:spacing w:after="0" w:line="266" w:lineRule="auto"/>
        <w:tabs>
          <w:tab w:leader="none" w:pos="64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signing this Option Agreement you are aware and agree that any tax consequences arising from the grant or exercise of any Option, from the payment for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153275"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0820"/>
          </w:cols>
          <w:pgMar w:left="320" w:top="318" w:right="759" w:bottom="1440" w:gutter="0" w:footer="0" w:header="0"/>
        </w:sectPr>
      </w:pPr>
    </w:p>
    <w:bookmarkStart w:id="123" w:name="page124"/>
    <w:bookmarkEnd w:id="123"/>
    <w:p>
      <w:pPr>
        <w:jc w:val="both"/>
        <w:ind w:left="640" w:right="59"/>
        <w:spacing w:after="0" w:line="239" w:lineRule="auto"/>
        <w:rPr>
          <w:sz w:val="20"/>
          <w:szCs w:val="20"/>
          <w:color w:val="auto"/>
        </w:rPr>
      </w:pPr>
      <w:r>
        <w:rPr>
          <w:rFonts w:ascii="Times New Roman" w:cs="Times New Roman" w:eastAsia="Times New Roman" w:hAnsi="Times New Roman"/>
          <w:sz w:val="21"/>
          <w:szCs w:val="21"/>
          <w:color w:val="auto"/>
        </w:rPr>
        <w:t>Stock covered thereby or from any other event or act (of the Company and/or its Subsidiaries, or yourself), hereunder, shall be borne solely by you. The Company and/or its Subsidiaries shall withhold taxes according to the requirements under the applicable laws, rules, and regulations, including withholding taxes at source. Furthermore, you hereby agree to indemnify the Company and/or its Subsidiaries and hold them harmless against and from any and all liability for any such tax or interest or penalty thereon, including without limitation, liabilities relating to the necessity to withhold, or to have withheld, any such tax from any payment made to you.</w:t>
      </w:r>
    </w:p>
    <w:p>
      <w:pPr>
        <w:spacing w:after="0" w:line="384" w:lineRule="exact"/>
        <w:rPr>
          <w:sz w:val="20"/>
          <w:szCs w:val="20"/>
          <w:color w:val="auto"/>
        </w:rPr>
      </w:pPr>
    </w:p>
    <w:p>
      <w:pPr>
        <w:jc w:val="both"/>
        <w:ind w:left="640" w:right="59"/>
        <w:spacing w:after="0" w:line="242" w:lineRule="auto"/>
        <w:rPr>
          <w:sz w:val="20"/>
          <w:szCs w:val="20"/>
          <w:color w:val="auto"/>
        </w:rPr>
      </w:pPr>
      <w:r>
        <w:rPr>
          <w:rFonts w:ascii="Times New Roman" w:cs="Times New Roman" w:eastAsia="Times New Roman" w:hAnsi="Times New Roman"/>
          <w:sz w:val="21"/>
          <w:szCs w:val="21"/>
          <w:color w:val="auto"/>
        </w:rPr>
        <w:t>You will not be entitled to receive from the Company any Common Stock allocated or issued upon the exercise of Options prior to the full payment of your tax liabilities arising from Options which were granted to you and/or Common Stock issued upon the exercise of Options. For the avoidance of doubt, the Company shall not be required to release any stock certificate to you until all payments required to be made by you have been fully satisfied.</w:t>
      </w:r>
    </w:p>
    <w:p>
      <w:pPr>
        <w:spacing w:after="0" w:line="379" w:lineRule="exact"/>
        <w:rPr>
          <w:sz w:val="20"/>
          <w:szCs w:val="20"/>
          <w:color w:val="auto"/>
        </w:rPr>
      </w:pPr>
    </w:p>
    <w:p>
      <w:pPr>
        <w:jc w:val="both"/>
        <w:ind w:left="640" w:right="59"/>
        <w:spacing w:after="0" w:line="245" w:lineRule="auto"/>
        <w:rPr>
          <w:sz w:val="20"/>
          <w:szCs w:val="20"/>
          <w:color w:val="auto"/>
        </w:rPr>
      </w:pPr>
      <w:r>
        <w:rPr>
          <w:rFonts w:ascii="Times New Roman" w:cs="Times New Roman" w:eastAsia="Times New Roman" w:hAnsi="Times New Roman"/>
          <w:sz w:val="21"/>
          <w:szCs w:val="21"/>
          <w:color w:val="auto"/>
        </w:rPr>
        <w:t>The receipt of the Option and the acquisition of the Common Stock to be issued upon the exercise of the Option may result in tax consequences. YOU ARE ADVISED TO CONSULT A TAX ADVISER WITH RESPECT TO THE TAX CONSEQUENCES OF RECEIVING OR EXERCISING THIS OPTION OR DISPOSING OF STOCK.</w:t>
      </w:r>
    </w:p>
    <w:p>
      <w:pPr>
        <w:spacing w:after="0" w:line="375" w:lineRule="exact"/>
        <w:rPr>
          <w:sz w:val="20"/>
          <w:szCs w:val="20"/>
          <w:color w:val="auto"/>
        </w:rPr>
      </w:pPr>
    </w:p>
    <w:p>
      <w:pPr>
        <w:jc w:val="both"/>
        <w:ind w:left="640" w:right="59" w:hanging="635"/>
        <w:spacing w:after="0" w:line="242" w:lineRule="auto"/>
        <w:tabs>
          <w:tab w:leader="none" w:pos="64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of your Common Stock issued under Options that are designated as ISOs are disposed of prior to the date which is either (i) two years after the Date of Grant or (ii) one year after you acquired your shares of Common Stock by exercising your ISOs, immediately prior to the disposition you shall promptly notify the Company in writing of the date and terms of the disposition and shall provide such other information regarding the disposition as the Company may reasonably require.</w:t>
      </w:r>
    </w:p>
    <w:p>
      <w:pPr>
        <w:spacing w:after="0" w:line="374"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Exceptions</w:t>
      </w:r>
      <w:r>
        <w:rPr>
          <w:rFonts w:ascii="Times New Roman" w:cs="Times New Roman" w:eastAsia="Times New Roman" w:hAnsi="Times New Roman"/>
          <w:sz w:val="21"/>
          <w:szCs w:val="21"/>
          <w:color w:val="auto"/>
        </w:rPr>
        <w:t>. By signing this Option Agreement you hereby acknowledge, accept and agree as to the following:</w:t>
      </w:r>
    </w:p>
    <w:p>
      <w:pPr>
        <w:spacing w:after="0" w:line="200" w:lineRule="exact"/>
        <w:rPr>
          <w:sz w:val="20"/>
          <w:szCs w:val="20"/>
          <w:color w:val="auto"/>
        </w:rPr>
      </w:pPr>
    </w:p>
    <w:p>
      <w:pPr>
        <w:spacing w:after="0" w:line="217" w:lineRule="exact"/>
        <w:rPr>
          <w:sz w:val="20"/>
          <w:szCs w:val="20"/>
          <w:color w:val="auto"/>
        </w:rPr>
      </w:pPr>
    </w:p>
    <w:p>
      <w:pPr>
        <w:jc w:val="both"/>
        <w:ind w:left="1640" w:right="59"/>
        <w:spacing w:after="0" w:line="266" w:lineRule="auto"/>
        <w:rPr>
          <w:sz w:val="20"/>
          <w:szCs w:val="20"/>
          <w:color w:val="auto"/>
        </w:rPr>
      </w:pPr>
      <w:r>
        <w:rPr>
          <w:rFonts w:ascii="Times New Roman" w:cs="Times New Roman" w:eastAsia="Times New Roman" w:hAnsi="Times New Roman"/>
          <w:sz w:val="21"/>
          <w:szCs w:val="21"/>
          <w:color w:val="auto"/>
        </w:rPr>
        <w:t>8.1The Company may in the future issue additional stock and grant additional Options to various entities and individuals, as the Company in its sole discretion shall determine.</w:t>
      </w:r>
    </w:p>
    <w:p>
      <w:pPr>
        <w:spacing w:after="0" w:line="354" w:lineRule="exact"/>
        <w:rPr>
          <w:sz w:val="20"/>
          <w:szCs w:val="20"/>
          <w:color w:val="auto"/>
        </w:rPr>
      </w:pPr>
    </w:p>
    <w:p>
      <w:pPr>
        <w:jc w:val="both"/>
        <w:ind w:left="1640" w:right="59"/>
        <w:spacing w:after="0" w:line="250" w:lineRule="auto"/>
        <w:rPr>
          <w:sz w:val="20"/>
          <w:szCs w:val="20"/>
          <w:color w:val="auto"/>
        </w:rPr>
      </w:pPr>
      <w:r>
        <w:rPr>
          <w:rFonts w:ascii="Times New Roman" w:cs="Times New Roman" w:eastAsia="Times New Roman" w:hAnsi="Times New Roman"/>
          <w:sz w:val="21"/>
          <w:szCs w:val="21"/>
          <w:color w:val="auto"/>
        </w:rPr>
        <w:t>8.2The Company shall not be obligated to issue any Common Stock upon the exercise of an Option if such issuance, in the opinion of the Company, might constitute a violation by the Company of any provision of law.</w:t>
      </w:r>
    </w:p>
    <w:p>
      <w:pPr>
        <w:spacing w:after="0" w:line="371" w:lineRule="exact"/>
        <w:rPr>
          <w:sz w:val="20"/>
          <w:szCs w:val="20"/>
          <w:color w:val="auto"/>
        </w:rPr>
      </w:pPr>
    </w:p>
    <w:p>
      <w:pPr>
        <w:jc w:val="both"/>
        <w:ind w:left="1640" w:right="59"/>
        <w:spacing w:after="0" w:line="245" w:lineRule="auto"/>
        <w:rPr>
          <w:sz w:val="20"/>
          <w:szCs w:val="20"/>
          <w:color w:val="auto"/>
        </w:rPr>
      </w:pPr>
      <w:r>
        <w:rPr>
          <w:rFonts w:ascii="Times New Roman" w:cs="Times New Roman" w:eastAsia="Times New Roman" w:hAnsi="Times New Roman"/>
          <w:sz w:val="21"/>
          <w:szCs w:val="21"/>
          <w:color w:val="auto"/>
        </w:rPr>
        <w:t>8.3The transfer of Options and the transfer of Common Stock to be issued to you upon exercise of the Options shall be subject to the limitations set forth in the Plan and in the Company’s incorporation documents and any stockholders’ agreement to which all or substantially all of the holders of Common Stock of the Company are bound and in applicable law.</w:t>
      </w:r>
    </w:p>
    <w:p>
      <w:pPr>
        <w:spacing w:after="0" w:line="375" w:lineRule="exact"/>
        <w:rPr>
          <w:sz w:val="20"/>
          <w:szCs w:val="20"/>
          <w:color w:val="auto"/>
        </w:rPr>
      </w:pPr>
    </w:p>
    <w:p>
      <w:pPr>
        <w:jc w:val="both"/>
        <w:ind w:left="1640" w:right="59"/>
        <w:spacing w:after="0" w:line="250" w:lineRule="auto"/>
        <w:rPr>
          <w:sz w:val="20"/>
          <w:szCs w:val="20"/>
          <w:color w:val="auto"/>
        </w:rPr>
      </w:pPr>
      <w:r>
        <w:rPr>
          <w:rFonts w:ascii="Times New Roman" w:cs="Times New Roman" w:eastAsia="Times New Roman" w:hAnsi="Times New Roman"/>
          <w:sz w:val="21"/>
          <w:szCs w:val="21"/>
          <w:color w:val="auto"/>
        </w:rPr>
        <w:t>8.4In the event the Company's stock shall be registered for trading in any public market, your right to sell Common Stock may be subject to limitations (including a lock-up period), as will be requested by the Company or its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3860533; 3; 60165-002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7153275"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0139"/>
          </w:cols>
          <w:pgMar w:left="320" w:top="531" w:right="1440" w:bottom="1440" w:gutter="0" w:footer="0" w:header="0"/>
        </w:sectPr>
      </w:pPr>
    </w:p>
    <w:bookmarkStart w:id="124" w:name="page125"/>
    <w:bookmarkEnd w:id="124"/>
    <w:p>
      <w:pPr>
        <w:jc w:val="both"/>
        <w:ind w:left="1640" w:right="1180"/>
        <w:spacing w:after="0" w:line="250" w:lineRule="auto"/>
        <w:rPr>
          <w:sz w:val="20"/>
          <w:szCs w:val="20"/>
          <w:color w:val="auto"/>
        </w:rPr>
      </w:pPr>
      <w:r>
        <w:rPr>
          <w:rFonts w:ascii="Times New Roman" w:cs="Times New Roman" w:eastAsia="Times New Roman" w:hAnsi="Times New Roman"/>
          <w:sz w:val="21"/>
          <w:szCs w:val="21"/>
          <w:color w:val="auto"/>
        </w:rPr>
        <w:t>underwriters, and you unconditionally agree to and accept any such limitations. Furthermore, you acknowledge that in order to enforce the above restriction, the Company may impose stop-transfer instructions with respect to any of your exercised stock.</w:t>
      </w:r>
    </w:p>
    <w:p>
      <w:pPr>
        <w:spacing w:after="0" w:line="200" w:lineRule="exact"/>
        <w:rPr>
          <w:sz w:val="20"/>
          <w:szCs w:val="20"/>
          <w:color w:val="auto"/>
        </w:rPr>
      </w:pPr>
    </w:p>
    <w:p>
      <w:pPr>
        <w:spacing w:after="0" w:line="380" w:lineRule="exact"/>
        <w:rPr>
          <w:sz w:val="20"/>
          <w:szCs w:val="20"/>
          <w:color w:val="auto"/>
        </w:rPr>
      </w:pPr>
    </w:p>
    <w:p>
      <w:pPr>
        <w:jc w:val="both"/>
        <w:ind w:left="1640" w:right="1180"/>
        <w:spacing w:after="0" w:line="266" w:lineRule="auto"/>
        <w:rPr>
          <w:sz w:val="20"/>
          <w:szCs w:val="20"/>
          <w:color w:val="auto"/>
        </w:rPr>
      </w:pPr>
      <w:r>
        <w:rPr>
          <w:rFonts w:ascii="Times New Roman" w:cs="Times New Roman" w:eastAsia="Times New Roman" w:hAnsi="Times New Roman"/>
          <w:sz w:val="21"/>
          <w:szCs w:val="21"/>
          <w:color w:val="auto"/>
        </w:rPr>
        <w:t>8.5You shall not dispose any of your Common Stock in transactions which violate, in the opinion of the Company, any applicable laws, rules and regulations.</w:t>
      </w:r>
    </w:p>
    <w:p>
      <w:pPr>
        <w:spacing w:after="0" w:line="381" w:lineRule="exact"/>
        <w:rPr>
          <w:sz w:val="20"/>
          <w:szCs w:val="20"/>
          <w:color w:val="auto"/>
        </w:rPr>
      </w:pPr>
    </w:p>
    <w:p>
      <w:pPr>
        <w:jc w:val="both"/>
        <w:ind w:left="1720" w:right="580" w:hanging="1033"/>
        <w:spacing w:after="0" w:line="245" w:lineRule="auto"/>
        <w:tabs>
          <w:tab w:leader="none" w:pos="1700" w:val="left"/>
        </w:tabs>
        <w:rPr>
          <w:sz w:val="20"/>
          <w:szCs w:val="20"/>
          <w:color w:val="auto"/>
        </w:rPr>
      </w:pPr>
      <w:r>
        <w:rPr>
          <w:rFonts w:ascii="Times New Roman" w:cs="Times New Roman" w:eastAsia="Times New Roman" w:hAnsi="Times New Roman"/>
          <w:sz w:val="21"/>
          <w:szCs w:val="21"/>
          <w:color w:val="auto"/>
        </w:rPr>
        <w:t>8.6</w:t>
      </w:r>
      <w:r>
        <w:rPr>
          <w:sz w:val="20"/>
          <w:szCs w:val="20"/>
          <w:color w:val="auto"/>
        </w:rPr>
        <w:tab/>
      </w:r>
      <w:r>
        <w:rPr>
          <w:rFonts w:ascii="Times New Roman" w:cs="Times New Roman" w:eastAsia="Times New Roman" w:hAnsi="Times New Roman"/>
          <w:sz w:val="21"/>
          <w:szCs w:val="21"/>
          <w:color w:val="auto"/>
        </w:rPr>
        <w:t>The Company shall have the authority to endorse upon the certificate or certificates representing the Common Stock realizing from the exercise of any Options by you, such legends referring to the foregoing restrictions, and any other applicable restrictions as it may deem appropriate (which do not violate your rights according to this Option Agreement).</w:t>
      </w:r>
    </w:p>
    <w:p>
      <w:pPr>
        <w:spacing w:after="0" w:line="165" w:lineRule="exact"/>
        <w:rPr>
          <w:sz w:val="20"/>
          <w:szCs w:val="20"/>
          <w:color w:val="auto"/>
        </w:rPr>
      </w:pPr>
    </w:p>
    <w:p>
      <w:pPr>
        <w:jc w:val="both"/>
        <w:ind w:left="1720" w:right="600" w:hanging="1033"/>
        <w:spacing w:after="0" w:line="242" w:lineRule="auto"/>
        <w:tabs>
          <w:tab w:leader="none" w:pos="1700" w:val="left"/>
        </w:tabs>
        <w:rPr>
          <w:sz w:val="20"/>
          <w:szCs w:val="20"/>
          <w:color w:val="auto"/>
        </w:rPr>
      </w:pPr>
      <w:r>
        <w:rPr>
          <w:rFonts w:ascii="Times New Roman" w:cs="Times New Roman" w:eastAsia="Times New Roman" w:hAnsi="Times New Roman"/>
          <w:sz w:val="21"/>
          <w:szCs w:val="21"/>
          <w:color w:val="auto"/>
        </w:rPr>
        <w:t>8.7</w:t>
      </w:r>
      <w:r>
        <w:rPr>
          <w:sz w:val="20"/>
          <w:szCs w:val="20"/>
          <w:color w:val="auto"/>
        </w:rPr>
        <w:tab/>
      </w:r>
      <w:r>
        <w:rPr>
          <w:rFonts w:ascii="Times New Roman" w:cs="Times New Roman" w:eastAsia="Times New Roman" w:hAnsi="Times New Roman"/>
          <w:sz w:val="21"/>
          <w:szCs w:val="21"/>
          <w:color w:val="auto"/>
        </w:rPr>
        <w:t>You are aware that you will have no rights or privileges of a stockholder with respect to any Common Stock purchasable upon the exercise of an Option, nor shall such Common Stock be deemed to be a class of stockholders or creditors of the Company for the purpose of all applicable law, until you are registered as a holder of such Common Stock in the Company’s register of stockholders upon exercise of your Options, all in accordance with the provisions of the Plan.</w:t>
      </w:r>
    </w:p>
    <w:p>
      <w:pPr>
        <w:spacing w:after="0" w:line="169" w:lineRule="exact"/>
        <w:rPr>
          <w:sz w:val="20"/>
          <w:szCs w:val="20"/>
          <w:color w:val="auto"/>
        </w:rPr>
      </w:pPr>
    </w:p>
    <w:p>
      <w:pPr>
        <w:jc w:val="both"/>
        <w:ind w:left="1720" w:right="580" w:hanging="1033"/>
        <w:spacing w:after="0" w:line="239" w:lineRule="auto"/>
        <w:tabs>
          <w:tab w:leader="none" w:pos="1700" w:val="left"/>
        </w:tabs>
        <w:rPr>
          <w:sz w:val="20"/>
          <w:szCs w:val="20"/>
          <w:color w:val="auto"/>
        </w:rPr>
      </w:pPr>
      <w:r>
        <w:rPr>
          <w:rFonts w:ascii="Times New Roman" w:cs="Times New Roman" w:eastAsia="Times New Roman" w:hAnsi="Times New Roman"/>
          <w:sz w:val="21"/>
          <w:szCs w:val="21"/>
          <w:color w:val="auto"/>
        </w:rPr>
        <w:t>9.8</w:t>
      </w:r>
      <w:r>
        <w:rPr>
          <w:sz w:val="20"/>
          <w:szCs w:val="20"/>
          <w:color w:val="auto"/>
        </w:rPr>
        <w:tab/>
      </w:r>
      <w:r>
        <w:rPr>
          <w:rFonts w:ascii="Times New Roman" w:cs="Times New Roman" w:eastAsia="Times New Roman" w:hAnsi="Times New Roman"/>
          <w:sz w:val="21"/>
          <w:szCs w:val="21"/>
          <w:color w:val="auto"/>
        </w:rPr>
        <w:t>By exercising any Options, you agree to be bound by the provisions applicable to holders of Common Stock of the Company of that certain Eighth Amended and Restated Voting Agreement among the Company and its stockholders dated November 21, 2019, as may be amended from time to time and of that certain Eighth Amended and Restated Right of First Refusal and Co-Sale Agreement among the Company and its stockholders dated November 21, 2019, as may be amended from time to time, with respect to all shares of Common Stock issued upon such exercise and all other securities of the Company that may be issued to you by virtue of such shares.</w:t>
      </w:r>
    </w:p>
    <w:p>
      <w:pPr>
        <w:spacing w:after="0" w:line="171" w:lineRule="exact"/>
        <w:rPr>
          <w:sz w:val="20"/>
          <w:szCs w:val="20"/>
          <w:color w:val="auto"/>
        </w:rPr>
      </w:pPr>
    </w:p>
    <w:p>
      <w:pPr>
        <w:ind w:left="680" w:hanging="675"/>
        <w:spacing w:after="0"/>
        <w:tabs>
          <w:tab w:leader="none" w:pos="68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color w:val="auto"/>
        </w:rPr>
        <w:t>The following shall apply with respect to this Option Agreement and shall bind you:</w:t>
      </w:r>
    </w:p>
    <w:p>
      <w:pPr>
        <w:spacing w:after="0" w:line="207" w:lineRule="exact"/>
        <w:rPr>
          <w:rFonts w:ascii="Times New Roman" w:cs="Times New Roman" w:eastAsia="Times New Roman" w:hAnsi="Times New Roman"/>
          <w:sz w:val="21"/>
          <w:szCs w:val="21"/>
          <w:color w:val="auto"/>
        </w:rPr>
      </w:pPr>
    </w:p>
    <w:p>
      <w:pPr>
        <w:ind w:left="1740" w:hanging="1047"/>
        <w:spacing w:after="0" w:line="26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10.1</w:t>
      </w:r>
      <w:r>
        <w:rPr>
          <w:rFonts w:ascii="Times New Roman" w:cs="Times New Roman" w:eastAsia="Times New Roman" w:hAnsi="Times New Roman"/>
          <w:sz w:val="21"/>
          <w:szCs w:val="21"/>
          <w:u w:val="single" w:color="auto"/>
          <w:color w:val="auto"/>
        </w:rPr>
        <w:t>No Obligation to Exercise Options</w:t>
      </w:r>
      <w:r>
        <w:rPr>
          <w:rFonts w:ascii="Times New Roman" w:cs="Times New Roman" w:eastAsia="Times New Roman" w:hAnsi="Times New Roman"/>
          <w:sz w:val="21"/>
          <w:szCs w:val="21"/>
          <w:color w:val="auto"/>
        </w:rPr>
        <w:t>. The grant and acceptance of the Options granted to you hereunder impose no</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obligation on you to exercise it.</w:t>
      </w:r>
    </w:p>
    <w:p>
      <w:pPr>
        <w:spacing w:after="0" w:line="145" w:lineRule="exact"/>
        <w:rPr>
          <w:rFonts w:ascii="Times New Roman" w:cs="Times New Roman" w:eastAsia="Times New Roman" w:hAnsi="Times New Roman"/>
          <w:sz w:val="21"/>
          <w:szCs w:val="21"/>
          <w:color w:val="auto"/>
        </w:rPr>
      </w:pPr>
    </w:p>
    <w:p>
      <w:pPr>
        <w:ind w:left="1740" w:hanging="1047"/>
        <w:spacing w:after="0" w:line="25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10.2</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You shall regard the information in this Option Agreement and its exhibits attached hereto as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confidential information and you shall not reveal its contents to anyone except when required by law or for the purpose of gaining legal or tax advice.</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3860533; 3; 60165-002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7153275"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25" w:name="page126"/>
    <w:bookmarkEnd w:id="125"/>
    <w:p>
      <w:pPr>
        <w:jc w:val="both"/>
        <w:ind w:left="1740" w:hanging="1046"/>
        <w:spacing w:after="0" w:line="242" w:lineRule="auto"/>
        <w:tabs>
          <w:tab w:leader="none" w:pos="1720" w:val="left"/>
        </w:tabs>
        <w:rPr>
          <w:sz w:val="20"/>
          <w:szCs w:val="20"/>
          <w:color w:val="auto"/>
        </w:rPr>
      </w:pPr>
      <w:r>
        <w:rPr>
          <w:rFonts w:ascii="Times New Roman" w:cs="Times New Roman" w:eastAsia="Times New Roman" w:hAnsi="Times New Roman"/>
          <w:sz w:val="21"/>
          <w:szCs w:val="21"/>
          <w:color w:val="auto"/>
        </w:rPr>
        <w:t>10.3</w:t>
      </w:r>
      <w:r>
        <w:rPr>
          <w:sz w:val="20"/>
          <w:szCs w:val="20"/>
          <w:color w:val="auto"/>
        </w:rPr>
        <w:tab/>
      </w:r>
      <w:r>
        <w:rPr>
          <w:rFonts w:ascii="Times New Roman" w:cs="Times New Roman" w:eastAsia="Times New Roman" w:hAnsi="Times New Roman"/>
          <w:sz w:val="21"/>
          <w:szCs w:val="21"/>
          <w:u w:val="single" w:color="auto"/>
          <w:color w:val="auto"/>
        </w:rPr>
        <w:t>Continuation of Employment or Service</w:t>
      </w:r>
      <w:r>
        <w:rPr>
          <w:rFonts w:ascii="Times New Roman" w:cs="Times New Roman" w:eastAsia="Times New Roman" w:hAnsi="Times New Roman"/>
          <w:sz w:val="21"/>
          <w:szCs w:val="21"/>
          <w:color w:val="auto"/>
        </w:rPr>
        <w:t>. Neither the Plan nor this Option Agreement shall impose any obligation</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on the Company and/or its Subsidiaries to continue your employment or service and nothing in the Plan and/or in this Option Agreement shall confer upon you any right to continue in the employ or service of the Company and/or its Subsidiaries or restrict the right of the Company and/or its Subsidiaries to terminate such employment or service at any time.</w:t>
      </w:r>
    </w:p>
    <w:p>
      <w:pPr>
        <w:spacing w:after="0" w:line="169" w:lineRule="exact"/>
        <w:rPr>
          <w:sz w:val="20"/>
          <w:szCs w:val="20"/>
          <w:color w:val="auto"/>
        </w:rPr>
      </w:pPr>
    </w:p>
    <w:p>
      <w:pPr>
        <w:jc w:val="both"/>
        <w:ind w:left="1740" w:hanging="1046"/>
        <w:spacing w:after="0" w:line="245" w:lineRule="auto"/>
        <w:tabs>
          <w:tab w:leader="none" w:pos="1720" w:val="left"/>
        </w:tabs>
        <w:rPr>
          <w:sz w:val="20"/>
          <w:szCs w:val="20"/>
          <w:color w:val="auto"/>
        </w:rPr>
      </w:pPr>
      <w:r>
        <w:rPr>
          <w:rFonts w:ascii="Times New Roman" w:cs="Times New Roman" w:eastAsia="Times New Roman" w:hAnsi="Times New Roman"/>
          <w:sz w:val="21"/>
          <w:szCs w:val="21"/>
          <w:color w:val="auto"/>
        </w:rPr>
        <w:t>10.4</w:t>
      </w:r>
      <w:r>
        <w:rPr>
          <w:sz w:val="20"/>
          <w:szCs w:val="20"/>
          <w:color w:val="auto"/>
        </w:rPr>
        <w:tab/>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Subject to the provisions of the Plan to which this Option Agreement is subject, this Option</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Agreement, together with the exhibits hereto, constitute the entire agreement between you and the Company with respect to Options granted to you hereunder, and supersedes all prior agreements, understandings and arrangements, oral or written, between you and the Company with respect to the subject matter hereof.</w:t>
      </w:r>
    </w:p>
    <w:p>
      <w:pPr>
        <w:spacing w:after="0" w:line="165" w:lineRule="exact"/>
        <w:rPr>
          <w:sz w:val="20"/>
          <w:szCs w:val="20"/>
          <w:color w:val="auto"/>
        </w:rPr>
      </w:pPr>
    </w:p>
    <w:p>
      <w:pPr>
        <w:jc w:val="both"/>
        <w:ind w:left="1740" w:hanging="1046"/>
        <w:spacing w:after="0" w:line="250" w:lineRule="auto"/>
        <w:tabs>
          <w:tab w:leader="none" w:pos="1720" w:val="left"/>
        </w:tabs>
        <w:rPr>
          <w:sz w:val="20"/>
          <w:szCs w:val="20"/>
          <w:color w:val="auto"/>
        </w:rPr>
      </w:pPr>
      <w:r>
        <w:rPr>
          <w:rFonts w:ascii="Times New Roman" w:cs="Times New Roman" w:eastAsia="Times New Roman" w:hAnsi="Times New Roman"/>
          <w:sz w:val="21"/>
          <w:szCs w:val="21"/>
          <w:color w:val="auto"/>
        </w:rPr>
        <w:t>10.5</w:t>
      </w:r>
      <w:r>
        <w:rPr>
          <w:sz w:val="20"/>
          <w:szCs w:val="20"/>
          <w:color w:val="auto"/>
        </w:rPr>
        <w:tab/>
      </w:r>
      <w:r>
        <w:rPr>
          <w:rFonts w:ascii="Times New Roman" w:cs="Times New Roman" w:eastAsia="Times New Roman" w:hAnsi="Times New Roman"/>
          <w:sz w:val="21"/>
          <w:szCs w:val="21"/>
          <w:u w:val="single" w:color="auto"/>
          <w:color w:val="auto"/>
        </w:rPr>
        <w:t>Failure to Enforce - Not a Waiver</w:t>
      </w:r>
      <w:r>
        <w:rPr>
          <w:rFonts w:ascii="Times New Roman" w:cs="Times New Roman" w:eastAsia="Times New Roman" w:hAnsi="Times New Roman"/>
          <w:sz w:val="21"/>
          <w:szCs w:val="21"/>
          <w:color w:val="auto"/>
        </w:rPr>
        <w:t>. The failure of any party to enforce at any time any provisions of this Option</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Agreement and/or the Plan shall in no way be construed to be a waiver of such provision or of any other provision hereof.</w:t>
      </w:r>
    </w:p>
    <w:p>
      <w:pPr>
        <w:spacing w:after="0" w:line="161" w:lineRule="exact"/>
        <w:rPr>
          <w:sz w:val="20"/>
          <w:szCs w:val="20"/>
          <w:color w:val="auto"/>
        </w:rPr>
      </w:pPr>
    </w:p>
    <w:p>
      <w:pPr>
        <w:jc w:val="both"/>
        <w:ind w:left="1740" w:hanging="1046"/>
        <w:spacing w:after="0" w:line="250" w:lineRule="auto"/>
        <w:tabs>
          <w:tab w:leader="none" w:pos="1720" w:val="left"/>
        </w:tabs>
        <w:rPr>
          <w:sz w:val="20"/>
          <w:szCs w:val="20"/>
          <w:color w:val="auto"/>
        </w:rPr>
      </w:pPr>
      <w:r>
        <w:rPr>
          <w:rFonts w:ascii="Times New Roman" w:cs="Times New Roman" w:eastAsia="Times New Roman" w:hAnsi="Times New Roman"/>
          <w:sz w:val="21"/>
          <w:szCs w:val="21"/>
          <w:color w:val="auto"/>
        </w:rPr>
        <w:t>10.6</w:t>
      </w:r>
      <w:r>
        <w:rPr>
          <w:sz w:val="20"/>
          <w:szCs w:val="20"/>
          <w:color w:val="auto"/>
        </w:rPr>
        <w:tab/>
      </w:r>
      <w:r>
        <w:rPr>
          <w:rFonts w:ascii="Times New Roman" w:cs="Times New Roman" w:eastAsia="Times New Roman" w:hAnsi="Times New Roman"/>
          <w:sz w:val="21"/>
          <w:szCs w:val="21"/>
          <w:u w:val="single" w:color="auto"/>
          <w:color w:val="auto"/>
        </w:rPr>
        <w:t>Provisions of the Plan</w:t>
      </w:r>
      <w:r>
        <w:rPr>
          <w:rFonts w:ascii="Times New Roman" w:cs="Times New Roman" w:eastAsia="Times New Roman" w:hAnsi="Times New Roman"/>
          <w:sz w:val="21"/>
          <w:szCs w:val="21"/>
          <w:color w:val="auto"/>
        </w:rPr>
        <w:t>. The Options provided for herein are granted pursuant to the Plan, and said Options and</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this Option Agreement are in all respects governed by the Plan and subject to all of the terms and provisions of the Plan.</w:t>
      </w:r>
    </w:p>
    <w:p>
      <w:pPr>
        <w:spacing w:after="0" w:line="161" w:lineRule="exact"/>
        <w:rPr>
          <w:sz w:val="20"/>
          <w:szCs w:val="20"/>
          <w:color w:val="auto"/>
        </w:rPr>
      </w:pPr>
    </w:p>
    <w:p>
      <w:pPr>
        <w:jc w:val="both"/>
        <w:ind w:left="1740" w:hanging="22"/>
        <w:spacing w:after="0" w:line="250" w:lineRule="auto"/>
        <w:rPr>
          <w:sz w:val="20"/>
          <w:szCs w:val="20"/>
          <w:color w:val="auto"/>
        </w:rPr>
      </w:pPr>
      <w:r>
        <w:rPr>
          <w:rFonts w:ascii="Times New Roman" w:cs="Times New Roman" w:eastAsia="Times New Roman" w:hAnsi="Times New Roman"/>
          <w:sz w:val="21"/>
          <w:szCs w:val="21"/>
          <w:color w:val="auto"/>
        </w:rPr>
        <w:t>Any interpretation of this Option Agreement will be made in accordance with the Plan, however, in the event there is any contradiction between the provisions of this Option Agreement and the Plan, the provisions of this Option Agreement will prevail.</w:t>
      </w:r>
    </w:p>
    <w:p>
      <w:pPr>
        <w:spacing w:after="0" w:line="161" w:lineRule="exact"/>
        <w:rPr>
          <w:sz w:val="20"/>
          <w:szCs w:val="20"/>
          <w:color w:val="auto"/>
        </w:rPr>
      </w:pPr>
    </w:p>
    <w:p>
      <w:pPr>
        <w:jc w:val="both"/>
        <w:ind w:left="1740" w:hanging="22"/>
        <w:spacing w:after="0" w:line="250" w:lineRule="auto"/>
        <w:rPr>
          <w:sz w:val="20"/>
          <w:szCs w:val="20"/>
          <w:color w:val="auto"/>
        </w:rPr>
      </w:pPr>
      <w:r>
        <w:rPr>
          <w:rFonts w:ascii="Times New Roman" w:cs="Times New Roman" w:eastAsia="Times New Roman" w:hAnsi="Times New Roman"/>
          <w:sz w:val="21"/>
          <w:szCs w:val="21"/>
          <w:color w:val="auto"/>
        </w:rPr>
        <w:t>By signing this Option Agreement, you hereby represent and warrant that you have accepted the Option Agreement, and have read the Plan and this Option Agreement and that you understand their content and all tax implications thereunder.</w:t>
      </w:r>
    </w:p>
    <w:p>
      <w:pPr>
        <w:spacing w:after="0" w:line="161" w:lineRule="exact"/>
        <w:rPr>
          <w:sz w:val="20"/>
          <w:szCs w:val="20"/>
          <w:color w:val="auto"/>
        </w:rPr>
      </w:pPr>
    </w:p>
    <w:p>
      <w:pPr>
        <w:jc w:val="both"/>
        <w:ind w:left="1700" w:hanging="1020"/>
        <w:spacing w:after="0" w:line="266" w:lineRule="auto"/>
        <w:tabs>
          <w:tab w:leader="none" w:pos="1680" w:val="left"/>
        </w:tabs>
        <w:rPr>
          <w:sz w:val="20"/>
          <w:szCs w:val="20"/>
          <w:color w:val="auto"/>
        </w:rPr>
      </w:pPr>
      <w:r>
        <w:rPr>
          <w:rFonts w:ascii="Times New Roman" w:cs="Times New Roman" w:eastAsia="Times New Roman" w:hAnsi="Times New Roman"/>
          <w:sz w:val="21"/>
          <w:szCs w:val="21"/>
          <w:color w:val="auto"/>
        </w:rPr>
        <w:t>10.7</w:t>
      </w:r>
      <w:r>
        <w:rPr>
          <w:sz w:val="20"/>
          <w:szCs w:val="20"/>
          <w:color w:val="auto"/>
        </w:rPr>
        <w:tab/>
      </w: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The Plan and this Option Agreement shall be binding upon the heirs, executors, administrators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and successors of the parties hereof.</w:t>
      </w:r>
    </w:p>
    <w:p>
      <w:pPr>
        <w:spacing w:after="0" w:line="145" w:lineRule="exact"/>
        <w:rPr>
          <w:sz w:val="20"/>
          <w:szCs w:val="20"/>
          <w:color w:val="auto"/>
        </w:rPr>
      </w:pPr>
    </w:p>
    <w:p>
      <w:pPr>
        <w:jc w:val="both"/>
        <w:ind w:left="1700" w:hanging="1020"/>
        <w:spacing w:after="0"/>
        <w:tabs>
          <w:tab w:leader="none" w:pos="1680" w:val="left"/>
        </w:tabs>
        <w:rPr>
          <w:sz w:val="20"/>
          <w:szCs w:val="20"/>
          <w:color w:val="auto"/>
        </w:rPr>
      </w:pPr>
      <w:r>
        <w:rPr>
          <w:rFonts w:ascii="Times New Roman" w:cs="Times New Roman" w:eastAsia="Times New Roman" w:hAnsi="Times New Roman"/>
          <w:sz w:val="21"/>
          <w:szCs w:val="21"/>
          <w:color w:val="auto"/>
        </w:rPr>
        <w:t>10.8</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or other communications given or made hereunder shall be in writing and shall be delivered</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or mailed by registered mail or delivered by email or facsimile with written confirmation of receipt to you and/or to the Company at the addresses shown on the letterhead above, or at such other place as the Company may designate by written notice to you. You are responsible for notifying the Company in writing of any change in your address, and the Company shall be deemed to have complied with any obligation to provide you with notice by sending such notice to the address indicated below.</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3860533; 3; 60165-002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7153275"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6" w:name="page127"/>
    <w:bookmarkEnd w:id="126"/>
    <w:p>
      <w:pPr>
        <w:ind w:left="60"/>
        <w:spacing w:after="0"/>
        <w:rPr>
          <w:sz w:val="20"/>
          <w:szCs w:val="20"/>
          <w:color w:val="auto"/>
        </w:rPr>
      </w:pPr>
      <w:r>
        <w:rPr>
          <w:rFonts w:ascii="Times New Roman" w:cs="Times New Roman" w:eastAsia="Times New Roman" w:hAnsi="Times New Roman"/>
          <w:sz w:val="21"/>
          <w:szCs w:val="21"/>
          <w:b w:val="1"/>
          <w:bCs w:val="1"/>
          <w:color w:val="auto"/>
        </w:rPr>
        <w:t>VROOM, INC.</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By: _________________________________________</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Patricia Moran, Chief Legal Officer and Secretary</w:t>
      </w:r>
    </w:p>
    <w:p>
      <w:pPr>
        <w:spacing w:after="0" w:line="2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I, the undersigned, hereby acknowledge receipt of a copy of the Plan and accept the Options subject to all of the terms and provisions thereof. I have reviewed the Plan and this Option Agreement in its entirety, have had an opportunity to obtain the advice of counsel prior to executing this Option Agreement, and fully understand all provisions of this Option Agreement. I agree to notify the Company upon any change in the residence address indicated below.</w:t>
      </w:r>
    </w:p>
    <w:p>
      <w:pPr>
        <w:spacing w:after="0" w:line="3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u w:val="single" w:color="auto"/>
          <w:color w:val="auto"/>
        </w:rPr>
        <w:t>________________________________________________</w:t>
      </w:r>
    </w:p>
    <w:p>
      <w:pPr>
        <w:spacing w:after="0" w:line="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b w:val="1"/>
          <w:bCs w:val="1"/>
          <w:color w:val="auto"/>
        </w:rPr>
        <w:t>[Name]</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Address:_______________________</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_______________________________</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4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w w:val="95"/>
              </w:rPr>
              <w:t>Exhibit A:</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520" w:type="dxa"/>
            <w:vAlign w:val="bottom"/>
            <w:gridSpan w:val="9"/>
          </w:tcPr>
          <w:p>
            <w:pPr>
              <w:spacing w:after="0"/>
              <w:rPr>
                <w:sz w:val="20"/>
                <w:szCs w:val="20"/>
                <w:color w:val="auto"/>
              </w:rPr>
            </w:pPr>
            <w:r>
              <w:rPr>
                <w:rFonts w:ascii="Times New Roman" w:cs="Times New Roman" w:eastAsia="Times New Roman" w:hAnsi="Times New Roman"/>
                <w:sz w:val="21"/>
                <w:szCs w:val="21"/>
                <w:b w:val="1"/>
                <w:bCs w:val="1"/>
                <w:color w:val="auto"/>
              </w:rPr>
              <w:t>Vroom, Inc. Second Amended and Restated 2014 Equity Incentive Plan, as amended</w:t>
            </w:r>
          </w:p>
        </w:tc>
        <w:tc>
          <w:tcPr>
            <w:tcW w:w="0" w:type="dxa"/>
            <w:vAlign w:val="bottom"/>
          </w:tcPr>
          <w:p>
            <w:pPr>
              <w:spacing w:after="0"/>
              <w:rPr>
                <w:sz w:val="1"/>
                <w:szCs w:val="1"/>
                <w:color w:val="auto"/>
              </w:rPr>
            </w:pPr>
          </w:p>
        </w:tc>
      </w:tr>
      <w:tr>
        <w:trPr>
          <w:trHeight w:val="216"/>
        </w:trPr>
        <w:tc>
          <w:tcPr>
            <w:tcW w:w="860" w:type="dxa"/>
            <w:vAlign w:val="bottom"/>
            <w:tcBorders>
              <w:top w:val="single" w:sz="8" w:color="auto"/>
              <w:bottom w:val="single" w:sz="8" w:color="auto"/>
            </w:tcBorders>
          </w:tcPr>
          <w:p>
            <w:pPr>
              <w:spacing w:after="0" w:line="216" w:lineRule="exact"/>
              <w:rPr>
                <w:sz w:val="20"/>
                <w:szCs w:val="20"/>
                <w:color w:val="auto"/>
              </w:rPr>
            </w:pPr>
            <w:r>
              <w:rPr>
                <w:rFonts w:ascii="Times New Roman" w:cs="Times New Roman" w:eastAsia="Times New Roman" w:hAnsi="Times New Roman"/>
                <w:sz w:val="21"/>
                <w:szCs w:val="21"/>
                <w:b w:val="1"/>
                <w:bCs w:val="1"/>
                <w:color w:val="auto"/>
                <w:w w:val="97"/>
              </w:rPr>
              <w:t>Exhibit B</w:t>
            </w:r>
          </w:p>
        </w:tc>
        <w:tc>
          <w:tcPr>
            <w:tcW w:w="20" w:type="dxa"/>
            <w:vAlign w:val="bottom"/>
            <w:tcBorders>
              <w:top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Borders>
              <w:top w:val="single" w:sz="8" w:color="auto"/>
              <w:bottom w:val="single" w:sz="8" w:color="auto"/>
            </w:tcBorders>
            <w:gridSpan w:val="3"/>
          </w:tcPr>
          <w:p>
            <w:pPr>
              <w:spacing w:after="0" w:line="216" w:lineRule="exact"/>
              <w:rPr>
                <w:sz w:val="20"/>
                <w:szCs w:val="20"/>
                <w:color w:val="auto"/>
              </w:rPr>
            </w:pPr>
            <w:r>
              <w:rPr>
                <w:rFonts w:ascii="Times New Roman" w:cs="Times New Roman" w:eastAsia="Times New Roman" w:hAnsi="Times New Roman"/>
                <w:sz w:val="21"/>
                <w:szCs w:val="21"/>
                <w:b w:val="1"/>
                <w:bCs w:val="1"/>
                <w:color w:val="auto"/>
                <w:w w:val="96"/>
              </w:rPr>
              <w:t>Terms of the Option</w:t>
            </w:r>
          </w:p>
        </w:tc>
        <w:tc>
          <w:tcPr>
            <w:tcW w:w="5700" w:type="dxa"/>
            <w:vAlign w:val="bottom"/>
            <w:tcBorders>
              <w:top w:val="single" w:sz="8" w:color="auto"/>
            </w:tcBorders>
            <w:gridSpan w:val="3"/>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gridSpan w:val="3"/>
          </w:tcPr>
          <w:p>
            <w:pPr>
              <w:spacing w:after="0" w:line="216" w:lineRule="exact"/>
              <w:rPr>
                <w:sz w:val="20"/>
                <w:szCs w:val="20"/>
                <w:color w:val="auto"/>
              </w:rPr>
            </w:pPr>
            <w:r>
              <w:rPr>
                <w:rFonts w:ascii="Times New Roman" w:cs="Times New Roman" w:eastAsia="Times New Roman" w:hAnsi="Times New Roman"/>
                <w:sz w:val="21"/>
                <w:szCs w:val="21"/>
                <w:b w:val="1"/>
                <w:bCs w:val="1"/>
                <w:color w:val="auto"/>
                <w:w w:val="95"/>
              </w:rPr>
              <w:t>Exhibit C:</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gridSpan w:val="3"/>
          </w:tcPr>
          <w:p>
            <w:pPr>
              <w:spacing w:after="0" w:line="216" w:lineRule="exact"/>
              <w:rPr>
                <w:sz w:val="20"/>
                <w:szCs w:val="20"/>
                <w:color w:val="auto"/>
              </w:rPr>
            </w:pPr>
            <w:r>
              <w:rPr>
                <w:rFonts w:ascii="Times New Roman" w:cs="Times New Roman" w:eastAsia="Times New Roman" w:hAnsi="Times New Roman"/>
                <w:sz w:val="21"/>
                <w:szCs w:val="21"/>
                <w:b w:val="1"/>
                <w:bCs w:val="1"/>
                <w:color w:val="auto"/>
              </w:rPr>
              <w:t>Exercise Notice</w:t>
            </w:r>
          </w:p>
        </w:tc>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7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auto"/>
            </w:tcBorders>
            <w:gridSpan w:val="3"/>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40" w:type="dxa"/>
            <w:vAlign w:val="bottom"/>
            <w:gridSpan w:val="3"/>
          </w:tcPr>
          <w:p>
            <w:pPr>
              <w:spacing w:after="0" w:line="216" w:lineRule="exact"/>
              <w:rPr>
                <w:sz w:val="20"/>
                <w:szCs w:val="20"/>
                <w:color w:val="auto"/>
              </w:rPr>
            </w:pPr>
            <w:r>
              <w:rPr>
                <w:rFonts w:ascii="Times New Roman" w:cs="Times New Roman" w:eastAsia="Times New Roman" w:hAnsi="Times New Roman"/>
                <w:sz w:val="21"/>
                <w:szCs w:val="21"/>
                <w:b w:val="1"/>
                <w:bCs w:val="1"/>
                <w:color w:val="auto"/>
                <w:w w:val="95"/>
              </w:rPr>
              <w:t>Exhibit D:</w:t>
            </w:r>
          </w:p>
        </w:tc>
        <w:tc>
          <w:tcPr>
            <w:tcW w:w="620" w:type="dxa"/>
            <w:vAlign w:val="bottom"/>
            <w:vMerge w:val="continue"/>
          </w:tcPr>
          <w:p>
            <w:pPr>
              <w:spacing w:after="0"/>
              <w:rPr>
                <w:sz w:val="18"/>
                <w:szCs w:val="18"/>
                <w:color w:val="auto"/>
              </w:rPr>
            </w:pPr>
          </w:p>
        </w:tc>
        <w:tc>
          <w:tcPr>
            <w:tcW w:w="9700" w:type="dxa"/>
            <w:vAlign w:val="bottom"/>
            <w:gridSpan w:val="10"/>
          </w:tcPr>
          <w:p>
            <w:pPr>
              <w:spacing w:after="0" w:line="216" w:lineRule="exact"/>
              <w:rPr>
                <w:sz w:val="20"/>
                <w:szCs w:val="20"/>
                <w:color w:val="auto"/>
              </w:rPr>
            </w:pPr>
            <w:r>
              <w:rPr>
                <w:rFonts w:ascii="Times New Roman" w:cs="Times New Roman" w:eastAsia="Times New Roman" w:hAnsi="Times New Roman"/>
                <w:sz w:val="21"/>
                <w:szCs w:val="21"/>
                <w:b w:val="1"/>
                <w:bCs w:val="1"/>
                <w:color w:val="auto"/>
              </w:rPr>
              <w:t>Proxy and Power of Attorney</w:t>
            </w: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720" w:type="dxa"/>
            <w:vAlign w:val="bottom"/>
            <w:gridSpan w:val="3"/>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7060" w:type="dxa"/>
            <w:vAlign w:val="bottom"/>
            <w:gridSpan w:val="4"/>
            <w:vMerge w:val="restart"/>
          </w:tcPr>
          <w:p>
            <w:pPr>
              <w:ind w:left="140"/>
              <w:spacing w:after="0" w:line="236" w:lineRule="exact"/>
              <w:rPr>
                <w:sz w:val="20"/>
                <w:szCs w:val="20"/>
                <w:color w:val="auto"/>
              </w:rPr>
            </w:pPr>
            <w:r>
              <w:rPr>
                <w:rFonts w:ascii="Times New Roman" w:cs="Times New Roman" w:eastAsia="Times New Roman" w:hAnsi="Times New Roman"/>
                <w:sz w:val="21"/>
                <w:szCs w:val="21"/>
                <w:b w:val="1"/>
                <w:bCs w:val="1"/>
                <w:color w:val="auto"/>
              </w:rPr>
              <w:t>and Joinder to the Eighth Amended and Restated Right of First Refusal and</w:t>
            </w:r>
          </w:p>
        </w:tc>
        <w:tc>
          <w:tcPr>
            <w:tcW w:w="0" w:type="dxa"/>
            <w:vAlign w:val="bottom"/>
          </w:tcPr>
          <w:p>
            <w:pPr>
              <w:spacing w:after="0" w:line="20" w:lineRule="exact"/>
              <w:rPr>
                <w:sz w:val="1"/>
                <w:szCs w:val="1"/>
                <w:color w:val="auto"/>
              </w:rPr>
            </w:pPr>
          </w:p>
        </w:tc>
      </w:tr>
      <w:tr>
        <w:trPr>
          <w:trHeight w:val="216"/>
        </w:trPr>
        <w:tc>
          <w:tcPr>
            <w:tcW w:w="940" w:type="dxa"/>
            <w:vAlign w:val="bottom"/>
            <w:gridSpan w:val="3"/>
          </w:tcPr>
          <w:p>
            <w:pPr>
              <w:spacing w:after="0" w:line="216" w:lineRule="exact"/>
              <w:rPr>
                <w:sz w:val="20"/>
                <w:szCs w:val="20"/>
                <w:color w:val="auto"/>
              </w:rPr>
            </w:pPr>
            <w:r>
              <w:rPr>
                <w:rFonts w:ascii="Times New Roman" w:cs="Times New Roman" w:eastAsia="Times New Roman" w:hAnsi="Times New Roman"/>
                <w:sz w:val="21"/>
                <w:szCs w:val="21"/>
                <w:b w:val="1"/>
                <w:bCs w:val="1"/>
                <w:color w:val="auto"/>
                <w:w w:val="96"/>
              </w:rPr>
              <w:t>Exhibit E:</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spacing w:after="0" w:line="216" w:lineRule="exact"/>
              <w:rPr>
                <w:sz w:val="20"/>
                <w:szCs w:val="20"/>
                <w:color w:val="auto"/>
              </w:rPr>
            </w:pPr>
            <w:r>
              <w:rPr>
                <w:rFonts w:ascii="Times New Roman" w:cs="Times New Roman" w:eastAsia="Times New Roman" w:hAnsi="Times New Roman"/>
                <w:sz w:val="21"/>
                <w:szCs w:val="21"/>
                <w:b w:val="1"/>
                <w:bCs w:val="1"/>
                <w:color w:val="auto"/>
                <w:w w:val="95"/>
              </w:rPr>
              <w:t>Counterpart Signature Page</w:t>
            </w:r>
          </w:p>
        </w:tc>
        <w:tc>
          <w:tcPr>
            <w:tcW w:w="70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21"/>
                <w:szCs w:val="21"/>
                <w:b w:val="1"/>
                <w:bCs w:val="1"/>
                <w:color w:val="auto"/>
                <w:w w:val="98"/>
              </w:rPr>
              <w:t>Exhibit F:</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80" w:type="dxa"/>
            <w:vAlign w:val="bottom"/>
            <w:tcBorders>
              <w:top w:val="single" w:sz="8" w:color="auto"/>
            </w:tcBorders>
            <w:gridSpan w:val="7"/>
          </w:tcPr>
          <w:p>
            <w:pPr>
              <w:spacing w:after="0" w:line="216" w:lineRule="exact"/>
              <w:rPr>
                <w:sz w:val="20"/>
                <w:szCs w:val="20"/>
                <w:color w:val="auto"/>
              </w:rPr>
            </w:pPr>
            <w:r>
              <w:rPr>
                <w:rFonts w:ascii="Times New Roman" w:cs="Times New Roman" w:eastAsia="Times New Roman" w:hAnsi="Times New Roman"/>
                <w:sz w:val="21"/>
                <w:szCs w:val="21"/>
                <w:b w:val="1"/>
                <w:bCs w:val="1"/>
                <w:color w:val="auto"/>
              </w:rPr>
              <w:t>Co-Sale Agreement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top w:val="single" w:sz="8" w:color="auto"/>
              <w:bottom w:val="single" w:sz="8" w:color="auto"/>
            </w:tcBorders>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3"/>
          </w:tcPr>
          <w:p>
            <w:pPr>
              <w:spacing w:after="0" w:line="216" w:lineRule="exact"/>
              <w:rPr>
                <w:sz w:val="20"/>
                <w:szCs w:val="20"/>
                <w:color w:val="auto"/>
              </w:rPr>
            </w:pPr>
            <w:r>
              <w:rPr>
                <w:rFonts w:ascii="Times New Roman" w:cs="Times New Roman" w:eastAsia="Times New Roman" w:hAnsi="Times New Roman"/>
                <w:sz w:val="21"/>
                <w:szCs w:val="21"/>
                <w:b w:val="1"/>
                <w:bCs w:val="1"/>
                <w:color w:val="auto"/>
                <w:w w:val="90"/>
              </w:rPr>
              <w:t>Adoption Agreement</w:t>
            </w:r>
          </w:p>
        </w:tc>
        <w:tc>
          <w:tcPr>
            <w:tcW w:w="5040" w:type="dxa"/>
            <w:vAlign w:val="bottom"/>
            <w:tcBorders>
              <w:bottom w:val="single" w:sz="8" w:color="auto"/>
            </w:tcBorders>
            <w:gridSpan w:val="3"/>
          </w:tcPr>
          <w:p>
            <w:pPr>
              <w:ind w:left="60"/>
              <w:spacing w:after="0" w:line="216" w:lineRule="exact"/>
              <w:rPr>
                <w:sz w:val="20"/>
                <w:szCs w:val="20"/>
                <w:color w:val="auto"/>
              </w:rPr>
            </w:pPr>
            <w:r>
              <w:rPr>
                <w:rFonts w:ascii="Times New Roman" w:cs="Times New Roman" w:eastAsia="Times New Roman" w:hAnsi="Times New Roman"/>
                <w:sz w:val="21"/>
                <w:szCs w:val="21"/>
                <w:b w:val="1"/>
                <w:bCs w:val="1"/>
                <w:color w:val="auto"/>
                <w:w w:val="98"/>
              </w:rPr>
              <w:t>to the Eighth Amended and Restated Voting Agreement</w:t>
            </w:r>
          </w:p>
        </w:tc>
        <w:tc>
          <w:tcPr>
            <w:tcW w:w="27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3860533; 3; 60165-002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7153275"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27" w:name="page128"/>
    <w:bookmarkEnd w:id="127"/>
    <w:tbl>
      <w:tblPr>
        <w:tblLayout w:type="fixed"/>
        <w:tblInd w:w="100" w:type="dxa"/>
        <w:tblCellMar>
          <w:top w:w="0" w:type="dxa"/>
          <w:left w:w="0" w:type="dxa"/>
          <w:bottom w:w="0" w:type="dxa"/>
          <w:right w:w="0" w:type="dxa"/>
        </w:tblCellMar>
      </w:tblPr>
      <w:tr>
        <w:trPr>
          <w:trHeight w:val="241"/>
        </w:trPr>
        <w:tc>
          <w:tcPr>
            <w:tcW w:w="4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140" w:type="dxa"/>
            <w:vAlign w:val="bottom"/>
            <w:gridSpan w:val="5"/>
          </w:tcPr>
          <w:p>
            <w:pPr>
              <w:jc w:val="right"/>
              <w:ind w:right="1955"/>
              <w:spacing w:after="0"/>
              <w:rPr>
                <w:sz w:val="20"/>
                <w:szCs w:val="20"/>
                <w:color w:val="auto"/>
              </w:rPr>
            </w:pPr>
            <w:r>
              <w:rPr>
                <w:rFonts w:ascii="Times New Roman" w:cs="Times New Roman" w:eastAsia="Times New Roman" w:hAnsi="Times New Roman"/>
                <w:sz w:val="21"/>
                <w:szCs w:val="21"/>
                <w:b w:val="1"/>
                <w:bCs w:val="1"/>
                <w:color w:val="auto"/>
                <w:w w:val="97"/>
              </w:rPr>
              <w:t>EXHIBIT B</w:t>
            </w:r>
          </w:p>
        </w:tc>
        <w:tc>
          <w:tcPr>
            <w:tcW w:w="9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6"/>
        </w:trPr>
        <w:tc>
          <w:tcPr>
            <w:tcW w:w="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680" w:type="dxa"/>
            <w:vAlign w:val="bottom"/>
          </w:tcPr>
          <w:p>
            <w:pPr>
              <w:spacing w:after="0" w:line="216" w:lineRule="exact"/>
              <w:rPr>
                <w:sz w:val="20"/>
                <w:szCs w:val="20"/>
                <w:color w:val="auto"/>
              </w:rPr>
            </w:pPr>
            <w:r>
              <w:rPr>
                <w:rFonts w:ascii="Times New Roman" w:cs="Times New Roman" w:eastAsia="Times New Roman" w:hAnsi="Times New Roman"/>
                <w:sz w:val="21"/>
                <w:szCs w:val="21"/>
                <w:b w:val="1"/>
                <w:bCs w:val="1"/>
                <w:color w:val="auto"/>
                <w:w w:val="88"/>
              </w:rPr>
              <w:t>TERMS</w:t>
            </w:r>
          </w:p>
        </w:tc>
        <w:tc>
          <w:tcPr>
            <w:tcW w:w="1080" w:type="dxa"/>
            <w:vAlign w:val="bottom"/>
            <w:tcBorders>
              <w:top w:val="single" w:sz="8" w:color="auto"/>
            </w:tcBorders>
            <w:gridSpan w:val="2"/>
          </w:tcPr>
          <w:p>
            <w:pPr>
              <w:ind w:left="120"/>
              <w:spacing w:after="0" w:line="216" w:lineRule="exact"/>
              <w:rPr>
                <w:sz w:val="20"/>
                <w:szCs w:val="20"/>
                <w:color w:val="auto"/>
              </w:rPr>
            </w:pPr>
            <w:r>
              <w:rPr>
                <w:rFonts w:ascii="Times New Roman" w:cs="Times New Roman" w:eastAsia="Times New Roman" w:hAnsi="Times New Roman"/>
                <w:sz w:val="21"/>
                <w:szCs w:val="21"/>
                <w:b w:val="1"/>
                <w:bCs w:val="1"/>
                <w:color w:val="auto"/>
              </w:rPr>
              <w:t>OF THE</w:t>
            </w:r>
          </w:p>
        </w:tc>
        <w:tc>
          <w:tcPr>
            <w:tcW w:w="2060" w:type="dxa"/>
            <w:vAlign w:val="bottom"/>
            <w:gridSpan w:val="3"/>
          </w:tcPr>
          <w:p>
            <w:pPr>
              <w:jc w:val="right"/>
              <w:ind w:right="1255"/>
              <w:spacing w:after="0" w:line="216" w:lineRule="exact"/>
              <w:rPr>
                <w:sz w:val="20"/>
                <w:szCs w:val="20"/>
                <w:color w:val="auto"/>
              </w:rPr>
            </w:pPr>
            <w:r>
              <w:rPr>
                <w:rFonts w:ascii="Times New Roman" w:cs="Times New Roman" w:eastAsia="Times New Roman" w:hAnsi="Times New Roman"/>
                <w:sz w:val="21"/>
                <w:szCs w:val="21"/>
                <w:b w:val="1"/>
                <w:bCs w:val="1"/>
                <w:color w:val="auto"/>
                <w:w w:val="82"/>
              </w:rPr>
              <w:t>OPTION</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33"/>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Participant’s Name:</w:t>
            </w:r>
          </w:p>
        </w:tc>
        <w:tc>
          <w:tcPr>
            <w:tcW w:w="2460" w:type="dxa"/>
            <w:vAlign w:val="bottom"/>
            <w:tcBorders>
              <w:top w:val="single" w:sz="8" w:color="auto"/>
            </w:tcBorders>
            <w:gridSpan w:val="4"/>
          </w:tcPr>
          <w:p>
            <w:pPr>
              <w:ind w:left="540"/>
              <w:spacing w:after="0"/>
              <w:rPr>
                <w:sz w:val="20"/>
                <w:szCs w:val="20"/>
                <w:color w:val="auto"/>
              </w:rPr>
            </w:pPr>
            <w:r>
              <w:rPr>
                <w:rFonts w:ascii="Times New Roman" w:cs="Times New Roman" w:eastAsia="Times New Roman" w:hAnsi="Times New Roman"/>
                <w:sz w:val="21"/>
                <w:szCs w:val="21"/>
                <w:color w:val="auto"/>
              </w:rPr>
              <w:t>__________________</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6"/>
        </w:trPr>
        <w:tc>
          <w:tcPr>
            <w:tcW w:w="430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b w:val="1"/>
                <w:bCs w:val="1"/>
                <w:color w:val="auto"/>
              </w:rPr>
              <w:t>Date of Grant:</w:t>
            </w:r>
          </w:p>
        </w:tc>
        <w:tc>
          <w:tcPr>
            <w:tcW w:w="3820" w:type="dxa"/>
            <w:vAlign w:val="bottom"/>
            <w:gridSpan w:val="6"/>
          </w:tcPr>
          <w:p>
            <w:pPr>
              <w:ind w:left="540"/>
              <w:spacing w:after="0" w:line="236" w:lineRule="exact"/>
              <w:rPr>
                <w:sz w:val="20"/>
                <w:szCs w:val="20"/>
                <w:color w:val="auto"/>
              </w:rPr>
            </w:pPr>
            <w:r>
              <w:rPr>
                <w:rFonts w:ascii="Times New Roman" w:cs="Times New Roman" w:eastAsia="Times New Roman" w:hAnsi="Times New Roman"/>
                <w:sz w:val="21"/>
                <w:szCs w:val="21"/>
                <w:color w:val="auto"/>
              </w:rPr>
              <w:t>[Insert Date of Grant]</w:t>
            </w: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0"/>
        </w:trPr>
        <w:tc>
          <w:tcPr>
            <w:tcW w:w="4300" w:type="dxa"/>
            <w:vAlign w:val="bottom"/>
            <w:gridSpan w:val="2"/>
          </w:tcPr>
          <w:p>
            <w:pPr>
              <w:spacing w:after="0" w:line="240" w:lineRule="exact"/>
              <w:rPr>
                <w:sz w:val="20"/>
                <w:szCs w:val="20"/>
                <w:color w:val="auto"/>
              </w:rPr>
            </w:pPr>
            <w:r>
              <w:rPr>
                <w:rFonts w:ascii="Times New Roman" w:cs="Times New Roman" w:eastAsia="Times New Roman" w:hAnsi="Times New Roman"/>
                <w:sz w:val="21"/>
                <w:szCs w:val="21"/>
                <w:b w:val="1"/>
                <w:bCs w:val="1"/>
                <w:color w:val="auto"/>
              </w:rPr>
              <w:t>Designation:</w:t>
            </w:r>
          </w:p>
        </w:tc>
        <w:tc>
          <w:tcPr>
            <w:tcW w:w="3820" w:type="dxa"/>
            <w:vAlign w:val="bottom"/>
            <w:gridSpan w:val="6"/>
          </w:tcPr>
          <w:p>
            <w:pPr>
              <w:ind w:left="540"/>
              <w:spacing w:after="0" w:line="240" w:lineRule="exact"/>
              <w:rPr>
                <w:sz w:val="20"/>
                <w:szCs w:val="20"/>
                <w:color w:val="auto"/>
              </w:rPr>
            </w:pPr>
            <w:r>
              <w:rPr>
                <w:rFonts w:ascii="Times New Roman" w:cs="Times New Roman" w:eastAsia="Times New Roman" w:hAnsi="Times New Roman"/>
                <w:sz w:val="21"/>
                <w:szCs w:val="21"/>
                <w:color w:val="auto"/>
              </w:rPr>
              <w:t>ISO</w:t>
            </w: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6"/>
        </w:trPr>
        <w:tc>
          <w:tcPr>
            <w:tcW w:w="430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1.Number of Options:</w:t>
            </w:r>
          </w:p>
        </w:tc>
        <w:tc>
          <w:tcPr>
            <w:tcW w:w="2460" w:type="dxa"/>
            <w:vAlign w:val="bottom"/>
            <w:gridSpan w:val="4"/>
          </w:tcPr>
          <w:p>
            <w:pPr>
              <w:ind w:left="540"/>
              <w:spacing w:after="0" w:line="236" w:lineRule="exact"/>
              <w:rPr>
                <w:sz w:val="20"/>
                <w:szCs w:val="20"/>
                <w:color w:val="auto"/>
              </w:rPr>
            </w:pPr>
            <w:r>
              <w:rPr>
                <w:rFonts w:ascii="Times New Roman" w:cs="Times New Roman" w:eastAsia="Times New Roman" w:hAnsi="Times New Roman"/>
                <w:sz w:val="21"/>
                <w:szCs w:val="21"/>
                <w:color w:val="auto"/>
              </w:rPr>
              <w:t>__________________</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6"/>
        </w:trPr>
        <w:tc>
          <w:tcPr>
            <w:tcW w:w="430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2.Purchase Price Per Share:</w:t>
            </w:r>
          </w:p>
        </w:tc>
        <w:tc>
          <w:tcPr>
            <w:tcW w:w="3820" w:type="dxa"/>
            <w:vAlign w:val="bottom"/>
            <w:gridSpan w:val="6"/>
          </w:tcPr>
          <w:p>
            <w:pPr>
              <w:ind w:left="540"/>
              <w:spacing w:after="0" w:line="236" w:lineRule="exact"/>
              <w:rPr>
                <w:sz w:val="20"/>
                <w:szCs w:val="20"/>
                <w:color w:val="auto"/>
              </w:rPr>
            </w:pPr>
            <w:r>
              <w:rPr>
                <w:rFonts w:ascii="Times New Roman" w:cs="Times New Roman" w:eastAsia="Times New Roman" w:hAnsi="Times New Roman"/>
                <w:sz w:val="21"/>
                <w:szCs w:val="21"/>
                <w:color w:val="auto"/>
              </w:rPr>
              <w:t>$[Insert Exercise Price]</w:t>
            </w: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6"/>
        </w:trPr>
        <w:tc>
          <w:tcPr>
            <w:tcW w:w="40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3.</w:t>
            </w:r>
          </w:p>
        </w:tc>
        <w:tc>
          <w:tcPr>
            <w:tcW w:w="3900" w:type="dxa"/>
            <w:vAlign w:val="bottom"/>
          </w:tcPr>
          <w:p>
            <w:pPr>
              <w:ind w:left="240"/>
              <w:spacing w:after="0" w:line="236" w:lineRule="exact"/>
              <w:rPr>
                <w:sz w:val="20"/>
                <w:szCs w:val="20"/>
                <w:color w:val="auto"/>
              </w:rPr>
            </w:pPr>
            <w:r>
              <w:rPr>
                <w:rFonts w:ascii="Times New Roman" w:cs="Times New Roman" w:eastAsia="Times New Roman" w:hAnsi="Times New Roman"/>
                <w:sz w:val="21"/>
                <w:szCs w:val="21"/>
                <w:color w:val="auto"/>
              </w:rPr>
              <w:t>Vesting Commencement Date:</w:t>
            </w:r>
          </w:p>
        </w:tc>
        <w:tc>
          <w:tcPr>
            <w:tcW w:w="2460" w:type="dxa"/>
            <w:vAlign w:val="bottom"/>
            <w:gridSpan w:val="4"/>
          </w:tcPr>
          <w:p>
            <w:pPr>
              <w:ind w:left="540"/>
              <w:spacing w:after="0" w:line="236" w:lineRule="exact"/>
              <w:rPr>
                <w:sz w:val="20"/>
                <w:szCs w:val="20"/>
                <w:color w:val="auto"/>
              </w:rPr>
            </w:pPr>
            <w:r>
              <w:rPr>
                <w:rFonts w:ascii="Times New Roman" w:cs="Times New Roman" w:eastAsia="Times New Roman" w:hAnsi="Times New Roman"/>
                <w:sz w:val="21"/>
                <w:szCs w:val="21"/>
                <w:color w:val="auto"/>
              </w:rPr>
              <w:t>__________________</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6"/>
        </w:trPr>
        <w:tc>
          <w:tcPr>
            <w:tcW w:w="430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4.Vesting Dates:</w:t>
            </w:r>
          </w:p>
        </w:tc>
        <w:tc>
          <w:tcPr>
            <w:tcW w:w="6900" w:type="dxa"/>
            <w:vAlign w:val="bottom"/>
            <w:gridSpan w:val="9"/>
          </w:tcPr>
          <w:p>
            <w:pPr>
              <w:ind w:left="540"/>
              <w:spacing w:after="0" w:line="236" w:lineRule="exact"/>
              <w:rPr>
                <w:sz w:val="20"/>
                <w:szCs w:val="20"/>
                <w:color w:val="auto"/>
              </w:rPr>
            </w:pPr>
            <w:r>
              <w:rPr>
                <w:rFonts w:ascii="Times New Roman" w:cs="Times New Roman" w:eastAsia="Times New Roman" w:hAnsi="Times New Roman"/>
                <w:sz w:val="21"/>
                <w:szCs w:val="21"/>
                <w:color w:val="auto"/>
              </w:rPr>
              <w:t>25%  of  the  shares  underlying  the  Option  shall  become  vested  and</w:t>
            </w:r>
          </w:p>
        </w:tc>
      </w:tr>
      <w:tr>
        <w:trPr>
          <w:trHeight w:val="236"/>
        </w:trPr>
        <w:tc>
          <w:tcPr>
            <w:tcW w:w="4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900" w:type="dxa"/>
            <w:vAlign w:val="bottom"/>
            <w:gridSpan w:val="9"/>
          </w:tcPr>
          <w:p>
            <w:pPr>
              <w:ind w:left="540"/>
              <w:spacing w:after="0" w:line="236" w:lineRule="exact"/>
              <w:rPr>
                <w:sz w:val="20"/>
                <w:szCs w:val="20"/>
                <w:color w:val="auto"/>
              </w:rPr>
            </w:pPr>
            <w:r>
              <w:rPr>
                <w:rFonts w:ascii="Times New Roman" w:cs="Times New Roman" w:eastAsia="Times New Roman" w:hAnsi="Times New Roman"/>
                <w:sz w:val="21"/>
                <w:szCs w:val="21"/>
                <w:color w:val="auto"/>
              </w:rPr>
              <w:t>exercisable on an annual basis as of the first annual anniversary of the</w:t>
            </w:r>
          </w:p>
        </w:tc>
      </w:tr>
      <w:tr>
        <w:trPr>
          <w:trHeight w:val="236"/>
        </w:trPr>
        <w:tc>
          <w:tcPr>
            <w:tcW w:w="4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900" w:type="dxa"/>
            <w:vAlign w:val="bottom"/>
            <w:gridSpan w:val="9"/>
          </w:tcPr>
          <w:p>
            <w:pPr>
              <w:ind w:left="540"/>
              <w:spacing w:after="0" w:line="236" w:lineRule="exact"/>
              <w:rPr>
                <w:sz w:val="20"/>
                <w:szCs w:val="20"/>
                <w:color w:val="auto"/>
              </w:rPr>
            </w:pPr>
            <w:r>
              <w:rPr>
                <w:rFonts w:ascii="Times New Roman" w:cs="Times New Roman" w:eastAsia="Times New Roman" w:hAnsi="Times New Roman"/>
                <w:sz w:val="21"/>
                <w:szCs w:val="21"/>
                <w:color w:val="auto"/>
                <w:w w:val="99"/>
              </w:rPr>
              <w:t>Vesting Commencement Date for a period of four (4) years, such that 100%</w:t>
            </w:r>
          </w:p>
        </w:tc>
      </w:tr>
      <w:tr>
        <w:trPr>
          <w:trHeight w:val="236"/>
        </w:trPr>
        <w:tc>
          <w:tcPr>
            <w:tcW w:w="4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900" w:type="dxa"/>
            <w:vAlign w:val="bottom"/>
            <w:gridSpan w:val="9"/>
          </w:tcPr>
          <w:p>
            <w:pPr>
              <w:ind w:left="540"/>
              <w:spacing w:after="0" w:line="236" w:lineRule="exact"/>
              <w:rPr>
                <w:sz w:val="20"/>
                <w:szCs w:val="20"/>
                <w:color w:val="auto"/>
              </w:rPr>
            </w:pPr>
            <w:r>
              <w:rPr>
                <w:rFonts w:ascii="Times New Roman" w:cs="Times New Roman" w:eastAsia="Times New Roman" w:hAnsi="Times New Roman"/>
                <w:sz w:val="21"/>
                <w:szCs w:val="21"/>
                <w:color w:val="auto"/>
              </w:rPr>
              <w:t>of the shares underlying the Option will be vested and exercisable at the</w:t>
            </w:r>
          </w:p>
        </w:tc>
      </w:tr>
      <w:tr>
        <w:trPr>
          <w:trHeight w:val="236"/>
        </w:trPr>
        <w:tc>
          <w:tcPr>
            <w:tcW w:w="4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900" w:type="dxa"/>
            <w:vAlign w:val="bottom"/>
            <w:gridSpan w:val="9"/>
          </w:tcPr>
          <w:p>
            <w:pPr>
              <w:ind w:left="540"/>
              <w:spacing w:after="0" w:line="236" w:lineRule="exact"/>
              <w:rPr>
                <w:sz w:val="20"/>
                <w:szCs w:val="20"/>
                <w:color w:val="auto"/>
              </w:rPr>
            </w:pPr>
            <w:r>
              <w:rPr>
                <w:rFonts w:ascii="Times New Roman" w:cs="Times New Roman" w:eastAsia="Times New Roman" w:hAnsi="Times New Roman"/>
                <w:sz w:val="21"/>
                <w:szCs w:val="21"/>
                <w:color w:val="auto"/>
              </w:rPr>
              <w:t>end of the 4</w:t>
            </w:r>
            <w:r>
              <w:rPr>
                <w:rFonts w:ascii="Times New Roman" w:cs="Times New Roman" w:eastAsia="Times New Roman" w:hAnsi="Times New Roman"/>
                <w:sz w:val="17"/>
                <w:szCs w:val="17"/>
                <w:color w:val="auto"/>
              </w:rPr>
              <w:t>th</w:t>
            </w:r>
            <w:r>
              <w:rPr>
                <w:rFonts w:ascii="Times New Roman" w:cs="Times New Roman" w:eastAsia="Times New Roman" w:hAnsi="Times New Roman"/>
                <w:sz w:val="21"/>
                <w:szCs w:val="21"/>
                <w:color w:val="auto"/>
              </w:rPr>
              <w:t xml:space="preserve"> annual anniversary of the Vesting Commencement Date - in</w:t>
            </w:r>
          </w:p>
        </w:tc>
      </w:tr>
      <w:tr>
        <w:trPr>
          <w:trHeight w:val="236"/>
        </w:trPr>
        <w:tc>
          <w:tcPr>
            <w:tcW w:w="4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900" w:type="dxa"/>
            <w:vAlign w:val="bottom"/>
            <w:gridSpan w:val="9"/>
          </w:tcPr>
          <w:p>
            <w:pPr>
              <w:ind w:left="540"/>
              <w:spacing w:after="0" w:line="236" w:lineRule="exact"/>
              <w:rPr>
                <w:sz w:val="20"/>
                <w:szCs w:val="20"/>
                <w:color w:val="auto"/>
              </w:rPr>
            </w:pPr>
            <w:r>
              <w:rPr>
                <w:rFonts w:ascii="Times New Roman" w:cs="Times New Roman" w:eastAsia="Times New Roman" w:hAnsi="Times New Roman"/>
                <w:sz w:val="21"/>
                <w:szCs w:val="21"/>
                <w:color w:val="auto"/>
              </w:rPr>
              <w:t>each case, provided that the Participant continues to be employed by or</w:t>
            </w:r>
          </w:p>
        </w:tc>
      </w:tr>
      <w:tr>
        <w:trPr>
          <w:trHeight w:val="236"/>
        </w:trPr>
        <w:tc>
          <w:tcPr>
            <w:tcW w:w="4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900" w:type="dxa"/>
            <w:vAlign w:val="bottom"/>
            <w:gridSpan w:val="9"/>
          </w:tcPr>
          <w:p>
            <w:pPr>
              <w:ind w:left="540"/>
              <w:spacing w:after="0" w:line="236" w:lineRule="exact"/>
              <w:rPr>
                <w:sz w:val="20"/>
                <w:szCs w:val="20"/>
                <w:color w:val="auto"/>
              </w:rPr>
            </w:pPr>
            <w:r>
              <w:rPr>
                <w:rFonts w:ascii="Times New Roman" w:cs="Times New Roman" w:eastAsia="Times New Roman" w:hAnsi="Times New Roman"/>
                <w:sz w:val="21"/>
                <w:szCs w:val="21"/>
                <w:color w:val="auto"/>
              </w:rPr>
              <w:t>providing services to the Company and/or its Subsidiaries at the applicable</w:t>
            </w:r>
          </w:p>
        </w:tc>
      </w:tr>
      <w:tr>
        <w:trPr>
          <w:trHeight w:val="275"/>
        </w:trPr>
        <w:tc>
          <w:tcPr>
            <w:tcW w:w="4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3820" w:type="dxa"/>
            <w:vAlign w:val="bottom"/>
            <w:gridSpan w:val="6"/>
          </w:tcPr>
          <w:p>
            <w:pPr>
              <w:ind w:left="540"/>
              <w:spacing w:after="0"/>
              <w:rPr>
                <w:sz w:val="20"/>
                <w:szCs w:val="20"/>
                <w:color w:val="auto"/>
              </w:rPr>
            </w:pPr>
            <w:r>
              <w:rPr>
                <w:rFonts w:ascii="Times New Roman" w:cs="Times New Roman" w:eastAsia="Times New Roman" w:hAnsi="Times New Roman"/>
                <w:sz w:val="21"/>
                <w:szCs w:val="21"/>
                <w:color w:val="auto"/>
              </w:rPr>
              <w:t>date of vesting.</w:t>
            </w:r>
          </w:p>
        </w:tc>
        <w:tc>
          <w:tcPr>
            <w:tcW w:w="9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394"/>
        </w:trPr>
        <w:tc>
          <w:tcPr>
            <w:tcW w:w="4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b w:val="1"/>
                <w:bCs w:val="1"/>
                <w:color w:val="auto"/>
              </w:rPr>
              <w:t>Number of Options</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b w:val="1"/>
                <w:bCs w:val="1"/>
                <w:color w:val="auto"/>
                <w:w w:val="97"/>
              </w:rPr>
              <w:t>Vesting Date</w:t>
            </w:r>
          </w:p>
        </w:tc>
        <w:tc>
          <w:tcPr>
            <w:tcW w:w="980" w:type="dxa"/>
            <w:vAlign w:val="bottom"/>
          </w:tcPr>
          <w:p>
            <w:pPr>
              <w:spacing w:after="0"/>
              <w:rPr>
                <w:sz w:val="24"/>
                <w:szCs w:val="24"/>
                <w:color w:val="auto"/>
              </w:rPr>
            </w:pPr>
          </w:p>
        </w:tc>
      </w:tr>
      <w:tr>
        <w:trPr>
          <w:trHeight w:val="227"/>
        </w:trPr>
        <w:tc>
          <w:tcPr>
            <w:tcW w:w="4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w:t>
            </w:r>
          </w:p>
        </w:tc>
        <w:tc>
          <w:tcPr>
            <w:tcW w:w="1740" w:type="dxa"/>
            <w:vAlign w:val="bottom"/>
            <w:gridSpan w:val="3"/>
          </w:tcPr>
          <w:p>
            <w:pPr>
              <w:jc w:val="center"/>
              <w:spacing w:after="0" w:line="228" w:lineRule="exact"/>
              <w:rPr>
                <w:sz w:val="20"/>
                <w:szCs w:val="20"/>
                <w:color w:val="auto"/>
              </w:rPr>
            </w:pPr>
            <w:r>
              <w:rPr>
                <w:rFonts w:ascii="Times New Roman" w:cs="Times New Roman" w:eastAsia="Times New Roman" w:hAnsi="Times New Roman"/>
                <w:sz w:val="21"/>
                <w:szCs w:val="21"/>
                <w:color w:val="auto"/>
                <w:w w:val="98"/>
              </w:rPr>
              <w:t>Options Vesting Yr</w:t>
            </w:r>
          </w:p>
        </w:tc>
        <w:tc>
          <w:tcPr>
            <w:tcW w:w="880" w:type="dxa"/>
            <w:vAlign w:val="bottom"/>
          </w:tcPr>
          <w:p>
            <w:pPr>
              <w:jc w:val="right"/>
              <w:ind w:right="615"/>
              <w:spacing w:after="0" w:line="228" w:lineRule="exact"/>
              <w:rPr>
                <w:sz w:val="20"/>
                <w:szCs w:val="20"/>
                <w:color w:val="auto"/>
              </w:rPr>
            </w:pPr>
            <w:r>
              <w:rPr>
                <w:rFonts w:ascii="Times New Roman" w:cs="Times New Roman" w:eastAsia="Times New Roman" w:hAnsi="Times New Roman"/>
                <w:sz w:val="21"/>
                <w:szCs w:val="21"/>
                <w:color w:val="auto"/>
                <w:w w:val="79"/>
              </w:rPr>
              <w:t>1]</w:t>
            </w:r>
          </w:p>
        </w:tc>
        <w:tc>
          <w:tcPr>
            <w:tcW w:w="210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1"/>
                <w:szCs w:val="21"/>
                <w:color w:val="auto"/>
              </w:rPr>
              <w:t>[Vesting Date Yr</w:t>
            </w:r>
          </w:p>
        </w:tc>
        <w:tc>
          <w:tcPr>
            <w:tcW w:w="980" w:type="dxa"/>
            <w:vAlign w:val="bottom"/>
          </w:tcPr>
          <w:p>
            <w:pPr>
              <w:jc w:val="right"/>
              <w:ind w:right="615"/>
              <w:spacing w:after="0" w:line="228" w:lineRule="exact"/>
              <w:rPr>
                <w:sz w:val="20"/>
                <w:szCs w:val="20"/>
                <w:color w:val="auto"/>
              </w:rPr>
            </w:pPr>
            <w:r>
              <w:rPr>
                <w:rFonts w:ascii="Times New Roman" w:cs="Times New Roman" w:eastAsia="Times New Roman" w:hAnsi="Times New Roman"/>
                <w:sz w:val="21"/>
                <w:szCs w:val="21"/>
                <w:color w:val="auto"/>
              </w:rPr>
              <w:t>1]</w:t>
            </w:r>
          </w:p>
        </w:tc>
      </w:tr>
      <w:tr>
        <w:trPr>
          <w:trHeight w:val="236"/>
        </w:trPr>
        <w:tc>
          <w:tcPr>
            <w:tcW w:w="4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140" w:type="dxa"/>
            <w:vAlign w:val="bottom"/>
            <w:gridSpan w:val="5"/>
          </w:tcPr>
          <w:p>
            <w:pPr>
              <w:jc w:val="center"/>
              <w:ind w:right="255"/>
              <w:spacing w:after="0" w:line="236" w:lineRule="exact"/>
              <w:rPr>
                <w:sz w:val="20"/>
                <w:szCs w:val="20"/>
                <w:color w:val="auto"/>
              </w:rPr>
            </w:pPr>
            <w:r>
              <w:rPr>
                <w:rFonts w:ascii="Times New Roman" w:cs="Times New Roman" w:eastAsia="Times New Roman" w:hAnsi="Times New Roman"/>
                <w:sz w:val="21"/>
                <w:szCs w:val="21"/>
                <w:color w:val="auto"/>
                <w:w w:val="98"/>
              </w:rPr>
              <w:t>[# Options Vesting Yr 2]</w:t>
            </w:r>
          </w:p>
        </w:tc>
        <w:tc>
          <w:tcPr>
            <w:tcW w:w="3080" w:type="dxa"/>
            <w:vAlign w:val="bottom"/>
            <w:gridSpan w:val="3"/>
          </w:tcPr>
          <w:p>
            <w:pPr>
              <w:jc w:val="right"/>
              <w:ind w:right="615"/>
              <w:spacing w:after="0" w:line="236" w:lineRule="exact"/>
              <w:rPr>
                <w:sz w:val="20"/>
                <w:szCs w:val="20"/>
                <w:color w:val="auto"/>
              </w:rPr>
            </w:pPr>
            <w:r>
              <w:rPr>
                <w:rFonts w:ascii="Times New Roman" w:cs="Times New Roman" w:eastAsia="Times New Roman" w:hAnsi="Times New Roman"/>
                <w:sz w:val="21"/>
                <w:szCs w:val="21"/>
                <w:color w:val="auto"/>
              </w:rPr>
              <w:t>[Vesting Date Yr 2]</w:t>
            </w:r>
          </w:p>
        </w:tc>
      </w:tr>
      <w:tr>
        <w:trPr>
          <w:trHeight w:val="236"/>
        </w:trPr>
        <w:tc>
          <w:tcPr>
            <w:tcW w:w="4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140" w:type="dxa"/>
            <w:vAlign w:val="bottom"/>
            <w:gridSpan w:val="5"/>
          </w:tcPr>
          <w:p>
            <w:pPr>
              <w:jc w:val="center"/>
              <w:ind w:right="255"/>
              <w:spacing w:after="0" w:line="236" w:lineRule="exact"/>
              <w:rPr>
                <w:sz w:val="20"/>
                <w:szCs w:val="20"/>
                <w:color w:val="auto"/>
              </w:rPr>
            </w:pPr>
            <w:r>
              <w:rPr>
                <w:rFonts w:ascii="Times New Roman" w:cs="Times New Roman" w:eastAsia="Times New Roman" w:hAnsi="Times New Roman"/>
                <w:sz w:val="21"/>
                <w:szCs w:val="21"/>
                <w:color w:val="auto"/>
                <w:w w:val="98"/>
              </w:rPr>
              <w:t>[# Options Vesting Yr 3]</w:t>
            </w:r>
          </w:p>
        </w:tc>
        <w:tc>
          <w:tcPr>
            <w:tcW w:w="3080" w:type="dxa"/>
            <w:vAlign w:val="bottom"/>
            <w:gridSpan w:val="3"/>
          </w:tcPr>
          <w:p>
            <w:pPr>
              <w:jc w:val="right"/>
              <w:ind w:right="615"/>
              <w:spacing w:after="0" w:line="236" w:lineRule="exact"/>
              <w:rPr>
                <w:sz w:val="20"/>
                <w:szCs w:val="20"/>
                <w:color w:val="auto"/>
              </w:rPr>
            </w:pPr>
            <w:r>
              <w:rPr>
                <w:rFonts w:ascii="Times New Roman" w:cs="Times New Roman" w:eastAsia="Times New Roman" w:hAnsi="Times New Roman"/>
                <w:sz w:val="21"/>
                <w:szCs w:val="21"/>
                <w:color w:val="auto"/>
              </w:rPr>
              <w:t>[Vesting Date Yr 3]</w:t>
            </w:r>
          </w:p>
        </w:tc>
      </w:tr>
      <w:tr>
        <w:trPr>
          <w:trHeight w:val="275"/>
        </w:trPr>
        <w:tc>
          <w:tcPr>
            <w:tcW w:w="4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140" w:type="dxa"/>
            <w:vAlign w:val="bottom"/>
            <w:gridSpan w:val="5"/>
          </w:tcPr>
          <w:p>
            <w:pPr>
              <w:jc w:val="center"/>
              <w:ind w:right="255"/>
              <w:spacing w:after="0"/>
              <w:rPr>
                <w:sz w:val="20"/>
                <w:szCs w:val="20"/>
                <w:color w:val="auto"/>
              </w:rPr>
            </w:pPr>
            <w:r>
              <w:rPr>
                <w:rFonts w:ascii="Times New Roman" w:cs="Times New Roman" w:eastAsia="Times New Roman" w:hAnsi="Times New Roman"/>
                <w:sz w:val="21"/>
                <w:szCs w:val="21"/>
                <w:color w:val="auto"/>
                <w:w w:val="98"/>
              </w:rPr>
              <w:t>[# Options Vesting Yr 4]</w:t>
            </w:r>
          </w:p>
        </w:tc>
        <w:tc>
          <w:tcPr>
            <w:tcW w:w="3080" w:type="dxa"/>
            <w:vAlign w:val="bottom"/>
            <w:gridSpan w:val="3"/>
          </w:tcPr>
          <w:p>
            <w:pPr>
              <w:jc w:val="right"/>
              <w:ind w:right="615"/>
              <w:spacing w:after="0"/>
              <w:rPr>
                <w:sz w:val="20"/>
                <w:szCs w:val="20"/>
                <w:color w:val="auto"/>
              </w:rPr>
            </w:pPr>
            <w:r>
              <w:rPr>
                <w:rFonts w:ascii="Times New Roman" w:cs="Times New Roman" w:eastAsia="Times New Roman" w:hAnsi="Times New Roman"/>
                <w:sz w:val="21"/>
                <w:szCs w:val="21"/>
                <w:color w:val="auto"/>
              </w:rPr>
              <w:t>[Vesting Date Yr 4]</w:t>
            </w:r>
          </w:p>
        </w:tc>
      </w:tr>
      <w:tr>
        <w:trPr>
          <w:trHeight w:val="72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5.Expiration Date:</w:t>
            </w:r>
          </w:p>
        </w:tc>
        <w:tc>
          <w:tcPr>
            <w:tcW w:w="6900" w:type="dxa"/>
            <w:vAlign w:val="bottom"/>
            <w:gridSpan w:val="9"/>
          </w:tcPr>
          <w:p>
            <w:pPr>
              <w:ind w:left="540"/>
              <w:spacing w:after="0"/>
              <w:rPr>
                <w:sz w:val="20"/>
                <w:szCs w:val="20"/>
                <w:color w:val="auto"/>
              </w:rPr>
            </w:pPr>
            <w:r>
              <w:rPr>
                <w:rFonts w:ascii="Times New Roman" w:cs="Times New Roman" w:eastAsia="Times New Roman" w:hAnsi="Times New Roman"/>
                <w:sz w:val="21"/>
                <w:szCs w:val="21"/>
                <w:color w:val="auto"/>
              </w:rPr>
              <w:t>[Expiration Date (10 years following Grant Date)]*</w:t>
            </w:r>
          </w:p>
        </w:tc>
      </w:tr>
    </w:tbl>
    <w:p>
      <w:pPr>
        <w:spacing w:after="0" w:line="184" w:lineRule="exact"/>
        <w:rPr>
          <w:sz w:val="20"/>
          <w:szCs w:val="20"/>
          <w:color w:val="auto"/>
        </w:rPr>
      </w:pPr>
    </w:p>
    <w:p>
      <w:pPr>
        <w:ind w:left="4940" w:right="300" w:hanging="9"/>
        <w:spacing w:after="0" w:line="284" w:lineRule="auto"/>
        <w:tabs>
          <w:tab w:leader="none" w:pos="5097"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earlier termination as set forth in Section 6 of the Plan in the event of termination of continuous service, disability or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0" w:type="dxa"/>
            <w:vAlign w:val="bottom"/>
          </w:tcPr>
          <w:p>
            <w:pPr>
              <w:spacing w:after="0"/>
              <w:rPr>
                <w:sz w:val="19"/>
                <w:szCs w:val="19"/>
                <w:color w:val="auto"/>
              </w:rPr>
            </w:pPr>
          </w:p>
        </w:tc>
        <w:tc>
          <w:tcPr>
            <w:tcW w:w="3080" w:type="dxa"/>
            <w:vAlign w:val="bottom"/>
            <w:tcBorders>
              <w:top w:val="single" w:sz="8" w:color="auto"/>
            </w:tcBorders>
          </w:tcPr>
          <w:p>
            <w:pPr>
              <w:ind w:left="100"/>
              <w:spacing w:after="0" w:line="221" w:lineRule="exact"/>
              <w:rPr>
                <w:sz w:val="20"/>
                <w:szCs w:val="20"/>
                <w:color w:val="auto"/>
              </w:rPr>
            </w:pPr>
            <w:r>
              <w:rPr>
                <w:rFonts w:ascii="Times New Roman" w:cs="Times New Roman" w:eastAsia="Times New Roman" w:hAnsi="Times New Roman"/>
                <w:sz w:val="21"/>
                <w:szCs w:val="21"/>
                <w:color w:val="auto"/>
              </w:rPr>
              <w:t>Participant’s Name</w:t>
            </w:r>
          </w:p>
        </w:tc>
        <w:tc>
          <w:tcPr>
            <w:tcW w:w="1520" w:type="dxa"/>
            <w:vAlign w:val="bottom"/>
          </w:tcPr>
          <w:p>
            <w:pPr>
              <w:spacing w:after="0"/>
              <w:rPr>
                <w:sz w:val="19"/>
                <w:szCs w:val="19"/>
                <w:color w:val="auto"/>
              </w:rPr>
            </w:pPr>
          </w:p>
        </w:tc>
        <w:tc>
          <w:tcPr>
            <w:tcW w:w="6260" w:type="dxa"/>
            <w:vAlign w:val="bottom"/>
            <w:tcBorders>
              <w:top w:val="single" w:sz="8" w:color="auto"/>
            </w:tcBorders>
            <w:gridSpan w:val="2"/>
          </w:tcPr>
          <w:p>
            <w:pPr>
              <w:ind w:left="100"/>
              <w:spacing w:after="0" w:line="221" w:lineRule="exact"/>
              <w:rPr>
                <w:sz w:val="20"/>
                <w:szCs w:val="20"/>
                <w:color w:val="auto"/>
              </w:rPr>
            </w:pPr>
            <w:r>
              <w:rPr>
                <w:rFonts w:ascii="Times New Roman" w:cs="Times New Roman" w:eastAsia="Times New Roman" w:hAnsi="Times New Roman"/>
                <w:sz w:val="21"/>
                <w:szCs w:val="21"/>
                <w:color w:val="auto"/>
              </w:rPr>
              <w:t>Vroom, Inc.</w:t>
            </w:r>
          </w:p>
        </w:tc>
      </w:tr>
      <w:tr>
        <w:trPr>
          <w:trHeight w:val="275"/>
        </w:trPr>
        <w:tc>
          <w:tcPr>
            <w:tcW w:w="480" w:type="dxa"/>
            <w:vAlign w:val="bottom"/>
          </w:tcPr>
          <w:p>
            <w:pPr>
              <w:spacing w:after="0"/>
              <w:rPr>
                <w:sz w:val="23"/>
                <w:szCs w:val="23"/>
                <w:color w:val="auto"/>
              </w:rPr>
            </w:pPr>
          </w:p>
        </w:tc>
        <w:tc>
          <w:tcPr>
            <w:tcW w:w="460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[Name]</w:t>
            </w:r>
          </w:p>
        </w:tc>
        <w:tc>
          <w:tcPr>
            <w:tcW w:w="626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Patricia Moran, Chief Legal Officer and Secretary</w:t>
            </w:r>
          </w:p>
        </w:tc>
      </w:tr>
      <w:tr>
        <w:trPr>
          <w:trHeight w:val="727"/>
        </w:trPr>
        <w:tc>
          <w:tcPr>
            <w:tcW w:w="48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-7620</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340"/>
          </w:cols>
          <w:pgMar w:left="320" w:top="304" w:right="2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EXERCISE NOTICE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Vroom, Inc.</w:t>
      </w:r>
    </w:p>
    <w:p>
      <w:pPr>
        <w:spacing w:after="0" w:line="234" w:lineRule="auto"/>
        <w:rPr>
          <w:sz w:val="20"/>
          <w:szCs w:val="20"/>
          <w:color w:val="auto"/>
        </w:rPr>
      </w:pPr>
      <w:r>
        <w:rPr>
          <w:rFonts w:ascii="Times New Roman" w:cs="Times New Roman" w:eastAsia="Times New Roman" w:hAnsi="Times New Roman"/>
          <w:sz w:val="21"/>
          <w:szCs w:val="21"/>
          <w:color w:val="auto"/>
        </w:rPr>
        <w:t>1375 Broadway, 11th Floor</w:t>
      </w:r>
    </w:p>
    <w:p>
      <w:pPr>
        <w:spacing w:after="0" w:line="234" w:lineRule="auto"/>
        <w:rPr>
          <w:sz w:val="20"/>
          <w:szCs w:val="20"/>
          <w:color w:val="auto"/>
        </w:rPr>
      </w:pPr>
      <w:r>
        <w:rPr>
          <w:rFonts w:ascii="Times New Roman" w:cs="Times New Roman" w:eastAsia="Times New Roman" w:hAnsi="Times New Roman"/>
          <w:sz w:val="21"/>
          <w:szCs w:val="21"/>
          <w:color w:val="auto"/>
        </w:rPr>
        <w:t>New York, NY 10018</w:t>
      </w:r>
    </w:p>
    <w:p>
      <w:pPr>
        <w:spacing w:after="0"/>
        <w:rPr>
          <w:sz w:val="20"/>
          <w:szCs w:val="20"/>
          <w:color w:val="auto"/>
        </w:rPr>
      </w:pPr>
      <w:r>
        <w:rPr>
          <w:rFonts w:ascii="Times New Roman" w:cs="Times New Roman" w:eastAsia="Times New Roman" w:hAnsi="Times New Roman"/>
          <w:sz w:val="21"/>
          <w:szCs w:val="21"/>
          <w:color w:val="auto"/>
        </w:rPr>
        <w:t>Attn: Patricia Moran, Chief Legal Officer and Secretary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of Notice: ____________________</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Exercise Date: _____________________ (</w:t>
      </w:r>
      <w:r>
        <w:rPr>
          <w:rFonts w:ascii="Times New Roman" w:cs="Times New Roman" w:eastAsia="Times New Roman" w:hAnsi="Times New Roman"/>
          <w:sz w:val="21"/>
          <w:szCs w:val="21"/>
          <w:b w:val="1"/>
          <w:bCs w:val="1"/>
          <w:color w:val="auto"/>
        </w:rPr>
        <w:t>Please insert date that is at least 5 days from the Date of Notice and no later than 30</w:t>
      </w:r>
    </w:p>
    <w:p>
      <w:pPr>
        <w:spacing w:after="0" w:line="234" w:lineRule="auto"/>
        <w:rPr>
          <w:sz w:val="20"/>
          <w:szCs w:val="20"/>
          <w:color w:val="auto"/>
        </w:rPr>
      </w:pPr>
      <w:r>
        <w:rPr>
          <w:rFonts w:ascii="Times New Roman" w:cs="Times New Roman" w:eastAsia="Times New Roman" w:hAnsi="Times New Roman"/>
          <w:sz w:val="21"/>
          <w:szCs w:val="21"/>
          <w:b w:val="1"/>
          <w:bCs w:val="1"/>
          <w:color w:val="auto"/>
        </w:rPr>
        <w:t>days from the Date of Notice (but no later than the Expiration Date)</w:t>
      </w:r>
    </w:p>
    <w:p>
      <w:pPr>
        <w:spacing w:after="0"/>
        <w:rPr>
          <w:sz w:val="20"/>
          <w:szCs w:val="20"/>
          <w:color w:val="auto"/>
        </w:rPr>
      </w:pPr>
      <w:r>
        <w:rPr>
          <w:rFonts w:ascii="Times New Roman" w:cs="Times New Roman" w:eastAsia="Times New Roman" w:hAnsi="Times New Roman"/>
          <w:sz w:val="21"/>
          <w:szCs w:val="21"/>
          <w:color w:val="auto"/>
        </w:rPr>
        <w:t>Name of Option Holder: [Name]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Effective as of the Exercise Date, I hereby elect to exercise my option (the “</w:t>
      </w:r>
      <w:r>
        <w:rPr>
          <w:rFonts w:ascii="Times New Roman" w:cs="Times New Roman" w:eastAsia="Times New Roman" w:hAnsi="Times New Roman"/>
          <w:sz w:val="21"/>
          <w:szCs w:val="21"/>
          <w:b w:val="1"/>
          <w:bCs w:val="1"/>
          <w:color w:val="auto"/>
        </w:rPr>
        <w:t>Option</w:t>
      </w:r>
      <w:r>
        <w:rPr>
          <w:rFonts w:ascii="Times New Roman" w:cs="Times New Roman" w:eastAsia="Times New Roman" w:hAnsi="Times New Roman"/>
          <w:sz w:val="21"/>
          <w:szCs w:val="21"/>
          <w:color w:val="auto"/>
        </w:rPr>
        <w:t>”) to purchase ________________ shares of the</w:t>
      </w:r>
    </w:p>
    <w:p>
      <w:pPr>
        <w:spacing w:after="0" w:line="2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Common Stock (the “</w:t>
      </w: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 of Vroom,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under and pursuant to the Second Amended and Restated 2014 Stock Option Plan (as amended,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and the Stock Option Agreement, dated [DATE] (the “</w:t>
      </w:r>
      <w:r>
        <w:rPr>
          <w:rFonts w:ascii="Times New Roman" w:cs="Times New Roman" w:eastAsia="Times New Roman" w:hAnsi="Times New Roman"/>
          <w:sz w:val="21"/>
          <w:szCs w:val="21"/>
          <w:b w:val="1"/>
          <w:bCs w:val="1"/>
          <w:color w:val="auto"/>
        </w:rPr>
        <w:t>Stock Option Agreement</w:t>
      </w:r>
      <w:r>
        <w:rPr>
          <w:rFonts w:ascii="Times New Roman" w:cs="Times New Roman" w:eastAsia="Times New Roman" w:hAnsi="Times New Roman"/>
          <w:sz w:val="21"/>
          <w:szCs w:val="21"/>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connection with my purchase of the Shares, I represent to the Company the following:</w:t>
      </w:r>
    </w:p>
    <w:p>
      <w:pPr>
        <w:spacing w:after="0" w:line="203"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1"/>
          <w:szCs w:val="21"/>
          <w:color w:val="auto"/>
        </w:rPr>
        <w:t>I am acquiring these Shares for investment for my own account only and not with a view to, or for resale in connection with, a “distribution” thereof within the meaning of the Securities Act of 1933, as amended (the “</w:t>
      </w:r>
      <w:r>
        <w:rPr>
          <w:rFonts w:ascii="Times New Roman" w:cs="Times New Roman" w:eastAsia="Times New Roman" w:hAnsi="Times New Roman"/>
          <w:sz w:val="21"/>
          <w:szCs w:val="21"/>
          <w:b w:val="1"/>
          <w:bCs w:val="1"/>
          <w:color w:val="auto"/>
        </w:rPr>
        <w:t>Securities Act</w:t>
      </w:r>
      <w:r>
        <w:rPr>
          <w:rFonts w:ascii="Times New Roman" w:cs="Times New Roman" w:eastAsia="Times New Roman" w:hAnsi="Times New Roman"/>
          <w:sz w:val="21"/>
          <w:szCs w:val="21"/>
          <w:color w:val="auto"/>
        </w:rPr>
        <w:t>”). I understand that the Shares are subject to the terms (including transfer restrictions) set forth in that certain Eighth Amended and Restated Voting Agreement among the Company and its stockholders dated November 21, 2019, as may be amended from time to time, and in that certain Eighth Amended and Restated Right of First Refusal and Co-Sale Agreement among the Company and its stockholders dated November 21, 2019, as may be amended from time to time.</w:t>
      </w:r>
    </w:p>
    <w:p>
      <w:pPr>
        <w:spacing w:after="0" w:line="173" w:lineRule="exact"/>
        <w:rPr>
          <w:sz w:val="20"/>
          <w:szCs w:val="20"/>
          <w:color w:val="auto"/>
        </w:rPr>
      </w:pPr>
    </w:p>
    <w:p>
      <w:pPr>
        <w:jc w:val="both"/>
        <w:ind w:firstLine="864"/>
        <w:spacing w:after="0" w:line="237" w:lineRule="auto"/>
        <w:rPr>
          <w:sz w:val="20"/>
          <w:szCs w:val="20"/>
          <w:color w:val="auto"/>
        </w:rPr>
      </w:pPr>
      <w:r>
        <w:rPr>
          <w:rFonts w:ascii="Times New Roman" w:cs="Times New Roman" w:eastAsia="Times New Roman" w:hAnsi="Times New Roman"/>
          <w:sz w:val="21"/>
          <w:szCs w:val="21"/>
          <w:color w:val="auto"/>
        </w:rPr>
        <w:t>I acknowledge and understand that the Shares constitute “restricted securities” under the Securities Act and have not been registered under the Securities Act in reliance upon a specific exemption therefrom, which exemption depends upon, among other things, the bona fide nature of my investment intent as expressed herein. In this connection, I understand that, in the view of the Securities and Exchange Commission, the statutory basis for such exemption may be unavailable if my representation was predicated solely upon a present intention to hold these Shares for the minimum capital gains period specified under tax statutes, for a deferred sale, for or until an increase or decrease in the market price of the Shares, or for a period of one year or any other fixed period in the future. I further understand that the Shares must be held indefinitely unless they are subsequently registered under the Securities Act or an exemption from such registration is available. I further acknowledge and understand that the Company is under no obligation to register the Shares. I understand that the certificate evidencing the Shares will be imprinted with a legend which prohibits the transfer of the Shares unless they are registered or such registration is not required in the opinion of counsel satisfactory to the Company and other legends required under the applicable state or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153275"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29" w:name="page130"/>
    <w:bookmarkEnd w:id="129"/>
    <w:p>
      <w:pPr>
        <w:jc w:val="both"/>
        <w:ind w:firstLine="864"/>
        <w:spacing w:after="0" w:line="250" w:lineRule="auto"/>
        <w:rPr>
          <w:sz w:val="20"/>
          <w:szCs w:val="20"/>
          <w:color w:val="auto"/>
        </w:rPr>
      </w:pPr>
      <w:r>
        <w:rPr>
          <w:rFonts w:ascii="Times New Roman" w:cs="Times New Roman" w:eastAsia="Times New Roman" w:hAnsi="Times New Roman"/>
          <w:sz w:val="21"/>
          <w:szCs w:val="21"/>
          <w:color w:val="auto"/>
        </w:rPr>
        <w:t>I am familiar with the provisions of Rule 144, promulgated under the Securities Act, which, in substance, permit limited public resale of “restricted securities” acquired, directly or indirectly from the issuer thereof, in a non-public offering subject to the satisfaction of certain conditions.</w:t>
      </w:r>
    </w:p>
    <w:p>
      <w:pPr>
        <w:spacing w:after="0" w:line="161"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1"/>
          <w:szCs w:val="21"/>
          <w:color w:val="auto"/>
        </w:rPr>
        <w:t>In the event that the Company does not become subject to the requirements of Section 13 or 15(d) of the Exchange Act, then the Securities may be resold in certain limited circumstances subject to the provisions of Rule 144, which requires the resale to occur not less than one year after the later of the date the Securities were sold by the Company or the date the Securities were sold by an affiliate of the Company, within the meaning of Rule 144; and, in the case of acquisition of the Securities by an affiliate only, the satisfaction of the following conditions: (1) the resale being made through a broker in an unsolicited “broker’s transaction,” in transactions directly with a market maker (as said term is defined under the Exchange Act) or in “riskless principal transactions” (as said term is defined in the Note to Rule 144(f)(1)); (2) the amount of Securities being sold during any three month period not exceeding the limitations specified in Rule 144(e); (3) the availability of certain public information about the Company; and (4) the timely filing of a Form 144, if applicable.</w:t>
      </w:r>
    </w:p>
    <w:p>
      <w:pPr>
        <w:spacing w:after="0" w:line="174"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1"/>
          <w:szCs w:val="21"/>
          <w:color w:val="auto"/>
        </w:rPr>
        <w:t>I further understand that in the event all of the applicable requirements of Rule 144 are not satisfied, registration under the Securities Act, compliance with Regulation A under the Securities Act, or some other registration exemption will be required; and that, notwithstanding the fact that Rules 144 is not exclusive, the Staff of the Securities and Exchange Commission has expressed its opinion that a person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 I understand that no assurances can be given that any such other registration exemption will be available in such event.</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color w:val="auto"/>
        </w:rPr>
        <w:t>My residence is correctly set forth below.</w:t>
      </w:r>
    </w:p>
    <w:p>
      <w:pPr>
        <w:spacing w:after="0" w:line="20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Signature of Option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Address: _______________________________________</w:t>
      </w:r>
    </w:p>
    <w:p>
      <w:pPr>
        <w:spacing w:after="0" w:line="1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_____________________________________________</w:t>
      </w:r>
    </w:p>
    <w:p>
      <w:pPr>
        <w:ind w:left="432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-26035</wp:posOffset>
            </wp:positionV>
            <wp:extent cx="24358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2435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C-8</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3860533; 3; 60165-002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7153275"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PROXY</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The undersigned, as record holder of securities of Vroom,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hereby irrevocably appoints the Chairman of the Board of Directors or the Chief Executive Officer of the Company from time to time as my proxy to attend and to receive notices of all meetings of the stockholders of the Company, including without limitation any class meetings, and to vote, execute consents, including without limitation class consents and written consents, and otherwise represent me with respect to all shares of Common Stock of the Company issued to me upon exercise of options granted to me pursuant to the Vroom, Inc. Second Amended and Restated 2014 Equity Incentive Plan, as amended, and all securities of the Company which may be issued to the undersigned in respect of such shares of Common Stock, including without limitation by way of conversion, stock-split, stock dividends, reverse stock split, stock reclassification and other recapitalization events (collectively, "</w:t>
      </w: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 in the same manner and with the same effect as if the undersigned were personally present at any such meeting or voting such Shares or personally acting on any matters submitted to stockholders for approval or consent.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proxy is made pursuant to the Vroom, Inc. Second Amended and Restated 2014 Equity Incentive Plan,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Shares shall be voted by the proxy holder in the same proportion as the votes of the other stockholders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proxy is irrevocable as it may effect rights of third parties and is coupled with an interest.</w:t>
      </w:r>
    </w:p>
    <w:p>
      <w:pPr>
        <w:spacing w:after="0" w:line="20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21"/>
          <w:szCs w:val="21"/>
          <w:color w:val="auto"/>
        </w:rPr>
        <w:t>The irrevocable proxy will remain in full force and effect until the consummation of the Company’s Initial Public Offering, upon which it will terminate automatically.</w:t>
      </w:r>
    </w:p>
    <w:p>
      <w:pPr>
        <w:spacing w:after="0" w:line="14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21"/>
          <w:szCs w:val="21"/>
          <w:color w:val="auto"/>
        </w:rPr>
        <w:t>This proxy shall be signed exactly as the stockholder’s name appears on his stock certificate. Joint stockholders must each sign this proxy. If signed by an attorney in fact, the Power of Attorney must be attached.</w:t>
      </w:r>
    </w:p>
    <w:p>
      <w:pPr>
        <w:spacing w:after="0" w:line="200" w:lineRule="exact"/>
        <w:rPr>
          <w:sz w:val="20"/>
          <w:szCs w:val="20"/>
          <w:color w:val="auto"/>
        </w:rPr>
      </w:pPr>
    </w:p>
    <w:p>
      <w:pPr>
        <w:spacing w:after="0" w:line="377" w:lineRule="exact"/>
        <w:rPr>
          <w:sz w:val="20"/>
          <w:szCs w:val="20"/>
          <w:color w:val="auto"/>
        </w:rPr>
      </w:pPr>
    </w:p>
    <w:p>
      <w:pPr>
        <w:ind w:left="500"/>
        <w:spacing w:after="0"/>
        <w:tabs>
          <w:tab w:leader="none" w:pos="290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1789430</wp:posOffset>
            </wp:positionH>
            <wp:positionV relativeFrom="paragraph">
              <wp:posOffset>-143510</wp:posOffset>
            </wp:positionV>
            <wp:extent cx="830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830580" cy="8255"/>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-143510</wp:posOffset>
            </wp:positionV>
            <wp:extent cx="838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838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925195</wp:posOffset>
            </wp:positionH>
            <wp:positionV relativeFrom="paragraph">
              <wp:posOffset>-143510</wp:posOffset>
            </wp:positionV>
            <wp:extent cx="8642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86423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362585</wp:posOffset>
            </wp:positionV>
            <wp:extent cx="7153275"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0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This Power of Attorney (the "</w:t>
      </w:r>
      <w:r>
        <w:rPr>
          <w:rFonts w:ascii="Times New Roman" w:cs="Times New Roman" w:eastAsia="Times New Roman" w:hAnsi="Times New Roman"/>
          <w:sz w:val="21"/>
          <w:szCs w:val="21"/>
          <w:b w:val="1"/>
          <w:bCs w:val="1"/>
          <w:color w:val="auto"/>
        </w:rPr>
        <w:t>POA</w:t>
      </w:r>
      <w:r>
        <w:rPr>
          <w:rFonts w:ascii="Times New Roman" w:cs="Times New Roman" w:eastAsia="Times New Roman" w:hAnsi="Times New Roman"/>
          <w:sz w:val="21"/>
          <w:szCs w:val="21"/>
          <w:color w:val="auto"/>
        </w:rPr>
        <w:t>") is made by the undersigned stockholder of Vroom, Inc. (the "</w:t>
      </w:r>
      <w:r>
        <w:rPr>
          <w:rFonts w:ascii="Times New Roman" w:cs="Times New Roman" w:eastAsia="Times New Roman" w:hAnsi="Times New Roman"/>
          <w:sz w:val="21"/>
          <w:szCs w:val="21"/>
          <w:b w:val="1"/>
          <w:bCs w:val="1"/>
          <w:color w:val="auto"/>
        </w:rPr>
        <w:t>Stockholder</w:t>
      </w:r>
      <w:r>
        <w:rPr>
          <w:rFonts w:ascii="Times New Roman" w:cs="Times New Roman" w:eastAsia="Times New Roman" w:hAnsi="Times New Roman"/>
          <w:sz w:val="21"/>
          <w:szCs w:val="21"/>
          <w:color w:val="auto"/>
        </w:rPr>
        <w:t>"),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in connection with all shares of Common Stock of the Company issued to the Stockholder upon exercise of options granted to the Stockholder pursuant to the Vroom, Inc. Second Amended and Restated 2014 Equity Incentive Plan, as amended, and all securities of the Company which may be issued to the Stockholder in respect of such shares of Common Stock, including without limitation by way of conversion, stock-split, stock dividends, reverse stock split, stock reclassification and other recapitalization events (collectively, "</w:t>
      </w: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By signing and delivering this POA, the Stockholder hereby irrevocably appoints and authorizes the Chairman of the Board of Directors or the Chief Executive Officer of the Company from time to time, as the Stockholder's attorney in fact, on behalf of the Stockholder and in its stead, to (a) agree to and execute any amendment to, or enter into and execute, any agreement or waiver to the extent it relates to the Shares or to the capacity of the undersigned as a stockholder of the Company, and which amendment, agreement or waiver was executed by at least a majority of the other stockholders of the Company and (b) to agree to, enter into and execute all agreements, undertakings, waivers and other documents and instruments in connection with a merger or consolidation of the Company with or into another entity, an acquisition of the Company, or a sale of all or substantially all of the shares of capital stock of the Company, deemed by the Board of Directors of the Company to be in the best interest of holders of options and shares issued upon exercise of options granted pursuant to the employee and service provider incentive plans of the Company; all of the foregoing in the same manner as if the Stockholder was personally acting on such matter.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Stockholder acknowledges and agrees that this POA is coupled with an interest and is irrevocable.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This POA will remain in full force and effect until the consummation of the Company’s Initial Public Offering, upon which it will terminate automatically.</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This POA shall be signed exactly as the stockholder’s name appears on his or her stock certificate. Joint stockholders must each sign this POA.</w:t>
      </w:r>
    </w:p>
    <w:p>
      <w:pPr>
        <w:spacing w:after="0" w:line="200" w:lineRule="exact"/>
        <w:rPr>
          <w:sz w:val="20"/>
          <w:szCs w:val="20"/>
          <w:color w:val="auto"/>
        </w:rPr>
      </w:pPr>
    </w:p>
    <w:p>
      <w:pPr>
        <w:spacing w:after="0" w:line="377" w:lineRule="exact"/>
        <w:rPr>
          <w:sz w:val="20"/>
          <w:szCs w:val="20"/>
          <w:color w:val="auto"/>
        </w:rPr>
      </w:pPr>
    </w:p>
    <w:p>
      <w:pPr>
        <w:ind w:left="500"/>
        <w:spacing w:after="0"/>
        <w:tabs>
          <w:tab w:leader="none" w:pos="318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1789430</wp:posOffset>
            </wp:positionH>
            <wp:positionV relativeFrom="paragraph">
              <wp:posOffset>-143510</wp:posOffset>
            </wp:positionV>
            <wp:extent cx="8140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814070" cy="8255"/>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-143510</wp:posOffset>
            </wp:positionV>
            <wp:extent cx="838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838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925195</wp:posOffset>
            </wp:positionH>
            <wp:positionV relativeFrom="paragraph">
              <wp:posOffset>-143510</wp:posOffset>
            </wp:positionV>
            <wp:extent cx="8642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864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D-10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3860533; 3; 60165-002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7153275"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9"/>
          <w:szCs w:val="19"/>
          <w:b w:val="1"/>
          <w:bCs w:val="1"/>
          <w:color w:val="auto"/>
        </w:rPr>
        <w:t>EXHIBIT 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COUNTERPART SIGNATURE PAGE AND JOINDER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EIGHTH AMENDED AND RESTATED RIGHT OF FIRST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REFUSAL AND CO-SALE AGREEMENT (the “Joinder”)</w:t>
      </w:r>
    </w:p>
    <w:p>
      <w:pPr>
        <w:spacing w:after="0" w:line="204"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9"/>
          <w:szCs w:val="19"/>
          <w:color w:val="auto"/>
        </w:rPr>
        <w:t>Reference is hereby made to that certain Eighth Amended And Restated Right of First Refusal And Co-Sale Agreement, dated as of November 21, 2019 (as amended, the “</w:t>
      </w:r>
      <w:r>
        <w:rPr>
          <w:rFonts w:ascii="Times New Roman" w:cs="Times New Roman" w:eastAsia="Times New Roman" w:hAnsi="Times New Roman"/>
          <w:sz w:val="19"/>
          <w:szCs w:val="19"/>
          <w:b w:val="1"/>
          <w:bCs w:val="1"/>
          <w:color w:val="auto"/>
        </w:rPr>
        <w:t>ROFR &amp; Co-Sale Agreement</w:t>
      </w:r>
      <w:r>
        <w:rPr>
          <w:rFonts w:ascii="Times New Roman" w:cs="Times New Roman" w:eastAsia="Times New Roman" w:hAnsi="Times New Roman"/>
          <w:sz w:val="19"/>
          <w:szCs w:val="19"/>
          <w:color w:val="auto"/>
        </w:rPr>
        <w:t>”), by and among Vroom Inc., a Delaware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and the Stockholders (as defined therein).</w:t>
      </w:r>
    </w:p>
    <w:p>
      <w:pPr>
        <w:spacing w:after="0" w:line="172"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9"/>
          <w:szCs w:val="19"/>
          <w:i w:val="1"/>
          <w:iCs w:val="1"/>
          <w:color w:val="auto"/>
        </w:rPr>
        <w:t>Capitalized terms used herein without definition shall have the respective meanings ascribed thereto in the ROFR &amp; Co-Sale Agreement.</w:t>
      </w:r>
    </w:p>
    <w:p>
      <w:pPr>
        <w:spacing w:after="0" w:line="154" w:lineRule="exact"/>
        <w:rPr>
          <w:sz w:val="20"/>
          <w:szCs w:val="20"/>
          <w:color w:val="auto"/>
        </w:rPr>
      </w:pPr>
    </w:p>
    <w:p>
      <w:pPr>
        <w:jc w:val="both"/>
        <w:ind w:firstLine="5"/>
        <w:spacing w:after="0" w:line="256" w:lineRule="auto"/>
        <w:tabs>
          <w:tab w:leader="none" w:pos="192"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Pursuant to Section 6.17 of the ROFR &amp; Co-Sale Agreement, the undersigned (the “</w:t>
      </w:r>
      <w:r>
        <w:rPr>
          <w:rFonts w:ascii="Times New Roman" w:cs="Times New Roman" w:eastAsia="Times New Roman" w:hAnsi="Times New Roman"/>
          <w:sz w:val="19"/>
          <w:szCs w:val="19"/>
          <w:b w:val="1"/>
          <w:bCs w:val="1"/>
          <w:color w:val="auto"/>
        </w:rPr>
        <w:t>Additional Stockholder</w:t>
      </w:r>
      <w:r>
        <w:rPr>
          <w:rFonts w:ascii="Times New Roman" w:cs="Times New Roman" w:eastAsia="Times New Roman" w:hAnsi="Times New Roman"/>
          <w:sz w:val="19"/>
          <w:szCs w:val="19"/>
          <w:color w:val="auto"/>
        </w:rPr>
        <w:t>”) hereby agrees that, by her execution of this Joinder, the undersigned shall become a party to the ROFR &amp; Co-Sale Agreement, effective as of the date hereof, in the capacity of a Stockholder, shall be deemed an original party thereto and shall be entitled to all of the benefits under, and shall be subject to all of the obligations, restrictions and limitations set forth in the ROFR &amp; Co-Sale Agreement that are applicable to all other Stockholders.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Additional Stockholder:</w:t>
      </w:r>
    </w:p>
    <w:p>
      <w:pPr>
        <w:spacing w:after="0" w:line="200" w:lineRule="exact"/>
        <w:rPr>
          <w:sz w:val="20"/>
          <w:szCs w:val="20"/>
          <w:color w:val="auto"/>
        </w:rPr>
      </w:pP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color w:val="auto"/>
        </w:rPr>
        <w:t>________________________________</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Address for Notices: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_______________________</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u w:val="single" w:color="auto"/>
          <w:color w:val="auto"/>
        </w:rPr>
        <w:t>RECEIPT ACKNOWLEDGED</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color w:val="auto"/>
        </w:rPr>
        <w:t>VROOM INC.</w:t>
      </w:r>
    </w:p>
    <w:p>
      <w:pPr>
        <w:spacing w:after="0" w:line="200" w:lineRule="exact"/>
        <w:rPr>
          <w:sz w:val="20"/>
          <w:szCs w:val="20"/>
          <w:color w:val="auto"/>
        </w:rPr>
      </w:pP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-6985</wp:posOffset>
            </wp:positionV>
            <wp:extent cx="14001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1400175" cy="8255"/>
                    </a:xfrm>
                    <a:prstGeom prst="rect">
                      <a:avLst/>
                    </a:prstGeom>
                    <a:noFill/>
                  </pic:spPr>
                </pic:pic>
              </a:graphicData>
            </a:graphic>
          </wp:anchor>
        </w:drawing>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auto"/>
        </w:rPr>
        <w:t>Name: Patricia Moran</w:t>
      </w:r>
    </w:p>
    <w:p>
      <w:pPr>
        <w:spacing w:after="0" w:line="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auto"/>
        </w:rPr>
        <w:t>Title: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202565</wp:posOffset>
            </wp:positionV>
            <wp:extent cx="7153275"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9"/>
          <w:szCs w:val="19"/>
          <w:b w:val="1"/>
          <w:bCs w:val="1"/>
          <w:color w:val="auto"/>
        </w:rPr>
        <w:t>EXHIBIT F</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ADOPTION AGREEMENT</w:t>
      </w:r>
    </w:p>
    <w:p>
      <w:pPr>
        <w:spacing w:after="0" w:line="2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This Adoption Agreement (“</w:t>
      </w:r>
      <w:r>
        <w:rPr>
          <w:rFonts w:ascii="Times New Roman" w:cs="Times New Roman" w:eastAsia="Times New Roman" w:hAnsi="Times New Roman"/>
          <w:sz w:val="19"/>
          <w:szCs w:val="19"/>
          <w:b w:val="1"/>
          <w:bCs w:val="1"/>
          <w:color w:val="auto"/>
        </w:rPr>
        <w:t>Adoption Agreement</w:t>
      </w:r>
      <w:r>
        <w:rPr>
          <w:rFonts w:ascii="Times New Roman" w:cs="Times New Roman" w:eastAsia="Times New Roman" w:hAnsi="Times New Roman"/>
          <w:sz w:val="19"/>
          <w:szCs w:val="19"/>
          <w:color w:val="auto"/>
        </w:rPr>
        <w:t>”) is executed on ____________, 20__, by the undersigned (the “</w:t>
      </w:r>
      <w:r>
        <w:rPr>
          <w:rFonts w:ascii="Times New Roman" w:cs="Times New Roman" w:eastAsia="Times New Roman" w:hAnsi="Times New Roman"/>
          <w:sz w:val="19"/>
          <w:szCs w:val="19"/>
          <w:b w:val="1"/>
          <w:bCs w:val="1"/>
          <w:color w:val="auto"/>
        </w:rPr>
        <w:t>Holder</w:t>
      </w:r>
      <w:r>
        <w:rPr>
          <w:rFonts w:ascii="Times New Roman" w:cs="Times New Roman" w:eastAsia="Times New Roman" w:hAnsi="Times New Roman"/>
          <w:sz w:val="19"/>
          <w:szCs w:val="19"/>
          <w:color w:val="auto"/>
        </w:rPr>
        <w:t>”) pursuant</w:t>
      </w:r>
    </w:p>
    <w:p>
      <w:pPr>
        <w:spacing w:after="0" w:line="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to the terms of that certain Eighth Amended and Restated Voting Agreement dated as of November 21, 2019 (as amended, 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by and among the Company and certain of its Stockholders, as such Agreement may be amended or amended and restated hereafter. Capitalized terms used but not defined in this Adoption Agreement shall have the respective meanings ascribed to such terms in the Agreement. By the execution of this Adoption Agreement, the Holder agrees as follows.</w:t>
      </w:r>
    </w:p>
    <w:p>
      <w:pPr>
        <w:spacing w:after="0" w:line="174"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9"/>
          <w:szCs w:val="19"/>
          <w:color w:val="auto"/>
        </w:rPr>
        <w:t xml:space="preserve">1.1 </w:t>
      </w:r>
      <w:r>
        <w:rPr>
          <w:rFonts w:ascii="Times New Roman" w:cs="Times New Roman" w:eastAsia="Times New Roman" w:hAnsi="Times New Roman"/>
          <w:sz w:val="19"/>
          <w:szCs w:val="19"/>
          <w:u w:val="single" w:color="auto"/>
          <w:color w:val="auto"/>
        </w:rPr>
        <w:t>Acknowledgement</w:t>
      </w:r>
      <w:r>
        <w:rPr>
          <w:rFonts w:ascii="Times New Roman" w:cs="Times New Roman" w:eastAsia="Times New Roman" w:hAnsi="Times New Roman"/>
          <w:sz w:val="19"/>
          <w:szCs w:val="19"/>
          <w:color w:val="auto"/>
        </w:rPr>
        <w:t>. Holder acknowledges that Holder is acquiring certain shares of the capital stock of the Company (the “</w:t>
      </w:r>
      <w:r>
        <w:rPr>
          <w:rFonts w:ascii="Times New Roman" w:cs="Times New Roman" w:eastAsia="Times New Roman" w:hAnsi="Times New Roman"/>
          <w:sz w:val="19"/>
          <w:szCs w:val="19"/>
          <w:b w:val="1"/>
          <w:bCs w:val="1"/>
          <w:color w:val="auto"/>
        </w:rPr>
        <w:t>Stock</w:t>
      </w:r>
      <w:r>
        <w:rPr>
          <w:rFonts w:ascii="Times New Roman" w:cs="Times New Roman" w:eastAsia="Times New Roman" w:hAnsi="Times New Roman"/>
          <w:sz w:val="19"/>
          <w:szCs w:val="19"/>
          <w:color w:val="auto"/>
        </w:rPr>
        <w:t>”) or options, warrants or other rights to purchase such Stock (the “</w:t>
      </w:r>
      <w:r>
        <w:rPr>
          <w:rFonts w:ascii="Times New Roman" w:cs="Times New Roman" w:eastAsia="Times New Roman" w:hAnsi="Times New Roman"/>
          <w:sz w:val="19"/>
          <w:szCs w:val="19"/>
          <w:b w:val="1"/>
          <w:bCs w:val="1"/>
          <w:color w:val="auto"/>
        </w:rPr>
        <w:t>Options</w:t>
      </w:r>
      <w:r>
        <w:rPr>
          <w:rFonts w:ascii="Times New Roman" w:cs="Times New Roman" w:eastAsia="Times New Roman" w:hAnsi="Times New Roman"/>
          <w:sz w:val="19"/>
          <w:szCs w:val="19"/>
          <w:color w:val="auto"/>
        </w:rPr>
        <w:t>”), for one of the following reasons (Check the correct box):</w:t>
      </w:r>
    </w:p>
    <w:p>
      <w:pPr>
        <w:spacing w:after="0" w:line="356" w:lineRule="exact"/>
        <w:rPr>
          <w:sz w:val="20"/>
          <w:szCs w:val="20"/>
          <w:color w:val="auto"/>
        </w:rPr>
      </w:pPr>
    </w:p>
    <w:p>
      <w:pPr>
        <w:ind w:left="1840" w:hanging="972"/>
        <w:spacing w:after="0" w:line="279" w:lineRule="auto"/>
        <w:tabs>
          <w:tab w:leader="none" w:pos="1840" w:val="left"/>
        </w:tabs>
        <w:numPr>
          <w:ilvl w:val="0"/>
          <w:numId w:val="53"/>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as a transferee of Shares from a party in such party’s capacity as an “Investor” bound by the Agreement, and after such transfer, Holder shall be considered an “Investor” for all purposes of the Agreement.</w:t>
      </w:r>
    </w:p>
    <w:p>
      <w:pPr>
        <w:spacing w:after="0" w:line="355" w:lineRule="exact"/>
        <w:rPr>
          <w:rFonts w:ascii="MS PGothic" w:cs="MS PGothic" w:eastAsia="MS PGothic" w:hAnsi="MS PGothic"/>
          <w:sz w:val="19"/>
          <w:szCs w:val="19"/>
          <w:color w:val="auto"/>
        </w:rPr>
      </w:pPr>
    </w:p>
    <w:p>
      <w:pPr>
        <w:ind w:left="1840" w:hanging="972"/>
        <w:spacing w:after="0" w:line="279" w:lineRule="auto"/>
        <w:tabs>
          <w:tab w:leader="none" w:pos="1840" w:val="left"/>
        </w:tabs>
        <w:numPr>
          <w:ilvl w:val="0"/>
          <w:numId w:val="53"/>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as a transferee of Shares from a party in such party’s capacity as a “Key Holder” bound by the Agreement, and after such transfer, Holder shall be considered a “Key Holder” and a “Stockholder” for all purposes of the Agreement.</w:t>
      </w:r>
    </w:p>
    <w:p>
      <w:pPr>
        <w:spacing w:after="0" w:line="355" w:lineRule="exact"/>
        <w:rPr>
          <w:rFonts w:ascii="MS PGothic" w:cs="MS PGothic" w:eastAsia="MS PGothic" w:hAnsi="MS PGothic"/>
          <w:sz w:val="19"/>
          <w:szCs w:val="19"/>
          <w:color w:val="auto"/>
        </w:rPr>
      </w:pPr>
    </w:p>
    <w:p>
      <w:pPr>
        <w:ind w:left="1840" w:hanging="972"/>
        <w:spacing w:after="0" w:line="279" w:lineRule="auto"/>
        <w:tabs>
          <w:tab w:leader="none" w:pos="1840" w:val="left"/>
        </w:tabs>
        <w:numPr>
          <w:ilvl w:val="0"/>
          <w:numId w:val="53"/>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as a new Investor in accordance with </w:t>
      </w:r>
      <w:r>
        <w:rPr>
          <w:rFonts w:ascii="Times New Roman" w:cs="Times New Roman" w:eastAsia="Times New Roman" w:hAnsi="Times New Roman"/>
          <w:sz w:val="19"/>
          <w:szCs w:val="19"/>
          <w:u w:val="single" w:color="auto"/>
          <w:color w:val="auto"/>
        </w:rPr>
        <w:t>Subsection 6.1(a)</w:t>
      </w:r>
      <w:r>
        <w:rPr>
          <w:rFonts w:ascii="Times New Roman" w:cs="Times New Roman" w:eastAsia="Times New Roman" w:hAnsi="Times New Roman"/>
          <w:sz w:val="19"/>
          <w:szCs w:val="19"/>
          <w:color w:val="auto"/>
        </w:rPr>
        <w:t xml:space="preserve"> of the Agreement, in which case Holder will be an “Investor” and a “Stockholder” for all purposes of the Agreement.</w:t>
      </w:r>
    </w:p>
    <w:p>
      <w:pPr>
        <w:spacing w:after="0" w:line="368" w:lineRule="exact"/>
        <w:rPr>
          <w:rFonts w:ascii="MS PGothic" w:cs="MS PGothic" w:eastAsia="MS PGothic" w:hAnsi="MS PGothic"/>
          <w:sz w:val="19"/>
          <w:szCs w:val="19"/>
          <w:color w:val="auto"/>
        </w:rPr>
      </w:pPr>
    </w:p>
    <w:p>
      <w:pPr>
        <w:ind w:left="1840" w:hanging="811"/>
        <w:spacing w:after="0" w:line="279" w:lineRule="auto"/>
        <w:tabs>
          <w:tab w:leader="none" w:pos="1925" w:val="left"/>
        </w:tabs>
        <w:numPr>
          <w:ilvl w:val="1"/>
          <w:numId w:val="53"/>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in accordance with </w:t>
      </w:r>
      <w:r>
        <w:rPr>
          <w:rFonts w:ascii="Times New Roman" w:cs="Times New Roman" w:eastAsia="Times New Roman" w:hAnsi="Times New Roman"/>
          <w:sz w:val="19"/>
          <w:szCs w:val="19"/>
          <w:u w:val="single" w:color="auto"/>
          <w:color w:val="auto"/>
        </w:rPr>
        <w:t>Subsection 6.1(b)</w:t>
      </w:r>
      <w:r>
        <w:rPr>
          <w:rFonts w:ascii="Times New Roman" w:cs="Times New Roman" w:eastAsia="Times New Roman" w:hAnsi="Times New Roman"/>
          <w:sz w:val="19"/>
          <w:szCs w:val="19"/>
          <w:color w:val="auto"/>
        </w:rPr>
        <w:t xml:space="preserve"> of the Agreement, as a new party who is not a new Investor, in which case Holder will be a “Stockholder” for all purposes of the Agreement.</w:t>
      </w:r>
    </w:p>
    <w:p>
      <w:pPr>
        <w:spacing w:after="0" w:line="146"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9"/>
          <w:szCs w:val="19"/>
          <w:color w:val="auto"/>
        </w:rPr>
        <w:t xml:space="preserve">1.2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Holder hereby (a) agrees that the Stock, and any other shares of capital stock or securities required by the Agreement to be bound thereby, shall be bound by and subject to the terms of the Agreement and (b) adopts the Agreement with the same force and effect as if Holder were originally a party thereto.</w:t>
      </w:r>
    </w:p>
    <w:p>
      <w:pPr>
        <w:spacing w:after="0" w:line="16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9"/>
          <w:szCs w:val="19"/>
          <w:color w:val="auto"/>
        </w:rPr>
        <w:t xml:space="preserve">1.3 </w:t>
      </w: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Any notice required or permitted by the Agreement shall be given to Holder at the address or facsimile number listed below Holder’s signature hereto.</w:t>
      </w:r>
    </w:p>
    <w:p>
      <w:pPr>
        <w:sectPr>
          <w:pgSz w:w="11900" w:h="16838" w:orient="portrait"/>
          <w:cols w:equalWidth="0" w:num="1">
            <w:col w:w="11240"/>
          </w:cols>
          <w:pgMar w:left="320" w:top="324" w:right="339" w:bottom="1440" w:gutter="0" w:footer="0" w:header="0"/>
        </w:sectPr>
      </w:pPr>
    </w:p>
    <w:p>
      <w:pPr>
        <w:spacing w:after="0" w:line="1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HOLDER: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45" w:lineRule="exact"/>
        <w:rPr>
          <w:sz w:val="20"/>
          <w:szCs w:val="20"/>
          <w:color w:val="auto"/>
        </w:rPr>
      </w:pPr>
    </w:p>
    <w:p>
      <w:pPr>
        <w:sectPr>
          <w:pgSz w:w="11900" w:h="16838" w:orient="portrait"/>
          <w:cols w:equalWidth="0" w:num="2">
            <w:col w:w="5120" w:space="720"/>
            <w:col w:w="5400"/>
          </w:cols>
          <w:pgMar w:left="320" w:top="324" w:right="339" w:bottom="1440" w:gutter="0" w:footer="0" w:header="0"/>
          <w:type w:val="continuous"/>
        </w:sectPr>
      </w:pPr>
    </w:p>
    <w:p>
      <w:pPr>
        <w:ind w:left="5840"/>
        <w:spacing w:after="0"/>
        <w:rPr>
          <w:sz w:val="20"/>
          <w:szCs w:val="20"/>
          <w:color w:val="auto"/>
        </w:rPr>
      </w:pPr>
      <w:r>
        <w:rPr>
          <w:rFonts w:ascii="Times New Roman" w:cs="Times New Roman" w:eastAsia="Times New Roman" w:hAnsi="Times New Roman"/>
          <w:sz w:val="20"/>
          <w:szCs w:val="20"/>
          <w:b w:val="1"/>
          <w:bCs w:val="1"/>
          <w:color w:val="auto"/>
        </w:rPr>
        <w:t>VROOM, INC.</w:t>
      </w:r>
    </w:p>
    <w:p>
      <w:pPr>
        <w:sectPr>
          <w:pgSz w:w="11900" w:h="16838" w:orient="portrait"/>
          <w:cols w:equalWidth="0" w:num="1">
            <w:col w:w="11240"/>
          </w:cols>
          <w:pgMar w:left="320" w:top="324" w:right="339" w:bottom="1440" w:gutter="0" w:footer="0" w:header="0"/>
          <w:type w:val="continuous"/>
        </w:sectPr>
      </w:pP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Patricia Moran</w:t>
      </w:r>
    </w:p>
    <w:p>
      <w:pPr>
        <w:spacing w:after="0"/>
        <w:rPr>
          <w:sz w:val="20"/>
          <w:szCs w:val="20"/>
          <w:color w:val="auto"/>
        </w:rPr>
      </w:pPr>
      <w:r>
        <w:rPr>
          <w:rFonts w:ascii="Times New Roman" w:cs="Times New Roman" w:eastAsia="Times New Roman" w:hAnsi="Times New Roman"/>
          <w:sz w:val="21"/>
          <w:szCs w:val="21"/>
          <w:color w:val="auto"/>
        </w:rPr>
        <w:t>Title: Chief Legal Officer and Secretary</w:t>
      </w:r>
    </w:p>
    <w:p>
      <w:pPr>
        <w:sectPr>
          <w:pgSz w:w="11900" w:h="16838" w:orient="portrait"/>
          <w:cols w:equalWidth="0" w:num="2">
            <w:col w:w="5120" w:space="720"/>
            <w:col w:w="5400"/>
          </w:cols>
          <w:pgMar w:left="320" w:top="324" w:right="339" w:bottom="1440" w:gutter="0" w:footer="0" w:header="0"/>
          <w:type w:val="continuous"/>
        </w:sectPr>
      </w:pPr>
    </w:p>
    <w:bookmarkStart w:id="134" w:name="page135"/>
    <w:bookmarkEnd w:id="134"/>
    <w:p>
      <w:pPr>
        <w:jc w:val="right"/>
        <w:spacing w:after="0"/>
        <w:rPr>
          <w:sz w:val="20"/>
          <w:szCs w:val="20"/>
          <w:color w:val="auto"/>
        </w:rPr>
      </w:pPr>
      <w:r>
        <w:rPr>
          <w:rFonts w:ascii="Times New Roman" w:cs="Times New Roman" w:eastAsia="Times New Roman" w:hAnsi="Times New Roman"/>
          <w:sz w:val="21"/>
          <w:szCs w:val="21"/>
          <w:b w:val="1"/>
          <w:bCs w:val="1"/>
          <w:color w:val="auto"/>
        </w:rPr>
        <w:t>Exhibit 10.5</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AGREEMENT</w:t>
      </w:r>
    </w:p>
    <w:p>
      <w:pPr>
        <w:spacing w:after="0" w:line="190"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1"/>
          <w:szCs w:val="21"/>
          <w:color w:val="auto"/>
        </w:rPr>
        <w:t xml:space="preserve">RESTRICTED STOCK UNIT AGREEMENT, dated as of </w:t>
      </w:r>
      <w:r>
        <w:rPr>
          <w:rFonts w:ascii="Times New Roman" w:cs="Times New Roman" w:eastAsia="Times New Roman" w:hAnsi="Times New Roman"/>
          <w:sz w:val="21"/>
          <w:szCs w:val="21"/>
          <w:color w:val="FF0000"/>
        </w:rPr>
        <w:t>[Date]</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by and between Vroom,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color w:val="FF0000"/>
        </w:rPr>
        <w:t>[Employee Name]</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RECITALS</w:t>
      </w:r>
      <w:r>
        <w:rPr>
          <w:rFonts w:ascii="Times New Roman" w:cs="Times New Roman" w:eastAsia="Times New Roman" w:hAnsi="Times New Roman"/>
          <w:sz w:val="21"/>
          <w:szCs w:val="21"/>
          <w:b w:val="1"/>
          <w:bCs w:val="1"/>
          <w:color w:val="auto"/>
        </w:rPr>
        <w:t>:</w:t>
      </w:r>
    </w:p>
    <w:p>
      <w:pPr>
        <w:spacing w:after="0" w:line="13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1"/>
          <w:szCs w:val="21"/>
          <w:color w:val="auto"/>
        </w:rPr>
        <w:t>WHEREAS, the Company desires to grant to the Participant restricted stock units (each a “</w:t>
      </w:r>
      <w:r>
        <w:rPr>
          <w:rFonts w:ascii="Times New Roman" w:cs="Times New Roman" w:eastAsia="Times New Roman" w:hAnsi="Times New Roman"/>
          <w:sz w:val="21"/>
          <w:szCs w:val="21"/>
          <w:b w:val="1"/>
          <w:bCs w:val="1"/>
          <w:color w:val="auto"/>
        </w:rPr>
        <w:t>Unit</w:t>
      </w:r>
      <w:r>
        <w:rPr>
          <w:rFonts w:ascii="Times New Roman" w:cs="Times New Roman" w:eastAsia="Times New Roman" w:hAnsi="Times New Roman"/>
          <w:sz w:val="21"/>
          <w:szCs w:val="21"/>
          <w:color w:val="auto"/>
        </w:rPr>
        <w:t>”) pursuant to its Second Amended and Restated 2014 Equity Incentive Plan (as amended,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each Unit representing the right to receive one (1) share of common stock, $0.001 par value, of the Company (one “</w:t>
      </w:r>
      <w:r>
        <w:rPr>
          <w:rFonts w:ascii="Times New Roman" w:cs="Times New Roman" w:eastAsia="Times New Roman" w:hAnsi="Times New Roman"/>
          <w:sz w:val="21"/>
          <w:szCs w:val="21"/>
          <w:b w:val="1"/>
          <w:bCs w:val="1"/>
          <w:color w:val="auto"/>
        </w:rPr>
        <w:t>Share</w:t>
      </w:r>
      <w:r>
        <w:rPr>
          <w:rFonts w:ascii="Times New Roman" w:cs="Times New Roman" w:eastAsia="Times New Roman" w:hAnsi="Times New Roman"/>
          <w:sz w:val="21"/>
          <w:szCs w:val="21"/>
          <w:color w:val="auto"/>
        </w:rPr>
        <w:t>”) pursuant to the terms and subject to the conditions set forth herein.</w:t>
      </w:r>
    </w:p>
    <w:p>
      <w:pPr>
        <w:spacing w:after="0" w:line="152"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21"/>
          <w:szCs w:val="21"/>
          <w:color w:val="auto"/>
        </w:rPr>
        <w:t>NOW, THEREFORE, for good and valuable consideration, the receipt and adequacy of which are hereby acknowledged, the Company and the Participant hereby agree as follows:</w:t>
      </w:r>
    </w:p>
    <w:p>
      <w:pPr>
        <w:spacing w:after="0" w:line="132" w:lineRule="exact"/>
        <w:rPr>
          <w:sz w:val="20"/>
          <w:szCs w:val="20"/>
          <w:color w:val="auto"/>
        </w:rPr>
      </w:pPr>
    </w:p>
    <w:p>
      <w:pPr>
        <w:jc w:val="both"/>
        <w:ind w:hanging="11"/>
        <w:spacing w:after="0" w:line="266" w:lineRule="auto"/>
        <w:rPr>
          <w:sz w:val="20"/>
          <w:szCs w:val="20"/>
          <w:color w:val="auto"/>
        </w:rPr>
      </w:pPr>
      <w:r>
        <w:rPr>
          <w:rFonts w:ascii="Times New Roman" w:cs="Times New Roman" w:eastAsia="Times New Roman" w:hAnsi="Times New Roman"/>
          <w:sz w:val="21"/>
          <w:szCs w:val="21"/>
          <w:u w:val="single" w:color="auto"/>
          <w:color w:val="auto"/>
        </w:rPr>
        <w:t>Grant of Units</w:t>
      </w:r>
      <w:r>
        <w:rPr>
          <w:rFonts w:ascii="Times New Roman" w:cs="Times New Roman" w:eastAsia="Times New Roman" w:hAnsi="Times New Roman"/>
          <w:sz w:val="21"/>
          <w:szCs w:val="21"/>
          <w:color w:val="auto"/>
        </w:rPr>
        <w:t xml:space="preserve">. The Company hereby grants to the Participant, pursuant to the Plan and on the terms and conditions set forth herein, the number of Units as set forth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w:t>
      </w:r>
    </w:p>
    <w:p>
      <w:pPr>
        <w:spacing w:after="0" w:line="119"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1"/>
          <w:szCs w:val="21"/>
          <w:color w:val="auto"/>
        </w:rPr>
        <w:t>Section 2.</w:t>
      </w:r>
      <w:r>
        <w:rPr>
          <w:sz w:val="20"/>
          <w:szCs w:val="20"/>
          <w:color w:val="auto"/>
        </w:rPr>
        <w:tab/>
      </w:r>
      <w:r>
        <w:rPr>
          <w:rFonts w:ascii="Times New Roman" w:cs="Times New Roman" w:eastAsia="Times New Roman" w:hAnsi="Times New Roman"/>
          <w:sz w:val="20"/>
          <w:szCs w:val="20"/>
          <w:u w:val="single" w:color="auto"/>
          <w:color w:val="auto"/>
        </w:rPr>
        <w:t>Vesting; Term of Units</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left="860"/>
        <w:spacing w:after="0"/>
        <w:tabs>
          <w:tab w:leader="none" w:pos="1740" w:val="left"/>
        </w:tabs>
        <w:rPr>
          <w:sz w:val="20"/>
          <w:szCs w:val="20"/>
          <w:color w:val="auto"/>
        </w:rPr>
      </w:pPr>
      <w:r>
        <w:rPr>
          <w:rFonts w:ascii="Times New Roman" w:cs="Times New Roman" w:eastAsia="Times New Roman" w:hAnsi="Times New Roman"/>
          <w:sz w:val="21"/>
          <w:szCs w:val="21"/>
          <w:color w:val="auto"/>
        </w:rPr>
        <w:t>2.1</w:t>
      </w:r>
      <w:r>
        <w:rPr>
          <w:sz w:val="20"/>
          <w:szCs w:val="20"/>
          <w:color w:val="auto"/>
        </w:rPr>
        <w:tab/>
      </w:r>
      <w:r>
        <w:rPr>
          <w:rFonts w:ascii="Times New Roman" w:cs="Times New Roman" w:eastAsia="Times New Roman" w:hAnsi="Times New Roman"/>
          <w:sz w:val="20"/>
          <w:szCs w:val="20"/>
          <w:color w:val="auto"/>
        </w:rPr>
        <w:t xml:space="preserve">The Units shall vest as set forth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Individual Account</w:t>
      </w:r>
      <w:r>
        <w:rPr>
          <w:rFonts w:ascii="Times New Roman" w:cs="Times New Roman" w:eastAsia="Times New Roman" w:hAnsi="Times New Roman"/>
          <w:sz w:val="21"/>
          <w:szCs w:val="21"/>
          <w:color w:val="auto"/>
        </w:rPr>
        <w:t xml:space="preserve">. The Units shall be credited to a separate account established and maintained by the Company for the Participant on the first business day following the date of grant of the Units (the </w:t>
      </w:r>
      <w:r>
        <w:rPr>
          <w:rFonts w:ascii="Times New Roman" w:cs="Times New Roman" w:eastAsia="Times New Roman" w:hAnsi="Times New Roman"/>
          <w:sz w:val="21"/>
          <w:szCs w:val="21"/>
          <w:b w:val="1"/>
          <w:bCs w:val="1"/>
          <w:color w:val="auto"/>
        </w:rPr>
        <w:t>“Account</w:t>
      </w:r>
      <w:r>
        <w:rPr>
          <w:rFonts w:ascii="Times New Roman" w:cs="Times New Roman" w:eastAsia="Times New Roman" w:hAnsi="Times New Roman"/>
          <w:sz w:val="21"/>
          <w:szCs w:val="21"/>
          <w:color w:val="auto"/>
        </w:rPr>
        <w:t>”). The Units will be deemed to be invested in Shares only. The Account shall be maintained on the Company’s books solely for record keeping purposes, and shall not represent any actual segregation or investment of assets or Shares.</w:t>
      </w:r>
    </w:p>
    <w:p>
      <w:pPr>
        <w:spacing w:after="0" w:line="139"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1"/>
          <w:szCs w:val="21"/>
          <w:color w:val="auto"/>
        </w:rPr>
        <w:t>Section 3.</w:t>
      </w:r>
      <w:r>
        <w:rPr>
          <w:sz w:val="20"/>
          <w:szCs w:val="20"/>
          <w:color w:val="auto"/>
        </w:rPr>
        <w:tab/>
      </w:r>
      <w:r>
        <w:rPr>
          <w:rFonts w:ascii="Times New Roman" w:cs="Times New Roman" w:eastAsia="Times New Roman" w:hAnsi="Times New Roman"/>
          <w:sz w:val="21"/>
          <w:szCs w:val="21"/>
          <w:u w:val="single" w:color="auto"/>
          <w:color w:val="auto"/>
        </w:rPr>
        <w:t>Distribution of Shares Represented by the Units</w:t>
      </w:r>
      <w:r>
        <w:rPr>
          <w:rFonts w:ascii="Times New Roman" w:cs="Times New Roman" w:eastAsia="Times New Roman" w:hAnsi="Times New Roman"/>
          <w:sz w:val="21"/>
          <w:szCs w:val="21"/>
          <w:color w:val="auto"/>
        </w:rPr>
        <w:t>.</w:t>
      </w:r>
    </w:p>
    <w:p>
      <w:pPr>
        <w:spacing w:after="0" w:line="190"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1"/>
          <w:szCs w:val="21"/>
          <w:color w:val="auto"/>
        </w:rPr>
        <w:t>3.1 The Shares represented by Units will be distributed to the Participant on or as soon as administratively practicable following the date such Units vest and, in any event, within sixty (60) days following such vesting (the “</w:t>
      </w:r>
      <w:r>
        <w:rPr>
          <w:rFonts w:ascii="Times New Roman" w:cs="Times New Roman" w:eastAsia="Times New Roman" w:hAnsi="Times New Roman"/>
          <w:sz w:val="21"/>
          <w:szCs w:val="21"/>
          <w:b w:val="1"/>
          <w:bCs w:val="1"/>
          <w:color w:val="auto"/>
        </w:rPr>
        <w:t>Distribution Date</w:t>
      </w:r>
      <w:r>
        <w:rPr>
          <w:rFonts w:ascii="Times New Roman" w:cs="Times New Roman" w:eastAsia="Times New Roman" w:hAnsi="Times New Roman"/>
          <w:sz w:val="21"/>
          <w:szCs w:val="21"/>
          <w:color w:val="auto"/>
        </w:rPr>
        <w:t>”) and certificates representing those Shares will be delivered to the Participant as soon as practicable thereafter.</w:t>
      </w:r>
    </w:p>
    <w:p>
      <w:pPr>
        <w:spacing w:after="0" w:line="148"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1"/>
          <w:szCs w:val="21"/>
          <w:color w:val="auto"/>
        </w:rPr>
        <w:t>3.2 If any distribution of Shares represented by the Units consists of a fractional Share, then in lieu of distributing a fractional Share, the Company shall distribute cash to the Participant equal in value to the Fair Market Value of the fractional Share on the Distribution Date.</w:t>
      </w:r>
    </w:p>
    <w:p>
      <w:pPr>
        <w:spacing w:after="0" w:line="13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1"/>
          <w:szCs w:val="21"/>
          <w:color w:val="auto"/>
        </w:rPr>
        <w:t>Section 4.</w:t>
      </w:r>
      <w:r>
        <w:rPr>
          <w:sz w:val="20"/>
          <w:szCs w:val="20"/>
          <w:color w:val="auto"/>
        </w:rPr>
        <w:tab/>
      </w:r>
      <w:r>
        <w:rPr>
          <w:rFonts w:ascii="Times New Roman" w:cs="Times New Roman" w:eastAsia="Times New Roman" w:hAnsi="Times New Roman"/>
          <w:sz w:val="20"/>
          <w:szCs w:val="20"/>
          <w:u w:val="single" w:color="auto"/>
          <w:color w:val="auto"/>
        </w:rPr>
        <w:t>Withholding Taxes</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153275"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35" w:name="page136"/>
    <w:bookmarkEnd w:id="135"/>
    <w:p>
      <w:pPr>
        <w:jc w:val="both"/>
        <w:ind w:firstLine="864"/>
        <w:spacing w:after="0" w:line="239" w:lineRule="auto"/>
        <w:rPr>
          <w:sz w:val="20"/>
          <w:szCs w:val="20"/>
          <w:color w:val="auto"/>
        </w:rPr>
      </w:pPr>
      <w:r>
        <w:rPr>
          <w:rFonts w:ascii="Times New Roman" w:cs="Times New Roman" w:eastAsia="Times New Roman" w:hAnsi="Times New Roman"/>
          <w:sz w:val="21"/>
          <w:szCs w:val="21"/>
          <w:color w:val="auto"/>
        </w:rPr>
        <w:t>4.1 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Units. At any time that taxes are required to be withheld in connection with a distribution of Shares on a Distribution Date, the Company may, in its discretion, withhold Shares that would otherwise be distributed to the Participant (rounded down to the nearest whole share) up to an amount that is equal, based on the Fair Market Value of the Shares on the Distribution Date, to the maximum amount of the Federal, state, local, and foreign income and/or employment taxes required, in the Company’s sole judgment, to be collected or withheld with respect to such distribution.</w:t>
      </w:r>
    </w:p>
    <w:p>
      <w:pPr>
        <w:spacing w:after="0" w:line="160" w:lineRule="exact"/>
        <w:rPr>
          <w:sz w:val="20"/>
          <w:szCs w:val="20"/>
          <w:color w:val="auto"/>
        </w:rPr>
      </w:pPr>
    </w:p>
    <w:p>
      <w:pPr>
        <w:jc w:val="both"/>
        <w:ind w:firstLine="864"/>
        <w:spacing w:after="0" w:line="237" w:lineRule="auto"/>
        <w:rPr>
          <w:sz w:val="20"/>
          <w:szCs w:val="20"/>
          <w:color w:val="auto"/>
        </w:rPr>
      </w:pPr>
      <w:r>
        <w:rPr>
          <w:rFonts w:ascii="Times New Roman" w:cs="Times New Roman" w:eastAsia="Times New Roman" w:hAnsi="Times New Roman"/>
          <w:sz w:val="21"/>
          <w:szCs w:val="21"/>
          <w:color w:val="auto"/>
        </w:rPr>
        <w:t xml:space="preserve">4.2 With respect to any tax withholding obligation that arises on or following the occurrence of an IPO (as defined in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and in satisfaction of such tax withholding obligations and in accordance with the Participant’s election included in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Sell to Cover Election</w:t>
      </w:r>
      <w:r>
        <w:rPr>
          <w:rFonts w:ascii="Times New Roman" w:cs="Times New Roman" w:eastAsia="Times New Roman" w:hAnsi="Times New Roman"/>
          <w:sz w:val="21"/>
          <w:szCs w:val="21"/>
          <w:color w:val="auto"/>
        </w:rPr>
        <w:t>”), the Participant has irrevocably elected to sell the portion of the Shares to be delivered under the Units necessary so as to satisfy the tax withholding obligations and shall execute any letter of instruction or agreement required by the Company’s transfer agent (together with any other party the Company determines necessary to execute the Sell to Cover Election, the “</w:t>
      </w:r>
      <w:r>
        <w:rPr>
          <w:rFonts w:ascii="Times New Roman" w:cs="Times New Roman" w:eastAsia="Times New Roman" w:hAnsi="Times New Roman"/>
          <w:sz w:val="21"/>
          <w:szCs w:val="21"/>
          <w:b w:val="1"/>
          <w:bCs w:val="1"/>
          <w:color w:val="auto"/>
        </w:rPr>
        <w:t>Agent</w:t>
      </w:r>
      <w:r>
        <w:rPr>
          <w:rFonts w:ascii="Times New Roman" w:cs="Times New Roman" w:eastAsia="Times New Roman" w:hAnsi="Times New Roman"/>
          <w:sz w:val="21"/>
          <w:szCs w:val="21"/>
          <w:color w:val="auto"/>
        </w:rPr>
        <w:t>”) to cause the Agent to irrevocably commit to forward the proceeds necessary to satisfy the tax withholding obligations directly to the Company and/or its Affiliates. Notwithstanding any other provision of this Agreement, the Company shall not be obligated to deliver any new certificate representing Shares to the Participant or the Participant’s legal representative or enter such Shares in book entry form unless and until the Participant or the Participant’s legal representative shall have paid or otherwise satisfied in full the amount of all federal, state and local taxes applicable to the taxable income of the Participant resulting from the grant or vesting of the Units or the issuance of Shares.</w:t>
      </w:r>
    </w:p>
    <w:p>
      <w:pPr>
        <w:spacing w:after="0" w:line="149" w:lineRule="exact"/>
        <w:rPr>
          <w:sz w:val="20"/>
          <w:szCs w:val="20"/>
          <w:color w:val="auto"/>
        </w:rPr>
      </w:pPr>
    </w:p>
    <w:p>
      <w:pPr>
        <w:jc w:val="both"/>
        <w:ind w:firstLine="864"/>
        <w:spacing w:after="0" w:line="251" w:lineRule="auto"/>
        <w:rPr>
          <w:sz w:val="20"/>
          <w:szCs w:val="20"/>
          <w:color w:val="auto"/>
        </w:rPr>
      </w:pPr>
      <w:r>
        <w:rPr>
          <w:rFonts w:ascii="Times New Roman" w:cs="Times New Roman" w:eastAsia="Times New Roman" w:hAnsi="Times New Roman"/>
          <w:sz w:val="21"/>
          <w:szCs w:val="21"/>
          <w:color w:val="auto"/>
        </w:rPr>
        <w:t xml:space="preserve">4.3 With respect to any required withholding that is not satisfied pursuant to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4.2</w:t>
      </w:r>
      <w:r>
        <w:rPr>
          <w:rFonts w:ascii="Times New Roman" w:cs="Times New Roman" w:eastAsia="Times New Roman" w:hAnsi="Times New Roman"/>
          <w:sz w:val="21"/>
          <w:szCs w:val="21"/>
          <w:color w:val="auto"/>
        </w:rPr>
        <w:t xml:space="preserve"> above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an amount represented by a fractional Share), the Company shall require the Participant to remit a cash payment to the Company, deduct such amount from the Participant’s payroll, or shall satisfy such withholding obligation by any other means permitted under the Plan.</w:t>
      </w:r>
    </w:p>
    <w:p>
      <w:pPr>
        <w:spacing w:after="0" w:line="147"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1"/>
          <w:szCs w:val="21"/>
          <w:color w:val="auto"/>
        </w:rPr>
        <w:t>Section 5.</w:t>
      </w:r>
      <w:r>
        <w:rPr>
          <w:sz w:val="20"/>
          <w:szCs w:val="20"/>
          <w:color w:val="auto"/>
        </w:rPr>
        <w:tab/>
      </w: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1"/>
          <w:szCs w:val="21"/>
          <w:color w:val="auto"/>
        </w:rPr>
        <w:t>5.1 The Shares subject to the Units are non-transferable by the Participant except for transfers to his or her spouse, children and/or grandchildren directly or through a trust, partnership or other entity (a “</w:t>
      </w:r>
      <w:r>
        <w:rPr>
          <w:rFonts w:ascii="Times New Roman" w:cs="Times New Roman" w:eastAsia="Times New Roman" w:hAnsi="Times New Roman"/>
          <w:sz w:val="21"/>
          <w:szCs w:val="21"/>
          <w:b w:val="1"/>
          <w:bCs w:val="1"/>
          <w:color w:val="auto"/>
        </w:rPr>
        <w:t>Family Transfer</w:t>
      </w:r>
      <w:r>
        <w:rPr>
          <w:rFonts w:ascii="Times New Roman" w:cs="Times New Roman" w:eastAsia="Times New Roman" w:hAnsi="Times New Roman"/>
          <w:sz w:val="21"/>
          <w:szCs w:val="21"/>
          <w:color w:val="auto"/>
        </w:rPr>
        <w:t>”), provided that the transferee executes an agreement satisfactory to Company acknowledging and confirming the restrictions on the Shares. The Participant further acknowledges that the Shares are subject to certain other restrictions on transfer, including those restrictions imposed by that certain Eighth Amended and Restated Voting Agreement among the Company and its stockholders dated November 21, 2019 (as amended, and as may be amended from time to time, the “</w:t>
      </w:r>
      <w:r>
        <w:rPr>
          <w:rFonts w:ascii="Times New Roman" w:cs="Times New Roman" w:eastAsia="Times New Roman" w:hAnsi="Times New Roman"/>
          <w:sz w:val="21"/>
          <w:szCs w:val="21"/>
          <w:b w:val="1"/>
          <w:bCs w:val="1"/>
          <w:color w:val="auto"/>
        </w:rPr>
        <w:t>Voting Agreement</w:t>
      </w:r>
      <w:r>
        <w:rPr>
          <w:rFonts w:ascii="Times New Roman" w:cs="Times New Roman" w:eastAsia="Times New Roman" w:hAnsi="Times New Roman"/>
          <w:sz w:val="21"/>
          <w:szCs w:val="21"/>
          <w:color w:val="auto"/>
        </w:rPr>
        <w:t>”), and that certain Eighth Amended and Restated Right of First Refusal and Co-Sale Agreement among the Company and its stockholders dated November 21, 2019 (as may be amended from time to time, the “</w:t>
      </w:r>
      <w:r>
        <w:rPr>
          <w:rFonts w:ascii="Times New Roman" w:cs="Times New Roman" w:eastAsia="Times New Roman" w:hAnsi="Times New Roman"/>
          <w:sz w:val="21"/>
          <w:szCs w:val="21"/>
          <w:b w:val="1"/>
          <w:bCs w:val="1"/>
          <w:color w:val="auto"/>
        </w:rPr>
        <w:t>ROFR and Co-Sale Agreement</w:t>
      </w:r>
      <w:r>
        <w:rPr>
          <w:rFonts w:ascii="Times New Roman" w:cs="Times New Roman" w:eastAsia="Times New Roman" w:hAnsi="Times New Roman"/>
          <w:sz w:val="21"/>
          <w:szCs w:val="21"/>
          <w:color w:val="auto"/>
        </w:rPr>
        <w:t>”) until such time as such Agreements terminate or otherwise no longer remain in effect. Prior to the receipt of any Shares pursuant to this Agreement, provided such Agreements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153275"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6" w:name="page137"/>
    <w:bookmarkEnd w:id="136"/>
    <w:p>
      <w:pPr>
        <w:jc w:val="both"/>
        <w:spacing w:after="0" w:line="245" w:lineRule="auto"/>
        <w:rPr>
          <w:sz w:val="20"/>
          <w:szCs w:val="20"/>
          <w:color w:val="auto"/>
        </w:rPr>
      </w:pPr>
      <w:r>
        <w:rPr>
          <w:rFonts w:ascii="Times New Roman" w:cs="Times New Roman" w:eastAsia="Times New Roman" w:hAnsi="Times New Roman"/>
          <w:sz w:val="21"/>
          <w:szCs w:val="21"/>
          <w:color w:val="auto"/>
        </w:rPr>
        <w:t>remain in effect, the Participant, unless already a party thereto, shall become a party to (1) the Voting Agreement as a “Stockholder” by executing an</w:t>
      </w:r>
    </w:p>
    <w:p>
      <w:pPr>
        <w:spacing w:after="0" w:line="1" w:lineRule="exact"/>
        <w:rPr>
          <w:sz w:val="20"/>
          <w:szCs w:val="20"/>
          <w:color w:val="auto"/>
        </w:rPr>
      </w:pPr>
    </w:p>
    <w:p>
      <w:pPr>
        <w:jc w:val="both"/>
        <w:ind w:hanging="11"/>
        <w:spacing w:after="0" w:line="243" w:lineRule="auto"/>
        <w:rPr>
          <w:sz w:val="20"/>
          <w:szCs w:val="20"/>
          <w:color w:val="auto"/>
        </w:rPr>
      </w:pPr>
      <w:r>
        <w:rPr>
          <w:rFonts w:ascii="Times New Roman" w:cs="Times New Roman" w:eastAsia="Times New Roman" w:hAnsi="Times New Roman"/>
          <w:sz w:val="21"/>
          <w:szCs w:val="21"/>
          <w:color w:val="auto"/>
        </w:rPr>
        <w:t>Adoption Agreement to the Voting Agreement and (2) the ROFR and Co-Sale Agreement as a “Stockholder” by executing a counterpart signature page to the ROFR and Co-Sale Agreement.</w:t>
      </w:r>
    </w:p>
    <w:p>
      <w:pPr>
        <w:spacing w:after="0" w:line="154"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1"/>
          <w:szCs w:val="21"/>
          <w:color w:val="auto"/>
        </w:rPr>
        <w:t>5.2 Upon the settlement of the Units, a certificate evidencing the Shares shall be issued by the Company in the Participant’s name pursuant to which the Participant shall have voting and dividend rights unless and until the Shares are canceled or forfeited pursuant to the provisions of this Agreement. The certificate shall bear a legend (in addition to any other legends required, pursuant to the Voting Agreement and/or the ROFR and Co-Sale Agreement, to appear on certificates representing the Company’s equity securities), substantially in the following form, evidencing the nature of the Shares, and the Company may cause the certificate to be delivered upon issuance to the Board or such other depository as may be designated by the Company as a depository for safekeeping until the cancellation or forfeiture occurs.</w:t>
      </w:r>
    </w:p>
    <w:p>
      <w:pPr>
        <w:spacing w:after="0" w:line="148" w:lineRule="exact"/>
        <w:rPr>
          <w:sz w:val="20"/>
          <w:szCs w:val="20"/>
          <w:color w:val="auto"/>
        </w:rPr>
      </w:pPr>
    </w:p>
    <w:p>
      <w:pPr>
        <w:ind w:left="880" w:right="140" w:hanging="10"/>
        <w:spacing w:after="0" w:line="253" w:lineRule="auto"/>
        <w:rPr>
          <w:sz w:val="20"/>
          <w:szCs w:val="20"/>
          <w:color w:val="auto"/>
        </w:rPr>
      </w:pPr>
      <w:r>
        <w:rPr>
          <w:rFonts w:ascii="Times New Roman" w:cs="Times New Roman" w:eastAsia="Times New Roman" w:hAnsi="Times New Roman"/>
          <w:sz w:val="21"/>
          <w:szCs w:val="21"/>
          <w:color w:val="auto"/>
        </w:rPr>
        <w:t>THE SALE AND ISSUANCE OF THE SECURITIES REPRESENTED BY THIS CERTIFICATE HAVE NOT BEEN REGISTERED UNDER THE</w:t>
      </w:r>
    </w:p>
    <w:p>
      <w:pPr>
        <w:spacing w:after="0" w:line="1" w:lineRule="exact"/>
        <w:rPr>
          <w:sz w:val="20"/>
          <w:szCs w:val="20"/>
          <w:color w:val="auto"/>
        </w:rPr>
      </w:pPr>
    </w:p>
    <w:p>
      <w:pPr>
        <w:jc w:val="both"/>
        <w:ind w:left="880" w:right="860" w:hanging="9"/>
        <w:spacing w:after="0" w:line="236" w:lineRule="auto"/>
        <w:rPr>
          <w:sz w:val="20"/>
          <w:szCs w:val="20"/>
          <w:color w:val="auto"/>
        </w:rPr>
      </w:pPr>
      <w:r>
        <w:rPr>
          <w:rFonts w:ascii="Times New Roman" w:cs="Times New Roman" w:eastAsia="Times New Roman" w:hAnsi="Times New Roman"/>
          <w:sz w:val="21"/>
          <w:szCs w:val="21"/>
          <w:color w:val="auto"/>
        </w:rPr>
        <w:t>SECURITIES ACT OF 1933, AS AMENDED (THE “ACT”), OR UNDER THE SECURITIES LAW OF ANY STATE OR OTHER JURISDICTION. THESE SECURITIES HAVE BEEN ACQUIRED FOR INVESTMENT AND NOT WITH A VIEW TO, OR IN CONNECTION WITH, THE DISTRIBUTION THEREOF. THESE SECURITIES MAY NOT BE OFFERED, SOLD,</w:t>
      </w:r>
    </w:p>
    <w:p>
      <w:pPr>
        <w:spacing w:after="0" w:line="3" w:lineRule="exact"/>
        <w:rPr>
          <w:sz w:val="20"/>
          <w:szCs w:val="20"/>
          <w:color w:val="auto"/>
        </w:rPr>
      </w:pPr>
    </w:p>
    <w:p>
      <w:pPr>
        <w:jc w:val="both"/>
        <w:ind w:left="880" w:right="860" w:hanging="9"/>
        <w:spacing w:after="0" w:line="245" w:lineRule="auto"/>
        <w:rPr>
          <w:sz w:val="20"/>
          <w:szCs w:val="20"/>
          <w:color w:val="auto"/>
        </w:rPr>
      </w:pPr>
      <w:r>
        <w:rPr>
          <w:rFonts w:ascii="Times New Roman" w:cs="Times New Roman" w:eastAsia="Times New Roman" w:hAnsi="Times New Roman"/>
          <w:sz w:val="20"/>
          <w:szCs w:val="20"/>
          <w:color w:val="auto"/>
        </w:rPr>
        <w:t>PLEDGED, OR TRANSFERRED UNLESS (I) A REGISTRATION STATEMENT UNDER THE ACT IS IN EFFECT AS TO THESE SECURITIES AND SUCH OFFER, SALE, PLEDGE, OR TRANSFER IS IN COMPLIANCE WITH APPLICABLE SECURITIES LAW OF ANY STATE OR OTHER JURISDICTION OR</w:t>
      </w:r>
    </w:p>
    <w:p>
      <w:pPr>
        <w:spacing w:after="0" w:line="2" w:lineRule="exact"/>
        <w:rPr>
          <w:sz w:val="20"/>
          <w:szCs w:val="20"/>
          <w:color w:val="auto"/>
        </w:rPr>
      </w:pPr>
    </w:p>
    <w:p>
      <w:pPr>
        <w:jc w:val="both"/>
        <w:ind w:left="880" w:right="860" w:firstLine="1"/>
        <w:spacing w:after="0" w:line="237" w:lineRule="auto"/>
        <w:tabs>
          <w:tab w:leader="none" w:pos="1221"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AN OPINION OF COUNSEL OR OTHER EVIDENCE, IN EITHER CASE, SATISFACTORY TO THE CORPORATION, THAT AN EXEMPTION THEREFROM IS AVAILABLE AND THAT SUCH OFFER, SALE, PLEDGE, OR TRANSFER IS IN COMPLIANCE WITH THE ACT AND APPLICABLE SECURITIES LAW OF ANY STATE OR OTHER JURISDICTION.</w:t>
      </w:r>
    </w:p>
    <w:p>
      <w:pPr>
        <w:spacing w:after="0" w:line="147" w:lineRule="exact"/>
        <w:rPr>
          <w:sz w:val="20"/>
          <w:szCs w:val="20"/>
          <w:color w:val="auto"/>
        </w:rPr>
      </w:pPr>
    </w:p>
    <w:p>
      <w:pPr>
        <w:jc w:val="both"/>
        <w:ind w:left="880" w:right="860" w:hanging="9"/>
        <w:spacing w:after="0" w:line="238" w:lineRule="auto"/>
        <w:rPr>
          <w:sz w:val="20"/>
          <w:szCs w:val="20"/>
          <w:color w:val="auto"/>
        </w:rPr>
      </w:pPr>
      <w:r>
        <w:rPr>
          <w:rFonts w:ascii="Times New Roman" w:cs="Times New Roman" w:eastAsia="Times New Roman" w:hAnsi="Times New Roman"/>
          <w:sz w:val="21"/>
          <w:szCs w:val="21"/>
          <w:color w:val="auto"/>
        </w:rPr>
        <w:t>TRANSFER OF THE SECURITIES REPRESENTED BY THIS CERTIFICATE IS SUBJECT TO THE CONDITIONS SPECIFIED IN AN EIGHTH AMENDED AND RESTATED VOTING RIGHT AGREEMENT (AS IN EFFECT FROM TIME TO TIME), AN EIGHTH AMENDED AND RESTATED RIGHT OF FIRST REFUSAL AND CO-SALE AGREEMENT (AS IN EFFECT FROM TIME TO TIME), AN AWARD AGREEMENT BETWEEN THE ISSUER AND THE PARTICIPANT AND THE ISSUER’S SECOND AMENDED AND RESTATED 2014 EQUITY INCENTIVE PLAN (AS AMENDED AND AS IN EFFECT FROM TIME TO TIME). NO TRANSFER OF THE SECURITIES REPRESENTED BY THIS CERTIFICATE SHALL BE VALID OR EFFECTIVE UNTIL SUCH CONDITIONS HAVE BEEN FULFILLED. SUCH</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153275"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7" w:name="page138"/>
    <w:bookmarkEnd w:id="137"/>
    <w:p>
      <w:pPr>
        <w:ind w:left="880"/>
        <w:spacing w:after="0"/>
        <w:rPr>
          <w:sz w:val="20"/>
          <w:szCs w:val="20"/>
          <w:color w:val="auto"/>
        </w:rPr>
      </w:pPr>
      <w:r>
        <w:rPr>
          <w:rFonts w:ascii="Times New Roman" w:cs="Times New Roman" w:eastAsia="Times New Roman" w:hAnsi="Times New Roman"/>
          <w:sz w:val="21"/>
          <w:szCs w:val="21"/>
          <w:color w:val="auto"/>
        </w:rPr>
        <w:t>AGREEMENTS MAY BE INSPECTED AT THE PRINCIPAL EXECUTIVE OFFICES OF THE ISSUER.</w:t>
      </w:r>
    </w:p>
    <w:p>
      <w:pPr>
        <w:spacing w:after="0" w:line="189"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1"/>
          <w:szCs w:val="21"/>
          <w:color w:val="auto"/>
        </w:rPr>
        <w:t>5.3 Notwithstanding any other provisions of this Agreement, the issuance or delivery of any Shares (whether subject to restrictions or unrestricted) may be postponed for such period as may be required to comply with applicable requirements of any national securities exchange or any requirements under any law or regulation applicable to the issuance or delivery of such</w:t>
      </w:r>
    </w:p>
    <w:p>
      <w:pPr>
        <w:jc w:val="both"/>
        <w:ind w:hanging="11"/>
        <w:spacing w:after="0" w:line="243" w:lineRule="auto"/>
        <w:rPr>
          <w:sz w:val="20"/>
          <w:szCs w:val="20"/>
          <w:color w:val="auto"/>
        </w:rPr>
      </w:pPr>
      <w:r>
        <w:rPr>
          <w:rFonts w:ascii="Times New Roman" w:cs="Times New Roman" w:eastAsia="Times New Roman" w:hAnsi="Times New Roman"/>
          <w:sz w:val="21"/>
          <w:szCs w:val="21"/>
          <w:color w:val="auto"/>
        </w:rPr>
        <w:t>Shares.</w:t>
      </w:r>
      <w:r>
        <w:rPr>
          <w:sz w:val="20"/>
          <w:szCs w:val="20"/>
          <w:color w:val="auto"/>
        </w:rPr>
        <w:t xml:space="preserve"> </w:t>
      </w:r>
      <w:r>
        <w:rPr>
          <w:rFonts w:ascii="Times New Roman" w:cs="Times New Roman" w:eastAsia="Times New Roman" w:hAnsi="Times New Roman"/>
          <w:sz w:val="21"/>
          <w:szCs w:val="21"/>
          <w:color w:val="auto"/>
        </w:rPr>
        <w:t>The Company shall not be obligated to issue or deliver any Shares if the issuance or delivery thereof shall constitute a violation of any provision of any law or of any regulation of any governmental authority or any national securities exchange.</w:t>
      </w:r>
    </w:p>
    <w:p>
      <w:pPr>
        <w:spacing w:after="0" w:line="141"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1"/>
          <w:szCs w:val="21"/>
          <w:color w:val="auto"/>
        </w:rPr>
        <w:t xml:space="preserve">5.4 </w:t>
      </w:r>
      <w:r>
        <w:rPr>
          <w:rFonts w:ascii="Times New Roman" w:cs="Times New Roman" w:eastAsia="Times New Roman" w:hAnsi="Times New Roman"/>
          <w:sz w:val="21"/>
          <w:szCs w:val="21"/>
          <w:u w:val="single" w:color="auto"/>
          <w:color w:val="auto"/>
        </w:rPr>
        <w:t>Prohibited Transfers</w:t>
      </w:r>
      <w:r>
        <w:rPr>
          <w:rFonts w:ascii="Times New Roman" w:cs="Times New Roman" w:eastAsia="Times New Roman" w:hAnsi="Times New Roman"/>
          <w:sz w:val="21"/>
          <w:szCs w:val="21"/>
          <w:color w:val="auto"/>
        </w:rPr>
        <w:t xml:space="preserve">. Notwithstanding any provisions in this Agreement to the contrary, if any purported transfer of the Units or Shares is made or attempted contrary to the provisions of this Agreement, such purported transfer shall be void </w:t>
      </w:r>
      <w:r>
        <w:rPr>
          <w:rFonts w:ascii="Times New Roman" w:cs="Times New Roman" w:eastAsia="Times New Roman" w:hAnsi="Times New Roman"/>
          <w:sz w:val="21"/>
          <w:szCs w:val="21"/>
          <w:i w:val="1"/>
          <w:iCs w:val="1"/>
          <w:u w:val="single" w:color="auto"/>
          <w:color w:val="auto"/>
        </w:rPr>
        <w:t>ab initio</w:t>
      </w:r>
      <w:r>
        <w:rPr>
          <w:rFonts w:ascii="Times New Roman" w:cs="Times New Roman" w:eastAsia="Times New Roman" w:hAnsi="Times New Roman"/>
          <w:sz w:val="21"/>
          <w:szCs w:val="21"/>
          <w:color w:val="auto"/>
        </w:rPr>
        <w:t>; the Company, and its stockholders shall have, in addition to any other legal or equitable remedies which they may have, the right to enforce the provisions of this Agreement by actions for specific performance (to the extent permitted by law); and the Company shall have the right to refuse to recognize any transferee as one of its stockholders for any purpose.</w:t>
      </w:r>
    </w:p>
    <w:p>
      <w:pPr>
        <w:spacing w:after="0" w:line="156" w:lineRule="exact"/>
        <w:rPr>
          <w:sz w:val="20"/>
          <w:szCs w:val="20"/>
          <w:color w:val="auto"/>
        </w:rPr>
      </w:pPr>
    </w:p>
    <w:p>
      <w:pPr>
        <w:jc w:val="both"/>
        <w:ind w:hanging="11"/>
        <w:spacing w:after="0" w:line="266" w:lineRule="auto"/>
        <w:rPr>
          <w:sz w:val="20"/>
          <w:szCs w:val="20"/>
          <w:color w:val="auto"/>
        </w:rPr>
      </w:pPr>
      <w:r>
        <w:rPr>
          <w:rFonts w:ascii="Times New Roman" w:cs="Times New Roman" w:eastAsia="Times New Roman" w:hAnsi="Times New Roman"/>
          <w:sz w:val="21"/>
          <w:szCs w:val="21"/>
          <w:color w:val="auto"/>
        </w:rPr>
        <w:t>Section 6.</w:t>
      </w:r>
      <w:r>
        <w:rPr>
          <w:sz w:val="20"/>
          <w:szCs w:val="20"/>
          <w:color w:val="auto"/>
        </w:rPr>
        <w:t xml:space="preserve"> </w:t>
      </w:r>
      <w:r>
        <w:rPr>
          <w:rFonts w:ascii="Times New Roman" w:cs="Times New Roman" w:eastAsia="Times New Roman" w:hAnsi="Times New Roman"/>
          <w:sz w:val="21"/>
          <w:szCs w:val="21"/>
          <w:u w:val="single" w:color="auto"/>
          <w:color w:val="auto"/>
        </w:rPr>
        <w:t>Rights in Shares Before Delivery</w:t>
      </w:r>
      <w:r>
        <w:rPr>
          <w:rFonts w:ascii="Times New Roman" w:cs="Times New Roman" w:eastAsia="Times New Roman" w:hAnsi="Times New Roman"/>
          <w:sz w:val="21"/>
          <w:szCs w:val="21"/>
          <w:color w:val="auto"/>
        </w:rPr>
        <w:t>. No person shall have any privileges of a stockholder of the Company with respect to</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 xml:space="preserve">any Units, unless and until Shares are distributed pursuant to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u w:val="single" w:color="auto"/>
          <w:color w:val="auto"/>
        </w:rPr>
        <w:t>Investor Representations</w:t>
      </w:r>
      <w:r>
        <w:rPr>
          <w:rFonts w:ascii="Times New Roman" w:cs="Times New Roman" w:eastAsia="Times New Roman" w:hAnsi="Times New Roman"/>
          <w:sz w:val="21"/>
          <w:szCs w:val="21"/>
          <w:color w:val="auto"/>
        </w:rPr>
        <w:t>. The Participant represents to the Company the following:</w:t>
      </w:r>
    </w:p>
    <w:p>
      <w:pPr>
        <w:spacing w:after="0" w:line="177"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21"/>
          <w:szCs w:val="21"/>
          <w:color w:val="auto"/>
        </w:rPr>
        <w:t>7.1 The Participant is acquiring these Units and the underlying Shares for investment for the Participant’s own account only and not with a view to, or for resale in connection with, a</w:t>
      </w:r>
    </w:p>
    <w:p>
      <w:pPr>
        <w:spacing w:after="0" w:line="1" w:lineRule="exact"/>
        <w:rPr>
          <w:sz w:val="20"/>
          <w:szCs w:val="20"/>
          <w:color w:val="auto"/>
        </w:rPr>
      </w:pPr>
    </w:p>
    <w:p>
      <w:pPr>
        <w:jc w:val="both"/>
        <w:ind w:hanging="11"/>
        <w:spacing w:after="0" w:line="245" w:lineRule="auto"/>
        <w:rPr>
          <w:sz w:val="20"/>
          <w:szCs w:val="20"/>
          <w:color w:val="auto"/>
        </w:rPr>
      </w:pPr>
      <w:r>
        <w:rPr>
          <w:rFonts w:ascii="Times New Roman" w:cs="Times New Roman" w:eastAsia="Times New Roman" w:hAnsi="Times New Roman"/>
          <w:sz w:val="21"/>
          <w:szCs w:val="21"/>
          <w:color w:val="auto"/>
        </w:rPr>
        <w:t>“distribution” thereof within the meaning of the Securities Act of 1933, as amended (the “</w:t>
      </w:r>
      <w:r>
        <w:rPr>
          <w:rFonts w:ascii="Times New Roman" w:cs="Times New Roman" w:eastAsia="Times New Roman" w:hAnsi="Times New Roman"/>
          <w:sz w:val="21"/>
          <w:szCs w:val="21"/>
          <w:b w:val="1"/>
          <w:bCs w:val="1"/>
          <w:color w:val="auto"/>
        </w:rPr>
        <w:t>Securities Act</w:t>
      </w:r>
      <w:r>
        <w:rPr>
          <w:rFonts w:ascii="Times New Roman" w:cs="Times New Roman" w:eastAsia="Times New Roman" w:hAnsi="Times New Roman"/>
          <w:sz w:val="21"/>
          <w:szCs w:val="21"/>
          <w:color w:val="auto"/>
        </w:rPr>
        <w:t>”).</w:t>
      </w:r>
      <w:r>
        <w:rPr>
          <w:sz w:val="20"/>
          <w:szCs w:val="20"/>
          <w:color w:val="auto"/>
        </w:rPr>
        <w:t xml:space="preserve"> </w:t>
      </w:r>
      <w:r>
        <w:rPr>
          <w:rFonts w:ascii="Times New Roman" w:cs="Times New Roman" w:eastAsia="Times New Roman" w:hAnsi="Times New Roman"/>
          <w:sz w:val="21"/>
          <w:szCs w:val="21"/>
          <w:color w:val="auto"/>
        </w:rPr>
        <w:t>The Participant understands that the Units are not transferable and that the Shares are subject to the terms (including transfer restrictions) set forth in the Voting Agreement and in the ROFR Agreement.</w:t>
      </w:r>
    </w:p>
    <w:p>
      <w:pPr>
        <w:spacing w:after="0" w:line="200" w:lineRule="exact"/>
        <w:rPr>
          <w:sz w:val="20"/>
          <w:szCs w:val="20"/>
          <w:color w:val="auto"/>
        </w:rPr>
      </w:pPr>
    </w:p>
    <w:p>
      <w:pPr>
        <w:spacing w:after="0" w:line="223" w:lineRule="exact"/>
        <w:rPr>
          <w:sz w:val="20"/>
          <w:szCs w:val="20"/>
          <w:color w:val="auto"/>
        </w:rPr>
      </w:pPr>
    </w:p>
    <w:p>
      <w:pPr>
        <w:jc w:val="both"/>
        <w:ind w:firstLine="864"/>
        <w:spacing w:after="0" w:line="237" w:lineRule="auto"/>
        <w:rPr>
          <w:sz w:val="20"/>
          <w:szCs w:val="20"/>
          <w:color w:val="auto"/>
        </w:rPr>
      </w:pPr>
      <w:r>
        <w:rPr>
          <w:rFonts w:ascii="Times New Roman" w:cs="Times New Roman" w:eastAsia="Times New Roman" w:hAnsi="Times New Roman"/>
          <w:sz w:val="21"/>
          <w:szCs w:val="21"/>
          <w:color w:val="auto"/>
        </w:rPr>
        <w:t>7.2 The Participant acknowledges and understands that the Shares constitute “restricted securities” under the Securities Act and have not been registered under the Securities Act in reliance upon a specific exemption therefrom, which exemption depends upon, among other things, the bona fide nature of the Participant’s investment intent as expressed herein. In this connection, the Participant understands that, in the view of the Securities and Exchange Commission, the statutory basis for such exemption may be unavailable if the Participant’s representation was predicated solely upon a present intention to hold these Shares for the minimum capital gains period specified under tax statutes, for a deferred sale, for or until an increase or decrease in the market price of the Shares, or for a period of one year or any other fixed period in the future. The Participant further understands that the Shares must be held indefinitely unless they are subsequently registered under the Securities Act or an exemption from such registration is available. The Participant further acknowledges and understands that the Company is under no obligation to register the Shares. The Participant understands that the certificate evidencing the Shares will be imprinted with a legend which prohibits the transfer of the Shares unless they are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153275"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8" w:name="page139"/>
    <w:bookmarkEnd w:id="138"/>
    <w:p>
      <w:pPr>
        <w:jc w:val="both"/>
        <w:spacing w:after="0" w:line="265" w:lineRule="auto"/>
        <w:rPr>
          <w:sz w:val="20"/>
          <w:szCs w:val="20"/>
          <w:color w:val="auto"/>
        </w:rPr>
      </w:pPr>
      <w:r>
        <w:rPr>
          <w:rFonts w:ascii="Times New Roman" w:cs="Times New Roman" w:eastAsia="Times New Roman" w:hAnsi="Times New Roman"/>
          <w:sz w:val="21"/>
          <w:szCs w:val="21"/>
          <w:color w:val="auto"/>
        </w:rPr>
        <w:t>registered or such registration is not required in the opinion of counsel satisfactory to the Company and other legends required under the applicable state or federal securities laws.</w:t>
      </w:r>
    </w:p>
    <w:p>
      <w:pPr>
        <w:spacing w:after="0" w:line="132"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1"/>
          <w:szCs w:val="21"/>
          <w:color w:val="auto"/>
        </w:rPr>
        <w:t>7.3 The Participant understands that the exemption from registration afforded by Rule 144 under the Securities Act (the potential availability of which is known to the Participant) promulgated under the Securities Act, depends on satisfaction of various conditions and that, if applicable, Rule 144 may only afford the basis for sales under certain circumstances and only in limited amounts.</w:t>
      </w:r>
    </w:p>
    <w:p>
      <w:pPr>
        <w:spacing w:after="0" w:line="139"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1"/>
          <w:szCs w:val="21"/>
          <w:color w:val="auto"/>
        </w:rPr>
        <w:t>7.4 The Participant generally has such knowledge and experience in business and financial matters and with respect to investments in securities of privately held companies so as to enable the Participant to understand and evaluate the risks and benefits the Units and the underlying Shares.</w:t>
      </w:r>
    </w:p>
    <w:p>
      <w:pPr>
        <w:spacing w:after="0" w:line="148"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1"/>
          <w:szCs w:val="21"/>
          <w:color w:val="auto"/>
        </w:rPr>
        <w:t>7.5 The Participant has had an opportunity to ask questions and receive answers concerning the terms and conditions of the offering of the Units and the underlying Shares, and the Participant has had full access to or been provided with such other information concerning the Company as the Participant has requested.</w:t>
      </w:r>
    </w:p>
    <w:p>
      <w:pPr>
        <w:spacing w:after="0" w:line="174"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21"/>
          <w:szCs w:val="21"/>
          <w:color w:val="auto"/>
        </w:rPr>
        <w:t>7.6 The Participant is an “accredited investor” as such term is defined in Rule 501(a) of Regulation D promulgated under the Securities Act.</w:t>
      </w:r>
    </w:p>
    <w:p>
      <w:pPr>
        <w:spacing w:after="0" w:line="171" w:lineRule="exact"/>
        <w:rPr>
          <w:sz w:val="20"/>
          <w:szCs w:val="20"/>
          <w:color w:val="auto"/>
        </w:rPr>
      </w:pPr>
    </w:p>
    <w:p>
      <w:pPr>
        <w:jc w:val="center"/>
        <w:ind w:right="-99"/>
        <w:spacing w:after="0"/>
        <w:tabs>
          <w:tab w:leader="none" w:pos="240" w:val="left"/>
        </w:tabs>
        <w:rPr>
          <w:sz w:val="20"/>
          <w:szCs w:val="20"/>
          <w:color w:val="auto"/>
        </w:rPr>
      </w:pPr>
      <w:r>
        <w:rPr>
          <w:rFonts w:ascii="Times New Roman" w:cs="Times New Roman" w:eastAsia="Times New Roman" w:hAnsi="Times New Roman"/>
          <w:sz w:val="21"/>
          <w:szCs w:val="21"/>
          <w:color w:val="auto"/>
        </w:rPr>
        <w:t>7.7</w:t>
      </w:r>
      <w:r>
        <w:rPr>
          <w:sz w:val="20"/>
          <w:szCs w:val="20"/>
          <w:color w:val="auto"/>
        </w:rPr>
        <w:tab/>
      </w:r>
      <w:r>
        <w:rPr>
          <w:rFonts w:ascii="Times New Roman" w:cs="Times New Roman" w:eastAsia="Times New Roman" w:hAnsi="Times New Roman"/>
          <w:sz w:val="20"/>
          <w:szCs w:val="20"/>
          <w:color w:val="auto"/>
        </w:rPr>
        <w:t>The Participant’s residence is correctly set forth on the signature page hereto.</w:t>
      </w:r>
    </w:p>
    <w:p>
      <w:pPr>
        <w:spacing w:after="0" w:line="164" w:lineRule="exact"/>
        <w:rPr>
          <w:sz w:val="20"/>
          <w:szCs w:val="20"/>
          <w:color w:val="auto"/>
        </w:rPr>
      </w:pPr>
    </w:p>
    <w:p>
      <w:pPr>
        <w:jc w:val="both"/>
        <w:ind w:hanging="11"/>
        <w:spacing w:after="0" w:line="245" w:lineRule="auto"/>
        <w:rPr>
          <w:sz w:val="20"/>
          <w:szCs w:val="20"/>
          <w:color w:val="auto"/>
        </w:rPr>
      </w:pPr>
      <w:r>
        <w:rPr>
          <w:rFonts w:ascii="Times New Roman" w:cs="Times New Roman" w:eastAsia="Times New Roman" w:hAnsi="Times New Roman"/>
          <w:sz w:val="21"/>
          <w:szCs w:val="21"/>
          <w:color w:val="auto"/>
        </w:rPr>
        <w:t xml:space="preserve">Section 8. </w:t>
      </w:r>
      <w:r>
        <w:rPr>
          <w:rFonts w:ascii="Times New Roman" w:cs="Times New Roman" w:eastAsia="Times New Roman" w:hAnsi="Times New Roman"/>
          <w:sz w:val="21"/>
          <w:szCs w:val="21"/>
          <w:u w:val="single" w:color="auto"/>
          <w:color w:val="auto"/>
        </w:rPr>
        <w:t>No Right to Continued Employment or Service</w:t>
      </w:r>
      <w:r>
        <w:rPr>
          <w:rFonts w:ascii="Times New Roman" w:cs="Times New Roman" w:eastAsia="Times New Roman" w:hAnsi="Times New Roman"/>
          <w:sz w:val="21"/>
          <w:szCs w:val="21"/>
          <w:color w:val="auto"/>
        </w:rPr>
        <w:t>. Nothing contained herein shall be construed to confer on the Participant any right to continue as an employee of, or service provider to, the Company or any of its Affiliates, or to derogate from any right of the Company to, as applicable, retire, request the resignation of or discharge the Participant, or to lay off or require a leave of absence of the Participant, with or without pay, at any time, with or without Cause.</w:t>
      </w:r>
    </w:p>
    <w:p>
      <w:pPr>
        <w:spacing w:after="0" w:line="152" w:lineRule="exact"/>
        <w:rPr>
          <w:sz w:val="20"/>
          <w:szCs w:val="20"/>
          <w:color w:val="auto"/>
        </w:rPr>
      </w:pPr>
    </w:p>
    <w:p>
      <w:pPr>
        <w:jc w:val="both"/>
        <w:ind w:hanging="11"/>
        <w:spacing w:after="0" w:line="238" w:lineRule="auto"/>
        <w:rPr>
          <w:sz w:val="20"/>
          <w:szCs w:val="20"/>
          <w:color w:val="auto"/>
        </w:rPr>
      </w:pPr>
      <w:r>
        <w:rPr>
          <w:rFonts w:ascii="Times New Roman" w:cs="Times New Roman" w:eastAsia="Times New Roman" w:hAnsi="Times New Roman"/>
          <w:sz w:val="21"/>
          <w:szCs w:val="21"/>
          <w:color w:val="auto"/>
        </w:rPr>
        <w:t>Section 9.</w:t>
      </w:r>
      <w:r>
        <w:rPr>
          <w:sz w:val="20"/>
          <w:szCs w:val="20"/>
          <w:color w:val="auto"/>
        </w:rPr>
        <w:t xml:space="preserve"> </w:t>
      </w:r>
      <w:r>
        <w:rPr>
          <w:rFonts w:ascii="Times New Roman" w:cs="Times New Roman" w:eastAsia="Times New Roman" w:hAnsi="Times New Roman"/>
          <w:sz w:val="21"/>
          <w:szCs w:val="21"/>
          <w:u w:val="single" w:color="auto"/>
          <w:color w:val="auto"/>
        </w:rPr>
        <w:t>Qualifications to Distribution</w:t>
      </w:r>
      <w:r>
        <w:rPr>
          <w:rFonts w:ascii="Times New Roman" w:cs="Times New Roman" w:eastAsia="Times New Roman" w:hAnsi="Times New Roman"/>
          <w:sz w:val="21"/>
          <w:szCs w:val="21"/>
          <w:color w:val="auto"/>
        </w:rPr>
        <w:t>. Anything in this Agreement to the contrary notwithstanding, in no event may Shares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 xml:space="preserve">represented by Units be distributed if the Company shall, at any time and in its sole discretion, determine that (a) the listing, registration or qualification of any Share otherwise deliverable, upon any securities exchange or under any state or federal law, or (b) the consent or approval of any regulatory body, is necessary or desirable in connection with such distribution. In such event, such distribution shall be held in abeyance and shall not be effective unless and until such listing, registration, qualification or approval shall have been effected or obtained free of any conditions not acceptable to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distribution shall be made at the earliest date at which the Company reasonably determines that the making of such distribution will not cause such violation, as required by Treasury Regulation Section 1.409A-2(b)(7)(ii),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no payment or distribution shall be delayed under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if such delay will result in a violation of Code Section 409A.</w:t>
      </w:r>
    </w:p>
    <w:p>
      <w:pPr>
        <w:spacing w:after="0" w:line="147" w:lineRule="exact"/>
        <w:rPr>
          <w:sz w:val="20"/>
          <w:szCs w:val="20"/>
          <w:color w:val="auto"/>
        </w:rPr>
      </w:pPr>
    </w:p>
    <w:p>
      <w:pPr>
        <w:jc w:val="both"/>
        <w:ind w:hanging="11"/>
        <w:spacing w:after="0" w:line="250" w:lineRule="auto"/>
        <w:rPr>
          <w:sz w:val="20"/>
          <w:szCs w:val="20"/>
          <w:color w:val="auto"/>
        </w:rPr>
      </w:pPr>
      <w:r>
        <w:rPr>
          <w:rFonts w:ascii="Times New Roman" w:cs="Times New Roman" w:eastAsia="Times New Roman" w:hAnsi="Times New Roman"/>
          <w:sz w:val="21"/>
          <w:szCs w:val="21"/>
          <w:color w:val="auto"/>
        </w:rPr>
        <w:t>Section 10.</w:t>
      </w:r>
      <w:r>
        <w:rPr>
          <w:sz w:val="20"/>
          <w:szCs w:val="20"/>
          <w:color w:val="auto"/>
        </w:rPr>
        <w:t xml:space="preserve"> </w:t>
      </w:r>
      <w:r>
        <w:rPr>
          <w:rFonts w:ascii="Times New Roman" w:cs="Times New Roman" w:eastAsia="Times New Roman" w:hAnsi="Times New Roman"/>
          <w:sz w:val="21"/>
          <w:szCs w:val="21"/>
          <w:u w:val="single" w:color="auto"/>
          <w:color w:val="auto"/>
        </w:rPr>
        <w:t>Conditions to Transfer</w:t>
      </w:r>
      <w:r>
        <w:rPr>
          <w:rFonts w:ascii="Times New Roman" w:cs="Times New Roman" w:eastAsia="Times New Roman" w:hAnsi="Times New Roman"/>
          <w:sz w:val="21"/>
          <w:szCs w:val="21"/>
          <w:color w:val="auto"/>
        </w:rPr>
        <w:t>. Unless the Shares represented by the Units have been registered under the Securities Act, the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Committee may require as a condition to the right to receive the Shares represented by the Units that the Company receive from the person receiving the Shares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153275"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9" w:name="page140"/>
    <w:bookmarkEnd w:id="139"/>
    <w:p>
      <w:pPr>
        <w:jc w:val="both"/>
        <w:spacing w:after="0" w:line="241" w:lineRule="auto"/>
        <w:rPr>
          <w:sz w:val="20"/>
          <w:szCs w:val="20"/>
          <w:color w:val="auto"/>
        </w:rPr>
      </w:pPr>
      <w:r>
        <w:rPr>
          <w:rFonts w:ascii="Times New Roman" w:cs="Times New Roman" w:eastAsia="Times New Roman" w:hAnsi="Times New Roman"/>
          <w:sz w:val="21"/>
          <w:szCs w:val="21"/>
          <w:color w:val="auto"/>
        </w:rPr>
        <w:t>represented by the Units representations, warranties and agreements, at the time of any such distribution, to the effect that the Shares will be held for investment only and without any present intention to sell or otherwise distribute such Shares and that such Shares will not be disposed of in transactions which, in the opinion of counsel to the Company, would violate the registration provisions of the Securities Act and the rules and regulations thereunder. The certificate issued to evidence such Shares shall bear appropriate legends summarizing such restrictions on the disposition thereof.</w:t>
      </w:r>
    </w:p>
    <w:p>
      <w:pPr>
        <w:spacing w:after="0" w:line="160" w:lineRule="exact"/>
        <w:rPr>
          <w:sz w:val="20"/>
          <w:szCs w:val="20"/>
          <w:color w:val="auto"/>
        </w:rPr>
      </w:pPr>
    </w:p>
    <w:p>
      <w:pPr>
        <w:jc w:val="both"/>
        <w:ind w:hanging="11"/>
        <w:spacing w:after="0" w:line="266" w:lineRule="auto"/>
        <w:rPr>
          <w:sz w:val="20"/>
          <w:szCs w:val="20"/>
          <w:color w:val="auto"/>
        </w:rPr>
      </w:pPr>
      <w:r>
        <w:rPr>
          <w:rFonts w:ascii="Times New Roman" w:cs="Times New Roman" w:eastAsia="Times New Roman" w:hAnsi="Times New Roman"/>
          <w:sz w:val="21"/>
          <w:szCs w:val="21"/>
          <w:color w:val="auto"/>
        </w:rPr>
        <w:t>Section 11.</w:t>
      </w:r>
      <w:r>
        <w:rPr>
          <w:sz w:val="20"/>
          <w:szCs w:val="20"/>
          <w:color w:val="auto"/>
        </w:rPr>
        <w:t xml:space="preserve">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and the Plan contain the entire agreement between the parties hereto with respect to</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the matters contemplated herein and supersede all prior agreements or understandings among the parties related to such matters.</w:t>
      </w:r>
    </w:p>
    <w:p>
      <w:pPr>
        <w:spacing w:after="0" w:line="119" w:lineRule="exact"/>
        <w:rPr>
          <w:sz w:val="20"/>
          <w:szCs w:val="20"/>
          <w:color w:val="auto"/>
        </w:rPr>
      </w:pPr>
    </w:p>
    <w:p>
      <w:pPr>
        <w:jc w:val="both"/>
        <w:ind w:hanging="11"/>
        <w:spacing w:after="0" w:line="250" w:lineRule="auto"/>
        <w:rPr>
          <w:sz w:val="20"/>
          <w:szCs w:val="20"/>
          <w:color w:val="auto"/>
        </w:rPr>
      </w:pPr>
      <w:r>
        <w:rPr>
          <w:rFonts w:ascii="Times New Roman" w:cs="Times New Roman" w:eastAsia="Times New Roman" w:hAnsi="Times New Roman"/>
          <w:sz w:val="21"/>
          <w:szCs w:val="21"/>
          <w:color w:val="auto"/>
        </w:rPr>
        <w:t>Section 12.</w:t>
      </w:r>
      <w:r>
        <w:rPr>
          <w:sz w:val="20"/>
          <w:szCs w:val="20"/>
          <w:color w:val="auto"/>
        </w:rPr>
        <w:t xml:space="preserve"> </w:t>
      </w: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Subject to the restrictions on transfer herein set forth, this Agreement shall be binding upon and inure to</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the benefit of the Company and its successors and assigns and upon the Participant and his or her assigns, heirs, executors, administrators and legal representatives.</w:t>
      </w:r>
    </w:p>
    <w:p>
      <w:pPr>
        <w:spacing w:after="0" w:line="148" w:lineRule="exact"/>
        <w:rPr>
          <w:sz w:val="20"/>
          <w:szCs w:val="20"/>
          <w:color w:val="auto"/>
        </w:rPr>
      </w:pPr>
    </w:p>
    <w:p>
      <w:pPr>
        <w:jc w:val="both"/>
        <w:ind w:hanging="11"/>
        <w:spacing w:after="0" w:line="244" w:lineRule="auto"/>
        <w:rPr>
          <w:sz w:val="20"/>
          <w:szCs w:val="20"/>
          <w:color w:val="auto"/>
        </w:rPr>
      </w:pPr>
      <w:r>
        <w:rPr>
          <w:rFonts w:ascii="Times New Roman" w:cs="Times New Roman" w:eastAsia="Times New Roman" w:hAnsi="Times New Roman"/>
          <w:sz w:val="21"/>
          <w:szCs w:val="21"/>
          <w:color w:val="auto"/>
        </w:rPr>
        <w:t>Section 13.</w:t>
      </w:r>
      <w:r>
        <w:rPr>
          <w:sz w:val="20"/>
          <w:szCs w:val="20"/>
          <w:color w:val="auto"/>
        </w:rPr>
        <w:t xml:space="preserve"> </w:t>
      </w:r>
      <w:r>
        <w:rPr>
          <w:rFonts w:ascii="Times New Roman" w:cs="Times New Roman" w:eastAsia="Times New Roman" w:hAnsi="Times New Roman"/>
          <w:sz w:val="21"/>
          <w:szCs w:val="21"/>
          <w:u w:val="single" w:color="auto"/>
          <w:color w:val="auto"/>
        </w:rPr>
        <w:t>Amendment or Modification; Waiver</w:t>
      </w:r>
      <w:r>
        <w:rPr>
          <w:rFonts w:ascii="Times New Roman" w:cs="Times New Roman" w:eastAsia="Times New Roman" w:hAnsi="Times New Roman"/>
          <w:sz w:val="21"/>
          <w:szCs w:val="21"/>
          <w:color w:val="auto"/>
        </w:rPr>
        <w:t>. This Agreement may be amended, modified, superseded, canceled, renewed or</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extended, and the terms or covenants hereof may be waived, only by a written instrument executed on behalf of the Company (as authorized by the</w:t>
      </w:r>
    </w:p>
    <w:p>
      <w:pPr>
        <w:spacing w:after="0" w:line="239" w:lineRule="exact"/>
        <w:rPr>
          <w:sz w:val="20"/>
          <w:szCs w:val="20"/>
          <w:color w:val="auto"/>
        </w:rPr>
      </w:pPr>
    </w:p>
    <w:p>
      <w:pPr>
        <w:jc w:val="both"/>
        <w:ind w:hanging="11"/>
        <w:spacing w:after="0" w:line="235" w:lineRule="auto"/>
        <w:rPr>
          <w:sz w:val="20"/>
          <w:szCs w:val="20"/>
          <w:color w:val="auto"/>
        </w:rPr>
      </w:pPr>
      <w:r>
        <w:rPr>
          <w:rFonts w:ascii="Times New Roman" w:cs="Times New Roman" w:eastAsia="Times New Roman" w:hAnsi="Times New Roman"/>
          <w:sz w:val="21"/>
          <w:szCs w:val="21"/>
          <w:color w:val="auto"/>
        </w:rPr>
        <w:t>Committee) and the Participant. The Units are not intended to constitute “nonqualified deferred compensation” within the meaning of Code Section 409A. However, notwithstanding the foregoing, the Company may, but shall not be required to, amend this Agreement or adopt other policies and procedures, prospectively or retroactively, or take any other actions, without obtaining the consent of the Participant, to the extent necessary or appropriate (as determined by the Company in its sole discretion) to meet the requirements of Code Section 409A and the guidance issued thereunder such that the additional taxes and penalties set forth in Code Section 409A(a) (i)(B) will not apply to transactions contemplated by the this Agreement. The Company shall have no liability whatsoever for or in respect of any decision to take action to attempt to so comply with Code Section 409A, any omission to take such action or for the failure of any such action taken by the Company to so comply.</w:t>
      </w:r>
    </w:p>
    <w:p>
      <w:pPr>
        <w:spacing w:after="0" w:line="165" w:lineRule="exact"/>
        <w:rPr>
          <w:sz w:val="20"/>
          <w:szCs w:val="20"/>
          <w:color w:val="auto"/>
        </w:rPr>
      </w:pPr>
    </w:p>
    <w:p>
      <w:pPr>
        <w:jc w:val="both"/>
        <w:ind w:hanging="11"/>
        <w:spacing w:after="0" w:line="250" w:lineRule="auto"/>
        <w:rPr>
          <w:sz w:val="20"/>
          <w:szCs w:val="20"/>
          <w:color w:val="auto"/>
        </w:rPr>
      </w:pPr>
      <w:r>
        <w:rPr>
          <w:rFonts w:ascii="Times New Roman" w:cs="Times New Roman" w:eastAsia="Times New Roman" w:hAnsi="Times New Roman"/>
          <w:sz w:val="21"/>
          <w:szCs w:val="21"/>
          <w:color w:val="auto"/>
        </w:rPr>
        <w:t>Section 14.</w:t>
      </w:r>
      <w:r>
        <w:rPr>
          <w:sz w:val="20"/>
          <w:szCs w:val="20"/>
          <w:color w:val="auto"/>
        </w:rPr>
        <w:t xml:space="preserve"> </w:t>
      </w:r>
      <w:r>
        <w:rPr>
          <w:rFonts w:ascii="Times New Roman" w:cs="Times New Roman" w:eastAsia="Times New Roman" w:hAnsi="Times New Roman"/>
          <w:sz w:val="21"/>
          <w:szCs w:val="21"/>
          <w:u w:val="single" w:color="auto"/>
          <w:color w:val="auto"/>
        </w:rPr>
        <w:t>Participant Undertaking</w:t>
      </w:r>
      <w:r>
        <w:rPr>
          <w:rFonts w:ascii="Times New Roman" w:cs="Times New Roman" w:eastAsia="Times New Roman" w:hAnsi="Times New Roman"/>
          <w:sz w:val="21"/>
          <w:szCs w:val="21"/>
          <w:color w:val="auto"/>
        </w:rPr>
        <w:t>. The Participant hereby agrees to take whatever additional actions and execute whatever</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additional documents the Company may, in its reasonable judgment, deem necessary or advisable in order to carry out or effect one or more of the obligations or restrictions imposed on the Participant pursuant to the express provisions of this Agreement.</w:t>
      </w:r>
    </w:p>
    <w:p>
      <w:pPr>
        <w:spacing w:after="0" w:line="135" w:lineRule="exact"/>
        <w:rPr>
          <w:sz w:val="20"/>
          <w:szCs w:val="20"/>
          <w:color w:val="auto"/>
        </w:rPr>
      </w:pPr>
    </w:p>
    <w:p>
      <w:pPr>
        <w:jc w:val="both"/>
        <w:ind w:hanging="11"/>
        <w:spacing w:after="0" w:line="266" w:lineRule="auto"/>
        <w:rPr>
          <w:sz w:val="20"/>
          <w:szCs w:val="20"/>
          <w:color w:val="auto"/>
        </w:rPr>
      </w:pPr>
      <w:r>
        <w:rPr>
          <w:rFonts w:ascii="Times New Roman" w:cs="Times New Roman" w:eastAsia="Times New Roman" w:hAnsi="Times New Roman"/>
          <w:sz w:val="21"/>
          <w:szCs w:val="21"/>
          <w:color w:val="auto"/>
        </w:rPr>
        <w:t>Section 15.</w:t>
      </w:r>
      <w:r>
        <w:rPr>
          <w:sz w:val="20"/>
          <w:szCs w:val="20"/>
          <w:color w:val="auto"/>
        </w:rPr>
        <w:t xml:space="preserve">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construed and enforced in accordance with the laws of the State of Delaware,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without giving effect to the principles of conflicts of law thereof.</w:t>
      </w:r>
    </w:p>
    <w:p>
      <w:pPr>
        <w:spacing w:after="0" w:line="132" w:lineRule="exact"/>
        <w:rPr>
          <w:sz w:val="20"/>
          <w:szCs w:val="20"/>
          <w:color w:val="auto"/>
        </w:rPr>
      </w:pPr>
    </w:p>
    <w:p>
      <w:pPr>
        <w:jc w:val="both"/>
        <w:ind w:hanging="11"/>
        <w:spacing w:after="0" w:line="266" w:lineRule="auto"/>
        <w:rPr>
          <w:sz w:val="20"/>
          <w:szCs w:val="20"/>
          <w:color w:val="auto"/>
        </w:rPr>
      </w:pPr>
      <w:r>
        <w:rPr>
          <w:rFonts w:ascii="Times New Roman" w:cs="Times New Roman" w:eastAsia="Times New Roman" w:hAnsi="Times New Roman"/>
          <w:sz w:val="21"/>
          <w:szCs w:val="21"/>
          <w:color w:val="auto"/>
        </w:rPr>
        <w:t xml:space="preserve">Section 16. </w:t>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Capitalized terms used in this Agreement and not otherwise defined herein have the meaning ascribed to them in the Plan.</w:t>
      </w:r>
    </w:p>
    <w:p>
      <w:pPr>
        <w:spacing w:after="0" w:line="132" w:lineRule="exact"/>
        <w:rPr>
          <w:sz w:val="20"/>
          <w:szCs w:val="20"/>
          <w:color w:val="auto"/>
        </w:rPr>
      </w:pPr>
    </w:p>
    <w:p>
      <w:pPr>
        <w:jc w:val="center"/>
        <w:ind w:right="80"/>
        <w:spacing w:after="0" w:line="474" w:lineRule="auto"/>
        <w:rPr>
          <w:sz w:val="20"/>
          <w:szCs w:val="20"/>
          <w:color w:val="auto"/>
        </w:rPr>
      </w:pPr>
      <w:r>
        <w:rPr>
          <w:rFonts w:ascii="Times New Roman" w:cs="Times New Roman" w:eastAsia="Times New Roman" w:hAnsi="Times New Roman"/>
          <w:sz w:val="21"/>
          <w:szCs w:val="21"/>
          <w:color w:val="auto"/>
        </w:rPr>
        <w:t xml:space="preserve">Section 17. </w:t>
      </w:r>
      <w:r>
        <w:rPr>
          <w:rFonts w:ascii="Times New Roman" w:cs="Times New Roman" w:eastAsia="Times New Roman" w:hAnsi="Times New Roman"/>
          <w:sz w:val="21"/>
          <w:szCs w:val="21"/>
          <w:u w:val="single" w:color="auto"/>
          <w:color w:val="auto"/>
        </w:rPr>
        <w:t>Captions</w:t>
      </w:r>
      <w:r>
        <w:rPr>
          <w:rFonts w:ascii="Times New Roman" w:cs="Times New Roman" w:eastAsia="Times New Roman" w:hAnsi="Times New Roman"/>
          <w:sz w:val="21"/>
          <w:szCs w:val="21"/>
          <w:color w:val="auto"/>
        </w:rPr>
        <w:t>. The use of captions in the Plan is for convenience. The captions are not intended to provide substantive rights.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153275"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0" w:name="page141"/>
    <w:bookmarkEnd w:id="140"/>
    <w:p>
      <w:pPr>
        <w:jc w:val="both"/>
        <w:ind w:hanging="11"/>
        <w:spacing w:after="0" w:line="249" w:lineRule="auto"/>
        <w:rPr>
          <w:sz w:val="20"/>
          <w:szCs w:val="20"/>
          <w:color w:val="auto"/>
        </w:rPr>
      </w:pPr>
      <w:r>
        <w:rPr>
          <w:rFonts w:ascii="Times New Roman" w:cs="Times New Roman" w:eastAsia="Times New Roman" w:hAnsi="Times New Roman"/>
          <w:sz w:val="21"/>
          <w:szCs w:val="21"/>
          <w:color w:val="auto"/>
        </w:rPr>
        <w:t xml:space="preserve">Section 18. </w:t>
      </w:r>
      <w:r>
        <w:rPr>
          <w:rFonts w:ascii="Times New Roman" w:cs="Times New Roman" w:eastAsia="Times New Roman" w:hAnsi="Times New Roman"/>
          <w:sz w:val="21"/>
          <w:szCs w:val="21"/>
          <w:u w:val="single" w:color="auto"/>
          <w:color w:val="auto"/>
        </w:rPr>
        <w:t>The Plan</w:t>
      </w:r>
      <w:r>
        <w:rPr>
          <w:rFonts w:ascii="Times New Roman" w:cs="Times New Roman" w:eastAsia="Times New Roman" w:hAnsi="Times New Roman"/>
          <w:sz w:val="21"/>
          <w:szCs w:val="21"/>
          <w:color w:val="auto"/>
        </w:rPr>
        <w:t>. The Participant acknowledges having received a copy of the Plan. The Units herein granted are subject to all of the terms and provisions of the Plan, all of which are hereby incorporated herein by reference. In the event of any inconsistency between the provisions of this Agreement and the provisions of the Plan, the provisions of the Plan shall govern.</w:t>
      </w:r>
    </w:p>
    <w:p>
      <w:pPr>
        <w:spacing w:after="0" w:line="150" w:lineRule="exact"/>
        <w:rPr>
          <w:sz w:val="20"/>
          <w:szCs w:val="20"/>
          <w:color w:val="auto"/>
        </w:rPr>
      </w:pPr>
    </w:p>
    <w:p>
      <w:pPr>
        <w:jc w:val="both"/>
        <w:ind w:hanging="11"/>
        <w:spacing w:after="0" w:line="250" w:lineRule="auto"/>
        <w:rPr>
          <w:sz w:val="20"/>
          <w:szCs w:val="20"/>
          <w:color w:val="auto"/>
        </w:rPr>
      </w:pPr>
      <w:r>
        <w:rPr>
          <w:rFonts w:ascii="Times New Roman" w:cs="Times New Roman" w:eastAsia="Times New Roman" w:hAnsi="Times New Roman"/>
          <w:sz w:val="21"/>
          <w:szCs w:val="21"/>
          <w:color w:val="auto"/>
        </w:rPr>
        <w:t>Section 19.</w:t>
      </w:r>
      <w:r>
        <w:rPr>
          <w:sz w:val="20"/>
          <w:szCs w:val="20"/>
          <w:color w:val="auto"/>
        </w:rPr>
        <w:t xml:space="preserve">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the Plan or this Agreement shall not affect the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validity or enforceability of any other provision of the Plan or this Agreement, and each provision of the Plan and this Agreement shall be severable and enforceable to the extent permitted by law.</w:t>
      </w:r>
    </w:p>
    <w:p>
      <w:pPr>
        <w:spacing w:after="0" w:line="135" w:lineRule="exact"/>
        <w:rPr>
          <w:sz w:val="20"/>
          <w:szCs w:val="20"/>
          <w:color w:val="auto"/>
        </w:rPr>
      </w:pPr>
    </w:p>
    <w:p>
      <w:pPr>
        <w:jc w:val="both"/>
        <w:ind w:hanging="11"/>
        <w:spacing w:after="0" w:line="242" w:lineRule="auto"/>
        <w:rPr>
          <w:sz w:val="20"/>
          <w:szCs w:val="20"/>
          <w:color w:val="auto"/>
        </w:rPr>
      </w:pPr>
      <w:r>
        <w:rPr>
          <w:rFonts w:ascii="Times New Roman" w:cs="Times New Roman" w:eastAsia="Times New Roman" w:hAnsi="Times New Roman"/>
          <w:sz w:val="21"/>
          <w:szCs w:val="21"/>
          <w:color w:val="auto"/>
        </w:rPr>
        <w:t>Section 20.</w:t>
      </w:r>
      <w:r>
        <w:rPr>
          <w:sz w:val="20"/>
          <w:szCs w:val="20"/>
          <w:color w:val="auto"/>
        </w:rPr>
        <w:t xml:space="preserve">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counterparts, each of which shall be deemed an original but all of</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153275"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1"/>
          <w:szCs w:val="21"/>
          <w:b w:val="1"/>
          <w:bCs w:val="1"/>
          <w:color w:val="auto"/>
        </w:rPr>
        <w:t>VROOM,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By: _________________________________________</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1"/>
          <w:szCs w:val="21"/>
          <w:color w:val="auto"/>
        </w:rPr>
        <w:t>C. Denise Stott, Chief People &amp; Culture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PARTICIPANT</w:t>
      </w:r>
    </w:p>
    <w:p>
      <w:pPr>
        <w:spacing w:after="0" w:line="207" w:lineRule="exact"/>
        <w:rPr>
          <w:sz w:val="20"/>
          <w:szCs w:val="20"/>
          <w:color w:val="auto"/>
        </w:rPr>
      </w:pPr>
    </w:p>
    <w:p>
      <w:pPr>
        <w:ind w:hanging="11"/>
        <w:spacing w:after="0" w:line="266" w:lineRule="auto"/>
        <w:rPr>
          <w:sz w:val="20"/>
          <w:szCs w:val="20"/>
          <w:color w:val="auto"/>
        </w:rPr>
      </w:pPr>
      <w:r>
        <w:rPr>
          <w:rFonts w:ascii="Times New Roman" w:cs="Times New Roman" w:eastAsia="Times New Roman" w:hAnsi="Times New Roman"/>
          <w:sz w:val="21"/>
          <w:szCs w:val="21"/>
          <w:color w:val="auto"/>
        </w:rPr>
        <w:t>I, the undersigned, hereby acknowledge receipt of a copy of the Plan and accept the Units subject to all of the terms and provisions thereof.</w:t>
      </w:r>
    </w:p>
    <w:p>
      <w:pPr>
        <w:spacing w:after="0" w:line="200" w:lineRule="exact"/>
        <w:rPr>
          <w:sz w:val="20"/>
          <w:szCs w:val="20"/>
          <w:color w:val="auto"/>
        </w:rPr>
      </w:pP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u w:val="single" w:color="auto"/>
          <w:color w:val="auto"/>
        </w:rPr>
        <w:t>______________________________________________</w:t>
      </w:r>
    </w:p>
    <w:p>
      <w:pPr>
        <w:spacing w:after="0" w:line="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FF0000"/>
        </w:rPr>
        <w:t>[Employee Name]</w:t>
      </w:r>
    </w:p>
    <w:p>
      <w:pPr>
        <w:spacing w:after="0" w:line="200" w:lineRule="exact"/>
        <w:rPr>
          <w:sz w:val="20"/>
          <w:szCs w:val="20"/>
          <w:color w:val="auto"/>
        </w:rPr>
      </w:pPr>
    </w:p>
    <w:p>
      <w:pPr>
        <w:spacing w:after="0" w:line="2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 xml:space="preserve">Date: </w:t>
      </w:r>
      <w:r>
        <w:rPr>
          <w:rFonts w:ascii="Times New Roman" w:cs="Times New Roman" w:eastAsia="Times New Roman" w:hAnsi="Times New Roman"/>
          <w:sz w:val="21"/>
          <w:szCs w:val="21"/>
          <w:u w:val="single" w:color="auto"/>
          <w:color w:val="auto"/>
        </w:rPr>
        <w:t>__________________________________________</w:t>
      </w:r>
    </w:p>
    <w:p>
      <w:pPr>
        <w:spacing w:after="0" w:line="24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63500</wp:posOffset>
            </wp:positionV>
            <wp:extent cx="3705225" cy="5899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3705225" cy="58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153275"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21"/>
          <w:szCs w:val="21"/>
          <w:b w:val="1"/>
          <w:bCs w:val="1"/>
          <w:color w:val="auto"/>
        </w:rPr>
        <w:t>SCHEDULE A</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Name of Participant</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Date of Grant</w:t>
      </w:r>
      <w:r>
        <w:rPr>
          <w:rFonts w:ascii="Times New Roman" w:cs="Times New Roman" w:eastAsia="Times New Roman" w:hAnsi="Times New Roman"/>
          <w:sz w:val="19"/>
          <w:szCs w:val="19"/>
          <w:color w:val="auto"/>
        </w:rPr>
        <w:t>: May 14, 2020</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Number of Units</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Vesting Commencement Date</w:t>
      </w:r>
      <w:r>
        <w:rPr>
          <w:rFonts w:ascii="Times New Roman" w:cs="Times New Roman" w:eastAsia="Times New Roman" w:hAnsi="Times New Roman"/>
          <w:sz w:val="19"/>
          <w:szCs w:val="19"/>
          <w:color w:val="auto"/>
        </w:rPr>
        <w:t>: March 4, 2020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Vesting Terms</w:t>
      </w:r>
      <w:r>
        <w:rPr>
          <w:rFonts w:ascii="Times New Roman" w:cs="Times New Roman" w:eastAsia="Times New Roman" w:hAnsi="Times New Roman"/>
          <w:sz w:val="19"/>
          <w:szCs w:val="19"/>
          <w:color w:val="auto"/>
        </w:rPr>
        <w:t>:</w:t>
      </w:r>
    </w:p>
    <w:p>
      <w:pPr>
        <w:spacing w:after="0" w:line="213" w:lineRule="exact"/>
        <w:rPr>
          <w:sz w:val="20"/>
          <w:szCs w:val="20"/>
          <w:color w:val="auto"/>
        </w:rPr>
      </w:pPr>
    </w:p>
    <w:p>
      <w:pPr>
        <w:jc w:val="both"/>
        <w:ind w:hanging="11"/>
        <w:spacing w:after="0" w:line="247" w:lineRule="auto"/>
        <w:rPr>
          <w:sz w:val="20"/>
          <w:szCs w:val="20"/>
          <w:color w:val="auto"/>
        </w:rPr>
      </w:pPr>
      <w:r>
        <w:rPr>
          <w:rFonts w:ascii="Times New Roman" w:cs="Times New Roman" w:eastAsia="Times New Roman" w:hAnsi="Times New Roman"/>
          <w:sz w:val="19"/>
          <w:szCs w:val="19"/>
          <w:color w:val="auto"/>
        </w:rPr>
        <w:t>Subject to the Participant’s Continuous Service through the applicable vesting date: 100% of the Units shall become vested on the third anniversary of the commencement date; provided, however, that, notwithstanding the foregoing, if an IPO occurs prior to the third anniversary of the commencement date, the Units shall become vested as follows: (a) if the IPO occurs prior to the first anniversary of the commencement date, the Units shall become vested in equal installments of 1/3 each on the first anniversary of the commencement date, the second anniversary of the commencement date and the third anniversary of the commencement date; (b) if the IPO occurs on or following the first anniversary of the commencement date and prior to the second anniversary of the commencement date, 1/3 of the Units shall become vested upon the occurrence of the IPO and the remaining 2/3 of the Units shall become vested in equal installments of 1/3 each on the second anniversary of the commencement date and the third anniversary of the commencement date; and (c) if the IPO occurs on or following the second anniversary of the commencement date and prior to the third anniversary of the commencement date, 2/3 of the Units shall become vested upon the occurrence of the IPO and the remaining 1/3 of the Units shall become vested on the third anniversary of the commencement date. If the Participant’s Continuous Service terminates, all Units that have not become vested on or prior to the date such Continuous Service terminates will thereupon be automatically forfeited by the Participant without payment of any consideration therefor.</w:t>
      </w:r>
    </w:p>
    <w:p>
      <w:pPr>
        <w:spacing w:after="0" w:line="191" w:lineRule="exact"/>
        <w:rPr>
          <w:sz w:val="20"/>
          <w:szCs w:val="20"/>
          <w:color w:val="auto"/>
        </w:rPr>
      </w:pPr>
    </w:p>
    <w:p>
      <w:pPr>
        <w:jc w:val="both"/>
        <w:ind w:hanging="11"/>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IPO</w:t>
      </w:r>
      <w:r>
        <w:rPr>
          <w:rFonts w:ascii="Times New Roman" w:cs="Times New Roman" w:eastAsia="Times New Roman" w:hAnsi="Times New Roman"/>
          <w:sz w:val="19"/>
          <w:szCs w:val="19"/>
          <w:color w:val="auto"/>
        </w:rPr>
        <w:t>” means the consummation of a firm commitment underwritten public offering for shares of Common Stock pursuant to an effective registration statement on Form S-1 filed with the Securities and Exchange Commission under the Securities Act.</w:t>
      </w:r>
    </w:p>
    <w:p>
      <w:pPr>
        <w:spacing w:after="0"/>
        <w:rPr>
          <w:sz w:val="20"/>
          <w:szCs w:val="20"/>
          <w:color w:val="auto"/>
        </w:rPr>
      </w:pPr>
      <w:r>
        <w:rPr>
          <w:rFonts w:ascii="Times New Roman" w:cs="Times New Roman" w:eastAsia="Times New Roman" w:hAnsi="Times New Roman"/>
          <w:sz w:val="17"/>
          <w:szCs w:val="17"/>
          <w:color w:val="auto"/>
        </w:rPr>
        <w:t>The following examples assume a vesting commencement date of May 18, 2020.</w:t>
      </w:r>
    </w:p>
    <w:p>
      <w:pPr>
        <w:spacing w:after="0" w:line="186" w:lineRule="exact"/>
        <w:rPr>
          <w:sz w:val="20"/>
          <w:szCs w:val="20"/>
          <w:color w:val="auto"/>
        </w:rPr>
      </w:pPr>
    </w:p>
    <w:p>
      <w:pPr>
        <w:jc w:val="both"/>
        <w:ind w:hanging="11"/>
        <w:spacing w:after="0" w:line="296" w:lineRule="auto"/>
        <w:rPr>
          <w:sz w:val="20"/>
          <w:szCs w:val="20"/>
          <w:color w:val="auto"/>
        </w:rPr>
      </w:pPr>
      <w:r>
        <w:rPr>
          <w:rFonts w:ascii="Times New Roman" w:cs="Times New Roman" w:eastAsia="Times New Roman" w:hAnsi="Times New Roman"/>
          <w:sz w:val="17"/>
          <w:szCs w:val="17"/>
          <w:u w:val="single" w:color="auto"/>
          <w:color w:val="auto"/>
        </w:rPr>
        <w:t>Example 1</w:t>
      </w:r>
      <w:r>
        <w:rPr>
          <w:rFonts w:ascii="Times New Roman" w:cs="Times New Roman" w:eastAsia="Times New Roman" w:hAnsi="Times New Roman"/>
          <w:sz w:val="17"/>
          <w:szCs w:val="17"/>
          <w:color w:val="auto"/>
        </w:rPr>
        <w:t>. If an IPO occurs on June 4, 2022, 2/3 of the Units shall be vested upon the consummation of the IPO and the remaining 1/3 of the Units shall be vested on May 18, 2023, subject to the Participant’s continued services through each applicable vesting date.</w:t>
      </w:r>
    </w:p>
    <w:p>
      <w:pPr>
        <w:spacing w:after="0" w:line="120" w:lineRule="exact"/>
        <w:rPr>
          <w:sz w:val="20"/>
          <w:szCs w:val="20"/>
          <w:color w:val="auto"/>
        </w:rPr>
      </w:pPr>
    </w:p>
    <w:p>
      <w:pPr>
        <w:jc w:val="both"/>
        <w:ind w:hanging="11"/>
        <w:spacing w:after="0" w:line="296" w:lineRule="auto"/>
        <w:rPr>
          <w:sz w:val="20"/>
          <w:szCs w:val="20"/>
          <w:color w:val="auto"/>
        </w:rPr>
      </w:pPr>
      <w:r>
        <w:rPr>
          <w:rFonts w:ascii="Times New Roman" w:cs="Times New Roman" w:eastAsia="Times New Roman" w:hAnsi="Times New Roman"/>
          <w:sz w:val="17"/>
          <w:szCs w:val="17"/>
          <w:u w:val="single" w:color="auto"/>
          <w:color w:val="auto"/>
        </w:rPr>
        <w:t>Example 2</w:t>
      </w:r>
      <w:r>
        <w:rPr>
          <w:rFonts w:ascii="Times New Roman" w:cs="Times New Roman" w:eastAsia="Times New Roman" w:hAnsi="Times New Roman"/>
          <w:sz w:val="17"/>
          <w:szCs w:val="17"/>
          <w:color w:val="auto"/>
        </w:rPr>
        <w:t>. If no IPO occurs prior to May 18, 2023 and the Participant’s services with the Company have continued through such date, 100% of the Units shall be vested on May 18, 2023.</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u w:val="single" w:color="auto"/>
          <w:color w:val="auto"/>
        </w:rPr>
        <w:t>Withholding Tax Election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b w:val="1"/>
          <w:bCs w:val="1"/>
          <w:i w:val="1"/>
          <w:iCs w:val="1"/>
          <w:color w:val="auto"/>
        </w:rPr>
        <w:t>The Participant has carefully reviewed Section 4 of the Agreement and the Participant hereby represents and warrants that 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b w:val="1"/>
          <w:bCs w:val="1"/>
          <w:i w:val="1"/>
          <w:iCs w:val="1"/>
          <w:color w:val="auto"/>
        </w:rPr>
        <w:t>the date hereof he or she is not aware of any material, nonpublic information with respect to the Company or any securities of the Company, and is entering into the Agreement and this election to “sell to cover” in good faith and not as part of a plan or scheme to evade the prohibitions of Rule 10b5-1 under the Securities Exchange Act of 1934, as amended (the “Exchange Act”). It is the Participant’s intent that this election to “sell to cover” comply with the requirements of Rule 10b51(c)(1)(i)(B) under the Exchange Act and be interpreted to comply with the requirements of Rule 10b5-1(c) under the Exchange Act.</w:t>
      </w:r>
    </w:p>
    <w:p>
      <w:pPr>
        <w:sectPr>
          <w:pgSz w:w="11900" w:h="16838" w:orient="portrait"/>
          <w:cols w:equalWidth="0" w:num="1">
            <w:col w:w="11240"/>
          </w:cols>
          <w:pgMar w:left="320" w:top="330" w:right="339" w:bottom="1440" w:gutter="0" w:footer="0" w:header="0"/>
        </w:sectPr>
      </w:pPr>
    </w:p>
    <w:bookmarkStart w:id="143" w:name="page144"/>
    <w:bookmarkEnd w:id="143"/>
    <w:p>
      <w:pPr>
        <w:ind w:left="10060"/>
        <w:spacing w:after="0"/>
        <w:rPr>
          <w:sz w:val="20"/>
          <w:szCs w:val="20"/>
          <w:color w:val="auto"/>
        </w:rPr>
      </w:pPr>
      <w:r>
        <w:rPr>
          <w:rFonts w:ascii="Times New Roman" w:cs="Times New Roman" w:eastAsia="Times New Roman" w:hAnsi="Times New Roman"/>
          <w:sz w:val="20"/>
          <w:szCs w:val="20"/>
          <w:b w:val="1"/>
          <w:bCs w:val="1"/>
          <w:color w:val="auto"/>
        </w:rPr>
        <w:t>Exhibit 10.11</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VROOM,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EXECUTIVE SEVERANCE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Effective March 1, 2021</w:t>
      </w:r>
    </w:p>
    <w:p>
      <w:pPr>
        <w:spacing w:after="0" w:line="385" w:lineRule="exact"/>
        <w:rPr>
          <w:sz w:val="20"/>
          <w:szCs w:val="20"/>
          <w:color w:val="auto"/>
        </w:rPr>
      </w:pPr>
    </w:p>
    <w:p>
      <w:pPr>
        <w:ind w:left="1660" w:hanging="791"/>
        <w:spacing w:after="0"/>
        <w:tabs>
          <w:tab w:leader="none" w:pos="166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14"/>
          <w:szCs w:val="14"/>
          <w:b w:val="1"/>
          <w:bCs w:val="1"/>
          <w:color w:val="auto"/>
        </w:rPr>
        <w:t>STABLISHMENT AND</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4"/>
          <w:szCs w:val="14"/>
          <w:b w:val="1"/>
          <w:bCs w:val="1"/>
          <w:color w:val="auto"/>
        </w:rPr>
        <w:t>URPOSE</w:t>
      </w:r>
    </w:p>
    <w:p>
      <w:pPr>
        <w:spacing w:after="0" w:line="203"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1"/>
          <w:szCs w:val="21"/>
          <w:color w:val="auto"/>
        </w:rPr>
        <w:t>The Vroom, Inc. Executive Severance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was established by the Board of Directors of Vroom, Inc.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effective as of March 1, 2021. The purpose of this Plan is to promote the interests of Vroom,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and its stockholders by retaining certain executive-level employees through the provision of severance protections to such employees in the event their employment is terminated under the circumstances described in this Plan.</w:t>
      </w:r>
    </w:p>
    <w:p>
      <w:pPr>
        <w:spacing w:after="0" w:line="161" w:lineRule="exact"/>
        <w:rPr>
          <w:sz w:val="20"/>
          <w:szCs w:val="20"/>
          <w:color w:val="auto"/>
        </w:rPr>
      </w:pPr>
    </w:p>
    <w:p>
      <w:pPr>
        <w:ind w:left="1660" w:hanging="791"/>
        <w:spacing w:after="0"/>
        <w:tabs>
          <w:tab w:leader="none" w:pos="166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w:t>
      </w:r>
      <w:r>
        <w:rPr>
          <w:rFonts w:ascii="Times New Roman" w:cs="Times New Roman" w:eastAsia="Times New Roman" w:hAnsi="Times New Roman"/>
          <w:sz w:val="14"/>
          <w:szCs w:val="14"/>
          <w:b w:val="1"/>
          <w:bCs w:val="1"/>
          <w:color w:val="auto"/>
        </w:rPr>
        <w:t>EFINITIONS AND</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4"/>
          <w:szCs w:val="14"/>
          <w:b w:val="1"/>
          <w:bCs w:val="1"/>
          <w:color w:val="auto"/>
        </w:rPr>
        <w:t>ONSTRUCTION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20" w:type="dxa"/>
            <w:vAlign w:val="bottom"/>
            <w:gridSpan w:val="2"/>
          </w:tcPr>
          <w:p>
            <w:pPr>
              <w:jc w:val="right"/>
              <w:ind w:right="415"/>
              <w:spacing w:after="0"/>
              <w:rPr>
                <w:sz w:val="20"/>
                <w:szCs w:val="20"/>
                <w:color w:val="auto"/>
              </w:rPr>
            </w:pPr>
            <w:r>
              <w:rPr>
                <w:rFonts w:ascii="Times New Roman" w:cs="Times New Roman" w:eastAsia="Times New Roman" w:hAnsi="Times New Roman"/>
                <w:sz w:val="21"/>
                <w:szCs w:val="21"/>
                <w:color w:val="auto"/>
              </w:rPr>
              <w:t>2.1</w:t>
            </w:r>
          </w:p>
        </w:tc>
        <w:tc>
          <w:tcPr>
            <w:tcW w:w="280" w:type="dxa"/>
            <w:vAlign w:val="bottom"/>
          </w:tcPr>
          <w:p>
            <w:pPr>
              <w:spacing w:after="0"/>
              <w:rPr>
                <w:sz w:val="21"/>
                <w:szCs w:val="21"/>
                <w:color w:val="auto"/>
              </w:rPr>
            </w:pPr>
          </w:p>
        </w:tc>
        <w:tc>
          <w:tcPr>
            <w:tcW w:w="844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Definitions</w:t>
            </w:r>
            <w:r>
              <w:rPr>
                <w:rFonts w:ascii="Times New Roman" w:cs="Times New Roman" w:eastAsia="Times New Roman" w:hAnsi="Times New Roman"/>
                <w:sz w:val="21"/>
                <w:szCs w:val="21"/>
                <w:color w:val="auto"/>
              </w:rPr>
              <w:t>.  Whenever used in this Plan, capitalized terms shall have the same meaning as set</w:t>
            </w:r>
          </w:p>
        </w:tc>
      </w:tr>
      <w:tr>
        <w:trPr>
          <w:trHeight w:val="224"/>
        </w:trPr>
        <w:tc>
          <w:tcPr>
            <w:tcW w:w="2800" w:type="dxa"/>
            <w:vAlign w:val="bottom"/>
            <w:gridSpan w:val="3"/>
          </w:tcPr>
          <w:p>
            <w:pPr>
              <w:spacing w:after="0" w:line="224" w:lineRule="exact"/>
              <w:rPr>
                <w:sz w:val="20"/>
                <w:szCs w:val="20"/>
                <w:color w:val="auto"/>
              </w:rPr>
            </w:pPr>
            <w:r>
              <w:rPr>
                <w:rFonts w:ascii="Times New Roman" w:cs="Times New Roman" w:eastAsia="Times New Roman" w:hAnsi="Times New Roman"/>
                <w:sz w:val="21"/>
                <w:szCs w:val="21"/>
                <w:color w:val="auto"/>
              </w:rPr>
              <w:t>forth herein or in Appendix A.</w:t>
            </w:r>
          </w:p>
        </w:tc>
        <w:tc>
          <w:tcPr>
            <w:tcW w:w="8440" w:type="dxa"/>
            <w:vAlign w:val="bottom"/>
          </w:tcPr>
          <w:p>
            <w:pPr>
              <w:spacing w:after="0"/>
              <w:rPr>
                <w:sz w:val="19"/>
                <w:szCs w:val="19"/>
                <w:color w:val="auto"/>
              </w:rPr>
            </w:pPr>
          </w:p>
        </w:tc>
      </w:tr>
      <w:tr>
        <w:trPr>
          <w:trHeight w:val="461"/>
        </w:trPr>
        <w:tc>
          <w:tcPr>
            <w:tcW w:w="1480" w:type="dxa"/>
            <w:vAlign w:val="bottom"/>
          </w:tcPr>
          <w:p>
            <w:pPr>
              <w:spacing w:after="0"/>
              <w:rPr>
                <w:sz w:val="24"/>
                <w:szCs w:val="24"/>
                <w:color w:val="auto"/>
              </w:rPr>
            </w:pPr>
          </w:p>
        </w:tc>
        <w:tc>
          <w:tcPr>
            <w:tcW w:w="104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21"/>
                <w:szCs w:val="21"/>
                <w:color w:val="auto"/>
              </w:rPr>
              <w:t>2.2</w:t>
            </w:r>
          </w:p>
        </w:tc>
        <w:tc>
          <w:tcPr>
            <w:tcW w:w="280" w:type="dxa"/>
            <w:vAlign w:val="bottom"/>
          </w:tcPr>
          <w:p>
            <w:pPr>
              <w:spacing w:after="0"/>
              <w:rPr>
                <w:sz w:val="24"/>
                <w:szCs w:val="24"/>
                <w:color w:val="auto"/>
              </w:rPr>
            </w:pPr>
          </w:p>
        </w:tc>
        <w:tc>
          <w:tcPr>
            <w:tcW w:w="844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 xml:space="preserve">Construction.  </w:t>
            </w:r>
            <w:r>
              <w:rPr>
                <w:rFonts w:ascii="Times New Roman" w:cs="Times New Roman" w:eastAsia="Times New Roman" w:hAnsi="Times New Roman"/>
                <w:sz w:val="21"/>
                <w:szCs w:val="21"/>
                <w:color w:val="auto"/>
              </w:rPr>
              <w:t>Captions and titles contained in this Plan are for convenience only and shall</w:t>
            </w:r>
          </w:p>
        </w:tc>
      </w:tr>
    </w:tbl>
    <w:p>
      <w:pPr>
        <w:jc w:val="both"/>
        <w:spacing w:after="0" w:line="239" w:lineRule="auto"/>
        <w:rPr>
          <w:sz w:val="20"/>
          <w:szCs w:val="20"/>
          <w:color w:val="auto"/>
        </w:rPr>
      </w:pPr>
      <w:r>
        <w:rPr>
          <w:rFonts w:ascii="Times New Roman" w:cs="Times New Roman" w:eastAsia="Times New Roman" w:hAnsi="Times New Roman"/>
          <w:sz w:val="21"/>
          <w:szCs w:val="21"/>
          <w:color w:val="auto"/>
        </w:rPr>
        <w:t>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66" w:lineRule="exact"/>
        <w:rPr>
          <w:sz w:val="20"/>
          <w:szCs w:val="20"/>
          <w:color w:val="auto"/>
        </w:rPr>
      </w:pPr>
    </w:p>
    <w:p>
      <w:pPr>
        <w:ind w:left="1660" w:hanging="791"/>
        <w:spacing w:after="0"/>
        <w:tabs>
          <w:tab w:leader="none" w:pos="16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w:t>
      </w:r>
      <w:r>
        <w:rPr>
          <w:rFonts w:ascii="Times New Roman" w:cs="Times New Roman" w:eastAsia="Times New Roman" w:hAnsi="Times New Roman"/>
          <w:sz w:val="14"/>
          <w:szCs w:val="14"/>
          <w:b w:val="1"/>
          <w:bCs w:val="1"/>
          <w:color w:val="auto"/>
        </w:rPr>
        <w:t>ARTICIPATION</w:t>
      </w:r>
    </w:p>
    <w:p>
      <w:pPr>
        <w:spacing w:after="0" w:line="20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Executive-level employees of the Company Group who are designated by the Committee by name, title, position, function, salary band, any other category deemed appropriate by the Committee, or any combination of the foregoing from time to time as Participants in this Plan. A list of Participants is set forth on </w:t>
      </w:r>
      <w:r>
        <w:rPr>
          <w:rFonts w:ascii="Times New Roman" w:cs="Times New Roman" w:eastAsia="Times New Roman" w:hAnsi="Times New Roman"/>
          <w:sz w:val="21"/>
          <w:szCs w:val="21"/>
          <w:u w:val="single" w:color="auto"/>
          <w:color w:val="auto"/>
        </w:rPr>
        <w:t>Appendix B</w:t>
      </w:r>
      <w:r>
        <w:rPr>
          <w:rFonts w:ascii="Times New Roman" w:cs="Times New Roman" w:eastAsia="Times New Roman" w:hAnsi="Times New Roman"/>
          <w:sz w:val="21"/>
          <w:szCs w:val="21"/>
          <w:color w:val="auto"/>
        </w:rPr>
        <w:t xml:space="preserve"> hereto (as such </w:t>
      </w:r>
      <w:r>
        <w:rPr>
          <w:rFonts w:ascii="Times New Roman" w:cs="Times New Roman" w:eastAsia="Times New Roman" w:hAnsi="Times New Roman"/>
          <w:sz w:val="21"/>
          <w:szCs w:val="21"/>
          <w:u w:val="single" w:color="auto"/>
          <w:color w:val="auto"/>
        </w:rPr>
        <w:t>Appendix B</w:t>
      </w:r>
      <w:r>
        <w:rPr>
          <w:rFonts w:ascii="Times New Roman" w:cs="Times New Roman" w:eastAsia="Times New Roman" w:hAnsi="Times New Roman"/>
          <w:sz w:val="21"/>
          <w:szCs w:val="21"/>
          <w:color w:val="auto"/>
        </w:rPr>
        <w:t xml:space="preserve"> may from time to time be amended by the Committee). In addition, as a condition to participation in this Plan, each individual agrees to be bound by, the terms and conditions of this Plan.</w:t>
      </w:r>
    </w:p>
    <w:p>
      <w:pPr>
        <w:spacing w:after="0" w:line="165" w:lineRule="exact"/>
        <w:rPr>
          <w:sz w:val="20"/>
          <w:szCs w:val="20"/>
          <w:color w:val="auto"/>
        </w:rPr>
      </w:pPr>
    </w:p>
    <w:p>
      <w:pPr>
        <w:ind w:left="1660" w:hanging="791"/>
        <w:spacing w:after="0"/>
        <w:tabs>
          <w:tab w:leader="none" w:pos="166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w:t>
      </w:r>
      <w:r>
        <w:rPr>
          <w:rFonts w:ascii="Times New Roman" w:cs="Times New Roman" w:eastAsia="Times New Roman" w:hAnsi="Times New Roman"/>
          <w:sz w:val="14"/>
          <w:szCs w:val="14"/>
          <w:b w:val="1"/>
          <w:bCs w:val="1"/>
          <w:color w:val="auto"/>
        </w:rPr>
        <w:t>ERMINATION OF</w:t>
      </w:r>
      <w:r>
        <w:rPr>
          <w:rFonts w:ascii="Times New Roman" w:cs="Times New Roman" w:eastAsia="Times New Roman" w:hAnsi="Times New Roman"/>
          <w:sz w:val="21"/>
          <w:szCs w:val="21"/>
          <w:b w:val="1"/>
          <w:bCs w:val="1"/>
          <w:color w:val="auto"/>
        </w:rPr>
        <w:t xml:space="preserve"> 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21"/>
          <w:szCs w:val="21"/>
          <w:b w:val="1"/>
          <w:bCs w:val="1"/>
          <w:color w:val="auto"/>
        </w:rPr>
        <w:t xml:space="preserve"> W</w:t>
      </w:r>
      <w:r>
        <w:rPr>
          <w:rFonts w:ascii="Times New Roman" w:cs="Times New Roman" w:eastAsia="Times New Roman" w:hAnsi="Times New Roman"/>
          <w:sz w:val="14"/>
          <w:szCs w:val="14"/>
          <w:b w:val="1"/>
          <w:bCs w:val="1"/>
          <w:color w:val="auto"/>
        </w:rPr>
        <w:t>ITHOUT</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4"/>
          <w:szCs w:val="14"/>
          <w:b w:val="1"/>
          <w:bCs w:val="1"/>
          <w:color w:val="auto"/>
        </w:rPr>
        <w:t>AUSE OR</w:t>
      </w:r>
      <w:r>
        <w:rPr>
          <w:rFonts w:ascii="Times New Roman" w:cs="Times New Roman" w:eastAsia="Times New Roman" w:hAnsi="Times New Roman"/>
          <w:sz w:val="21"/>
          <w:szCs w:val="21"/>
          <w:b w:val="1"/>
          <w:bCs w:val="1"/>
          <w:color w:val="auto"/>
        </w:rPr>
        <w:t xml:space="preserve"> F</w:t>
      </w:r>
      <w:r>
        <w:rPr>
          <w:rFonts w:ascii="Times New Roman" w:cs="Times New Roman" w:eastAsia="Times New Roman" w:hAnsi="Times New Roman"/>
          <w:sz w:val="14"/>
          <w:szCs w:val="14"/>
          <w:b w:val="1"/>
          <w:bCs w:val="1"/>
          <w:color w:val="auto"/>
        </w:rPr>
        <w:t>OR</w:t>
      </w:r>
      <w:r>
        <w:rPr>
          <w:rFonts w:ascii="Times New Roman" w:cs="Times New Roman" w:eastAsia="Times New Roman" w:hAnsi="Times New Roman"/>
          <w:sz w:val="21"/>
          <w:szCs w:val="21"/>
          <w:b w:val="1"/>
          <w:bCs w:val="1"/>
          <w:color w:val="auto"/>
        </w:rPr>
        <w:t xml:space="preserve"> G</w:t>
      </w:r>
      <w:r>
        <w:rPr>
          <w:rFonts w:ascii="Times New Roman" w:cs="Times New Roman" w:eastAsia="Times New Roman" w:hAnsi="Times New Roman"/>
          <w:sz w:val="14"/>
          <w:szCs w:val="14"/>
          <w:b w:val="1"/>
          <w:bCs w:val="1"/>
          <w:color w:val="auto"/>
        </w:rPr>
        <w:t>OOD</w:t>
      </w:r>
      <w:r>
        <w:rPr>
          <w:rFonts w:ascii="Times New Roman" w:cs="Times New Roman" w:eastAsia="Times New Roman" w:hAnsi="Times New Roman"/>
          <w:sz w:val="21"/>
          <w:szCs w:val="21"/>
          <w:b w:val="1"/>
          <w:bCs w:val="1"/>
          <w:color w:val="auto"/>
        </w:rPr>
        <w:t xml:space="preserve"> R</w:t>
      </w:r>
      <w:r>
        <w:rPr>
          <w:rFonts w:ascii="Times New Roman" w:cs="Times New Roman" w:eastAsia="Times New Roman" w:hAnsi="Times New Roman"/>
          <w:sz w:val="14"/>
          <w:szCs w:val="14"/>
          <w:b w:val="1"/>
          <w:bCs w:val="1"/>
          <w:color w:val="auto"/>
        </w:rPr>
        <w:t>EASON</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In the event of a Participant’s Separation from Service without Cause or for Good Reason (other than a Termination Upon a Change in Control), the Participant shall be entitled to receive the compensation and benefits described in this Section 4.</w:t>
      </w:r>
    </w:p>
    <w:p>
      <w:pPr>
        <w:spacing w:after="0" w:line="141" w:lineRule="exact"/>
        <w:rPr>
          <w:sz w:val="20"/>
          <w:szCs w:val="20"/>
          <w:color w:val="auto"/>
        </w:rPr>
      </w:pPr>
    </w:p>
    <w:p>
      <w:pPr>
        <w:ind w:left="1740"/>
        <w:spacing w:after="0"/>
        <w:tabs>
          <w:tab w:leader="none" w:pos="2600" w:val="left"/>
        </w:tabs>
        <w:rPr>
          <w:sz w:val="20"/>
          <w:szCs w:val="20"/>
          <w:color w:val="auto"/>
        </w:rPr>
      </w:pPr>
      <w:r>
        <w:rPr>
          <w:rFonts w:ascii="Times New Roman" w:cs="Times New Roman" w:eastAsia="Times New Roman" w:hAnsi="Times New Roman"/>
          <w:sz w:val="21"/>
          <w:szCs w:val="21"/>
          <w:color w:val="auto"/>
        </w:rPr>
        <w:t>4.1</w:t>
      </w:r>
      <w:r>
        <w:rPr>
          <w:sz w:val="20"/>
          <w:szCs w:val="20"/>
          <w:color w:val="auto"/>
        </w:rPr>
        <w:tab/>
      </w:r>
      <w:r>
        <w:rPr>
          <w:rFonts w:ascii="Times New Roman" w:cs="Times New Roman" w:eastAsia="Times New Roman" w:hAnsi="Times New Roman"/>
          <w:sz w:val="21"/>
          <w:szCs w:val="21"/>
          <w:b w:val="1"/>
          <w:bCs w:val="1"/>
          <w:color w:val="auto"/>
        </w:rPr>
        <w:t xml:space="preserve">Accrued Obligations. </w:t>
      </w:r>
      <w:r>
        <w:rPr>
          <w:rFonts w:ascii="Times New Roman" w:cs="Times New Roman" w:eastAsia="Times New Roman" w:hAnsi="Times New Roman"/>
          <w:sz w:val="21"/>
          <w:szCs w:val="21"/>
          <w:color w:val="auto"/>
        </w:rPr>
        <w:t>The Participant shall be entitled to receive:</w:t>
      </w:r>
    </w:p>
    <w:p>
      <w:pPr>
        <w:spacing w:after="0" w:line="207" w:lineRule="exact"/>
        <w:rPr>
          <w:sz w:val="20"/>
          <w:szCs w:val="20"/>
          <w:color w:val="auto"/>
        </w:rPr>
      </w:pPr>
    </w:p>
    <w:p>
      <w:pPr>
        <w:ind w:left="3460" w:hanging="862"/>
        <w:spacing w:after="0"/>
        <w:tabs>
          <w:tab w:leader="none" w:pos="34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salary and commissions earned through the date of the Participant’s Separation from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Service;</w:t>
      </w:r>
    </w:p>
    <w:p>
      <w:pPr>
        <w:spacing w:after="0" w:line="179" w:lineRule="exact"/>
        <w:rPr>
          <w:sz w:val="20"/>
          <w:szCs w:val="20"/>
          <w:color w:val="auto"/>
        </w:rPr>
      </w:pPr>
    </w:p>
    <w:p>
      <w:pPr>
        <w:ind w:firstLine="2598"/>
        <w:spacing w:after="0" w:line="266" w:lineRule="auto"/>
        <w:tabs>
          <w:tab w:leader="none" w:pos="3466"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reimbursement within ten (10) business days of submission of proper expense reports of all expenses reasonably and necessarily incurred by the Participant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308610</wp:posOffset>
            </wp:positionV>
            <wp:extent cx="7153275"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44" w:name="page145"/>
    <w:bookmarkEnd w:id="144"/>
    <w:p>
      <w:pPr>
        <w:spacing w:after="0" w:line="265" w:lineRule="auto"/>
        <w:rPr>
          <w:sz w:val="20"/>
          <w:szCs w:val="20"/>
          <w:color w:val="auto"/>
        </w:rPr>
      </w:pPr>
      <w:r>
        <w:rPr>
          <w:rFonts w:ascii="Times New Roman" w:cs="Times New Roman" w:eastAsia="Times New Roman" w:hAnsi="Times New Roman"/>
          <w:sz w:val="21"/>
          <w:szCs w:val="21"/>
          <w:color w:val="auto"/>
        </w:rPr>
        <w:t>connection with the business of the Company Group and in accordance with Company Group policies prior to Participant’s Separation from Service.</w:t>
      </w:r>
    </w:p>
    <w:p>
      <w:pPr>
        <w:spacing w:after="0" w:line="142" w:lineRule="exact"/>
        <w:rPr>
          <w:sz w:val="20"/>
          <w:szCs w:val="20"/>
          <w:color w:val="auto"/>
        </w:rPr>
      </w:pPr>
    </w:p>
    <w:p>
      <w:pPr>
        <w:jc w:val="both"/>
        <w:ind w:left="1740" w:hanging="1460"/>
        <w:spacing w:after="0" w:line="246" w:lineRule="auto"/>
        <w:tabs>
          <w:tab w:leader="none" w:pos="1720" w:val="left"/>
        </w:tabs>
        <w:rPr>
          <w:sz w:val="20"/>
          <w:szCs w:val="20"/>
          <w:color w:val="auto"/>
        </w:rPr>
      </w:pPr>
      <w:r>
        <w:rPr>
          <w:rFonts w:ascii="Times New Roman" w:cs="Times New Roman" w:eastAsia="Times New Roman" w:hAnsi="Times New Roman"/>
          <w:sz w:val="21"/>
          <w:szCs w:val="21"/>
          <w:color w:val="auto"/>
        </w:rPr>
        <w:t>4.2</w:t>
      </w:r>
      <w:r>
        <w:rPr>
          <w:sz w:val="20"/>
          <w:szCs w:val="20"/>
          <w:color w:val="auto"/>
        </w:rPr>
        <w:tab/>
      </w:r>
      <w:r>
        <w:rPr>
          <w:rFonts w:ascii="Times New Roman" w:cs="Times New Roman" w:eastAsia="Times New Roman" w:hAnsi="Times New Roman"/>
          <w:sz w:val="21"/>
          <w:szCs w:val="21"/>
          <w:b w:val="1"/>
          <w:bCs w:val="1"/>
          <w:color w:val="auto"/>
        </w:rPr>
        <w:t xml:space="preserve">Severance Benefits. </w:t>
      </w:r>
      <w:r>
        <w:rPr>
          <w:rFonts w:ascii="Times New Roman" w:cs="Times New Roman" w:eastAsia="Times New Roman" w:hAnsi="Times New Roman"/>
          <w:sz w:val="21"/>
          <w:szCs w:val="21"/>
          <w:color w:val="auto"/>
        </w:rPr>
        <w:t>Provided that Participant executes the Release prior to the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Release Deadline and such Release then becomes effective and irrevocable in accordance with its terms, and subject to Participant’s compliance with the restrictive covenants set forth in Section 9 herein, the Participant shall be entitled to receive the following severance payments and benefits (the “</w:t>
      </w:r>
      <w:r>
        <w:rPr>
          <w:rFonts w:ascii="Times New Roman" w:cs="Times New Roman" w:eastAsia="Times New Roman" w:hAnsi="Times New Roman"/>
          <w:sz w:val="21"/>
          <w:szCs w:val="21"/>
          <w:b w:val="1"/>
          <w:bCs w:val="1"/>
          <w:i w:val="1"/>
          <w:iCs w:val="1"/>
          <w:color w:val="auto"/>
        </w:rPr>
        <w:t>Severance Benefits</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jc w:val="both"/>
        <w:ind w:firstLine="2598"/>
        <w:spacing w:after="0" w:line="252" w:lineRule="auto"/>
        <w:tabs>
          <w:tab w:leader="none" w:pos="3454"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Salary. </w:t>
      </w:r>
      <w:r>
        <w:rPr>
          <w:rFonts w:ascii="Times New Roman" w:cs="Times New Roman" w:eastAsia="Times New Roman" w:hAnsi="Times New Roman"/>
          <w:sz w:val="21"/>
          <w:szCs w:val="21"/>
          <w:color w:val="auto"/>
        </w:rPr>
        <w:t>The Company shall continue to pay the Participant at the Participant’s Base Salary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Rate in effect on the date of Participant’s Separation from Service for each payroll period during the period beginning on such Separation from Service and ending at the end of the applicable Severance Period.</w:t>
      </w:r>
    </w:p>
    <w:p>
      <w:pPr>
        <w:spacing w:after="0" w:line="155" w:lineRule="exact"/>
        <w:rPr>
          <w:rFonts w:ascii="Times New Roman" w:cs="Times New Roman" w:eastAsia="Times New Roman" w:hAnsi="Times New Roman"/>
          <w:sz w:val="21"/>
          <w:szCs w:val="21"/>
          <w:color w:val="auto"/>
        </w:rPr>
      </w:pPr>
    </w:p>
    <w:p>
      <w:pPr>
        <w:jc w:val="both"/>
        <w:ind w:firstLine="2598"/>
        <w:spacing w:after="0" w:line="237" w:lineRule="auto"/>
        <w:tabs>
          <w:tab w:leader="none" w:pos="3466"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COBRA Premiums. </w:t>
      </w:r>
      <w:r>
        <w:rPr>
          <w:rFonts w:ascii="Times New Roman" w:cs="Times New Roman" w:eastAsia="Times New Roman" w:hAnsi="Times New Roman"/>
          <w:sz w:val="21"/>
          <w:szCs w:val="21"/>
          <w:color w:val="auto"/>
        </w:rPr>
        <w:t>Subject to the requirements of the Code, if the Participant properly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elects healthcare continuation coverage under the Company’s group health insurance plans pursuant to COBRA, to the extent that the Participant is eligible to do so, then the Company shall directly pay or, at its election, reimburse the Participant for COBRA premiums for the Participant and the Participant’s covered dependents (in an amount determined based on the same benefit levels as would have applied if the Participant’s employment had not been terminated based on the Participant’s elections in effect on the Separation from Service) for the Severance Period.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 under applicable law (including without limitation, Section 2716 of the Public Health Service Act), then, in either case, an amount equal to each remaining Company reimbursement shall thereafter be paid to the Participant in substantially equal monthly installments over the Severance Period (or the remaining portion thereof).</w:t>
      </w:r>
    </w:p>
    <w:p>
      <w:pPr>
        <w:spacing w:after="0" w:line="176" w:lineRule="exact"/>
        <w:rPr>
          <w:rFonts w:ascii="Times New Roman" w:cs="Times New Roman" w:eastAsia="Times New Roman" w:hAnsi="Times New Roman"/>
          <w:sz w:val="21"/>
          <w:szCs w:val="21"/>
          <w:color w:val="auto"/>
        </w:rPr>
      </w:pPr>
    </w:p>
    <w:p>
      <w:pPr>
        <w:ind w:firstLine="2598"/>
        <w:spacing w:after="0" w:line="270" w:lineRule="auto"/>
        <w:tabs>
          <w:tab w:leader="none" w:pos="3454"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Equity Acceleration. </w:t>
      </w:r>
      <w:r>
        <w:rPr>
          <w:rFonts w:ascii="Times New Roman" w:cs="Times New Roman" w:eastAsia="Times New Roman" w:hAnsi="Times New Roman"/>
          <w:sz w:val="21"/>
          <w:szCs w:val="21"/>
          <w:color w:val="auto"/>
        </w:rPr>
        <w:t>Accelerated vesting of outstanding equity to the extent provided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written agreement between Participant and the Company Group.</w:t>
      </w:r>
    </w:p>
    <w:p>
      <w:pPr>
        <w:spacing w:after="0" w:line="137" w:lineRule="exact"/>
        <w:rPr>
          <w:sz w:val="20"/>
          <w:szCs w:val="20"/>
          <w:color w:val="auto"/>
        </w:rPr>
      </w:pPr>
    </w:p>
    <w:p>
      <w:pPr>
        <w:ind w:left="1660" w:hanging="791"/>
        <w:spacing w:after="0"/>
        <w:tabs>
          <w:tab w:leader="none" w:pos="166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21"/>
          <w:szCs w:val="21"/>
          <w:b w:val="1"/>
          <w:bCs w:val="1"/>
          <w:color w:val="auto"/>
        </w:rPr>
        <w:t xml:space="preserve"> U</w:t>
      </w:r>
      <w:r>
        <w:rPr>
          <w:rFonts w:ascii="Times New Roman" w:cs="Times New Roman" w:eastAsia="Times New Roman" w:hAnsi="Times New Roman"/>
          <w:sz w:val="14"/>
          <w:szCs w:val="14"/>
          <w:b w:val="1"/>
          <w:bCs w:val="1"/>
          <w:color w:val="auto"/>
        </w:rPr>
        <w:t>PON A CHANGE IN CONTROL</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In the event of a Participant’s Termination Upon a Change in Control, the Participant shall be entitled to receive the compensation and benefits described in this Section 5.</w:t>
      </w:r>
    </w:p>
    <w:p>
      <w:pPr>
        <w:spacing w:after="0" w:line="141" w:lineRule="exact"/>
        <w:rPr>
          <w:sz w:val="20"/>
          <w:szCs w:val="20"/>
          <w:color w:val="auto"/>
        </w:rPr>
      </w:pPr>
    </w:p>
    <w:p>
      <w:pPr>
        <w:ind w:left="1740"/>
        <w:spacing w:after="0"/>
        <w:tabs>
          <w:tab w:leader="none" w:pos="2600" w:val="left"/>
        </w:tabs>
        <w:rPr>
          <w:sz w:val="20"/>
          <w:szCs w:val="20"/>
          <w:color w:val="auto"/>
        </w:rPr>
      </w:pPr>
      <w:r>
        <w:rPr>
          <w:rFonts w:ascii="Times New Roman" w:cs="Times New Roman" w:eastAsia="Times New Roman" w:hAnsi="Times New Roman"/>
          <w:sz w:val="21"/>
          <w:szCs w:val="21"/>
          <w:color w:val="auto"/>
        </w:rPr>
        <w:t>5.1</w:t>
      </w:r>
      <w:r>
        <w:rPr>
          <w:sz w:val="20"/>
          <w:szCs w:val="20"/>
          <w:color w:val="auto"/>
        </w:rPr>
        <w:tab/>
      </w:r>
      <w:r>
        <w:rPr>
          <w:rFonts w:ascii="Times New Roman" w:cs="Times New Roman" w:eastAsia="Times New Roman" w:hAnsi="Times New Roman"/>
          <w:sz w:val="21"/>
          <w:szCs w:val="21"/>
          <w:b w:val="1"/>
          <w:bCs w:val="1"/>
          <w:color w:val="auto"/>
        </w:rPr>
        <w:t xml:space="preserve">Accrued Obligations. </w:t>
      </w:r>
      <w:r>
        <w:rPr>
          <w:rFonts w:ascii="Times New Roman" w:cs="Times New Roman" w:eastAsia="Times New Roman" w:hAnsi="Times New Roman"/>
          <w:sz w:val="21"/>
          <w:szCs w:val="21"/>
          <w:color w:val="auto"/>
        </w:rPr>
        <w:t>The Participant shall be entitled to receive:</w:t>
      </w:r>
    </w:p>
    <w:p>
      <w:pPr>
        <w:spacing w:after="0" w:line="207" w:lineRule="exact"/>
        <w:rPr>
          <w:sz w:val="20"/>
          <w:szCs w:val="20"/>
          <w:color w:val="auto"/>
        </w:rPr>
      </w:pPr>
    </w:p>
    <w:p>
      <w:pPr>
        <w:ind w:left="3460" w:hanging="862"/>
        <w:spacing w:after="0"/>
        <w:tabs>
          <w:tab w:leader="none" w:pos="346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salary and commissions earned through the date of the Participant’s Separation from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Service;</w:t>
      </w:r>
    </w:p>
    <w:p>
      <w:pPr>
        <w:spacing w:after="0" w:line="179" w:lineRule="exact"/>
        <w:rPr>
          <w:sz w:val="20"/>
          <w:szCs w:val="20"/>
          <w:color w:val="auto"/>
        </w:rPr>
      </w:pPr>
    </w:p>
    <w:p>
      <w:pPr>
        <w:jc w:val="both"/>
        <w:ind w:firstLine="2598"/>
        <w:spacing w:after="0" w:line="250" w:lineRule="auto"/>
        <w:tabs>
          <w:tab w:leader="none" w:pos="3466"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reimbursement within ten (10) business days of submission of proper expense reports of all expenses reasonably and necessarily incurred by the Participant in connection with the business of the Company Group and in accordance with Company Group policies prior to Participant’s Separation from Service.</w:t>
      </w:r>
    </w:p>
    <w:p>
      <w:pPr>
        <w:spacing w:after="0" w:line="157" w:lineRule="exact"/>
        <w:rPr>
          <w:sz w:val="20"/>
          <w:szCs w:val="20"/>
          <w:color w:val="auto"/>
        </w:rPr>
      </w:pPr>
    </w:p>
    <w:p>
      <w:pPr>
        <w:jc w:val="both"/>
        <w:ind w:left="1740" w:hanging="1460"/>
        <w:spacing w:after="0" w:line="246" w:lineRule="auto"/>
        <w:tabs>
          <w:tab w:leader="none" w:pos="1720" w:val="left"/>
        </w:tabs>
        <w:rPr>
          <w:sz w:val="20"/>
          <w:szCs w:val="20"/>
          <w:color w:val="auto"/>
        </w:rPr>
      </w:pPr>
      <w:r>
        <w:rPr>
          <w:rFonts w:ascii="Times New Roman" w:cs="Times New Roman" w:eastAsia="Times New Roman" w:hAnsi="Times New Roman"/>
          <w:sz w:val="21"/>
          <w:szCs w:val="21"/>
          <w:color w:val="auto"/>
        </w:rPr>
        <w:t>5.2</w:t>
      </w:r>
      <w:r>
        <w:rPr>
          <w:sz w:val="20"/>
          <w:szCs w:val="20"/>
          <w:color w:val="auto"/>
        </w:rPr>
        <w:tab/>
      </w:r>
      <w:r>
        <w:rPr>
          <w:rFonts w:ascii="Times New Roman" w:cs="Times New Roman" w:eastAsia="Times New Roman" w:hAnsi="Times New Roman"/>
          <w:sz w:val="21"/>
          <w:szCs w:val="21"/>
          <w:b w:val="1"/>
          <w:bCs w:val="1"/>
          <w:color w:val="auto"/>
        </w:rPr>
        <w:t xml:space="preserve">Severance Benefits. </w:t>
      </w:r>
      <w:r>
        <w:rPr>
          <w:rFonts w:ascii="Times New Roman" w:cs="Times New Roman" w:eastAsia="Times New Roman" w:hAnsi="Times New Roman"/>
          <w:sz w:val="21"/>
          <w:szCs w:val="21"/>
          <w:color w:val="auto"/>
        </w:rPr>
        <w:t>Provided that Participant executes the Release prior to the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Release Deadline and such Release then becomes effective and irrevocable in accordance with its terms, and subject to Participant’s compliance with the restrictive covenants set forth in Section 9 herein, the Participant shall be entitled to receive the following severance payments and benefits (the “</w:t>
      </w:r>
      <w:r>
        <w:rPr>
          <w:rFonts w:ascii="Times New Roman" w:cs="Times New Roman" w:eastAsia="Times New Roman" w:hAnsi="Times New Roman"/>
          <w:sz w:val="21"/>
          <w:szCs w:val="21"/>
          <w:b w:val="1"/>
          <w:bCs w:val="1"/>
          <w:i w:val="1"/>
          <w:iCs w:val="1"/>
          <w:color w:val="auto"/>
        </w:rPr>
        <w:t>Severance Benefits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454660</wp:posOffset>
            </wp:positionV>
            <wp:extent cx="7153275"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5" w:name="page146"/>
    <w:bookmarkEnd w:id="145"/>
    <w:p>
      <w:pPr>
        <w:jc w:val="both"/>
        <w:ind w:left="-869" w:firstLine="2598"/>
        <w:spacing w:after="0" w:line="246" w:lineRule="auto"/>
        <w:tabs>
          <w:tab w:leader="none" w:pos="2585"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Salary. </w:t>
      </w:r>
      <w:r>
        <w:rPr>
          <w:rFonts w:ascii="Times New Roman" w:cs="Times New Roman" w:eastAsia="Times New Roman" w:hAnsi="Times New Roman"/>
          <w:sz w:val="21"/>
          <w:szCs w:val="21"/>
          <w:color w:val="auto"/>
        </w:rPr>
        <w:t>On the first Payroll Date on or following the date the Release becomes effective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irrevocable, and, in any event, within sixty (60) days after the date of the Participant’s Separation from Service, the Company shall pay to the Participant in a lump sum cash payment an amount equal to the product of (1) the Participant’s Base Salary Rate multiplied by (2) the Participant’s CIC Severance Multiplier.</w:t>
      </w:r>
    </w:p>
    <w:p>
      <w:pPr>
        <w:spacing w:after="0" w:line="161" w:lineRule="exact"/>
        <w:rPr>
          <w:rFonts w:ascii="Times New Roman" w:cs="Times New Roman" w:eastAsia="Times New Roman" w:hAnsi="Times New Roman"/>
          <w:sz w:val="21"/>
          <w:szCs w:val="21"/>
          <w:color w:val="auto"/>
        </w:rPr>
      </w:pPr>
    </w:p>
    <w:p>
      <w:pPr>
        <w:jc w:val="both"/>
        <w:ind w:left="-869" w:firstLine="2598"/>
        <w:spacing w:after="0" w:line="241" w:lineRule="auto"/>
        <w:tabs>
          <w:tab w:leader="none" w:pos="2597"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Prorated Bonus</w:t>
      </w:r>
      <w:r>
        <w:rPr>
          <w:rFonts w:ascii="Times New Roman" w:cs="Times New Roman" w:eastAsia="Times New Roman" w:hAnsi="Times New Roman"/>
          <w:sz w:val="21"/>
          <w:szCs w:val="21"/>
          <w:color w:val="auto"/>
        </w:rPr>
        <w:t>. A prorated annual bonus for the Company’s fiscal year in which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Participant’s Separation from Service occurs, calculated assuming achievement of any applicable company performance goals or objectives at the greater of actual or 100% and any applicable individual performance goals or objectives at 100%, but prorated based on the number of days the Participant was employed by the Company during such fiscal year, and shall be paid in a single lump-sum payment on the date on which annual bonuses are paid to the Company’s senior executives generally for such year, but in no event later than March 15</w:t>
      </w:r>
      <w:r>
        <w:rPr>
          <w:rFonts w:ascii="Times New Roman" w:cs="Times New Roman" w:eastAsia="Times New Roman" w:hAnsi="Times New Roman"/>
          <w:sz w:val="17"/>
          <w:szCs w:val="17"/>
          <w:color w:val="auto"/>
        </w:rPr>
        <w:t>th</w:t>
      </w:r>
      <w:r>
        <w:rPr>
          <w:rFonts w:ascii="Times New Roman" w:cs="Times New Roman" w:eastAsia="Times New Roman" w:hAnsi="Times New Roman"/>
          <w:sz w:val="21"/>
          <w:szCs w:val="21"/>
          <w:color w:val="auto"/>
        </w:rPr>
        <w:t xml:space="preserve"> of the calendar year immediately following the calendar year in which such Separation from Service occurs.</w:t>
      </w:r>
    </w:p>
    <w:p>
      <w:pPr>
        <w:spacing w:after="0" w:line="167" w:lineRule="exact"/>
        <w:rPr>
          <w:rFonts w:ascii="Times New Roman" w:cs="Times New Roman" w:eastAsia="Times New Roman" w:hAnsi="Times New Roman"/>
          <w:sz w:val="21"/>
          <w:szCs w:val="21"/>
          <w:color w:val="auto"/>
        </w:rPr>
      </w:pPr>
    </w:p>
    <w:p>
      <w:pPr>
        <w:jc w:val="both"/>
        <w:ind w:left="-869" w:firstLine="2598"/>
        <w:spacing w:after="0" w:line="237" w:lineRule="auto"/>
        <w:tabs>
          <w:tab w:leader="none" w:pos="2585"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COBRA Premiums. </w:t>
      </w:r>
      <w:r>
        <w:rPr>
          <w:rFonts w:ascii="Times New Roman" w:cs="Times New Roman" w:eastAsia="Times New Roman" w:hAnsi="Times New Roman"/>
          <w:sz w:val="21"/>
          <w:szCs w:val="21"/>
          <w:color w:val="auto"/>
        </w:rPr>
        <w:t>Subject to the requirements of the Code, if the Participant properly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elects healthcare continuation coverage under the Company’s group health insurance plans pursuant to COBRA, to the extent that the Participant is eligible to do so, then the Company shall directly pay or, at its election, reimburse the Participant for COBRA premiums for the Participant and the Participant’s covered dependents (in an amount determined based on the same benefit levels as would have applied if the Participant’s employment had not been terminated based on the Participant’s elections in effect on the Separation from Service) for the Severance Period.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 under applicable law (including without limitation, Section 2716 of the Public Health Service Act), then, in either case, an amount equal to each remaining Company reimbursement shall thereafter be paid to the Participant in substantially equal monthly installments over the Severance Period (or the remaining portion thereof).</w:t>
      </w:r>
    </w:p>
    <w:p>
      <w:pPr>
        <w:spacing w:after="0" w:line="176" w:lineRule="exact"/>
        <w:rPr>
          <w:rFonts w:ascii="Times New Roman" w:cs="Times New Roman" w:eastAsia="Times New Roman" w:hAnsi="Times New Roman"/>
          <w:sz w:val="21"/>
          <w:szCs w:val="21"/>
          <w:color w:val="auto"/>
        </w:rPr>
      </w:pPr>
    </w:p>
    <w:p>
      <w:pPr>
        <w:jc w:val="both"/>
        <w:ind w:left="-869" w:firstLine="2598"/>
        <w:spacing w:after="0"/>
        <w:tabs>
          <w:tab w:leader="none" w:pos="2562"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Equity Acceleration. </w:t>
      </w:r>
      <w:r>
        <w:rPr>
          <w:rFonts w:ascii="Times New Roman" w:cs="Times New Roman" w:eastAsia="Times New Roman" w:hAnsi="Times New Roman"/>
          <w:sz w:val="21"/>
          <w:szCs w:val="21"/>
          <w:color w:val="auto"/>
        </w:rPr>
        <w:t>Accelerated vesting of outstanding equity to the extent provided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written agreement between Participant and the Company Group, and without limiting the foregoing, if such Separation from Service constitutes as Termination Upon a Change in Control, all outstanding equity awards that are held by a Participant on the date of such Separation from Service will [remain outstanding until the first anniversary of the Separation from Service and will be eligible to become vested and payable during such twelve (12) month period as if such Participant had remained employed by the Company through the first anniversary of the Separation from Service and with respect to performance-vesting awards, calculated assuming achievement of any applicable performance goals or objectives at the greater of actual or 100%.</w:t>
      </w:r>
    </w:p>
    <w:p>
      <w:pPr>
        <w:spacing w:after="0" w:line="167" w:lineRule="exact"/>
        <w:rPr>
          <w:rFonts w:ascii="Times New Roman" w:cs="Times New Roman" w:eastAsia="Times New Roman" w:hAnsi="Times New Roman"/>
          <w:sz w:val="21"/>
          <w:szCs w:val="21"/>
          <w:color w:val="auto"/>
        </w:rPr>
      </w:pPr>
    </w:p>
    <w:p>
      <w:pPr>
        <w:ind w:left="791" w:hanging="791"/>
        <w:spacing w:after="0"/>
        <w:tabs>
          <w:tab w:leader="none" w:pos="791"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21"/>
          <w:szCs w:val="21"/>
          <w:b w:val="1"/>
          <w:bCs w:val="1"/>
          <w:color w:val="auto"/>
        </w:rPr>
        <w:t xml:space="preserve"> U</w:t>
      </w:r>
      <w:r>
        <w:rPr>
          <w:rFonts w:ascii="Times New Roman" w:cs="Times New Roman" w:eastAsia="Times New Roman" w:hAnsi="Times New Roman"/>
          <w:sz w:val="14"/>
          <w:szCs w:val="14"/>
          <w:b w:val="1"/>
          <w:bCs w:val="1"/>
          <w:color w:val="auto"/>
        </w:rPr>
        <w:t>PON 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348615</wp:posOffset>
            </wp:positionV>
            <wp:extent cx="7153275"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0371"/>
          </w:cols>
          <w:pgMar w:left="1189" w:top="317" w:right="339" w:bottom="1440" w:gutter="0" w:footer="0" w:header="0"/>
        </w:sectPr>
      </w:pPr>
    </w:p>
    <w:bookmarkStart w:id="146" w:name="page147"/>
    <w:bookmarkEnd w:id="146"/>
    <w:p>
      <w:pPr>
        <w:spacing w:after="0" w:line="265" w:lineRule="auto"/>
        <w:rPr>
          <w:sz w:val="20"/>
          <w:szCs w:val="20"/>
          <w:color w:val="auto"/>
        </w:rPr>
      </w:pPr>
      <w:r>
        <w:rPr>
          <w:rFonts w:ascii="Times New Roman" w:cs="Times New Roman" w:eastAsia="Times New Roman" w:hAnsi="Times New Roman"/>
          <w:sz w:val="21"/>
          <w:szCs w:val="21"/>
          <w:color w:val="auto"/>
        </w:rPr>
        <w:t>In the event of a Participant’s Separation from Service due to death or Disability, the Participant shall be entitled to receive the compensation and benefits described in this Section 6.</w:t>
      </w:r>
    </w:p>
    <w:p>
      <w:pPr>
        <w:spacing w:after="0" w:line="142" w:lineRule="exact"/>
        <w:rPr>
          <w:sz w:val="20"/>
          <w:szCs w:val="20"/>
          <w:color w:val="auto"/>
        </w:rPr>
      </w:pPr>
    </w:p>
    <w:p>
      <w:pPr>
        <w:ind w:left="1740"/>
        <w:spacing w:after="0"/>
        <w:tabs>
          <w:tab w:leader="none" w:pos="2600" w:val="left"/>
        </w:tabs>
        <w:rPr>
          <w:sz w:val="20"/>
          <w:szCs w:val="20"/>
          <w:color w:val="auto"/>
        </w:rPr>
      </w:pPr>
      <w:r>
        <w:rPr>
          <w:rFonts w:ascii="Times New Roman" w:cs="Times New Roman" w:eastAsia="Times New Roman" w:hAnsi="Times New Roman"/>
          <w:sz w:val="21"/>
          <w:szCs w:val="21"/>
          <w:color w:val="auto"/>
        </w:rPr>
        <w:t>6.1</w:t>
      </w:r>
      <w:r>
        <w:rPr>
          <w:sz w:val="20"/>
          <w:szCs w:val="20"/>
          <w:color w:val="auto"/>
        </w:rPr>
        <w:tab/>
      </w:r>
      <w:r>
        <w:rPr>
          <w:rFonts w:ascii="Times New Roman" w:cs="Times New Roman" w:eastAsia="Times New Roman" w:hAnsi="Times New Roman"/>
          <w:sz w:val="21"/>
          <w:szCs w:val="21"/>
          <w:b w:val="1"/>
          <w:bCs w:val="1"/>
          <w:color w:val="auto"/>
        </w:rPr>
        <w:t xml:space="preserve">Accrued Obligations. </w:t>
      </w:r>
      <w:r>
        <w:rPr>
          <w:rFonts w:ascii="Times New Roman" w:cs="Times New Roman" w:eastAsia="Times New Roman" w:hAnsi="Times New Roman"/>
          <w:sz w:val="21"/>
          <w:szCs w:val="21"/>
          <w:color w:val="auto"/>
        </w:rPr>
        <w:t>The Participant shall be entitled to receive:</w:t>
      </w:r>
    </w:p>
    <w:p>
      <w:pPr>
        <w:spacing w:after="0" w:line="207" w:lineRule="exact"/>
        <w:rPr>
          <w:sz w:val="20"/>
          <w:szCs w:val="20"/>
          <w:color w:val="auto"/>
        </w:rPr>
      </w:pPr>
    </w:p>
    <w:p>
      <w:pPr>
        <w:ind w:left="3460" w:hanging="862"/>
        <w:spacing w:after="0"/>
        <w:tabs>
          <w:tab w:leader="none" w:pos="346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salary and commissions earned through the date of the Participant’s Separation from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Service;</w:t>
      </w:r>
    </w:p>
    <w:p>
      <w:pPr>
        <w:spacing w:after="0" w:line="179" w:lineRule="exact"/>
        <w:rPr>
          <w:sz w:val="20"/>
          <w:szCs w:val="20"/>
          <w:color w:val="auto"/>
        </w:rPr>
      </w:pPr>
    </w:p>
    <w:p>
      <w:pPr>
        <w:jc w:val="both"/>
        <w:ind w:firstLine="2598"/>
        <w:spacing w:after="0" w:line="250" w:lineRule="auto"/>
        <w:tabs>
          <w:tab w:leader="none" w:pos="3466"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reimbursement within ten (10) business days of submission of proper expense reports of all expenses reasonably and necessarily incurred by the Participant in connection with the business of the Company Group and in accordance with Company Group policies prior to Participant’s Separation from Service.</w:t>
      </w:r>
    </w:p>
    <w:p>
      <w:pPr>
        <w:spacing w:after="0" w:line="157" w:lineRule="exact"/>
        <w:rPr>
          <w:sz w:val="20"/>
          <w:szCs w:val="20"/>
          <w:color w:val="auto"/>
        </w:rPr>
      </w:pPr>
    </w:p>
    <w:p>
      <w:pPr>
        <w:jc w:val="both"/>
        <w:ind w:firstLine="1729"/>
        <w:spacing w:after="0" w:line="237"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b w:val="1"/>
          <w:bCs w:val="1"/>
          <w:color w:val="auto"/>
        </w:rPr>
        <w:t>COBRA Premiums.</w:t>
      </w:r>
      <w:r>
        <w:rPr>
          <w:rFonts w:ascii="Times New Roman" w:cs="Times New Roman" w:eastAsia="Times New Roman" w:hAnsi="Times New Roman"/>
          <w:sz w:val="21"/>
          <w:szCs w:val="21"/>
          <w:color w:val="auto"/>
        </w:rPr>
        <w:t xml:space="preserve"> Subject to the requirements of the Code, if the Participant properly elects healthcare continuation coverage under the Company’s group health insurance plans pursuant to COBRA, to the extent that the Participant is eligible to do so, then the Company shall directly pay or, at its election, reimburse the Participant for COBRA premiums for the Participant and the Participant’s covered dependents (in an amount determined based on the same benefit levels as would have applied if the Participant’s employment had not been terminated based on the Participant’s elections in effect on the Separation from Service) for the Severance Period.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 under applicable law (including without limitation, Section 2716 of the Public Health Service Act), then, in either case, an amount equal to each remaining Company reimbursement shall thereafter be paid to the Participant in substantially equal monthly installments over the Severance Period (or the remaining portion thereof).</w:t>
      </w:r>
    </w:p>
    <w:p>
      <w:pPr>
        <w:spacing w:after="0" w:line="177" w:lineRule="exact"/>
        <w:rPr>
          <w:sz w:val="20"/>
          <w:szCs w:val="20"/>
          <w:color w:val="auto"/>
        </w:rPr>
      </w:pPr>
    </w:p>
    <w:p>
      <w:pPr>
        <w:jc w:val="both"/>
        <w:ind w:firstLine="1729"/>
        <w:spacing w:after="0" w:line="252"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b w:val="1"/>
          <w:bCs w:val="1"/>
          <w:color w:val="auto"/>
        </w:rPr>
        <w:t>Equity Acceleration.</w:t>
      </w:r>
      <w:r>
        <w:rPr>
          <w:rFonts w:ascii="Times New Roman" w:cs="Times New Roman" w:eastAsia="Times New Roman" w:hAnsi="Times New Roman"/>
          <w:sz w:val="21"/>
          <w:szCs w:val="21"/>
          <w:color w:val="auto"/>
        </w:rPr>
        <w:t xml:space="preserve"> All outstanding Equity Awards that vest based solely on the passage of time that are held by Participant on the date of Participant’s Separation from Service shall immediately become fully vested and, as applicable, exercisable.</w:t>
      </w:r>
    </w:p>
    <w:p>
      <w:pPr>
        <w:spacing w:after="0" w:line="155" w:lineRule="exact"/>
        <w:rPr>
          <w:sz w:val="20"/>
          <w:szCs w:val="20"/>
          <w:color w:val="auto"/>
        </w:rPr>
      </w:pPr>
    </w:p>
    <w:p>
      <w:pPr>
        <w:ind w:left="1660" w:hanging="791"/>
        <w:spacing w:after="0"/>
        <w:tabs>
          <w:tab w:leader="none" w:pos="166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F</w:t>
      </w:r>
      <w:r>
        <w:rPr>
          <w:rFonts w:ascii="Times New Roman" w:cs="Times New Roman" w:eastAsia="Times New Roman" w:hAnsi="Times New Roman"/>
          <w:sz w:val="14"/>
          <w:szCs w:val="14"/>
          <w:b w:val="1"/>
          <w:bCs w:val="1"/>
          <w:color w:val="auto"/>
        </w:rPr>
        <w:t>EDERAL</w:t>
      </w:r>
      <w:r>
        <w:rPr>
          <w:rFonts w:ascii="Times New Roman" w:cs="Times New Roman" w:eastAsia="Times New Roman" w:hAnsi="Times New Roman"/>
          <w:sz w:val="21"/>
          <w:szCs w:val="21"/>
          <w:b w:val="1"/>
          <w:bCs w:val="1"/>
          <w:color w:val="auto"/>
        </w:rPr>
        <w:t xml:space="preserve"> E</w:t>
      </w:r>
      <w:r>
        <w:rPr>
          <w:rFonts w:ascii="Times New Roman" w:cs="Times New Roman" w:eastAsia="Times New Roman" w:hAnsi="Times New Roman"/>
          <w:sz w:val="14"/>
          <w:szCs w:val="14"/>
          <w:b w:val="1"/>
          <w:bCs w:val="1"/>
          <w:color w:val="auto"/>
        </w:rPr>
        <w:t>XCISE</w:t>
      </w:r>
      <w:r>
        <w:rPr>
          <w:rFonts w:ascii="Times New Roman" w:cs="Times New Roman" w:eastAsia="Times New Roman" w:hAnsi="Times New Roman"/>
          <w:sz w:val="21"/>
          <w:szCs w:val="21"/>
          <w:b w:val="1"/>
          <w:bCs w:val="1"/>
          <w:color w:val="auto"/>
        </w:rPr>
        <w:t xml:space="preserve"> 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21"/>
          <w:szCs w:val="21"/>
          <w:b w:val="1"/>
          <w:bCs w:val="1"/>
          <w:color w:val="auto"/>
        </w:rPr>
        <w:t xml:space="preserve"> U</w:t>
      </w:r>
      <w:r>
        <w:rPr>
          <w:rFonts w:ascii="Times New Roman" w:cs="Times New Roman" w:eastAsia="Times New Roman" w:hAnsi="Times New Roman"/>
          <w:sz w:val="14"/>
          <w:szCs w:val="14"/>
          <w:b w:val="1"/>
          <w:bCs w:val="1"/>
          <w:color w:val="auto"/>
        </w:rPr>
        <w:t>NDER</w:t>
      </w:r>
      <w:r>
        <w:rPr>
          <w:rFonts w:ascii="Times New Roman" w:cs="Times New Roman" w:eastAsia="Times New Roman" w:hAnsi="Times New Roman"/>
          <w:sz w:val="21"/>
          <w:szCs w:val="21"/>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1"/>
          <w:szCs w:val="21"/>
          <w:b w:val="1"/>
          <w:bCs w:val="1"/>
          <w:color w:val="auto"/>
        </w:rPr>
        <w:t xml:space="preserve"> 4999 </w:t>
      </w:r>
      <w:r>
        <w:rPr>
          <w:rFonts w:ascii="Times New Roman" w:cs="Times New Roman" w:eastAsia="Times New Roman" w:hAnsi="Times New Roman"/>
          <w:sz w:val="14"/>
          <w:szCs w:val="14"/>
          <w:b w:val="1"/>
          <w:bCs w:val="1"/>
          <w:color w:val="auto"/>
        </w:rPr>
        <w:t>OF THE</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4"/>
          <w:szCs w:val="14"/>
          <w:b w:val="1"/>
          <w:bCs w:val="1"/>
          <w:color w:val="auto"/>
        </w:rPr>
        <w:t>ODE</w:t>
      </w:r>
    </w:p>
    <w:p>
      <w:pPr>
        <w:spacing w:after="0" w:line="203" w:lineRule="exact"/>
        <w:rPr>
          <w:sz w:val="20"/>
          <w:szCs w:val="20"/>
          <w:color w:val="auto"/>
        </w:rPr>
      </w:pPr>
    </w:p>
    <w:p>
      <w:pPr>
        <w:jc w:val="both"/>
        <w:ind w:firstLine="1729"/>
        <w:spacing w:after="0" w:line="241"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b w:val="1"/>
          <w:bCs w:val="1"/>
          <w:color w:val="auto"/>
        </w:rPr>
        <w:t>Excess Parachute Payment.</w:t>
      </w:r>
      <w:r>
        <w:rPr>
          <w:rFonts w:ascii="Times New Roman" w:cs="Times New Roman" w:eastAsia="Times New Roman" w:hAnsi="Times New Roman"/>
          <w:sz w:val="21"/>
          <w:szCs w:val="21"/>
          <w:color w:val="auto"/>
        </w:rPr>
        <w:t xml:space="preserve"> In the event that any payment or benefit received or to be received by the Participant pursuant to this Plan or otherwise (collectively,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Payments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would subject the Participant to any excise tax pursuant to Section 4999 of the Code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Excise Tax</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due to the characterization of such Payments as an excess parachute payment under Section 280G of the Code, then, notwithstanding the other provisions of this Plan, the amount of such Payments will not exceed the amount which produces the greatest after-tax benefit to the Participant. For purposes of this Section 7.1, if Payments must be reduced, then such reductions shall come first from the cash severance otherwise payable to the Participant.</w:t>
      </w:r>
    </w:p>
    <w:p>
      <w:pPr>
        <w:spacing w:after="0" w:line="167" w:lineRule="exact"/>
        <w:rPr>
          <w:sz w:val="20"/>
          <w:szCs w:val="20"/>
          <w:color w:val="auto"/>
        </w:rPr>
      </w:pPr>
    </w:p>
    <w:p>
      <w:pPr>
        <w:jc w:val="both"/>
        <w:ind w:firstLine="1729"/>
        <w:spacing w:after="0" w:line="246" w:lineRule="auto"/>
        <w:rPr>
          <w:sz w:val="20"/>
          <w:szCs w:val="20"/>
          <w:color w:val="auto"/>
        </w:rPr>
      </w:pPr>
      <w:r>
        <w:rPr>
          <w:rFonts w:ascii="Times New Roman" w:cs="Times New Roman" w:eastAsia="Times New Roman" w:hAnsi="Times New Roman"/>
          <w:sz w:val="21"/>
          <w:szCs w:val="21"/>
          <w:color w:val="auto"/>
        </w:rPr>
        <w:t xml:space="preserve">7.2 </w:t>
      </w:r>
      <w:r>
        <w:rPr>
          <w:rFonts w:ascii="Times New Roman" w:cs="Times New Roman" w:eastAsia="Times New Roman" w:hAnsi="Times New Roman"/>
          <w:sz w:val="21"/>
          <w:szCs w:val="21"/>
          <w:b w:val="1"/>
          <w:bCs w:val="1"/>
          <w:color w:val="auto"/>
        </w:rPr>
        <w:t>Determination by Accounting Firm.</w:t>
      </w:r>
      <w:r>
        <w:rPr>
          <w:rFonts w:ascii="Times New Roman" w:cs="Times New Roman" w:eastAsia="Times New Roman" w:hAnsi="Times New Roman"/>
          <w:sz w:val="21"/>
          <w:szCs w:val="21"/>
          <w:color w:val="auto"/>
        </w:rPr>
        <w:t xml:space="preserve"> Upon the occurrence of any event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Event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that would give rise to any Payments pursuant to this Plan, the Company shall promptly request a determination in writing to be made within thirty (30) days of the date of the Event by a nationally recognized independent public accounting firm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Accounting Firm</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selected by the Company of the amount and type of such Payments which would produce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321945</wp:posOffset>
            </wp:positionV>
            <wp:extent cx="7153275"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7" w:name="page148"/>
    <w:bookmarkEnd w:id="147"/>
    <w:p>
      <w:pPr>
        <w:jc w:val="both"/>
        <w:spacing w:after="0" w:line="238" w:lineRule="auto"/>
        <w:rPr>
          <w:sz w:val="20"/>
          <w:szCs w:val="20"/>
          <w:color w:val="auto"/>
        </w:rPr>
      </w:pPr>
      <w:r>
        <w:rPr>
          <w:rFonts w:ascii="Times New Roman" w:cs="Times New Roman" w:eastAsia="Times New Roman" w:hAnsi="Times New Roman"/>
          <w:sz w:val="21"/>
          <w:szCs w:val="21"/>
          <w:color w:val="auto"/>
        </w:rPr>
        <w:t>greatest after-tax benefit to the Participant. For the purposes of such determination, the Accounting Firm may rely on reasonable, good faith interpretations concerning the application of Sections 280G and 4999 of the Code. The Company and the Participant shall furnish to the Accounting Firm such information and documents as the Accounting Firm may reasonably request in order to make their required determination. The Company shall bear all fees and expenses the Accounting Firm may reasonably charge in connection with their services contemplated by this Section. In the event that the report of the Accounting Firm is not received within thirty (30) days following the Participant’s Termination Upon Change in Control, the Company shall pay to the Participant the cash severance benefits required by Section 5.2 above (subject to any reduction necessary to produce the greatest after-tax benefit to the Participant) within ten (10) days of the later of the date of the Accounting Firm’s report of their determination or the payment date determined in accordance with Section 5.2 above.</w:t>
      </w:r>
    </w:p>
    <w:p>
      <w:pPr>
        <w:spacing w:after="0" w:line="168" w:lineRule="exact"/>
        <w:rPr>
          <w:sz w:val="20"/>
          <w:szCs w:val="20"/>
          <w:color w:val="auto"/>
        </w:rPr>
      </w:pPr>
    </w:p>
    <w:p>
      <w:pPr>
        <w:jc w:val="both"/>
        <w:ind w:firstLine="869"/>
        <w:spacing w:after="0" w:line="238" w:lineRule="auto"/>
        <w:tabs>
          <w:tab w:leader="none" w:pos="1649"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14"/>
          <w:szCs w:val="14"/>
          <w:b w:val="1"/>
          <w:bCs w:val="1"/>
          <w:color w:val="auto"/>
        </w:rPr>
        <w:t>NTIRE</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1"/>
          <w:szCs w:val="21"/>
          <w:b w:val="1"/>
          <w:bCs w:val="1"/>
          <w:color w:val="auto"/>
        </w:rPr>
        <w:t>; R</w:t>
      </w:r>
      <w:r>
        <w:rPr>
          <w:rFonts w:ascii="Times New Roman" w:cs="Times New Roman" w:eastAsia="Times New Roman" w:hAnsi="Times New Roman"/>
          <w:sz w:val="14"/>
          <w:szCs w:val="14"/>
          <w:b w:val="1"/>
          <w:bCs w:val="1"/>
          <w:color w:val="auto"/>
        </w:rPr>
        <w:t>ELATION TO</w:t>
      </w:r>
      <w:r>
        <w:rPr>
          <w:rFonts w:ascii="Times New Roman" w:cs="Times New Roman" w:eastAsia="Times New Roman" w:hAnsi="Times New Roman"/>
          <w:sz w:val="21"/>
          <w:szCs w:val="21"/>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1"/>
          <w:szCs w:val="21"/>
          <w:b w:val="1"/>
          <w:bCs w:val="1"/>
          <w:color w:val="auto"/>
        </w:rPr>
        <w:t xml:space="preserve"> 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otherwise set forth herein (including, for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avoidance of doubt, Sections 4.2(d) and 5.2(d)) or otherwise agreed to in writing between the Company Group and a Participant, the Plan contains the entire understanding of the parties relating to the subject matter hereof and supersedes any prior agreement, arrangement and understanding between any Participant and the Company Group, with respect to the subject matter hereof. By participating in the Plan and accepting the Severance Benefits hereunder, the Participant acknowledges and agrees that any prior agreement, arrangement and understanding between any Participant, on the one hand, and the Company Group, on the other hand, with respect to the subject matter hereof is hereby revoked and ineffective with respect to the Participant (including with respect to any severance arrangement contained in an effective employment agreement, employment letter agreement and/or change of control addendum by and between the Participant and the Company Group), except as otherwise agreed herein, including, for the avoidance of doubt, Sections 4.2(d) and 5.2(d).</w:t>
      </w:r>
    </w:p>
    <w:p>
      <w:pPr>
        <w:spacing w:after="0" w:line="169" w:lineRule="exact"/>
        <w:rPr>
          <w:rFonts w:ascii="Times New Roman" w:cs="Times New Roman" w:eastAsia="Times New Roman" w:hAnsi="Times New Roman"/>
          <w:sz w:val="21"/>
          <w:szCs w:val="21"/>
          <w:color w:val="auto"/>
        </w:rPr>
      </w:pPr>
    </w:p>
    <w:p>
      <w:pPr>
        <w:ind w:left="1660" w:hanging="791"/>
        <w:spacing w:after="0"/>
        <w:tabs>
          <w:tab w:leader="none" w:pos="166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14"/>
          <w:szCs w:val="14"/>
          <w:b w:val="1"/>
          <w:bCs w:val="1"/>
          <w:color w:val="auto"/>
        </w:rPr>
        <w:t>ONFIDENTIAL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4"/>
          <w:szCs w:val="14"/>
          <w:b w:val="1"/>
          <w:bCs w:val="1"/>
          <w:color w:val="auto"/>
        </w:rPr>
        <w:t>NON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4"/>
          <w:szCs w:val="14"/>
          <w:b w:val="1"/>
          <w:bCs w:val="1"/>
          <w:color w:val="auto"/>
        </w:rPr>
        <w:t>COMPETITION AND</w:t>
      </w:r>
      <w:r>
        <w:rPr>
          <w:rFonts w:ascii="Times New Roman" w:cs="Times New Roman" w:eastAsia="Times New Roman" w:hAnsi="Times New Roman"/>
          <w:sz w:val="21"/>
          <w:szCs w:val="21"/>
          <w:b w:val="1"/>
          <w:bCs w:val="1"/>
          <w:color w:val="auto"/>
        </w:rPr>
        <w:t xml:space="preserve"> 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4"/>
          <w:szCs w:val="14"/>
          <w:b w:val="1"/>
          <w:bCs w:val="1"/>
          <w:color w:val="auto"/>
        </w:rPr>
        <w:t>SOLICITATION</w:t>
      </w:r>
    </w:p>
    <w:p>
      <w:pPr>
        <w:spacing w:after="0" w:line="207" w:lineRule="exact"/>
        <w:rPr>
          <w:sz w:val="20"/>
          <w:szCs w:val="20"/>
          <w:color w:val="auto"/>
        </w:rPr>
      </w:pPr>
    </w:p>
    <w:p>
      <w:pPr>
        <w:jc w:val="both"/>
        <w:ind w:firstLine="1729"/>
        <w:spacing w:after="0" w:line="238" w:lineRule="auto"/>
        <w:rPr>
          <w:sz w:val="20"/>
          <w:szCs w:val="20"/>
          <w:color w:val="auto"/>
        </w:rPr>
      </w:pPr>
      <w:r>
        <w:rPr>
          <w:rFonts w:ascii="Times New Roman" w:cs="Times New Roman" w:eastAsia="Times New Roman" w:hAnsi="Times New Roman"/>
          <w:sz w:val="21"/>
          <w:szCs w:val="21"/>
          <w:color w:val="auto"/>
        </w:rPr>
        <w:t>9.1 The Participant shall hold in a fiduciary capacity for the benefit of the Company Group all secret or confidential information, knowledge or data relating to the Company Group, which shall have been obtained by the Participant in connection with the Participant’s employment by the Company Group and which shall not be or become public knowledge (other than by acts by the Participant or representatives of the Participant in violation of this Plan). After termination of the Participant’s employment with the Company Group, the Participant shall not, without the prior written consent of the Company Group or as may otherwise be required by law or legal process, communicate or divulge any such information, knowledge or data, to anyone other than the Company Group and those designated by it; provided, however, that if the Participant receives actual notice that the Participant is or may be required by law or legal process to communicate or divulge any such information, knowledge or data, the Participant shall promptly so notify the Company Group.</w:t>
      </w:r>
    </w:p>
    <w:p>
      <w:pPr>
        <w:spacing w:after="0" w:line="174" w:lineRule="exact"/>
        <w:rPr>
          <w:sz w:val="20"/>
          <w:szCs w:val="20"/>
          <w:color w:val="auto"/>
        </w:rPr>
      </w:pPr>
    </w:p>
    <w:p>
      <w:pPr>
        <w:jc w:val="both"/>
        <w:ind w:firstLine="1729"/>
        <w:spacing w:after="0" w:line="237" w:lineRule="auto"/>
        <w:rPr>
          <w:sz w:val="20"/>
          <w:szCs w:val="20"/>
          <w:color w:val="auto"/>
        </w:rPr>
      </w:pPr>
      <w:r>
        <w:rPr>
          <w:rFonts w:ascii="Times New Roman" w:cs="Times New Roman" w:eastAsia="Times New Roman" w:hAnsi="Times New Roman"/>
          <w:sz w:val="21"/>
          <w:szCs w:val="21"/>
          <w:color w:val="auto"/>
        </w:rPr>
        <w:t>9.2 While employed by the Company Group and during the Severance Period following a Separation from Service, the Participant shall not, at any time, directly or indirectly engage in, have any interest in (including, without limitation, through the investment of capital or lending of money or property), or manage, operate or otherwise render any services to, any person or entity (whether on his own or in association with others, as a principal, director, officer, employee, agent, representative, partner, member, security holder, consultant, advisor, independent contractor, owner, investor, participant or in any other capacity) that engages in (either directly or through any subsidiary or affiliate thereof) the business of buying, selling, reconditioning, or pricing motor vehicles in an online and/or ecommerce setting or any other business which competes with a business constituting at least 5% of the Company Group’s revenues as of the Participant’s Separation from Service, or that manages, operates or otherwise renders any services in connection with, such business (whether on his own or in association with others, as a principal, director, officer, employee, agent, representative, partner, member, security holder, consultant,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153275"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8" w:name="page149"/>
    <w:bookmarkEnd w:id="148"/>
    <w:p>
      <w:pPr>
        <w:jc w:val="both"/>
        <w:spacing w:after="0" w:line="249" w:lineRule="auto"/>
        <w:rPr>
          <w:sz w:val="20"/>
          <w:szCs w:val="20"/>
          <w:color w:val="auto"/>
        </w:rPr>
      </w:pPr>
      <w:r>
        <w:rPr>
          <w:rFonts w:ascii="Times New Roman" w:cs="Times New Roman" w:eastAsia="Times New Roman" w:hAnsi="Times New Roman"/>
          <w:sz w:val="21"/>
          <w:szCs w:val="21"/>
          <w:color w:val="auto"/>
        </w:rPr>
        <w:t>independent contractor, owner, investor, participant or in any other capacity). Notwithstanding the foregoing, the Participant shall be permitted to acquire a passive stock or equity interest in such a person or entity; provided that such stock or other equity interest acquired is less than five percent (5%) of the outstanding interest in such person or entity.</w:t>
      </w:r>
    </w:p>
    <w:p>
      <w:pPr>
        <w:spacing w:after="0" w:line="163" w:lineRule="exact"/>
        <w:rPr>
          <w:sz w:val="20"/>
          <w:szCs w:val="20"/>
          <w:color w:val="auto"/>
        </w:rPr>
      </w:pPr>
    </w:p>
    <w:p>
      <w:pPr>
        <w:jc w:val="both"/>
        <w:ind w:firstLine="1729"/>
        <w:spacing w:after="0" w:line="237" w:lineRule="auto"/>
        <w:rPr>
          <w:sz w:val="20"/>
          <w:szCs w:val="20"/>
          <w:color w:val="auto"/>
        </w:rPr>
      </w:pPr>
      <w:r>
        <w:rPr>
          <w:rFonts w:ascii="Times New Roman" w:cs="Times New Roman" w:eastAsia="Times New Roman" w:hAnsi="Times New Roman"/>
          <w:sz w:val="21"/>
          <w:szCs w:val="21"/>
          <w:color w:val="auto"/>
        </w:rPr>
        <w:t>9.3 While employed by the Company Group and during the Severance Period following a Separation from Service, the Participant shall not directly or indirectly solicit, induce, or encourage any employee or consultant of any member of the Company Group to terminate their employment or other relationship with the Company Group or to cease to render services to any member of the Company Group and the Participant shall not initiate discussion with any such person for any such purpose or authorize or knowingly cooperate with the taking of any such actions by any other individual or entity. During Participant’s employment with the Company and during the Severance Period following a Separation from Service, the Participant shall not solicit, induce, or encourage any customer, client, vendor, or other party doing business with any member of the Company Group to terminate its relationship therewith or transfer its business from any member of the Company Group and the Participant shall not initiate discussion with any such person for any such purpose or authorize or knowingly cooperate with the taking of any such actions by any other individual or entity.</w:t>
      </w:r>
    </w:p>
    <w:p>
      <w:pPr>
        <w:spacing w:after="0" w:line="180" w:lineRule="exact"/>
        <w:rPr>
          <w:sz w:val="20"/>
          <w:szCs w:val="20"/>
          <w:color w:val="auto"/>
        </w:rPr>
      </w:pPr>
    </w:p>
    <w:p>
      <w:pPr>
        <w:jc w:val="both"/>
        <w:ind w:firstLine="1729"/>
        <w:spacing w:after="0" w:line="239" w:lineRule="auto"/>
        <w:rPr>
          <w:sz w:val="20"/>
          <w:szCs w:val="20"/>
          <w:color w:val="auto"/>
        </w:rPr>
      </w:pPr>
      <w:r>
        <w:rPr>
          <w:rFonts w:ascii="Times New Roman" w:cs="Times New Roman" w:eastAsia="Times New Roman" w:hAnsi="Times New Roman"/>
          <w:sz w:val="21"/>
          <w:szCs w:val="21"/>
          <w:color w:val="auto"/>
        </w:rPr>
        <w:t>9.4 In recognition of the fact that irreparable injury will result to the Company Group in the event of a breach by the Participant or Participant’s obligations under Sections 9.1, 9.2 and 9.3 hereof, that monetary damages for such breach would not be readily calculable, and that the Company Group would not have an adequate remedy at law therefor, the Participant acknowledges, consents and agrees that in the event of such breach, or the threat thereof, the Company Group shall be entitled, in addition to any other legal remedies and damages available, to specific performance thereof and to temporary and permanent injunctive relief (without the necessity of posting a bond) to restrain the violation or threatened violation of such obligations by the Participant.</w:t>
      </w:r>
    </w:p>
    <w:p>
      <w:pPr>
        <w:spacing w:after="0" w:line="123" w:lineRule="exact"/>
        <w:rPr>
          <w:sz w:val="20"/>
          <w:szCs w:val="20"/>
          <w:color w:val="auto"/>
        </w:rPr>
      </w:pPr>
    </w:p>
    <w:p>
      <w:pPr>
        <w:ind w:left="860"/>
        <w:spacing w:after="0"/>
        <w:tabs>
          <w:tab w:leader="none" w:pos="1740" w:val="left"/>
        </w:tabs>
        <w:rPr>
          <w:sz w:val="20"/>
          <w:szCs w:val="20"/>
          <w:color w:val="auto"/>
        </w:rPr>
      </w:pPr>
      <w:r>
        <w:rPr>
          <w:rFonts w:ascii="Times New Roman" w:cs="Times New Roman" w:eastAsia="Times New Roman" w:hAnsi="Times New Roman"/>
          <w:sz w:val="21"/>
          <w:szCs w:val="21"/>
          <w:color w:val="auto"/>
        </w:rPr>
        <w:t>10.</w:t>
      </w:r>
      <w:r>
        <w:rPr>
          <w:sz w:val="20"/>
          <w:szCs w:val="20"/>
          <w:color w:val="auto"/>
        </w:rPr>
        <w:tab/>
      </w:r>
      <w:r>
        <w:rPr>
          <w:rFonts w:ascii="Times New Roman" w:cs="Times New Roman" w:eastAsia="Times New Roman" w:hAnsi="Times New Roman"/>
          <w:sz w:val="14"/>
          <w:szCs w:val="14"/>
          <w:b w:val="1"/>
          <w:bCs w:val="1"/>
          <w:color w:val="auto"/>
        </w:rPr>
        <w:t>ADMINISTRATION</w:t>
      </w:r>
    </w:p>
    <w:p>
      <w:pPr>
        <w:spacing w:after="0" w:line="255" w:lineRule="exact"/>
        <w:rPr>
          <w:sz w:val="20"/>
          <w:szCs w:val="20"/>
          <w:color w:val="auto"/>
        </w:rPr>
      </w:pPr>
    </w:p>
    <w:p>
      <w:pPr>
        <w:jc w:val="both"/>
        <w:ind w:firstLine="1729"/>
        <w:spacing w:after="0" w:line="250" w:lineRule="auto"/>
        <w:rPr>
          <w:sz w:val="20"/>
          <w:szCs w:val="20"/>
          <w:color w:val="auto"/>
        </w:rPr>
      </w:pPr>
      <w:r>
        <w:rPr>
          <w:rFonts w:ascii="Times New Roman" w:cs="Times New Roman" w:eastAsia="Times New Roman" w:hAnsi="Times New Roman"/>
          <w:sz w:val="21"/>
          <w:szCs w:val="21"/>
          <w:color w:val="auto"/>
        </w:rPr>
        <w:t>10.1 This Plan is administered by the Company (the “Administrator”). The Administrator, from time to time, may also appoint such individuals to act as the Administrator’s representatives as the Administrator considers necessary or desirable for the effective administration of the Plan.</w:t>
      </w:r>
    </w:p>
    <w:p>
      <w:pPr>
        <w:spacing w:after="0" w:line="161" w:lineRule="exact"/>
        <w:rPr>
          <w:sz w:val="20"/>
          <w:szCs w:val="20"/>
          <w:color w:val="auto"/>
        </w:rPr>
      </w:pPr>
    </w:p>
    <w:p>
      <w:pPr>
        <w:jc w:val="both"/>
        <w:ind w:firstLine="1729"/>
        <w:spacing w:after="0" w:line="266" w:lineRule="auto"/>
        <w:rPr>
          <w:sz w:val="20"/>
          <w:szCs w:val="20"/>
          <w:color w:val="auto"/>
        </w:rPr>
      </w:pPr>
      <w:r>
        <w:rPr>
          <w:rFonts w:ascii="Times New Roman" w:cs="Times New Roman" w:eastAsia="Times New Roman" w:hAnsi="Times New Roman"/>
          <w:sz w:val="21"/>
          <w:szCs w:val="21"/>
          <w:color w:val="auto"/>
        </w:rPr>
        <w:t>10.2 The Administrator, from time to time, may adopt such rules and regulations as may be necessary or desirable for the proper and efficient administration of the Plan and as are consistent with the terms of the Plan.</w:t>
      </w:r>
    </w:p>
    <w:p>
      <w:pPr>
        <w:spacing w:after="0" w:line="145" w:lineRule="exact"/>
        <w:rPr>
          <w:sz w:val="20"/>
          <w:szCs w:val="20"/>
          <w:color w:val="auto"/>
        </w:rPr>
      </w:pPr>
    </w:p>
    <w:p>
      <w:pPr>
        <w:jc w:val="both"/>
        <w:ind w:firstLine="1729"/>
        <w:spacing w:after="0" w:line="266" w:lineRule="auto"/>
        <w:rPr>
          <w:sz w:val="20"/>
          <w:szCs w:val="20"/>
          <w:color w:val="auto"/>
        </w:rPr>
      </w:pPr>
      <w:r>
        <w:rPr>
          <w:rFonts w:ascii="Times New Roman" w:cs="Times New Roman" w:eastAsia="Times New Roman" w:hAnsi="Times New Roman"/>
          <w:sz w:val="21"/>
          <w:szCs w:val="21"/>
          <w:color w:val="auto"/>
        </w:rPr>
        <w:t>10.3 In administering the Plan, the Administrator (and its delegate) shall have the sole and absolute discretionary authority to construe and interpret the provisions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308610</wp:posOffset>
            </wp:positionV>
            <wp:extent cx="7153275"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9" w:name="page150"/>
    <w:bookmarkEnd w:id="149"/>
    <w:p>
      <w:pPr>
        <w:jc w:val="both"/>
        <w:spacing w:after="0" w:line="241" w:lineRule="auto"/>
        <w:rPr>
          <w:sz w:val="20"/>
          <w:szCs w:val="20"/>
          <w:color w:val="auto"/>
        </w:rPr>
      </w:pPr>
      <w:r>
        <w:rPr>
          <w:rFonts w:ascii="Times New Roman" w:cs="Times New Roman" w:eastAsia="Times New Roman" w:hAnsi="Times New Roman"/>
          <w:sz w:val="21"/>
          <w:szCs w:val="21"/>
          <w:color w:val="auto"/>
        </w:rPr>
        <w:t>(and any related or underlying documents or policies), to interpret applicable law, and make factual determinations thereunder, including the authority to determine the eligibility of employees and the amount of benefits payable under the Plan. Any interpretation of this Plan and any decision on any matter within the discretion of the Administrator made by the Administrator in good faith is binding on all persons. If challenged in a legal proceeding, the Administrator's interpretations and determinations will be reviewed under the most deferential abuse of discretion standard of review.</w:t>
      </w:r>
    </w:p>
    <w:p>
      <w:pPr>
        <w:spacing w:after="0" w:line="173" w:lineRule="exact"/>
        <w:rPr>
          <w:sz w:val="20"/>
          <w:szCs w:val="20"/>
          <w:color w:val="auto"/>
        </w:rPr>
      </w:pPr>
    </w:p>
    <w:p>
      <w:pPr>
        <w:ind w:left="1740"/>
        <w:spacing w:after="0"/>
        <w:tabs>
          <w:tab w:leader="none" w:pos="2700" w:val="left"/>
        </w:tabs>
        <w:rPr>
          <w:sz w:val="20"/>
          <w:szCs w:val="20"/>
          <w:color w:val="auto"/>
        </w:rPr>
      </w:pPr>
      <w:r>
        <w:rPr>
          <w:rFonts w:ascii="Times New Roman" w:cs="Times New Roman" w:eastAsia="Times New Roman" w:hAnsi="Times New Roman"/>
          <w:sz w:val="21"/>
          <w:szCs w:val="21"/>
          <w:color w:val="auto"/>
        </w:rPr>
        <w:t>10.4</w:t>
      </w:r>
      <w:r>
        <w:rPr>
          <w:sz w:val="20"/>
          <w:szCs w:val="20"/>
          <w:color w:val="auto"/>
        </w:rPr>
        <w:tab/>
      </w:r>
      <w:r>
        <w:rPr>
          <w:rFonts w:ascii="Times New Roman" w:cs="Times New Roman" w:eastAsia="Times New Roman" w:hAnsi="Times New Roman"/>
          <w:sz w:val="20"/>
          <w:szCs w:val="20"/>
          <w:color w:val="auto"/>
        </w:rPr>
        <w:t>The Administrator keeps records of this Plan and is responsible for the administration of this Plan.</w:t>
      </w:r>
    </w:p>
    <w:p>
      <w:pPr>
        <w:spacing w:after="0" w:line="203" w:lineRule="exact"/>
        <w:rPr>
          <w:sz w:val="20"/>
          <w:szCs w:val="20"/>
          <w:color w:val="auto"/>
        </w:rPr>
      </w:pPr>
    </w:p>
    <w:p>
      <w:pPr>
        <w:jc w:val="both"/>
        <w:ind w:firstLine="1729"/>
        <w:spacing w:after="0" w:line="245" w:lineRule="auto"/>
        <w:rPr>
          <w:sz w:val="20"/>
          <w:szCs w:val="20"/>
          <w:color w:val="auto"/>
        </w:rPr>
      </w:pPr>
      <w:r>
        <w:rPr>
          <w:rFonts w:ascii="Times New Roman" w:cs="Times New Roman" w:eastAsia="Times New Roman" w:hAnsi="Times New Roman"/>
          <w:sz w:val="21"/>
          <w:szCs w:val="21"/>
          <w:color w:val="auto"/>
        </w:rPr>
        <w:t>10.5 If, due to errors in drafting, any Plan provision does not accurately reflect its intended meaning, as demonstrated by consistent interpretations or other evidence of intent, or as determined by the Administrator in its sole and absolute discretion, the provision shall be considered ambiguous and shall be interpreted by the Administrator in a fashion consistent with its intent, as determined in the sole and absolute discretion of the Administrator.</w:t>
      </w:r>
    </w:p>
    <w:p>
      <w:pPr>
        <w:spacing w:after="0" w:line="165" w:lineRule="exact"/>
        <w:rPr>
          <w:sz w:val="20"/>
          <w:szCs w:val="20"/>
          <w:color w:val="auto"/>
        </w:rPr>
      </w:pPr>
    </w:p>
    <w:p>
      <w:pPr>
        <w:jc w:val="both"/>
        <w:ind w:firstLine="1729"/>
        <w:spacing w:after="0" w:line="266" w:lineRule="auto"/>
        <w:rPr>
          <w:sz w:val="20"/>
          <w:szCs w:val="20"/>
          <w:color w:val="auto"/>
        </w:rPr>
      </w:pPr>
      <w:r>
        <w:rPr>
          <w:rFonts w:ascii="Times New Roman" w:cs="Times New Roman" w:eastAsia="Times New Roman" w:hAnsi="Times New Roman"/>
          <w:sz w:val="21"/>
          <w:szCs w:val="21"/>
          <w:color w:val="auto"/>
        </w:rPr>
        <w:t>10.6 This Section may not be invoked by any Employee, Participant or other person to require this Plan to be interpreted in a manner inconsistent with its interpretation by the Administrator.</w:t>
      </w:r>
    </w:p>
    <w:p>
      <w:pPr>
        <w:spacing w:after="0" w:line="145" w:lineRule="exact"/>
        <w:rPr>
          <w:sz w:val="20"/>
          <w:szCs w:val="20"/>
          <w:color w:val="auto"/>
        </w:rPr>
      </w:pPr>
    </w:p>
    <w:p>
      <w:pPr>
        <w:ind w:left="1740"/>
        <w:spacing w:after="0"/>
        <w:tabs>
          <w:tab w:leader="none" w:pos="2700" w:val="left"/>
        </w:tabs>
        <w:rPr>
          <w:sz w:val="20"/>
          <w:szCs w:val="20"/>
          <w:color w:val="auto"/>
        </w:rPr>
      </w:pPr>
      <w:r>
        <w:rPr>
          <w:rFonts w:ascii="Times New Roman" w:cs="Times New Roman" w:eastAsia="Times New Roman" w:hAnsi="Times New Roman"/>
          <w:sz w:val="21"/>
          <w:szCs w:val="21"/>
          <w:color w:val="auto"/>
        </w:rPr>
        <w:t>10.7</w:t>
      </w:r>
      <w:r>
        <w:rPr>
          <w:sz w:val="20"/>
          <w:szCs w:val="20"/>
          <w:color w:val="auto"/>
        </w:rPr>
        <w:tab/>
      </w:r>
      <w:r>
        <w:rPr>
          <w:rFonts w:ascii="Times New Roman" w:cs="Times New Roman" w:eastAsia="Times New Roman" w:hAnsi="Times New Roman"/>
          <w:sz w:val="20"/>
          <w:szCs w:val="20"/>
          <w:color w:val="auto"/>
        </w:rPr>
        <w:t>The Administrator will apply uniform rules to all similarly situated Participants.</w:t>
      </w:r>
    </w:p>
    <w:p>
      <w:pPr>
        <w:spacing w:after="0" w:line="203" w:lineRule="exact"/>
        <w:rPr>
          <w:sz w:val="20"/>
          <w:szCs w:val="20"/>
          <w:color w:val="auto"/>
        </w:rPr>
      </w:pPr>
    </w:p>
    <w:p>
      <w:pPr>
        <w:ind w:left="1740"/>
        <w:spacing w:after="0"/>
        <w:tabs>
          <w:tab w:leader="none" w:pos="2700" w:val="left"/>
        </w:tabs>
        <w:rPr>
          <w:sz w:val="20"/>
          <w:szCs w:val="20"/>
          <w:color w:val="auto"/>
        </w:rPr>
      </w:pPr>
      <w:r>
        <w:rPr>
          <w:rFonts w:ascii="Times New Roman" w:cs="Times New Roman" w:eastAsia="Times New Roman" w:hAnsi="Times New Roman"/>
          <w:sz w:val="21"/>
          <w:szCs w:val="21"/>
          <w:color w:val="auto"/>
        </w:rPr>
        <w:t>10.8</w:t>
      </w:r>
      <w:r>
        <w:rPr>
          <w:sz w:val="20"/>
          <w:szCs w:val="20"/>
          <w:color w:val="auto"/>
        </w:rPr>
        <w:tab/>
      </w:r>
      <w:r>
        <w:rPr>
          <w:rFonts w:ascii="Times New Roman" w:cs="Times New Roman" w:eastAsia="Times New Roman" w:hAnsi="Times New Roman"/>
          <w:sz w:val="20"/>
          <w:szCs w:val="20"/>
          <w:color w:val="auto"/>
        </w:rPr>
        <w:t>The Company will pay all costs of administration, except as provided with respect to disputes below.</w:t>
      </w:r>
    </w:p>
    <w:p>
      <w:pPr>
        <w:spacing w:after="0" w:line="199" w:lineRule="exact"/>
        <w:rPr>
          <w:sz w:val="20"/>
          <w:szCs w:val="20"/>
          <w:color w:val="auto"/>
        </w:rPr>
      </w:pPr>
    </w:p>
    <w:p>
      <w:pPr>
        <w:ind w:left="1760" w:hanging="891"/>
        <w:spacing w:after="0"/>
        <w:tabs>
          <w:tab w:leader="none" w:pos="176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14"/>
          <w:szCs w:val="14"/>
          <w:b w:val="1"/>
          <w:bCs w:val="1"/>
          <w:color w:val="auto"/>
        </w:rPr>
        <w:t>LAIMS FOR</w:t>
      </w:r>
      <w:r>
        <w:rPr>
          <w:rFonts w:ascii="Times New Roman" w:cs="Times New Roman" w:eastAsia="Times New Roman" w:hAnsi="Times New Roman"/>
          <w:sz w:val="21"/>
          <w:szCs w:val="21"/>
          <w:b w:val="1"/>
          <w:bCs w:val="1"/>
          <w:color w:val="auto"/>
        </w:rPr>
        <w:t xml:space="preserve"> B</w:t>
      </w:r>
      <w:r>
        <w:rPr>
          <w:rFonts w:ascii="Times New Roman" w:cs="Times New Roman" w:eastAsia="Times New Roman" w:hAnsi="Times New Roman"/>
          <w:sz w:val="14"/>
          <w:szCs w:val="14"/>
          <w:b w:val="1"/>
          <w:bCs w:val="1"/>
          <w:color w:val="auto"/>
        </w:rPr>
        <w:t>ENEFITS</w:t>
      </w:r>
    </w:p>
    <w:p>
      <w:pPr>
        <w:spacing w:after="0" w:line="203" w:lineRule="exact"/>
        <w:rPr>
          <w:sz w:val="20"/>
          <w:szCs w:val="20"/>
          <w:color w:val="auto"/>
        </w:rPr>
      </w:pPr>
    </w:p>
    <w:p>
      <w:pPr>
        <w:jc w:val="both"/>
        <w:ind w:firstLine="1729"/>
        <w:spacing w:after="0" w:line="246"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color w:val="auto"/>
        </w:rPr>
        <w:t>ERISA Plan.</w:t>
      </w:r>
      <w:r>
        <w:rPr>
          <w:rFonts w:ascii="Times New Roman" w:cs="Times New Roman" w:eastAsia="Times New Roman" w:hAnsi="Times New Roman"/>
          <w:sz w:val="21"/>
          <w:szCs w:val="21"/>
          <w:color w:val="auto"/>
        </w:rPr>
        <w:t xml:space="preserve"> This Plan is intended to be (a) an employee welfare plan as defined in Section 3(1) of Employee Retirement Income Security Act of 1974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ERISA</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and (b) a “top-hat” plan maintained for the benefit of a select group of management or highly compensated employees of the Company Group. This document is intended to constitute both the Plan document and the Plan’s Summary Plan Description.</w:t>
      </w:r>
    </w:p>
    <w:p>
      <w:pPr>
        <w:spacing w:after="0" w:line="161" w:lineRule="exact"/>
        <w:rPr>
          <w:sz w:val="20"/>
          <w:szCs w:val="20"/>
          <w:color w:val="auto"/>
        </w:rPr>
      </w:pPr>
    </w:p>
    <w:p>
      <w:pPr>
        <w:jc w:val="both"/>
        <w:ind w:firstLine="1729"/>
        <w:spacing w:after="0" w:line="241"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b w:val="1"/>
          <w:bCs w:val="1"/>
          <w:color w:val="auto"/>
        </w:rPr>
        <w:t>Application for Benefits.</w:t>
      </w:r>
      <w:r>
        <w:rPr>
          <w:rFonts w:ascii="Times New Roman" w:cs="Times New Roman" w:eastAsia="Times New Roman" w:hAnsi="Times New Roman"/>
          <w:sz w:val="21"/>
          <w:szCs w:val="21"/>
          <w:color w:val="auto"/>
        </w:rPr>
        <w:t xml:space="preserve"> All applications for payments and/or benefits under the Plan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Benefits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shall be submitted to the Company’s Benefits department personnel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Claims Administrator</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with a copy to the Company’s General Counsel. Applications for Benefits must be in writing on forms acceptable to the Claims Administrator and must be signed by the Participant or beneficiary. The Claims Administrator reserves the right to require the Participant or beneficiary to furnish such other proof of the Participant’s expenses, including without limitation, receipts, canceled checks, bills, and invoices as may be required by the Claims Administrator.</w:t>
      </w:r>
    </w:p>
    <w:p>
      <w:pPr>
        <w:spacing w:after="0" w:line="167" w:lineRule="exact"/>
        <w:rPr>
          <w:sz w:val="20"/>
          <w:szCs w:val="20"/>
          <w:color w:val="auto"/>
        </w:rPr>
      </w:pPr>
    </w:p>
    <w:p>
      <w:pPr>
        <w:ind w:left="1740"/>
        <w:spacing w:after="0"/>
        <w:tabs>
          <w:tab w:leader="none" w:pos="2700" w:val="left"/>
        </w:tabs>
        <w:rPr>
          <w:sz w:val="20"/>
          <w:szCs w:val="20"/>
          <w:color w:val="auto"/>
        </w:rPr>
      </w:pPr>
      <w:r>
        <w:rPr>
          <w:rFonts w:ascii="Times New Roman" w:cs="Times New Roman" w:eastAsia="Times New Roman" w:hAnsi="Times New Roman"/>
          <w:sz w:val="21"/>
          <w:szCs w:val="21"/>
          <w:color w:val="auto"/>
        </w:rPr>
        <w:t>11.3</w:t>
      </w:r>
      <w:r>
        <w:rPr>
          <w:sz w:val="20"/>
          <w:szCs w:val="20"/>
          <w:color w:val="auto"/>
        </w:rPr>
        <w:tab/>
      </w:r>
      <w:r>
        <w:rPr>
          <w:rFonts w:ascii="Times New Roman" w:cs="Times New Roman" w:eastAsia="Times New Roman" w:hAnsi="Times New Roman"/>
          <w:sz w:val="20"/>
          <w:szCs w:val="20"/>
          <w:b w:val="1"/>
          <w:bCs w:val="1"/>
          <w:color w:val="auto"/>
        </w:rPr>
        <w:t>Appeal of Denial of Claim.</w:t>
      </w:r>
    </w:p>
    <w:p>
      <w:pPr>
        <w:spacing w:after="0" w:line="207" w:lineRule="exact"/>
        <w:rPr>
          <w:sz w:val="20"/>
          <w:szCs w:val="20"/>
          <w:color w:val="auto"/>
        </w:rPr>
      </w:pPr>
    </w:p>
    <w:p>
      <w:pPr>
        <w:ind w:firstLine="2598"/>
        <w:spacing w:after="0" w:line="266" w:lineRule="auto"/>
        <w:tabs>
          <w:tab w:leader="none" w:pos="3454"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claimant’s claim for Benefits is denied, the Claims Administrator shall provide notice to the claimant in writing of the denial within ninety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308610</wp:posOffset>
            </wp:positionV>
            <wp:extent cx="7153275"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1"/>
          <w:szCs w:val="21"/>
          <w:color w:val="auto"/>
        </w:rPr>
        <w:t>after its submission. The notice shall be written in a manner calculated to be understood by the claimant and shall include:</w:t>
      </w:r>
    </w:p>
    <w:p>
      <w:pPr>
        <w:spacing w:after="0" w:line="202" w:lineRule="exact"/>
        <w:rPr>
          <w:sz w:val="20"/>
          <w:szCs w:val="20"/>
          <w:color w:val="auto"/>
        </w:rPr>
      </w:pPr>
    </w:p>
    <w:p>
      <w:pPr>
        <w:ind w:left="4340" w:hanging="877"/>
        <w:spacing w:after="0"/>
        <w:tabs>
          <w:tab w:leader="none" w:pos="4340"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specific reason or reasons for the denial;</w:t>
      </w:r>
    </w:p>
    <w:p>
      <w:pPr>
        <w:spacing w:after="0" w:line="203" w:lineRule="exact"/>
        <w:rPr>
          <w:rFonts w:ascii="Times New Roman" w:cs="Times New Roman" w:eastAsia="Times New Roman" w:hAnsi="Times New Roman"/>
          <w:sz w:val="21"/>
          <w:szCs w:val="21"/>
          <w:color w:val="auto"/>
        </w:rPr>
      </w:pPr>
    </w:p>
    <w:p>
      <w:pPr>
        <w:ind w:left="4340" w:hanging="877"/>
        <w:spacing w:after="0"/>
        <w:tabs>
          <w:tab w:leader="none" w:pos="4340"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Specific references to the Plan provisions on which the denial is based;</w:t>
      </w:r>
    </w:p>
    <w:p>
      <w:pPr>
        <w:spacing w:after="0" w:line="203" w:lineRule="exact"/>
        <w:rPr>
          <w:rFonts w:ascii="Times New Roman" w:cs="Times New Roman" w:eastAsia="Times New Roman" w:hAnsi="Times New Roman"/>
          <w:sz w:val="21"/>
          <w:szCs w:val="21"/>
          <w:color w:val="auto"/>
        </w:rPr>
      </w:pPr>
    </w:p>
    <w:p>
      <w:pPr>
        <w:ind w:left="4340" w:hanging="877"/>
        <w:spacing w:after="0"/>
        <w:tabs>
          <w:tab w:leader="none" w:pos="434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any additional material or information necessary for the applicant</w:t>
      </w:r>
    </w:p>
    <w:p>
      <w:pPr>
        <w:spacing w:after="0" w:line="29"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to perfect the claim and an explanation of why such material or information is necessary; and</w:t>
      </w:r>
    </w:p>
    <w:p>
      <w:pPr>
        <w:spacing w:after="0" w:line="179" w:lineRule="exact"/>
        <w:rPr>
          <w:rFonts w:ascii="Times New Roman" w:cs="Times New Roman" w:eastAsia="Times New Roman" w:hAnsi="Times New Roman"/>
          <w:sz w:val="20"/>
          <w:szCs w:val="20"/>
          <w:color w:val="auto"/>
        </w:rPr>
      </w:pPr>
    </w:p>
    <w:p>
      <w:pPr>
        <w:ind w:left="4340" w:hanging="877"/>
        <w:spacing w:after="0"/>
        <w:tabs>
          <w:tab w:leader="none" w:pos="4340"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explanation of the Plan’s claims review procedures and a statement of</w:t>
      </w:r>
    </w:p>
    <w:p>
      <w:pPr>
        <w:spacing w:after="0" w:line="18"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claimant’s right to bring a civil action under ERISA Section 502(a) following an adverse benefit determination.</w:t>
      </w:r>
    </w:p>
    <w:p>
      <w:pPr>
        <w:spacing w:after="0" w:line="179" w:lineRule="exact"/>
        <w:rPr>
          <w:rFonts w:ascii="Times New Roman" w:cs="Times New Roman" w:eastAsia="Times New Roman" w:hAnsi="Times New Roman"/>
          <w:sz w:val="21"/>
          <w:szCs w:val="21"/>
          <w:color w:val="auto"/>
        </w:rPr>
      </w:pPr>
    </w:p>
    <w:p>
      <w:pPr>
        <w:jc w:val="both"/>
        <w:ind w:firstLine="2598"/>
        <w:spacing w:after="0" w:line="250" w:lineRule="auto"/>
        <w:tabs>
          <w:tab w:leader="none" w:pos="346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special circumstances require an extension of time for processing the initial claim, a written notice of the extension and the reason therefor shall be furnished to the claimant before the end of the initial ninety (90) day period. In no event shall such extension exceed ninety (90) days.</w:t>
      </w:r>
    </w:p>
    <w:p>
      <w:pPr>
        <w:spacing w:after="0" w:line="161" w:lineRule="exact"/>
        <w:rPr>
          <w:rFonts w:ascii="Times New Roman" w:cs="Times New Roman" w:eastAsia="Times New Roman" w:hAnsi="Times New Roman"/>
          <w:sz w:val="21"/>
          <w:szCs w:val="21"/>
          <w:color w:val="auto"/>
        </w:rPr>
      </w:pPr>
    </w:p>
    <w:p>
      <w:pPr>
        <w:jc w:val="both"/>
        <w:ind w:firstLine="2598"/>
        <w:spacing w:after="0" w:line="250" w:lineRule="auto"/>
        <w:tabs>
          <w:tab w:leader="none" w:pos="3454"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claim for Benefits is denied, the claimant, at the claimant’s sole expense, may appeal the denial to the Committee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Appeals Administrator</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within sixty (60) days of the receipt of written notice of the denial. In pursuing such appeal the applicant or his duly authorized representative:</w:t>
      </w:r>
    </w:p>
    <w:p>
      <w:pPr>
        <w:spacing w:after="0" w:line="161" w:lineRule="exact"/>
        <w:rPr>
          <w:rFonts w:ascii="Times New Roman" w:cs="Times New Roman" w:eastAsia="Times New Roman" w:hAnsi="Times New Roman"/>
          <w:sz w:val="21"/>
          <w:szCs w:val="21"/>
          <w:color w:val="auto"/>
        </w:rPr>
      </w:pPr>
    </w:p>
    <w:p>
      <w:pPr>
        <w:ind w:left="4340" w:hanging="877"/>
        <w:spacing w:after="0"/>
        <w:tabs>
          <w:tab w:leader="none" w:pos="434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may request in writing that the Appeals Administrator review the denial;</w:t>
      </w:r>
    </w:p>
    <w:p>
      <w:pPr>
        <w:spacing w:after="0" w:line="203" w:lineRule="exact"/>
        <w:rPr>
          <w:rFonts w:ascii="Times New Roman" w:cs="Times New Roman" w:eastAsia="Times New Roman" w:hAnsi="Times New Roman"/>
          <w:sz w:val="21"/>
          <w:szCs w:val="21"/>
          <w:color w:val="auto"/>
        </w:rPr>
      </w:pPr>
    </w:p>
    <w:p>
      <w:pPr>
        <w:ind w:left="4340" w:hanging="877"/>
        <w:spacing w:after="0"/>
        <w:tabs>
          <w:tab w:leader="none" w:pos="434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may review pertinent documents; and</w:t>
      </w:r>
    </w:p>
    <w:p>
      <w:pPr>
        <w:spacing w:after="0" w:line="203" w:lineRule="exact"/>
        <w:rPr>
          <w:rFonts w:ascii="Times New Roman" w:cs="Times New Roman" w:eastAsia="Times New Roman" w:hAnsi="Times New Roman"/>
          <w:sz w:val="21"/>
          <w:szCs w:val="21"/>
          <w:color w:val="auto"/>
        </w:rPr>
      </w:pPr>
    </w:p>
    <w:p>
      <w:pPr>
        <w:ind w:left="4340" w:hanging="877"/>
        <w:spacing w:after="0"/>
        <w:tabs>
          <w:tab w:leader="none" w:pos="434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may submit issues and comments in writing.</w:t>
      </w:r>
    </w:p>
    <w:p>
      <w:pPr>
        <w:spacing w:after="0" w:line="203" w:lineRule="exact"/>
        <w:rPr>
          <w:rFonts w:ascii="Times New Roman" w:cs="Times New Roman" w:eastAsia="Times New Roman" w:hAnsi="Times New Roman"/>
          <w:sz w:val="21"/>
          <w:szCs w:val="21"/>
          <w:color w:val="auto"/>
        </w:rPr>
      </w:pPr>
    </w:p>
    <w:p>
      <w:pPr>
        <w:jc w:val="both"/>
        <w:ind w:firstLine="2598"/>
        <w:spacing w:after="0"/>
        <w:tabs>
          <w:tab w:leader="none" w:pos="346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decision on review shall be made within sixty (60) days of receipt of the request for review, unless special circumstances require an extension of time for processing, in which case a decision shall be rendered as soon as possible, but not later than one hundred twenty (120) days after receipt of the request for review. If such an extension of time is required, written notice of the extension shall be furnished to the claimant before the end of the original sixty (60) day period. The decision on review shall be made in writing, shall be written in a manner calculated to be understood by the claimant, and, if the decision on review is a denial of the claim for Benefits, shall include:</w:t>
      </w:r>
    </w:p>
    <w:p>
      <w:pPr>
        <w:spacing w:after="0" w:line="173" w:lineRule="exact"/>
        <w:rPr>
          <w:rFonts w:ascii="Times New Roman" w:cs="Times New Roman" w:eastAsia="Times New Roman" w:hAnsi="Times New Roman"/>
          <w:sz w:val="21"/>
          <w:szCs w:val="21"/>
          <w:color w:val="auto"/>
        </w:rPr>
      </w:pPr>
    </w:p>
    <w:p>
      <w:pPr>
        <w:ind w:left="4340" w:hanging="877"/>
        <w:spacing w:after="0"/>
        <w:tabs>
          <w:tab w:leader="none" w:pos="434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specific reason or reasons for the denial;</w:t>
      </w:r>
    </w:p>
    <w:p>
      <w:pPr>
        <w:spacing w:after="0" w:line="203" w:lineRule="exact"/>
        <w:rPr>
          <w:rFonts w:ascii="Times New Roman" w:cs="Times New Roman" w:eastAsia="Times New Roman" w:hAnsi="Times New Roman"/>
          <w:sz w:val="21"/>
          <w:szCs w:val="21"/>
          <w:color w:val="auto"/>
        </w:rPr>
      </w:pPr>
    </w:p>
    <w:p>
      <w:pPr>
        <w:ind w:left="4340" w:hanging="877"/>
        <w:spacing w:after="0"/>
        <w:tabs>
          <w:tab w:leader="none" w:pos="434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Specific references to the Plan provisions on which the denial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346075</wp:posOffset>
            </wp:positionV>
            <wp:extent cx="7153275"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1" w:name="page152"/>
    <w:bookmarkEnd w:id="151"/>
    <w:p>
      <w:pPr>
        <w:ind w:left="4340" w:hanging="877"/>
        <w:spacing w:after="0"/>
        <w:tabs>
          <w:tab w:leader="none" w:pos="43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any additional material or information necessary for the applicant</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to perfect the claim and an explanation of why such material or information is necessary; and</w:t>
      </w:r>
    </w:p>
    <w:p>
      <w:pPr>
        <w:spacing w:after="0" w:line="179" w:lineRule="exact"/>
        <w:rPr>
          <w:rFonts w:ascii="Times New Roman" w:cs="Times New Roman" w:eastAsia="Times New Roman" w:hAnsi="Times New Roman"/>
          <w:sz w:val="20"/>
          <w:szCs w:val="20"/>
          <w:color w:val="auto"/>
        </w:rPr>
      </w:pPr>
    </w:p>
    <w:p>
      <w:pPr>
        <w:ind w:left="4340" w:hanging="877"/>
        <w:spacing w:after="0"/>
        <w:tabs>
          <w:tab w:leader="none" w:pos="434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explanation of the Plan’s claims review procedures and a statement of</w:t>
      </w:r>
    </w:p>
    <w:p>
      <w:pPr>
        <w:spacing w:after="0" w:line="18"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claimant’s right to bring a civil action under ERISA Section 502(a) following an adverse benefit determination.</w:t>
      </w:r>
    </w:p>
    <w:p>
      <w:pPr>
        <w:spacing w:after="0" w:line="175" w:lineRule="exact"/>
        <w:rPr>
          <w:sz w:val="20"/>
          <w:szCs w:val="20"/>
          <w:color w:val="auto"/>
        </w:rPr>
      </w:pPr>
    </w:p>
    <w:p>
      <w:pPr>
        <w:jc w:val="both"/>
        <w:ind w:firstLine="1729"/>
        <w:spacing w:after="0" w:line="238"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b w:val="1"/>
          <w:bCs w:val="1"/>
          <w:color w:val="auto"/>
        </w:rPr>
        <w:t>Disputes Subject to Arbitration.</w:t>
      </w:r>
      <w:r>
        <w:rPr>
          <w:rFonts w:ascii="Times New Roman" w:cs="Times New Roman" w:eastAsia="Times New Roman" w:hAnsi="Times New Roman"/>
          <w:sz w:val="21"/>
          <w:szCs w:val="21"/>
          <w:color w:val="auto"/>
        </w:rPr>
        <w:t xml:space="preserve"> Subject to Section 18 herein, any claim, dispute or controversy arising out of this Plan, the interpretation, validity or enforceability of this Plan or the alleged breach thereof shall be submitted by the parties to binding arbitration by the American Arbitration Association (“</w:t>
      </w:r>
      <w:r>
        <w:rPr>
          <w:rFonts w:ascii="Times New Roman" w:cs="Times New Roman" w:eastAsia="Times New Roman" w:hAnsi="Times New Roman"/>
          <w:sz w:val="21"/>
          <w:szCs w:val="21"/>
          <w:b w:val="1"/>
          <w:bCs w:val="1"/>
          <w:i w:val="1"/>
          <w:iCs w:val="1"/>
          <w:color w:val="auto"/>
        </w:rPr>
        <w:t>AAA</w:t>
      </w:r>
      <w:r>
        <w:rPr>
          <w:rFonts w:ascii="Times New Roman" w:cs="Times New Roman" w:eastAsia="Times New Roman" w:hAnsi="Times New Roman"/>
          <w:sz w:val="21"/>
          <w:szCs w:val="21"/>
          <w:color w:val="auto"/>
        </w:rPr>
        <w:t xml:space="preserve">”) or as otherwise required by ERISA; provided, however, that (a) the arbitrator shall have no authority to make any ruling or judgment that would confer any rights with respect to trade secrets, confidential and proprietary information or other intellectual property; and (b) this arbitration provision shall not preclude the parties from seeking legal and equitable relief from any court having jurisdiction with respect to any disputes or claims relating to or arising out of the misuse or misappropriation of intellectual property. Such arbitration shall be conducted in accordance with the then-existing AAA Employment Arbitration Rules and Mediation Procedures. The rules can be found at </w:t>
      </w:r>
      <w:r>
        <w:rPr>
          <w:rFonts w:ascii="Times New Roman" w:cs="Times New Roman" w:eastAsia="Times New Roman" w:hAnsi="Times New Roman"/>
          <w:sz w:val="21"/>
          <w:szCs w:val="21"/>
          <w:u w:val="single" w:color="auto"/>
          <w:color w:val="auto"/>
        </w:rPr>
        <w:t>https://www.adr.org/employment</w:t>
      </w:r>
      <w:r>
        <w:rPr>
          <w:rFonts w:ascii="Times New Roman" w:cs="Times New Roman" w:eastAsia="Times New Roman" w:hAnsi="Times New Roman"/>
          <w:sz w:val="21"/>
          <w:szCs w:val="21"/>
          <w:color w:val="auto"/>
        </w:rPr>
        <w:t>, or a copy will be provided upon request. Judgment may be entered on the award of the arbitrator in any court having jurisdiction.</w:t>
      </w:r>
    </w:p>
    <w:p>
      <w:pPr>
        <w:spacing w:after="0" w:line="170" w:lineRule="exact"/>
        <w:rPr>
          <w:sz w:val="20"/>
          <w:szCs w:val="20"/>
          <w:color w:val="auto"/>
        </w:rPr>
      </w:pPr>
    </w:p>
    <w:p>
      <w:pPr>
        <w:ind w:firstLine="2598"/>
        <w:spacing w:after="0" w:line="270" w:lineRule="auto"/>
        <w:tabs>
          <w:tab w:leader="none" w:pos="3454"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Site of Arbitration. </w:t>
      </w:r>
      <w:r>
        <w:rPr>
          <w:rFonts w:ascii="Times New Roman" w:cs="Times New Roman" w:eastAsia="Times New Roman" w:hAnsi="Times New Roman"/>
          <w:sz w:val="21"/>
          <w:szCs w:val="21"/>
          <w:color w:val="auto"/>
        </w:rPr>
        <w:t>The site of the arbitration proceeding shall be in New York City, New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York or any other site mutually agreed to by the Company and the Participant.</w:t>
      </w:r>
    </w:p>
    <w:p>
      <w:pPr>
        <w:spacing w:after="0" w:line="137" w:lineRule="exact"/>
        <w:rPr>
          <w:rFonts w:ascii="Times New Roman" w:cs="Times New Roman" w:eastAsia="Times New Roman" w:hAnsi="Times New Roman"/>
          <w:sz w:val="21"/>
          <w:szCs w:val="21"/>
          <w:color w:val="auto"/>
        </w:rPr>
      </w:pPr>
    </w:p>
    <w:p>
      <w:pPr>
        <w:jc w:val="both"/>
        <w:ind w:firstLine="2598"/>
        <w:spacing w:after="0" w:line="243" w:lineRule="auto"/>
        <w:tabs>
          <w:tab w:leader="none" w:pos="3466"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Costs and Expenses Borne by Company. </w:t>
      </w:r>
      <w:r>
        <w:rPr>
          <w:rFonts w:ascii="Times New Roman" w:cs="Times New Roman" w:eastAsia="Times New Roman" w:hAnsi="Times New Roman"/>
          <w:sz w:val="21"/>
          <w:szCs w:val="21"/>
          <w:color w:val="auto"/>
        </w:rPr>
        <w:t>All costs and expenses of arbitration, including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but not limited to reasonable attorneys’ fees and other costs reasonably incurred by the Participant in connection with an arbitration in accordance with this Section 11, shall be paid by the Company. Notwithstanding the foregoing, if the Participant initiates the arbitration, and the arbitrator finds that the Participant’s claims were totally without merit or frivolous, then the Participant shall be responsible for the Participant’s own attorneys’ fees and costs.</w:t>
      </w:r>
    </w:p>
    <w:p>
      <w:pPr>
        <w:spacing w:after="0" w:line="168" w:lineRule="exact"/>
        <w:rPr>
          <w:sz w:val="20"/>
          <w:szCs w:val="20"/>
          <w:color w:val="auto"/>
        </w:rPr>
      </w:pPr>
    </w:p>
    <w:p>
      <w:pPr>
        <w:jc w:val="both"/>
        <w:ind w:firstLine="1729"/>
        <w:spacing w:after="0"/>
        <w:rPr>
          <w:sz w:val="20"/>
          <w:szCs w:val="20"/>
          <w:color w:val="auto"/>
        </w:rPr>
      </w:pPr>
      <w:r>
        <w:rPr>
          <w:rFonts w:ascii="Times New Roman" w:cs="Times New Roman" w:eastAsia="Times New Roman" w:hAnsi="Times New Roman"/>
          <w:sz w:val="21"/>
          <w:szCs w:val="21"/>
          <w:color w:val="auto"/>
        </w:rPr>
        <w:t>11.5 If any judicial proceeding is undertaken to appeal or arbitrate the denial of a claim or bring any other action under ERISA other than a breach of fiduciary duty claim, the evidence presented may be strictly limited to the evidence timely presented to the Administrator. In addition, any such judicial proceeding must be filed no later than two years from the date of the final adverse benefit determination of an applicant’s appeal of the denial of his or her claim for benefits. Notwithstanding the foregoing, if the applicable, analogous state statute of limitations has run or will run before the aforementioned two-year period, the state’s statute of limitations shall be controlling.</w:t>
      </w:r>
    </w:p>
    <w:p>
      <w:pPr>
        <w:spacing w:after="0" w:line="169" w:lineRule="exact"/>
        <w:rPr>
          <w:sz w:val="20"/>
          <w:szCs w:val="20"/>
          <w:color w:val="auto"/>
        </w:rPr>
      </w:pPr>
    </w:p>
    <w:p>
      <w:pPr>
        <w:ind w:left="1760" w:hanging="891"/>
        <w:spacing w:after="0"/>
        <w:tabs>
          <w:tab w:leader="none" w:pos="176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4"/>
          <w:szCs w:val="14"/>
          <w:b w:val="1"/>
          <w:bCs w:val="1"/>
          <w:color w:val="auto"/>
        </w:rPr>
        <w:t>ONTRACT OF</w:t>
      </w:r>
      <w:r>
        <w:rPr>
          <w:rFonts w:ascii="Times New Roman" w:cs="Times New Roman" w:eastAsia="Times New Roman" w:hAnsi="Times New Roman"/>
          <w:sz w:val="21"/>
          <w:szCs w:val="21"/>
          <w:b w:val="1"/>
          <w:bCs w:val="1"/>
          <w:color w:val="auto"/>
        </w:rPr>
        <w:t xml:space="preserve"> E</w:t>
      </w:r>
      <w:r>
        <w:rPr>
          <w:rFonts w:ascii="Times New Roman" w:cs="Times New Roman" w:eastAsia="Times New Roman" w:hAnsi="Times New Roman"/>
          <w:sz w:val="14"/>
          <w:szCs w:val="14"/>
          <w:b w:val="1"/>
          <w:bCs w:val="1"/>
          <w:color w:val="auto"/>
        </w:rPr>
        <w:t>MPLOYMENT</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Neither the establishment of the Plan, nor any amendment thereto, nor the payment of any benefits shall be construed as giving any person the right to be retained by the Company, a Successor or any other member of the Company Group. Except as otherwise established in an employment agreement between the Company Group and a Participant, the employment relationship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7153275"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2" w:name="page153"/>
    <w:bookmarkEnd w:id="152"/>
    <w:p>
      <w:pPr>
        <w:jc w:val="both"/>
        <w:spacing w:after="0" w:line="244" w:lineRule="auto"/>
        <w:rPr>
          <w:sz w:val="20"/>
          <w:szCs w:val="20"/>
          <w:color w:val="auto"/>
        </w:rPr>
      </w:pPr>
      <w:r>
        <w:rPr>
          <w:rFonts w:ascii="Times New Roman" w:cs="Times New Roman" w:eastAsia="Times New Roman" w:hAnsi="Times New Roman"/>
          <w:sz w:val="21"/>
          <w:szCs w:val="21"/>
          <w:color w:val="auto"/>
        </w:rPr>
        <w:t>the Participant and the Company is an “at-will” relationship. Accordingly, either the Participant or the Company may terminate the relationship at any time, with or without Cause, and with or without notice except as otherwise provided by Section 14. In addition, nothing in this Plan shall in any manner obligate any Successor or other member of the Company Group to offer employment to any Participant or to continue the employment of any Participant whom it does hire for any specific duration of time.</w:t>
      </w:r>
    </w:p>
    <w:p>
      <w:pPr>
        <w:spacing w:after="0" w:line="164" w:lineRule="exact"/>
        <w:rPr>
          <w:sz w:val="20"/>
          <w:szCs w:val="20"/>
          <w:color w:val="auto"/>
        </w:rPr>
      </w:pPr>
    </w:p>
    <w:p>
      <w:pPr>
        <w:ind w:left="1760" w:hanging="891"/>
        <w:spacing w:after="0"/>
        <w:tabs>
          <w:tab w:leader="none" w:pos="176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w:t>
      </w:r>
      <w:r>
        <w:rPr>
          <w:rFonts w:ascii="Times New Roman" w:cs="Times New Roman" w:eastAsia="Times New Roman" w:hAnsi="Times New Roman"/>
          <w:sz w:val="14"/>
          <w:szCs w:val="14"/>
          <w:b w:val="1"/>
          <w:bCs w:val="1"/>
          <w:color w:val="auto"/>
        </w:rPr>
        <w:t>UCCESSORS AND</w:t>
      </w:r>
      <w:r>
        <w:rPr>
          <w:rFonts w:ascii="Times New Roman" w:cs="Times New Roman" w:eastAsia="Times New Roman" w:hAnsi="Times New Roman"/>
          <w:sz w:val="21"/>
          <w:szCs w:val="21"/>
          <w:b w:val="1"/>
          <w:bCs w:val="1"/>
          <w:color w:val="auto"/>
        </w:rPr>
        <w:t xml:space="preserve"> A</w:t>
      </w:r>
      <w:r>
        <w:rPr>
          <w:rFonts w:ascii="Times New Roman" w:cs="Times New Roman" w:eastAsia="Times New Roman" w:hAnsi="Times New Roman"/>
          <w:sz w:val="14"/>
          <w:szCs w:val="14"/>
          <w:b w:val="1"/>
          <w:bCs w:val="1"/>
          <w:color w:val="auto"/>
        </w:rPr>
        <w:t>SSIGNS</w:t>
      </w:r>
    </w:p>
    <w:p>
      <w:pPr>
        <w:spacing w:after="0" w:line="203" w:lineRule="exact"/>
        <w:rPr>
          <w:sz w:val="20"/>
          <w:szCs w:val="20"/>
          <w:color w:val="auto"/>
        </w:rPr>
      </w:pPr>
    </w:p>
    <w:p>
      <w:pPr>
        <w:jc w:val="both"/>
        <w:ind w:firstLine="1729"/>
        <w:spacing w:after="0" w:line="243" w:lineRule="auto"/>
        <w:rPr>
          <w:sz w:val="20"/>
          <w:szCs w:val="20"/>
          <w:color w:val="auto"/>
        </w:rPr>
      </w:pPr>
      <w:r>
        <w:rPr>
          <w:rFonts w:ascii="Times New Roman" w:cs="Times New Roman" w:eastAsia="Times New Roman" w:hAnsi="Times New Roman"/>
          <w:sz w:val="21"/>
          <w:szCs w:val="21"/>
          <w:color w:val="auto"/>
        </w:rPr>
        <w:t xml:space="preserve">13.1 </w:t>
      </w:r>
      <w:r>
        <w:rPr>
          <w:rFonts w:ascii="Times New Roman" w:cs="Times New Roman" w:eastAsia="Times New Roman" w:hAnsi="Times New Roman"/>
          <w:sz w:val="21"/>
          <w:szCs w:val="21"/>
          <w:b w:val="1"/>
          <w:bCs w:val="1"/>
          <w:color w:val="auto"/>
        </w:rPr>
        <w:t>Successors of the Company.</w:t>
      </w:r>
      <w:r>
        <w:rPr>
          <w:rFonts w:ascii="Times New Roman" w:cs="Times New Roman" w:eastAsia="Times New Roman" w:hAnsi="Times New Roman"/>
          <w:sz w:val="21"/>
          <w:szCs w:val="21"/>
          <w:color w:val="auto"/>
        </w:rPr>
        <w:t xml:space="preserve"> The Company shall require any Successor, expressly, absolutely and unconditionally to assume and agree to perform this Plan in the same manner and to the same extent that the Company would be required to perform it if no such succession or assignment had taken place. Failure of the Company to obtain such agreement shall be a material breach of this Plan and shall entitle the Participant to resign for Good Reason and to receive the benefits provided under this Plan in the event of Termination Upon a Change in Control.</w:t>
      </w:r>
    </w:p>
    <w:p>
      <w:pPr>
        <w:spacing w:after="0" w:line="164" w:lineRule="exact"/>
        <w:rPr>
          <w:sz w:val="20"/>
          <w:szCs w:val="20"/>
          <w:color w:val="auto"/>
        </w:rPr>
      </w:pPr>
    </w:p>
    <w:p>
      <w:pPr>
        <w:jc w:val="both"/>
        <w:ind w:firstLine="1729"/>
        <w:spacing w:after="0" w:line="246" w:lineRule="auto"/>
        <w:rPr>
          <w:sz w:val="20"/>
          <w:szCs w:val="20"/>
          <w:color w:val="auto"/>
        </w:rPr>
      </w:pPr>
      <w:r>
        <w:rPr>
          <w:rFonts w:ascii="Times New Roman" w:cs="Times New Roman" w:eastAsia="Times New Roman" w:hAnsi="Times New Roman"/>
          <w:sz w:val="21"/>
          <w:szCs w:val="21"/>
          <w:color w:val="auto"/>
        </w:rPr>
        <w:t xml:space="preserve">13.2 </w:t>
      </w:r>
      <w:r>
        <w:rPr>
          <w:rFonts w:ascii="Times New Roman" w:cs="Times New Roman" w:eastAsia="Times New Roman" w:hAnsi="Times New Roman"/>
          <w:sz w:val="21"/>
          <w:szCs w:val="21"/>
          <w:b w:val="1"/>
          <w:bCs w:val="1"/>
          <w:color w:val="auto"/>
        </w:rPr>
        <w:t>Acknowledgment by Company.</w:t>
      </w:r>
      <w:r>
        <w:rPr>
          <w:rFonts w:ascii="Times New Roman" w:cs="Times New Roman" w:eastAsia="Times New Roman" w:hAnsi="Times New Roman"/>
          <w:sz w:val="21"/>
          <w:szCs w:val="21"/>
          <w:color w:val="auto"/>
        </w:rPr>
        <w:t xml:space="preserve"> If, after a Change in Control, the Company fails to reasonably confirm that it has performed the obligation described in Section 13.1 within thirty (30) days after written notice from the Participant, such failure shall be a material breach of this Plan and shall entitle the Participant to resign for Good Reason and to receive the benefits provided under this Plan in the event of Termination Upon a Change in Control.</w:t>
      </w:r>
    </w:p>
    <w:p>
      <w:pPr>
        <w:spacing w:after="0" w:line="161" w:lineRule="exact"/>
        <w:rPr>
          <w:sz w:val="20"/>
          <w:szCs w:val="20"/>
          <w:color w:val="auto"/>
        </w:rPr>
      </w:pPr>
    </w:p>
    <w:p>
      <w:pPr>
        <w:jc w:val="both"/>
        <w:ind w:firstLine="1729"/>
        <w:spacing w:after="0" w:line="241" w:lineRule="auto"/>
        <w:rPr>
          <w:sz w:val="20"/>
          <w:szCs w:val="20"/>
          <w:color w:val="auto"/>
        </w:rPr>
      </w:pPr>
      <w:r>
        <w:rPr>
          <w:rFonts w:ascii="Times New Roman" w:cs="Times New Roman" w:eastAsia="Times New Roman" w:hAnsi="Times New Roman"/>
          <w:sz w:val="21"/>
          <w:szCs w:val="21"/>
          <w:color w:val="auto"/>
        </w:rPr>
        <w:t xml:space="preserve">13.3 </w:t>
      </w:r>
      <w:r>
        <w:rPr>
          <w:rFonts w:ascii="Times New Roman" w:cs="Times New Roman" w:eastAsia="Times New Roman" w:hAnsi="Times New Roman"/>
          <w:sz w:val="21"/>
          <w:szCs w:val="21"/>
          <w:b w:val="1"/>
          <w:bCs w:val="1"/>
          <w:color w:val="auto"/>
        </w:rPr>
        <w:t>Heirs and Representatives of Participant.</w:t>
      </w:r>
      <w:r>
        <w:rPr>
          <w:rFonts w:ascii="Times New Roman" w:cs="Times New Roman" w:eastAsia="Times New Roman" w:hAnsi="Times New Roman"/>
          <w:sz w:val="21"/>
          <w:szCs w:val="21"/>
          <w:color w:val="auto"/>
        </w:rPr>
        <w:t xml:space="preserve"> This Plan shall inure to the benefit of and be enforceable by the Participant’s personal or legal representatives, executors, administrators, successors, heirs, distributees, devises, legatees or other beneficiaries. If the Participant should die while any amount would still be payable to the Participant hereunder (other than amounts which, by their terms, terminate upon the death of the Participant) if the Participant had continued to live, then all such amounts, unless otherwise provided herein, shall be paid in accordance with the terms of this Plan to the executors, personal representatives or administrators of the Participant’s estate.</w:t>
      </w:r>
    </w:p>
    <w:p>
      <w:pPr>
        <w:spacing w:after="0" w:line="167" w:lineRule="exact"/>
        <w:rPr>
          <w:sz w:val="20"/>
          <w:szCs w:val="20"/>
          <w:color w:val="auto"/>
        </w:rPr>
      </w:pPr>
    </w:p>
    <w:p>
      <w:pPr>
        <w:ind w:left="1760" w:hanging="891"/>
        <w:spacing w:after="0"/>
        <w:tabs>
          <w:tab w:leader="none" w:pos="176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w:t>
      </w:r>
      <w:r>
        <w:rPr>
          <w:rFonts w:ascii="Times New Roman" w:cs="Times New Roman" w:eastAsia="Times New Roman" w:hAnsi="Times New Roman"/>
          <w:sz w:val="14"/>
          <w:szCs w:val="14"/>
          <w:b w:val="1"/>
          <w:bCs w:val="1"/>
          <w:color w:val="auto"/>
        </w:rPr>
        <w:t>OTICES</w:t>
      </w:r>
    </w:p>
    <w:p>
      <w:pPr>
        <w:spacing w:after="0" w:line="203" w:lineRule="exact"/>
        <w:rPr>
          <w:sz w:val="20"/>
          <w:szCs w:val="20"/>
          <w:color w:val="auto"/>
        </w:rPr>
      </w:pPr>
    </w:p>
    <w:p>
      <w:pPr>
        <w:jc w:val="both"/>
        <w:ind w:firstLine="1729"/>
        <w:spacing w:after="0" w:line="252" w:lineRule="auto"/>
        <w:rPr>
          <w:sz w:val="20"/>
          <w:szCs w:val="20"/>
          <w:color w:val="auto"/>
        </w:rPr>
      </w:pPr>
      <w:r>
        <w:rPr>
          <w:rFonts w:ascii="Times New Roman" w:cs="Times New Roman" w:eastAsia="Times New Roman" w:hAnsi="Times New Roman"/>
          <w:sz w:val="21"/>
          <w:szCs w:val="21"/>
          <w:color w:val="auto"/>
        </w:rPr>
        <w:t xml:space="preserve">14.1 </w:t>
      </w:r>
      <w:r>
        <w:rPr>
          <w:rFonts w:ascii="Times New Roman" w:cs="Times New Roman" w:eastAsia="Times New Roman" w:hAnsi="Times New Roman"/>
          <w:sz w:val="21"/>
          <w:szCs w:val="21"/>
          <w:b w:val="1"/>
          <w:bCs w:val="1"/>
          <w:color w:val="auto"/>
        </w:rPr>
        <w:t>General.</w:t>
      </w:r>
      <w:r>
        <w:rPr>
          <w:rFonts w:ascii="Times New Roman" w:cs="Times New Roman" w:eastAsia="Times New Roman" w:hAnsi="Times New Roman"/>
          <w:sz w:val="21"/>
          <w:szCs w:val="21"/>
          <w:color w:val="auto"/>
        </w:rPr>
        <w:t xml:space="preserve"> For purposes of this Plan, notices and all other communications shall be in writing and shall be deemed to have been duly given when personally delivered or when mailed by United States certified mail, return receipt requested, or by overnight courier, postage prepaid, as follows:</w:t>
      </w:r>
    </w:p>
    <w:p>
      <w:pPr>
        <w:spacing w:after="0" w:line="159" w:lineRule="exact"/>
        <w:rPr>
          <w:sz w:val="20"/>
          <w:szCs w:val="20"/>
          <w:color w:val="auto"/>
        </w:rPr>
      </w:pPr>
    </w:p>
    <w:p>
      <w:pPr>
        <w:ind w:left="3460" w:hanging="862"/>
        <w:spacing w:after="0"/>
        <w:tabs>
          <w:tab w:leader="none" w:pos="346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Company:</w:t>
      </w:r>
    </w:p>
    <w:p>
      <w:pPr>
        <w:spacing w:after="0" w:line="20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Vroom, Inc.</w:t>
      </w:r>
    </w:p>
    <w:p>
      <w:pPr>
        <w:spacing w:after="0" w:line="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1375 Broadway Ave.</w:t>
      </w:r>
    </w:p>
    <w:p>
      <w:pPr>
        <w:ind w:left="1500"/>
        <w:spacing w:after="0" w:line="234" w:lineRule="auto"/>
        <w:rPr>
          <w:sz w:val="20"/>
          <w:szCs w:val="20"/>
          <w:color w:val="auto"/>
        </w:rPr>
      </w:pPr>
      <w:r>
        <w:rPr>
          <w:rFonts w:ascii="Times New Roman" w:cs="Times New Roman" w:eastAsia="Times New Roman" w:hAnsi="Times New Roman"/>
          <w:sz w:val="21"/>
          <w:szCs w:val="21"/>
          <w:color w:val="auto"/>
        </w:rPr>
        <w:t>11</w:t>
      </w:r>
      <w:r>
        <w:rPr>
          <w:rFonts w:ascii="Times New Roman" w:cs="Times New Roman" w:eastAsia="Times New Roman" w:hAnsi="Times New Roman"/>
          <w:sz w:val="17"/>
          <w:szCs w:val="17"/>
          <w:color w:val="auto"/>
        </w:rPr>
        <w:t>th</w:t>
      </w:r>
      <w:r>
        <w:rPr>
          <w:rFonts w:ascii="Times New Roman" w:cs="Times New Roman" w:eastAsia="Times New Roman" w:hAnsi="Times New Roman"/>
          <w:sz w:val="21"/>
          <w:szCs w:val="21"/>
          <w:color w:val="auto"/>
        </w:rPr>
        <w:t xml:space="preserve"> Floor</w:t>
      </w:r>
    </w:p>
    <w:p>
      <w:pPr>
        <w:ind w:left="1500"/>
        <w:spacing w:after="0"/>
        <w:rPr>
          <w:sz w:val="20"/>
          <w:szCs w:val="20"/>
          <w:color w:val="auto"/>
        </w:rPr>
      </w:pPr>
      <w:r>
        <w:rPr>
          <w:rFonts w:ascii="Times New Roman" w:cs="Times New Roman" w:eastAsia="Times New Roman" w:hAnsi="Times New Roman"/>
          <w:sz w:val="21"/>
          <w:szCs w:val="21"/>
          <w:color w:val="auto"/>
        </w:rPr>
        <w:t>New York, NY 10018</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Attention: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478790</wp:posOffset>
            </wp:positionV>
            <wp:extent cx="7153275"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3" w:name="page154"/>
    <w:bookmarkEnd w:id="153"/>
    <w:p>
      <w:pPr>
        <w:ind w:left="3480" w:hanging="882"/>
        <w:spacing w:after="0"/>
        <w:tabs>
          <w:tab w:leader="none" w:pos="348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Participant, at the home address which the Company has its personnel records .</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Either party may provide the other with notices of change of address, which shall be effective upon receipt.</w:t>
      </w:r>
    </w:p>
    <w:p>
      <w:pPr>
        <w:spacing w:after="0" w:line="199" w:lineRule="exact"/>
        <w:rPr>
          <w:sz w:val="20"/>
          <w:szCs w:val="20"/>
          <w:color w:val="auto"/>
        </w:rPr>
      </w:pPr>
    </w:p>
    <w:p>
      <w:pPr>
        <w:jc w:val="both"/>
        <w:ind w:firstLine="1729"/>
        <w:spacing w:after="0" w:line="243" w:lineRule="auto"/>
        <w:rPr>
          <w:sz w:val="20"/>
          <w:szCs w:val="20"/>
          <w:color w:val="auto"/>
        </w:rPr>
      </w:pPr>
      <w:r>
        <w:rPr>
          <w:rFonts w:ascii="Times New Roman" w:cs="Times New Roman" w:eastAsia="Times New Roman" w:hAnsi="Times New Roman"/>
          <w:sz w:val="21"/>
          <w:szCs w:val="21"/>
          <w:color w:val="auto"/>
        </w:rPr>
        <w:t xml:space="preserve">14.2 </w:t>
      </w:r>
      <w:r>
        <w:rPr>
          <w:rFonts w:ascii="Times New Roman" w:cs="Times New Roman" w:eastAsia="Times New Roman" w:hAnsi="Times New Roman"/>
          <w:sz w:val="21"/>
          <w:szCs w:val="21"/>
          <w:b w:val="1"/>
          <w:bCs w:val="1"/>
          <w:color w:val="auto"/>
        </w:rPr>
        <w:t>Notice of Termination.</w:t>
      </w:r>
      <w:r>
        <w:rPr>
          <w:rFonts w:ascii="Times New Roman" w:cs="Times New Roman" w:eastAsia="Times New Roman" w:hAnsi="Times New Roman"/>
          <w:sz w:val="21"/>
          <w:szCs w:val="21"/>
          <w:color w:val="auto"/>
        </w:rPr>
        <w:t xml:space="preserve"> Any termination by the Company of the Participant’s employment during the Change in Control Period or any resignation by the Participant during the Change in Control Period shall be communicated by a notice of termination or resignation to the other party hereto given in accordance with Section 14.1. Such notice shall indicate the specific termination provision in this Plan relied upon, shall set forth in reasonable detail the facts and circumstances claimed to provide a basis for termination under the provision so indicated, and shall specify the termination date.</w:t>
      </w:r>
    </w:p>
    <w:p>
      <w:pPr>
        <w:spacing w:after="0" w:line="164" w:lineRule="exact"/>
        <w:rPr>
          <w:sz w:val="20"/>
          <w:szCs w:val="20"/>
          <w:color w:val="auto"/>
        </w:rPr>
      </w:pPr>
    </w:p>
    <w:p>
      <w:pPr>
        <w:ind w:left="1760" w:hanging="891"/>
        <w:spacing w:after="0"/>
        <w:tabs>
          <w:tab w:leader="none" w:pos="176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w:t>
      </w:r>
      <w:r>
        <w:rPr>
          <w:rFonts w:ascii="Times New Roman" w:cs="Times New Roman" w:eastAsia="Times New Roman" w:hAnsi="Times New Roman"/>
          <w:sz w:val="14"/>
          <w:szCs w:val="14"/>
          <w:b w:val="1"/>
          <w:bCs w:val="1"/>
          <w:color w:val="auto"/>
        </w:rPr>
        <w:t>ERMINATION AND</w:t>
      </w:r>
      <w:r>
        <w:rPr>
          <w:rFonts w:ascii="Times New Roman" w:cs="Times New Roman" w:eastAsia="Times New Roman" w:hAnsi="Times New Roman"/>
          <w:sz w:val="21"/>
          <w:szCs w:val="21"/>
          <w:b w:val="1"/>
          <w:bCs w:val="1"/>
          <w:color w:val="auto"/>
        </w:rPr>
        <w:t xml:space="preserve"> A</w:t>
      </w:r>
      <w:r>
        <w:rPr>
          <w:rFonts w:ascii="Times New Roman" w:cs="Times New Roman" w:eastAsia="Times New Roman" w:hAnsi="Times New Roman"/>
          <w:sz w:val="14"/>
          <w:szCs w:val="14"/>
          <w:b w:val="1"/>
          <w:bCs w:val="1"/>
          <w:color w:val="auto"/>
        </w:rPr>
        <w:t>MENDMENT OF</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The Plan may be terminated or amended by the Board or the Committee, in its sole discretion;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notwithstanding the foregoing, during a Change in Control Period, the Plan may not be terminated or amended until the date all payments and benefits eligible to be received hereunder shall have been paid.</w:t>
      </w:r>
    </w:p>
    <w:p>
      <w:pPr>
        <w:spacing w:after="0" w:line="156" w:lineRule="exact"/>
        <w:rPr>
          <w:sz w:val="20"/>
          <w:szCs w:val="20"/>
          <w:color w:val="auto"/>
        </w:rPr>
      </w:pPr>
    </w:p>
    <w:p>
      <w:pPr>
        <w:ind w:left="1760" w:hanging="891"/>
        <w:spacing w:after="0"/>
        <w:tabs>
          <w:tab w:leader="none" w:pos="176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1"/>
          <w:szCs w:val="21"/>
          <w:b w:val="1"/>
          <w:bCs w:val="1"/>
          <w:color w:val="auto"/>
        </w:rPr>
        <w:t xml:space="preserve"> 409A</w:t>
      </w:r>
    </w:p>
    <w:p>
      <w:pPr>
        <w:spacing w:after="0" w:line="203" w:lineRule="exact"/>
        <w:rPr>
          <w:sz w:val="20"/>
          <w:szCs w:val="20"/>
          <w:color w:val="auto"/>
        </w:rPr>
      </w:pPr>
    </w:p>
    <w:p>
      <w:pPr>
        <w:jc w:val="both"/>
        <w:ind w:firstLine="1729"/>
        <w:spacing w:after="0" w:line="238" w:lineRule="auto"/>
        <w:rPr>
          <w:sz w:val="20"/>
          <w:szCs w:val="20"/>
          <w:color w:val="auto"/>
        </w:rPr>
      </w:pPr>
      <w:r>
        <w:rPr>
          <w:rFonts w:ascii="Times New Roman" w:cs="Times New Roman" w:eastAsia="Times New Roman" w:hAnsi="Times New Roman"/>
          <w:sz w:val="21"/>
          <w:szCs w:val="21"/>
          <w:color w:val="auto"/>
        </w:rPr>
        <w:t xml:space="preserve">16.1 </w:t>
      </w:r>
      <w:r>
        <w:rPr>
          <w:rFonts w:ascii="Times New Roman" w:cs="Times New Roman" w:eastAsia="Times New Roman" w:hAnsi="Times New Roman"/>
          <w:sz w:val="21"/>
          <w:szCs w:val="21"/>
          <w:b w:val="1"/>
          <w:bCs w:val="1"/>
          <w:color w:val="auto"/>
        </w:rPr>
        <w:t>General</w:t>
      </w:r>
      <w:r>
        <w:rPr>
          <w:rFonts w:ascii="Times New Roman" w:cs="Times New Roman" w:eastAsia="Times New Roman" w:hAnsi="Times New Roman"/>
          <w:sz w:val="21"/>
          <w:szCs w:val="21"/>
          <w:color w:val="auto"/>
        </w:rPr>
        <w:t xml:space="preserve">. The payments and benefits under the Plan are intended to comply with or be exempt from Section 409A and, accordingly, to the maximum extent permitted, the Plan shall be interpreted to be in compliance with or exempt from Section 409A. If the Company determines that any particular provision of the Plan would cause a Participant to incur any tax or interest under Section 409A, the Company shall take commercially reasonable efforts to reform such provision to the minimum extent reasonably appropriate to comply with or be exempt from Section 409A,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such modifications shall not increase the cost or liability to the Company. To the extent that any provision of the Plan is modified in order to comply with or be exempt from Section 409A, such modification shall be made in good faith and shall, to the maximum extent reasonably possible, maintain the original intent and economic benefit to the Participants and the Company of the applicable provision without resulting in the imposition of a tax under Section 409A.</w:t>
      </w:r>
    </w:p>
    <w:p>
      <w:pPr>
        <w:spacing w:after="0" w:line="174" w:lineRule="exact"/>
        <w:rPr>
          <w:sz w:val="20"/>
          <w:szCs w:val="20"/>
          <w:color w:val="auto"/>
        </w:rPr>
      </w:pPr>
    </w:p>
    <w:p>
      <w:pPr>
        <w:jc w:val="both"/>
        <w:ind w:firstLine="1729"/>
        <w:spacing w:after="0" w:line="238" w:lineRule="auto"/>
        <w:rPr>
          <w:sz w:val="20"/>
          <w:szCs w:val="20"/>
          <w:color w:val="auto"/>
        </w:rPr>
      </w:pPr>
      <w:r>
        <w:rPr>
          <w:rFonts w:ascii="Times New Roman" w:cs="Times New Roman" w:eastAsia="Times New Roman" w:hAnsi="Times New Roman"/>
          <w:sz w:val="21"/>
          <w:szCs w:val="21"/>
          <w:color w:val="auto"/>
        </w:rPr>
        <w:t xml:space="preserve">16.2 </w:t>
      </w:r>
      <w:r>
        <w:rPr>
          <w:rFonts w:ascii="Times New Roman" w:cs="Times New Roman" w:eastAsia="Times New Roman" w:hAnsi="Times New Roman"/>
          <w:sz w:val="21"/>
          <w:szCs w:val="21"/>
          <w:b w:val="1"/>
          <w:bCs w:val="1"/>
          <w:color w:val="auto"/>
        </w:rPr>
        <w:t>Specified Employee</w:t>
      </w:r>
      <w:r>
        <w:rPr>
          <w:rFonts w:ascii="Times New Roman" w:cs="Times New Roman" w:eastAsia="Times New Roman" w:hAnsi="Times New Roman"/>
          <w:sz w:val="21"/>
          <w:szCs w:val="21"/>
          <w:color w:val="auto"/>
        </w:rPr>
        <w:t>. Notwithstanding anything to the contrary in the Plan, if the Company determines at the time of a Participant’s Separation from Service that the Participant is a “specified employee” for purposes of Section 409A, then, to the extent delayed commencement of any portion of the benefits to which a Participant is entitled under the Plan is required to avoid a prohibited distribution under Section 409A(a)(2)(B)(i) of the Code, such portion of the Participant’s benefits shall not be provided to the Participant before the earlier of (i) the expiration of the six-month period measured from the date of the Participant’s Separation from Service with the Company or (ii) the date of the Participant’s death. On the first business day following the expiration of the applicable Section 409A period, all payments deferred pursuant to the preceding sentence shall be paid in a lump sum to the Participant (or the Participant’s estate or beneficiaries), and any remaining payments due to the Participant under the Plan shall be paid as otherwise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153275"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4" w:name="page155"/>
    <w:bookmarkEnd w:id="154"/>
    <w:p>
      <w:pPr>
        <w:jc w:val="both"/>
        <w:ind w:firstLine="1729"/>
        <w:spacing w:after="0" w:line="245" w:lineRule="auto"/>
        <w:rPr>
          <w:sz w:val="20"/>
          <w:szCs w:val="20"/>
          <w:color w:val="auto"/>
        </w:rPr>
      </w:pPr>
      <w:r>
        <w:rPr>
          <w:rFonts w:ascii="Times New Roman" w:cs="Times New Roman" w:eastAsia="Times New Roman" w:hAnsi="Times New Roman"/>
          <w:sz w:val="21"/>
          <w:szCs w:val="21"/>
          <w:color w:val="auto"/>
        </w:rPr>
        <w:t xml:space="preserve">16.3 </w:t>
      </w:r>
      <w:r>
        <w:rPr>
          <w:rFonts w:ascii="Times New Roman" w:cs="Times New Roman" w:eastAsia="Times New Roman" w:hAnsi="Times New Roman"/>
          <w:sz w:val="21"/>
          <w:szCs w:val="21"/>
          <w:b w:val="1"/>
          <w:bCs w:val="1"/>
          <w:color w:val="auto"/>
        </w:rPr>
        <w:t>Separation from Service</w:t>
      </w:r>
      <w:r>
        <w:rPr>
          <w:rFonts w:ascii="Times New Roman" w:cs="Times New Roman" w:eastAsia="Times New Roman" w:hAnsi="Times New Roman"/>
          <w:sz w:val="21"/>
          <w:szCs w:val="21"/>
          <w:color w:val="auto"/>
        </w:rPr>
        <w:t>. Notwithstanding anything to the contrary in the Plan, any compensation or benefit payable under the Plan that constitutes “nonqualified deferred compensation” under Section 409A and is designated under the Plan as payable upon a Participant’s termination of employment with the Company shall be payable only upon the Participant’s Separation from Service with the Company.</w:t>
      </w:r>
    </w:p>
    <w:p>
      <w:pPr>
        <w:spacing w:after="0" w:line="164" w:lineRule="exact"/>
        <w:rPr>
          <w:sz w:val="20"/>
          <w:szCs w:val="20"/>
          <w:color w:val="auto"/>
        </w:rPr>
      </w:pPr>
    </w:p>
    <w:p>
      <w:pPr>
        <w:jc w:val="both"/>
        <w:ind w:firstLine="1729"/>
        <w:spacing w:after="0" w:line="243" w:lineRule="auto"/>
        <w:rPr>
          <w:sz w:val="20"/>
          <w:szCs w:val="20"/>
          <w:color w:val="auto"/>
        </w:rPr>
      </w:pPr>
      <w:r>
        <w:rPr>
          <w:rFonts w:ascii="Times New Roman" w:cs="Times New Roman" w:eastAsia="Times New Roman" w:hAnsi="Times New Roman"/>
          <w:sz w:val="21"/>
          <w:szCs w:val="21"/>
          <w:color w:val="auto"/>
        </w:rPr>
        <w:t xml:space="preserve">16.4 </w:t>
      </w:r>
      <w:r>
        <w:rPr>
          <w:rFonts w:ascii="Times New Roman" w:cs="Times New Roman" w:eastAsia="Times New Roman" w:hAnsi="Times New Roman"/>
          <w:sz w:val="21"/>
          <w:szCs w:val="21"/>
          <w:b w:val="1"/>
          <w:bCs w:val="1"/>
          <w:color w:val="auto"/>
        </w:rPr>
        <w:t>Expense Reimbursements</w:t>
      </w:r>
      <w:r>
        <w:rPr>
          <w:rFonts w:ascii="Times New Roman" w:cs="Times New Roman" w:eastAsia="Times New Roman" w:hAnsi="Times New Roman"/>
          <w:sz w:val="21"/>
          <w:szCs w:val="21"/>
          <w:color w:val="auto"/>
        </w:rPr>
        <w:t>. To the extent that any reimbursements payable under the Plan are subject to Section 409A, any such reimbursements shall be paid to the Participant no later than December 31 of the year following the year in which the expense was incurred. The amount of expenses reimbursed in one year shall not affect the amount eligible for reimbursement in any subsequent year, and a Participant’s right to reimbursement under the Plan will not be subject to liquidation or exchange for another benefit.</w:t>
      </w:r>
    </w:p>
    <w:p>
      <w:pPr>
        <w:spacing w:after="0" w:line="164" w:lineRule="exact"/>
        <w:rPr>
          <w:sz w:val="20"/>
          <w:szCs w:val="20"/>
          <w:color w:val="auto"/>
        </w:rPr>
      </w:pPr>
    </w:p>
    <w:p>
      <w:pPr>
        <w:ind w:left="1760" w:hanging="891"/>
        <w:spacing w:after="0"/>
        <w:tabs>
          <w:tab w:leader="none" w:pos="17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4"/>
          <w:szCs w:val="14"/>
          <w:b w:val="1"/>
          <w:bCs w:val="1"/>
          <w:color w:val="auto"/>
        </w:rPr>
        <w:t>ROVISIONS</w:t>
      </w:r>
    </w:p>
    <w:p>
      <w:pPr>
        <w:spacing w:after="0" w:line="203" w:lineRule="exact"/>
        <w:rPr>
          <w:sz w:val="20"/>
          <w:szCs w:val="20"/>
          <w:color w:val="auto"/>
        </w:rPr>
      </w:pPr>
    </w:p>
    <w:p>
      <w:pPr>
        <w:jc w:val="both"/>
        <w:ind w:firstLine="1729"/>
        <w:spacing w:after="0"/>
        <w:rPr>
          <w:sz w:val="20"/>
          <w:szCs w:val="20"/>
          <w:color w:val="auto"/>
        </w:rPr>
      </w:pPr>
      <w:r>
        <w:rPr>
          <w:rFonts w:ascii="Times New Roman" w:cs="Times New Roman" w:eastAsia="Times New Roman" w:hAnsi="Times New Roman"/>
          <w:sz w:val="21"/>
          <w:szCs w:val="21"/>
          <w:color w:val="auto"/>
        </w:rPr>
        <w:t xml:space="preserve">17.1 </w:t>
      </w:r>
      <w:r>
        <w:rPr>
          <w:rFonts w:ascii="Times New Roman" w:cs="Times New Roman" w:eastAsia="Times New Roman" w:hAnsi="Times New Roman"/>
          <w:sz w:val="21"/>
          <w:szCs w:val="21"/>
          <w:b w:val="1"/>
          <w:bCs w:val="1"/>
          <w:color w:val="auto"/>
        </w:rPr>
        <w:t>Unfunded Obligation.</w:t>
      </w:r>
      <w:r>
        <w:rPr>
          <w:rFonts w:ascii="Times New Roman" w:cs="Times New Roman" w:eastAsia="Times New Roman" w:hAnsi="Times New Roman"/>
          <w:sz w:val="21"/>
          <w:szCs w:val="21"/>
          <w:color w:val="auto"/>
        </w:rPr>
        <w:t xml:space="preserve"> Any amounts payable to Participants pursuant to the Plan are unfunded obligations. The Company shall not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Board or the Company and a Participant, or otherwise create any vested or beneficial interest in any Participant or the Participant’s creditors in any assets of the Company.</w:t>
      </w:r>
    </w:p>
    <w:p>
      <w:pPr>
        <w:spacing w:after="0" w:line="167" w:lineRule="exact"/>
        <w:rPr>
          <w:sz w:val="20"/>
          <w:szCs w:val="20"/>
          <w:color w:val="auto"/>
        </w:rPr>
      </w:pPr>
    </w:p>
    <w:p>
      <w:pPr>
        <w:jc w:val="both"/>
        <w:ind w:firstLine="1729"/>
        <w:spacing w:after="0"/>
        <w:rPr>
          <w:sz w:val="20"/>
          <w:szCs w:val="20"/>
          <w:color w:val="auto"/>
        </w:rPr>
      </w:pPr>
      <w:r>
        <w:rPr>
          <w:rFonts w:ascii="Times New Roman" w:cs="Times New Roman" w:eastAsia="Times New Roman" w:hAnsi="Times New Roman"/>
          <w:sz w:val="21"/>
          <w:szCs w:val="21"/>
          <w:color w:val="auto"/>
        </w:rPr>
        <w:t xml:space="preserve">17.2 </w:t>
      </w:r>
      <w:r>
        <w:rPr>
          <w:rFonts w:ascii="Times New Roman" w:cs="Times New Roman" w:eastAsia="Times New Roman" w:hAnsi="Times New Roman"/>
          <w:sz w:val="21"/>
          <w:szCs w:val="21"/>
          <w:b w:val="1"/>
          <w:bCs w:val="1"/>
          <w:color w:val="auto"/>
        </w:rPr>
        <w:t>No Duty to Mitigate; Obligations of Company.</w:t>
      </w:r>
      <w:r>
        <w:rPr>
          <w:rFonts w:ascii="Times New Roman" w:cs="Times New Roman" w:eastAsia="Times New Roman" w:hAnsi="Times New Roman"/>
          <w:sz w:val="21"/>
          <w:szCs w:val="21"/>
          <w:color w:val="auto"/>
        </w:rPr>
        <w:t xml:space="preserve"> A Participant shall not be required to mitigate the amount of any payment or benefit contemplated by this Plan by seeking employment with a new employer or otherwise, nor shall any such payment or benefit (except for benefits to the extent described in Section 7.2) be reduced by any compensation or benefits that the Participant may receive from employment by another employer. Except as otherwise provided by this Plan, the obligations of the Company to make payments to the Participant and to make the arrangements provided for herein are absolute and unconditional and may not be reduced by any circumstances, including without limitation any set-off, counterclaim, recoupment, defense or other right which the Company may have against the Participant or any third party at any time.</w:t>
      </w:r>
    </w:p>
    <w:p>
      <w:pPr>
        <w:spacing w:after="0" w:line="167" w:lineRule="exact"/>
        <w:rPr>
          <w:sz w:val="20"/>
          <w:szCs w:val="20"/>
          <w:color w:val="auto"/>
        </w:rPr>
      </w:pPr>
    </w:p>
    <w:p>
      <w:pPr>
        <w:jc w:val="both"/>
        <w:ind w:firstLine="1729"/>
        <w:spacing w:after="0" w:line="252" w:lineRule="auto"/>
        <w:rPr>
          <w:sz w:val="20"/>
          <w:szCs w:val="20"/>
          <w:color w:val="auto"/>
        </w:rPr>
      </w:pPr>
      <w:r>
        <w:rPr>
          <w:rFonts w:ascii="Times New Roman" w:cs="Times New Roman" w:eastAsia="Times New Roman" w:hAnsi="Times New Roman"/>
          <w:sz w:val="21"/>
          <w:szCs w:val="21"/>
          <w:color w:val="auto"/>
        </w:rPr>
        <w:t xml:space="preserve">17.3 </w:t>
      </w:r>
      <w:r>
        <w:rPr>
          <w:rFonts w:ascii="Times New Roman" w:cs="Times New Roman" w:eastAsia="Times New Roman" w:hAnsi="Times New Roman"/>
          <w:sz w:val="21"/>
          <w:szCs w:val="21"/>
          <w:b w:val="1"/>
          <w:bCs w:val="1"/>
          <w:color w:val="auto"/>
        </w:rPr>
        <w:t>No Representations.</w:t>
      </w:r>
      <w:r>
        <w:rPr>
          <w:rFonts w:ascii="Times New Roman" w:cs="Times New Roman" w:eastAsia="Times New Roman" w:hAnsi="Times New Roman"/>
          <w:sz w:val="21"/>
          <w:szCs w:val="21"/>
          <w:color w:val="auto"/>
        </w:rPr>
        <w:t xml:space="preserve"> The Participant acknowledges that in becoming a Participant in the Plan, the Participant is not relying and has not relied on any promise, representation or statement made by or on behalf of the Company which is not set forth in this Plan.</w:t>
      </w:r>
    </w:p>
    <w:p>
      <w:pPr>
        <w:spacing w:after="0" w:line="155" w:lineRule="exact"/>
        <w:rPr>
          <w:sz w:val="20"/>
          <w:szCs w:val="20"/>
          <w:color w:val="auto"/>
        </w:rPr>
      </w:pPr>
    </w:p>
    <w:p>
      <w:pPr>
        <w:jc w:val="both"/>
        <w:ind w:firstLine="1729"/>
        <w:spacing w:after="0" w:line="252" w:lineRule="auto"/>
        <w:rPr>
          <w:sz w:val="20"/>
          <w:szCs w:val="20"/>
          <w:color w:val="auto"/>
        </w:rPr>
      </w:pPr>
      <w:r>
        <w:rPr>
          <w:rFonts w:ascii="Times New Roman" w:cs="Times New Roman" w:eastAsia="Times New Roman" w:hAnsi="Times New Roman"/>
          <w:sz w:val="21"/>
          <w:szCs w:val="21"/>
          <w:color w:val="auto"/>
        </w:rPr>
        <w:t xml:space="preserve">17.4 </w:t>
      </w:r>
      <w:r>
        <w:rPr>
          <w:rFonts w:ascii="Times New Roman" w:cs="Times New Roman" w:eastAsia="Times New Roman" w:hAnsi="Times New Roman"/>
          <w:sz w:val="21"/>
          <w:szCs w:val="21"/>
          <w:b w:val="1"/>
          <w:bCs w:val="1"/>
          <w:color w:val="auto"/>
        </w:rPr>
        <w:t>Waiver.</w:t>
      </w:r>
      <w:r>
        <w:rPr>
          <w:rFonts w:ascii="Times New Roman" w:cs="Times New Roman" w:eastAsia="Times New Roman" w:hAnsi="Times New Roman"/>
          <w:sz w:val="21"/>
          <w:szCs w:val="21"/>
          <w:color w:val="auto"/>
        </w:rPr>
        <w:t xml:space="preserve"> No waiver by the Participant or the Company of any breach of, or of any lack of compliance with, any condition or provision of this Plan by the other party shall be considered a waiver of any other condition or provision or of the same condition or provision at another time.</w:t>
      </w:r>
    </w:p>
    <w:p>
      <w:pPr>
        <w:spacing w:after="0" w:line="155" w:lineRule="exact"/>
        <w:rPr>
          <w:sz w:val="20"/>
          <w:szCs w:val="20"/>
          <w:color w:val="auto"/>
        </w:rPr>
      </w:pPr>
    </w:p>
    <w:p>
      <w:pPr>
        <w:jc w:val="both"/>
        <w:ind w:firstLine="1729"/>
        <w:spacing w:after="0" w:line="252" w:lineRule="auto"/>
        <w:rPr>
          <w:sz w:val="20"/>
          <w:szCs w:val="20"/>
          <w:color w:val="auto"/>
        </w:rPr>
      </w:pPr>
      <w:r>
        <w:rPr>
          <w:rFonts w:ascii="Times New Roman" w:cs="Times New Roman" w:eastAsia="Times New Roman" w:hAnsi="Times New Roman"/>
          <w:sz w:val="21"/>
          <w:szCs w:val="21"/>
          <w:color w:val="auto"/>
        </w:rPr>
        <w:t xml:space="preserve">17.5 </w:t>
      </w:r>
      <w:r>
        <w:rPr>
          <w:rFonts w:ascii="Times New Roman" w:cs="Times New Roman" w:eastAsia="Times New Roman" w:hAnsi="Times New Roman"/>
          <w:sz w:val="21"/>
          <w:szCs w:val="21"/>
          <w:b w:val="1"/>
          <w:bCs w:val="1"/>
          <w:color w:val="auto"/>
        </w:rPr>
        <w:t>Choice of Law.</w:t>
      </w:r>
      <w:r>
        <w:rPr>
          <w:rFonts w:ascii="Times New Roman" w:cs="Times New Roman" w:eastAsia="Times New Roman" w:hAnsi="Times New Roman"/>
          <w:sz w:val="21"/>
          <w:szCs w:val="21"/>
          <w:color w:val="auto"/>
        </w:rPr>
        <w:t xml:space="preserve"> The Plan is a welfare plan subject to ERISA and it shall be interpreted, administered, and enforced in accordance with that law. To the extent that state law is applicable the internal laws of the state of Delaware without regard to any conflict of laws provisions shall be controlling in all matters relating to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318135</wp:posOffset>
            </wp:positionV>
            <wp:extent cx="7153275"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55" w:name="page156"/>
    <w:bookmarkEnd w:id="155"/>
    <w:p>
      <w:pPr>
        <w:jc w:val="both"/>
        <w:ind w:firstLine="1729"/>
        <w:spacing w:after="0" w:line="269" w:lineRule="auto"/>
        <w:rPr>
          <w:sz w:val="20"/>
          <w:szCs w:val="20"/>
          <w:color w:val="auto"/>
        </w:rPr>
      </w:pPr>
      <w:r>
        <w:rPr>
          <w:rFonts w:ascii="Times New Roman" w:cs="Times New Roman" w:eastAsia="Times New Roman" w:hAnsi="Times New Roman"/>
          <w:sz w:val="21"/>
          <w:szCs w:val="21"/>
          <w:color w:val="auto"/>
        </w:rPr>
        <w:t xml:space="preserve">17.6 </w:t>
      </w:r>
      <w:r>
        <w:rPr>
          <w:rFonts w:ascii="Times New Roman" w:cs="Times New Roman" w:eastAsia="Times New Roman" w:hAnsi="Times New Roman"/>
          <w:sz w:val="21"/>
          <w:szCs w:val="21"/>
          <w:b w:val="1"/>
          <w:bCs w:val="1"/>
          <w:color w:val="auto"/>
        </w:rPr>
        <w:t>Validity.</w:t>
      </w:r>
      <w:r>
        <w:rPr>
          <w:rFonts w:ascii="Times New Roman" w:cs="Times New Roman" w:eastAsia="Times New Roman" w:hAnsi="Times New Roman"/>
          <w:sz w:val="21"/>
          <w:szCs w:val="21"/>
          <w:color w:val="auto"/>
        </w:rPr>
        <w:t xml:space="preserve"> The invalidity or unenforceability of any provision of this Plan shall not affect the validity or enforceability of any other provision of this Plan, which shall remain in full force and effect.</w:t>
      </w:r>
    </w:p>
    <w:p>
      <w:pPr>
        <w:spacing w:after="0" w:line="138" w:lineRule="exact"/>
        <w:rPr>
          <w:sz w:val="20"/>
          <w:szCs w:val="20"/>
          <w:color w:val="auto"/>
        </w:rPr>
      </w:pPr>
    </w:p>
    <w:p>
      <w:pPr>
        <w:jc w:val="both"/>
        <w:ind w:firstLine="1729"/>
        <w:spacing w:after="0" w:line="243" w:lineRule="auto"/>
        <w:rPr>
          <w:sz w:val="20"/>
          <w:szCs w:val="20"/>
          <w:color w:val="auto"/>
        </w:rPr>
      </w:pPr>
      <w:r>
        <w:rPr>
          <w:rFonts w:ascii="Times New Roman" w:cs="Times New Roman" w:eastAsia="Times New Roman" w:hAnsi="Times New Roman"/>
          <w:sz w:val="21"/>
          <w:szCs w:val="21"/>
          <w:color w:val="auto"/>
        </w:rPr>
        <w:t xml:space="preserve">17.7 </w:t>
      </w:r>
      <w:r>
        <w:rPr>
          <w:rFonts w:ascii="Times New Roman" w:cs="Times New Roman" w:eastAsia="Times New Roman" w:hAnsi="Times New Roman"/>
          <w:sz w:val="21"/>
          <w:szCs w:val="21"/>
          <w:b w:val="1"/>
          <w:bCs w:val="1"/>
          <w:color w:val="auto"/>
        </w:rPr>
        <w:t>Benefits Not Assignable.</w:t>
      </w:r>
      <w:r>
        <w:rPr>
          <w:rFonts w:ascii="Times New Roman" w:cs="Times New Roman" w:eastAsia="Times New Roman" w:hAnsi="Times New Roman"/>
          <w:sz w:val="21"/>
          <w:szCs w:val="21"/>
          <w:color w:val="auto"/>
        </w:rPr>
        <w:t xml:space="preserve"> Except as otherwise provided herein or by law, no right or interest of any Participant under the Plan shall be assignable or transferable, in whole or in part, either directly or by operation of law or otherwise, including, without limitation, by execution, levy, garnishment, attachment, pledge or in any other manner, and no attempted transfer or assignment thereof shall be effective. No right or interest of any Participant under the Plan shall be liable for, or subject to, any obligation or liability of such Participant.</w:t>
      </w:r>
    </w:p>
    <w:p>
      <w:pPr>
        <w:spacing w:after="0" w:line="164" w:lineRule="exact"/>
        <w:rPr>
          <w:sz w:val="20"/>
          <w:szCs w:val="20"/>
          <w:color w:val="auto"/>
        </w:rPr>
      </w:pPr>
    </w:p>
    <w:p>
      <w:pPr>
        <w:jc w:val="both"/>
        <w:ind w:firstLine="1729"/>
        <w:spacing w:after="0" w:line="252" w:lineRule="auto"/>
        <w:rPr>
          <w:sz w:val="20"/>
          <w:szCs w:val="20"/>
          <w:color w:val="auto"/>
        </w:rPr>
      </w:pPr>
      <w:r>
        <w:rPr>
          <w:rFonts w:ascii="Times New Roman" w:cs="Times New Roman" w:eastAsia="Times New Roman" w:hAnsi="Times New Roman"/>
          <w:sz w:val="21"/>
          <w:szCs w:val="21"/>
          <w:color w:val="auto"/>
        </w:rPr>
        <w:t xml:space="preserve">17.8 </w:t>
      </w:r>
      <w:r>
        <w:rPr>
          <w:rFonts w:ascii="Times New Roman" w:cs="Times New Roman" w:eastAsia="Times New Roman" w:hAnsi="Times New Roman"/>
          <w:sz w:val="21"/>
          <w:szCs w:val="21"/>
          <w:b w:val="1"/>
          <w:bCs w:val="1"/>
          <w:color w:val="auto"/>
        </w:rPr>
        <w:t>Tax Withholding.</w:t>
      </w:r>
      <w:r>
        <w:rPr>
          <w:rFonts w:ascii="Times New Roman" w:cs="Times New Roman" w:eastAsia="Times New Roman" w:hAnsi="Times New Roman"/>
          <w:sz w:val="21"/>
          <w:szCs w:val="21"/>
          <w:color w:val="auto"/>
        </w:rPr>
        <w:t xml:space="preserve"> All payments made pursuant to this Plan will be subject to withholding of applicable income and employment taxes. However, whether cash severance amounts are eligible compensation under the Company’s benefit plans will be determined by the terms of such plans.</w:t>
      </w:r>
    </w:p>
    <w:p>
      <w:pPr>
        <w:spacing w:after="0" w:line="155" w:lineRule="exact"/>
        <w:rPr>
          <w:sz w:val="20"/>
          <w:szCs w:val="20"/>
          <w:color w:val="auto"/>
        </w:rPr>
      </w:pPr>
    </w:p>
    <w:p>
      <w:pPr>
        <w:jc w:val="both"/>
        <w:ind w:firstLine="1729"/>
        <w:spacing w:after="0" w:line="262" w:lineRule="auto"/>
        <w:rPr>
          <w:sz w:val="20"/>
          <w:szCs w:val="20"/>
          <w:color w:val="auto"/>
        </w:rPr>
      </w:pPr>
      <w:r>
        <w:rPr>
          <w:rFonts w:ascii="Times New Roman" w:cs="Times New Roman" w:eastAsia="Times New Roman" w:hAnsi="Times New Roman"/>
          <w:sz w:val="20"/>
          <w:szCs w:val="20"/>
          <w:color w:val="auto"/>
        </w:rPr>
        <w:t xml:space="preserve">17.9 </w:t>
      </w:r>
      <w:r>
        <w:rPr>
          <w:rFonts w:ascii="Times New Roman" w:cs="Times New Roman" w:eastAsia="Times New Roman" w:hAnsi="Times New Roman"/>
          <w:sz w:val="20"/>
          <w:szCs w:val="20"/>
          <w:b w:val="1"/>
          <w:bCs w:val="1"/>
          <w:color w:val="auto"/>
        </w:rPr>
        <w:t>Information to be Furnished by Participants</w:t>
      </w:r>
      <w:r>
        <w:rPr>
          <w:rFonts w:ascii="Times New Roman" w:cs="Times New Roman" w:eastAsia="Times New Roman" w:hAnsi="Times New Roman"/>
          <w:sz w:val="20"/>
          <w:szCs w:val="20"/>
          <w:color w:val="auto"/>
        </w:rPr>
        <w:t>. Each Participant must furnish to the Company such documents, evidence, data or other information as the Company considers necessary or desirable for the purpose of administering this Plan. Benefits under this Plan for each Participant are provided on the condition that Participant furnishes full, true and complete data, evidence or other information, and that Participant will promptly sign any document related to the Plan, requested by the Company.</w:t>
      </w:r>
    </w:p>
    <w:p>
      <w:pPr>
        <w:spacing w:after="0" w:line="147" w:lineRule="exact"/>
        <w:rPr>
          <w:sz w:val="20"/>
          <w:szCs w:val="20"/>
          <w:color w:val="auto"/>
        </w:rPr>
      </w:pPr>
    </w:p>
    <w:p>
      <w:pPr>
        <w:jc w:val="both"/>
        <w:ind w:firstLine="1729"/>
        <w:spacing w:after="0" w:line="246" w:lineRule="auto"/>
        <w:rPr>
          <w:sz w:val="20"/>
          <w:szCs w:val="20"/>
          <w:color w:val="auto"/>
        </w:rPr>
      </w:pPr>
      <w:r>
        <w:rPr>
          <w:rFonts w:ascii="Times New Roman" w:cs="Times New Roman" w:eastAsia="Times New Roman" w:hAnsi="Times New Roman"/>
          <w:sz w:val="21"/>
          <w:szCs w:val="21"/>
          <w:color w:val="auto"/>
        </w:rPr>
        <w:t xml:space="preserve">17.10 </w:t>
      </w:r>
      <w:r>
        <w:rPr>
          <w:rFonts w:ascii="Times New Roman" w:cs="Times New Roman" w:eastAsia="Times New Roman" w:hAnsi="Times New Roman"/>
          <w:sz w:val="21"/>
          <w:szCs w:val="21"/>
          <w:b w:val="1"/>
          <w:bCs w:val="1"/>
          <w:color w:val="auto"/>
        </w:rPr>
        <w:t>Consultation with Legal and Financial Advisors.</w:t>
      </w:r>
      <w:r>
        <w:rPr>
          <w:rFonts w:ascii="Times New Roman" w:cs="Times New Roman" w:eastAsia="Times New Roman" w:hAnsi="Times New Roman"/>
          <w:sz w:val="21"/>
          <w:szCs w:val="21"/>
          <w:color w:val="auto"/>
        </w:rPr>
        <w:t xml:space="preserve"> The Participant acknowledges that this Plan confers significant legal rights, and may also involve the waiver of rights under other agreements; that the Company has encouraged the Participant to consult with the Participant’s personal legal and financial advisors; and that the Participant has had adequate time to consult with the Participant’s advisors.</w:t>
      </w:r>
    </w:p>
    <w:p>
      <w:pPr>
        <w:spacing w:after="0" w:line="161" w:lineRule="exact"/>
        <w:rPr>
          <w:sz w:val="20"/>
          <w:szCs w:val="20"/>
          <w:color w:val="auto"/>
        </w:rPr>
      </w:pPr>
    </w:p>
    <w:p>
      <w:pPr>
        <w:ind w:left="1760" w:hanging="891"/>
        <w:spacing w:after="0"/>
        <w:tabs>
          <w:tab w:leader="none" w:pos="176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Y</w:t>
      </w:r>
      <w:r>
        <w:rPr>
          <w:rFonts w:ascii="Times New Roman" w:cs="Times New Roman" w:eastAsia="Times New Roman" w:hAnsi="Times New Roman"/>
          <w:sz w:val="14"/>
          <w:szCs w:val="14"/>
          <w:b w:val="1"/>
          <w:bCs w:val="1"/>
          <w:color w:val="auto"/>
        </w:rPr>
        <w:t>OUR</w:t>
      </w:r>
      <w:r>
        <w:rPr>
          <w:rFonts w:ascii="Times New Roman" w:cs="Times New Roman" w:eastAsia="Times New Roman" w:hAnsi="Times New Roman"/>
          <w:sz w:val="21"/>
          <w:szCs w:val="21"/>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21"/>
          <w:szCs w:val="21"/>
          <w:b w:val="1"/>
          <w:bCs w:val="1"/>
          <w:color w:val="auto"/>
        </w:rPr>
        <w:t xml:space="preserve"> U</w:t>
      </w:r>
      <w:r>
        <w:rPr>
          <w:rFonts w:ascii="Times New Roman" w:cs="Times New Roman" w:eastAsia="Times New Roman" w:hAnsi="Times New Roman"/>
          <w:sz w:val="14"/>
          <w:szCs w:val="14"/>
          <w:b w:val="1"/>
          <w:bCs w:val="1"/>
          <w:color w:val="auto"/>
        </w:rPr>
        <w:t>NDER</w:t>
      </w:r>
      <w:r>
        <w:rPr>
          <w:rFonts w:ascii="Times New Roman" w:cs="Times New Roman" w:eastAsia="Times New Roman" w:hAnsi="Times New Roman"/>
          <w:sz w:val="21"/>
          <w:szCs w:val="21"/>
          <w:b w:val="1"/>
          <w:bCs w:val="1"/>
          <w:color w:val="auto"/>
        </w:rPr>
        <w:t xml:space="preserve"> ERISA</w:t>
      </w:r>
    </w:p>
    <w:p>
      <w:pPr>
        <w:spacing w:after="0" w:line="207" w:lineRule="exact"/>
        <w:rPr>
          <w:sz w:val="20"/>
          <w:szCs w:val="20"/>
          <w:color w:val="auto"/>
        </w:rPr>
      </w:pPr>
    </w:p>
    <w:p>
      <w:pPr>
        <w:ind w:left="1740"/>
        <w:spacing w:after="0"/>
        <w:tabs>
          <w:tab w:leader="none" w:pos="2700" w:val="left"/>
        </w:tabs>
        <w:rPr>
          <w:sz w:val="20"/>
          <w:szCs w:val="20"/>
          <w:color w:val="auto"/>
        </w:rPr>
      </w:pPr>
      <w:r>
        <w:rPr>
          <w:rFonts w:ascii="Times New Roman" w:cs="Times New Roman" w:eastAsia="Times New Roman" w:hAnsi="Times New Roman"/>
          <w:sz w:val="21"/>
          <w:szCs w:val="21"/>
          <w:color w:val="auto"/>
        </w:rPr>
        <w:t>18.1</w:t>
      </w:r>
      <w:r>
        <w:rPr>
          <w:sz w:val="20"/>
          <w:szCs w:val="20"/>
          <w:color w:val="auto"/>
        </w:rPr>
        <w:tab/>
      </w:r>
      <w:r>
        <w:rPr>
          <w:rFonts w:ascii="Times New Roman" w:cs="Times New Roman" w:eastAsia="Times New Roman" w:hAnsi="Times New Roman"/>
          <w:sz w:val="21"/>
          <w:szCs w:val="21"/>
          <w:color w:val="auto"/>
        </w:rPr>
        <w:t>You are entitled to certain rights and protections under ERISA. ERISA provides that all Participants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will be entitled to:</w:t>
      </w:r>
    </w:p>
    <w:p>
      <w:pPr>
        <w:spacing w:after="0" w:line="179" w:lineRule="exact"/>
        <w:rPr>
          <w:sz w:val="20"/>
          <w:szCs w:val="20"/>
          <w:color w:val="auto"/>
        </w:rPr>
      </w:pPr>
    </w:p>
    <w:p>
      <w:pPr>
        <w:jc w:val="both"/>
        <w:ind w:firstLine="2598"/>
        <w:spacing w:after="0" w:line="250" w:lineRule="auto"/>
        <w:tabs>
          <w:tab w:leader="none" w:pos="3454"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examine, without charge, at the Administrator's office, and at other specified locations, all documents governing this Plan and a copy of the latest annual report (Form 5500 Series) filed with the U.S. Department of Labor and available at the Public Disclosure Room of the Employee Benefits Security Administration;</w:t>
      </w:r>
    </w:p>
    <w:p>
      <w:pPr>
        <w:spacing w:after="0" w:line="161" w:lineRule="exact"/>
        <w:rPr>
          <w:rFonts w:ascii="Times New Roman" w:cs="Times New Roman" w:eastAsia="Times New Roman" w:hAnsi="Times New Roman"/>
          <w:sz w:val="21"/>
          <w:szCs w:val="21"/>
          <w:color w:val="auto"/>
        </w:rPr>
      </w:pPr>
    </w:p>
    <w:p>
      <w:pPr>
        <w:jc w:val="both"/>
        <w:ind w:firstLine="2598"/>
        <w:spacing w:after="0" w:line="250" w:lineRule="auto"/>
        <w:tabs>
          <w:tab w:leader="none" w:pos="3466"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written request to the Administrator, who may make a reasonable charge for the copies, obtain copies of all documents governing this Plan, including copies of the latest annual report (Form 5500 Series) and updated summary plan description; and</w:t>
      </w:r>
    </w:p>
    <w:p>
      <w:pPr>
        <w:spacing w:after="0" w:line="161" w:lineRule="exact"/>
        <w:rPr>
          <w:rFonts w:ascii="Times New Roman" w:cs="Times New Roman" w:eastAsia="Times New Roman" w:hAnsi="Times New Roman"/>
          <w:sz w:val="21"/>
          <w:szCs w:val="21"/>
          <w:color w:val="auto"/>
        </w:rPr>
      </w:pPr>
    </w:p>
    <w:p>
      <w:pPr>
        <w:ind w:left="3460" w:hanging="862"/>
        <w:spacing w:after="0"/>
        <w:tabs>
          <w:tab w:leader="none" w:pos="346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receive a summary of the Plan’s annual financial report.</w:t>
      </w:r>
    </w:p>
    <w:p>
      <w:pPr>
        <w:spacing w:after="0" w:line="203" w:lineRule="exact"/>
        <w:rPr>
          <w:sz w:val="20"/>
          <w:szCs w:val="20"/>
          <w:color w:val="auto"/>
        </w:rPr>
      </w:pPr>
    </w:p>
    <w:p>
      <w:pPr>
        <w:jc w:val="both"/>
        <w:ind w:firstLine="1729"/>
        <w:spacing w:after="0" w:line="245" w:lineRule="auto"/>
        <w:rPr>
          <w:sz w:val="20"/>
          <w:szCs w:val="20"/>
          <w:color w:val="auto"/>
        </w:rPr>
      </w:pPr>
      <w:r>
        <w:rPr>
          <w:rFonts w:ascii="Times New Roman" w:cs="Times New Roman" w:eastAsia="Times New Roman" w:hAnsi="Times New Roman"/>
          <w:sz w:val="21"/>
          <w:szCs w:val="21"/>
          <w:color w:val="auto"/>
        </w:rPr>
        <w:t>18.2 In addition to creating rights for you under this Plan, ERISA imposes duties upon the people who are responsible for the operation of this Plan. The people who operate this Plan, called “fiduciaries” of this Plan, have a duty to do so prudently and in the interest of you and other Participants and beneficiaries. No one, including the Company or any other person, may fire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321945</wp:posOffset>
            </wp:positionV>
            <wp:extent cx="7153275"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56" w:name="page157"/>
    <w:bookmarkEnd w:id="156"/>
    <w:p>
      <w:pPr>
        <w:spacing w:after="0" w:line="265" w:lineRule="auto"/>
        <w:rPr>
          <w:sz w:val="20"/>
          <w:szCs w:val="20"/>
          <w:color w:val="auto"/>
        </w:rPr>
      </w:pPr>
      <w:r>
        <w:rPr>
          <w:rFonts w:ascii="Times New Roman" w:cs="Times New Roman" w:eastAsia="Times New Roman" w:hAnsi="Times New Roman"/>
          <w:sz w:val="21"/>
          <w:szCs w:val="21"/>
          <w:color w:val="auto"/>
        </w:rPr>
        <w:t>you or otherwise discriminate against you in any way to prevent you from obtaining a welfare benefit or exercising your rights under ERISA.</w:t>
      </w:r>
    </w:p>
    <w:p>
      <w:pPr>
        <w:spacing w:after="0" w:line="146" w:lineRule="exact"/>
        <w:rPr>
          <w:sz w:val="20"/>
          <w:szCs w:val="20"/>
          <w:color w:val="auto"/>
        </w:rPr>
      </w:pPr>
    </w:p>
    <w:p>
      <w:pPr>
        <w:jc w:val="both"/>
        <w:ind w:firstLine="1729"/>
        <w:spacing w:after="0" w:line="266" w:lineRule="auto"/>
        <w:rPr>
          <w:sz w:val="20"/>
          <w:szCs w:val="20"/>
          <w:color w:val="auto"/>
        </w:rPr>
      </w:pPr>
      <w:r>
        <w:rPr>
          <w:rFonts w:ascii="Times New Roman" w:cs="Times New Roman" w:eastAsia="Times New Roman" w:hAnsi="Times New Roman"/>
          <w:sz w:val="21"/>
          <w:szCs w:val="21"/>
          <w:color w:val="auto"/>
        </w:rPr>
        <w:t>18.3 If your claim for a benefit is denied in whole or in part, you have a right to know why this was done, to obtain copies of documents relating to the decision without charge, and to appeal any denial, all within certain time schedules.</w:t>
      </w:r>
    </w:p>
    <w:p>
      <w:pPr>
        <w:spacing w:after="0" w:line="145" w:lineRule="exact"/>
        <w:rPr>
          <w:sz w:val="20"/>
          <w:szCs w:val="20"/>
          <w:color w:val="auto"/>
        </w:rPr>
      </w:pPr>
    </w:p>
    <w:p>
      <w:pPr>
        <w:jc w:val="both"/>
        <w:ind w:firstLine="1729"/>
        <w:spacing w:after="0"/>
        <w:rPr>
          <w:sz w:val="20"/>
          <w:szCs w:val="20"/>
          <w:color w:val="auto"/>
        </w:rPr>
      </w:pPr>
      <w:r>
        <w:rPr>
          <w:rFonts w:ascii="Times New Roman" w:cs="Times New Roman" w:eastAsia="Times New Roman" w:hAnsi="Times New Roman"/>
          <w:sz w:val="21"/>
          <w:szCs w:val="21"/>
          <w:color w:val="auto"/>
        </w:rPr>
        <w:t>18.4 Under ERISA, there are steps you can take to enforce the above rights. For instance, if you request a copy of Plan documents and do not receive them within 30 days, you may file suit in a federal court. In such a case, the court may require the Administrator to provide the materials and the Company to pay you up to $110 a day until you receive the materials, unless the materials were not sent because of reasons beyond the control of the Administrator. If you have a claim for benefits hereunder which is denied or ignored, in whole or in part, you may file suit in a state or federal court. In addition, if you disagree with the Administrator’s decision, you may file suit in Federal court.</w:t>
      </w:r>
    </w:p>
    <w:p>
      <w:pPr>
        <w:spacing w:after="0" w:line="173" w:lineRule="exact"/>
        <w:rPr>
          <w:sz w:val="20"/>
          <w:szCs w:val="20"/>
          <w:color w:val="auto"/>
        </w:rPr>
      </w:pPr>
    </w:p>
    <w:p>
      <w:pPr>
        <w:jc w:val="both"/>
        <w:ind w:firstLine="1729"/>
        <w:spacing w:after="0" w:line="242" w:lineRule="auto"/>
        <w:rPr>
          <w:sz w:val="20"/>
          <w:szCs w:val="20"/>
          <w:color w:val="auto"/>
        </w:rPr>
      </w:pPr>
      <w:r>
        <w:rPr>
          <w:rFonts w:ascii="Times New Roman" w:cs="Times New Roman" w:eastAsia="Times New Roman" w:hAnsi="Times New Roman"/>
          <w:sz w:val="21"/>
          <w:szCs w:val="21"/>
          <w:color w:val="auto"/>
        </w:rPr>
        <w:t>18.5 If it should happen that Plan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200" w:lineRule="exact"/>
        <w:rPr>
          <w:sz w:val="20"/>
          <w:szCs w:val="20"/>
          <w:color w:val="auto"/>
        </w:rPr>
      </w:pPr>
    </w:p>
    <w:p>
      <w:pPr>
        <w:spacing w:after="0" w:line="213" w:lineRule="exact"/>
        <w:rPr>
          <w:sz w:val="20"/>
          <w:szCs w:val="20"/>
          <w:color w:val="auto"/>
        </w:rPr>
      </w:pPr>
    </w:p>
    <w:p>
      <w:pPr>
        <w:jc w:val="both"/>
        <w:ind w:firstLine="1729"/>
        <w:spacing w:after="0"/>
        <w:rPr>
          <w:sz w:val="20"/>
          <w:szCs w:val="20"/>
          <w:color w:val="auto"/>
        </w:rPr>
      </w:pPr>
      <w:r>
        <w:rPr>
          <w:rFonts w:ascii="Times New Roman" w:cs="Times New Roman" w:eastAsia="Times New Roman" w:hAnsi="Times New Roman"/>
          <w:sz w:val="21"/>
          <w:szCs w:val="21"/>
          <w:color w:val="auto"/>
        </w:rPr>
        <w:t>18.6 If you have questions about this Plan, you should contact the Administrator. If you have any questions about this statement or about your rights under ERISA, or if you need assistance in obtaining documents from the Administrator, you should contact the nearest office of the Employee Benefits Security Administration, U.S. Department of Labor, listed in the telephone directory or the Division of Technical Assistance and Inquiries, Employee Benefits Security Administration, U.S. Department of Labor, 200 Constitution Avenue, N.W., Washington, D.C. 20210. You also may obtain certain publications about your rights and responsibilities under ERISA by calling the publications hotline of the Employee Benefits Security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609600</wp:posOffset>
            </wp:positionV>
            <wp:extent cx="7153275"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7" w:name="page158"/>
    <w:bookmarkEnd w:id="157"/>
    <w:p>
      <w:pPr>
        <w:ind w:left="3740"/>
        <w:spacing w:after="0"/>
        <w:rPr>
          <w:sz w:val="20"/>
          <w:szCs w:val="20"/>
          <w:color w:val="auto"/>
        </w:rPr>
      </w:pPr>
      <w:r>
        <w:rPr>
          <w:rFonts w:ascii="Times New Roman" w:cs="Times New Roman" w:eastAsia="Times New Roman" w:hAnsi="Times New Roman"/>
          <w:sz w:val="20"/>
          <w:szCs w:val="20"/>
          <w:b w:val="1"/>
          <w:bCs w:val="1"/>
          <w:color w:val="auto"/>
        </w:rPr>
        <w:t>Other Important Facts</w:t>
      </w:r>
    </w:p>
    <w:p>
      <w:pPr>
        <w:sectPr>
          <w:pgSz w:w="11900" w:h="16838" w:orient="portrait"/>
          <w:cols w:equalWidth="0" w:num="1">
            <w:col w:w="10160"/>
          </w:cols>
          <w:pgMar w:left="1180" w:top="110" w:right="55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PLAN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Vroom, Inc. Executive Severance Plan</w:t>
      </w:r>
      <w:r>
        <w:rPr>
          <w:rFonts w:ascii="Times New Roman" w:cs="Times New Roman" w:eastAsia="Times New Roman" w:hAnsi="Times New Roman"/>
          <w:sz w:val="16"/>
          <w:szCs w:val="16"/>
          <w:color w:val="auto"/>
        </w:rPr>
        <w:t>1</w:t>
      </w:r>
    </w:p>
    <w:p>
      <w:pPr>
        <w:spacing w:after="0" w:line="207" w:lineRule="exact"/>
        <w:rPr>
          <w:sz w:val="20"/>
          <w:szCs w:val="20"/>
          <w:color w:val="auto"/>
        </w:rPr>
      </w:pPr>
    </w:p>
    <w:p>
      <w:pPr>
        <w:sectPr>
          <w:pgSz w:w="11900" w:h="16838" w:orient="portrait"/>
          <w:cols w:equalWidth="0" w:num="2">
            <w:col w:w="1340" w:space="620"/>
            <w:col w:w="8200"/>
          </w:cols>
          <w:pgMar w:left="1180" w:top="110" w:right="559" w:bottom="1440" w:gutter="0" w:footer="0" w:header="0"/>
          <w:type w:val="continuous"/>
        </w:sectPr>
      </w:pPr>
    </w:p>
    <w:p>
      <w:pPr>
        <w:spacing w:after="0" w:line="26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SPONSOR:</w:t>
      </w:r>
      <w:r>
        <w:rPr>
          <w:sz w:val="20"/>
          <w:szCs w:val="20"/>
          <w:color w:val="auto"/>
        </w:rPr>
        <w:tab/>
      </w:r>
      <w:r>
        <w:rPr>
          <w:rFonts w:ascii="Times New Roman" w:cs="Times New Roman" w:eastAsia="Times New Roman" w:hAnsi="Times New Roman"/>
          <w:sz w:val="20"/>
          <w:szCs w:val="20"/>
          <w:color w:val="auto"/>
        </w:rPr>
        <w:t>Vroom, Inc.</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1375 Broadway Ave.</w:t>
      </w:r>
    </w:p>
    <w:p>
      <w:pPr>
        <w:ind w:left="640"/>
        <w:spacing w:after="0" w:line="234" w:lineRule="auto"/>
        <w:rPr>
          <w:sz w:val="20"/>
          <w:szCs w:val="20"/>
          <w:color w:val="auto"/>
        </w:rPr>
      </w:pPr>
      <w:r>
        <w:rPr>
          <w:rFonts w:ascii="Times New Roman" w:cs="Times New Roman" w:eastAsia="Times New Roman" w:hAnsi="Times New Roman"/>
          <w:sz w:val="21"/>
          <w:szCs w:val="21"/>
          <w:color w:val="auto"/>
        </w:rPr>
        <w:t>11</w:t>
      </w:r>
      <w:r>
        <w:rPr>
          <w:rFonts w:ascii="Times New Roman" w:cs="Times New Roman" w:eastAsia="Times New Roman" w:hAnsi="Times New Roman"/>
          <w:sz w:val="17"/>
          <w:szCs w:val="17"/>
          <w:color w:val="auto"/>
        </w:rPr>
        <w:t>th</w:t>
      </w:r>
      <w:r>
        <w:rPr>
          <w:rFonts w:ascii="Times New Roman" w:cs="Times New Roman" w:eastAsia="Times New Roman" w:hAnsi="Times New Roman"/>
          <w:sz w:val="21"/>
          <w:szCs w:val="21"/>
          <w:color w:val="auto"/>
        </w:rPr>
        <w:t xml:space="preserve"> Floor</w:t>
      </w:r>
    </w:p>
    <w:p>
      <w:pPr>
        <w:ind w:left="640"/>
        <w:spacing w:after="0"/>
        <w:rPr>
          <w:sz w:val="20"/>
          <w:szCs w:val="20"/>
          <w:color w:val="auto"/>
        </w:rPr>
      </w:pPr>
      <w:r>
        <w:rPr>
          <w:rFonts w:ascii="Times New Roman" w:cs="Times New Roman" w:eastAsia="Times New Roman" w:hAnsi="Times New Roman"/>
          <w:sz w:val="21"/>
          <w:szCs w:val="21"/>
          <w:color w:val="auto"/>
        </w:rPr>
        <w:t>New York, NY 10018</w:t>
      </w:r>
    </w:p>
    <w:p>
      <w:pPr>
        <w:sectPr>
          <w:pgSz w:w="11900" w:h="16838" w:orient="portrait"/>
          <w:cols w:equalWidth="0" w:num="1">
            <w:col w:w="10160"/>
          </w:cols>
          <w:pgMar w:left="1180" w:top="110" w:right="559" w:bottom="1440" w:gutter="0" w:footer="0" w:header="0"/>
          <w:type w:val="continuous"/>
        </w:sectPr>
      </w:pPr>
    </w:p>
    <w:p>
      <w:pPr>
        <w:spacing w:after="0" w:line="20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0"/>
          <w:szCs w:val="20"/>
          <w:b w:val="1"/>
          <w:bCs w:val="1"/>
          <w:color w:val="auto"/>
        </w:rPr>
        <w:t>EMPLOYER IDENTIFICATION NUMBER (EIN):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90-1112566</w:t>
      </w:r>
    </w:p>
    <w:p>
      <w:pPr>
        <w:spacing w:after="0" w:line="237" w:lineRule="exact"/>
        <w:rPr>
          <w:sz w:val="20"/>
          <w:szCs w:val="20"/>
          <w:color w:val="auto"/>
        </w:rPr>
      </w:pPr>
    </w:p>
    <w:p>
      <w:pPr>
        <w:sectPr>
          <w:pgSz w:w="11900" w:h="16838" w:orient="portrait"/>
          <w:cols w:equalWidth="0" w:num="2">
            <w:col w:w="1780" w:space="420"/>
            <w:col w:w="7960"/>
          </w:cols>
          <w:pgMar w:left="1180" w:top="11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PLAN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502</w:t>
      </w:r>
    </w:p>
    <w:p>
      <w:pPr>
        <w:spacing w:after="0" w:line="200" w:lineRule="exact"/>
        <w:rPr>
          <w:sz w:val="20"/>
          <w:szCs w:val="20"/>
          <w:color w:val="auto"/>
        </w:rPr>
      </w:pPr>
    </w:p>
    <w:p>
      <w:pPr>
        <w:sectPr>
          <w:pgSz w:w="11900" w:h="16838" w:orient="portrait"/>
          <w:cols w:equalWidth="0" w:num="2">
            <w:col w:w="1640" w:space="620"/>
            <w:col w:w="7900"/>
          </w:cols>
          <w:pgMar w:left="1180" w:top="110" w:right="55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TYPE OF PLAN:</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Employee Welfare Severance Benefit Plan</w:t>
      </w:r>
    </w:p>
    <w:p>
      <w:pPr>
        <w:spacing w:after="0" w:line="207" w:lineRule="exact"/>
        <w:rPr>
          <w:sz w:val="20"/>
          <w:szCs w:val="20"/>
          <w:color w:val="auto"/>
        </w:rPr>
      </w:pPr>
    </w:p>
    <w:p>
      <w:pPr>
        <w:sectPr>
          <w:pgSz w:w="11900" w:h="16838" w:orient="portrait"/>
          <w:cols w:equalWidth="0" w:num="2">
            <w:col w:w="1600" w:space="640"/>
            <w:col w:w="7920"/>
          </w:cols>
          <w:pgMar w:left="1180" w:top="110" w:right="55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PLAN YEAR:</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Plan Year (if any) shall begin on each January 1 and end on each December 31. However, the first Plan Year for this Plan shall begin on March 1, 2021 and end on December 31, 2021.</w:t>
      </w:r>
    </w:p>
    <w:p>
      <w:pPr>
        <w:spacing w:after="0" w:line="183" w:lineRule="exact"/>
        <w:rPr>
          <w:sz w:val="20"/>
          <w:szCs w:val="20"/>
          <w:color w:val="auto"/>
        </w:rPr>
      </w:pPr>
    </w:p>
    <w:p>
      <w:pPr>
        <w:sectPr>
          <w:pgSz w:w="11900" w:h="16838" w:orient="portrait"/>
          <w:cols w:equalWidth="0" w:num="2">
            <w:col w:w="2740" w:space="720"/>
            <w:col w:w="6700"/>
          </w:cols>
          <w:pgMar w:left="1180" w:top="11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TYPE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ADMINISTRATION:</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Self-Administered</w:t>
      </w:r>
    </w:p>
    <w:p>
      <w:pPr>
        <w:spacing w:after="0" w:line="224" w:lineRule="exact"/>
        <w:rPr>
          <w:sz w:val="20"/>
          <w:szCs w:val="20"/>
          <w:color w:val="auto"/>
        </w:rPr>
      </w:pPr>
    </w:p>
    <w:p>
      <w:pPr>
        <w:sectPr>
          <w:pgSz w:w="11900" w:h="16838" w:orient="portrait"/>
          <w:cols w:equalWidth="0" w:num="2">
            <w:col w:w="1980" w:space="620"/>
            <w:col w:w="7560"/>
          </w:cols>
          <w:pgMar w:left="1180" w:top="110" w:right="55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PLAN</w:t>
      </w:r>
    </w:p>
    <w:p>
      <w:pPr>
        <w:spacing w:after="0" w:line="16"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21"/>
          <w:szCs w:val="21"/>
          <w:b w:val="1"/>
          <w:bCs w:val="1"/>
          <w:color w:val="auto"/>
        </w:rPr>
        <w:t>ADMINISTRATOR:</w:t>
      </w:r>
      <w:r>
        <w:rPr>
          <w:sz w:val="20"/>
          <w:szCs w:val="20"/>
          <w:color w:val="auto"/>
        </w:rPr>
        <w:tab/>
      </w:r>
      <w:r>
        <w:rPr>
          <w:rFonts w:ascii="Times New Roman" w:cs="Times New Roman" w:eastAsia="Times New Roman" w:hAnsi="Times New Roman"/>
          <w:sz w:val="21"/>
          <w:szCs w:val="21"/>
          <w:color w:val="auto"/>
        </w:rPr>
        <w:t>Vroom, Inc.</w:t>
      </w:r>
    </w:p>
    <w:p>
      <w:pPr>
        <w:ind w:left="640"/>
        <w:spacing w:after="0" w:line="234" w:lineRule="auto"/>
        <w:rPr>
          <w:sz w:val="20"/>
          <w:szCs w:val="20"/>
          <w:color w:val="auto"/>
        </w:rPr>
      </w:pPr>
      <w:r>
        <w:rPr>
          <w:rFonts w:ascii="Times New Roman" w:cs="Times New Roman" w:eastAsia="Times New Roman" w:hAnsi="Times New Roman"/>
          <w:sz w:val="21"/>
          <w:szCs w:val="21"/>
          <w:color w:val="auto"/>
        </w:rPr>
        <w:t>1375 Broadway Ave.</w:t>
      </w:r>
    </w:p>
    <w:p>
      <w:pPr>
        <w:ind w:left="640"/>
        <w:spacing w:after="0" w:line="234" w:lineRule="auto"/>
        <w:rPr>
          <w:sz w:val="20"/>
          <w:szCs w:val="20"/>
          <w:color w:val="auto"/>
        </w:rPr>
      </w:pPr>
      <w:r>
        <w:rPr>
          <w:rFonts w:ascii="Times New Roman" w:cs="Times New Roman" w:eastAsia="Times New Roman" w:hAnsi="Times New Roman"/>
          <w:sz w:val="21"/>
          <w:szCs w:val="21"/>
          <w:color w:val="auto"/>
        </w:rPr>
        <w:t>11</w:t>
      </w:r>
      <w:r>
        <w:rPr>
          <w:rFonts w:ascii="Times New Roman" w:cs="Times New Roman" w:eastAsia="Times New Roman" w:hAnsi="Times New Roman"/>
          <w:sz w:val="17"/>
          <w:szCs w:val="17"/>
          <w:color w:val="auto"/>
        </w:rPr>
        <w:t>th</w:t>
      </w:r>
      <w:r>
        <w:rPr>
          <w:rFonts w:ascii="Times New Roman" w:cs="Times New Roman" w:eastAsia="Times New Roman" w:hAnsi="Times New Roman"/>
          <w:sz w:val="21"/>
          <w:szCs w:val="21"/>
          <w:color w:val="auto"/>
        </w:rPr>
        <w:t xml:space="preserve"> Floor</w:t>
      </w:r>
    </w:p>
    <w:p>
      <w:pPr>
        <w:ind w:left="640"/>
        <w:spacing w:after="0" w:line="234" w:lineRule="auto"/>
        <w:rPr>
          <w:sz w:val="20"/>
          <w:szCs w:val="20"/>
          <w:color w:val="auto"/>
        </w:rPr>
      </w:pPr>
      <w:r>
        <w:rPr>
          <w:rFonts w:ascii="Times New Roman" w:cs="Times New Roman" w:eastAsia="Times New Roman" w:hAnsi="Times New Roman"/>
          <w:sz w:val="21"/>
          <w:szCs w:val="21"/>
          <w:color w:val="auto"/>
        </w:rPr>
        <w:t>New York, NY 10018</w:t>
      </w:r>
    </w:p>
    <w:p>
      <w:pPr>
        <w:ind w:left="3200"/>
        <w:spacing w:after="0"/>
        <w:rPr>
          <w:sz w:val="20"/>
          <w:szCs w:val="20"/>
          <w:color w:val="auto"/>
        </w:rPr>
      </w:pPr>
      <w:r>
        <w:rPr>
          <w:rFonts w:ascii="Times New Roman" w:cs="Times New Roman" w:eastAsia="Times New Roman" w:hAnsi="Times New Roman"/>
          <w:sz w:val="21"/>
          <w:szCs w:val="21"/>
          <w:color w:val="auto"/>
        </w:rPr>
        <w:t>855-524-1300</w:t>
      </w:r>
    </w:p>
    <w:p>
      <w:pPr>
        <w:spacing w:after="0" w:line="202"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21"/>
          <w:szCs w:val="21"/>
          <w:b w:val="1"/>
          <w:bCs w:val="1"/>
          <w:color w:val="auto"/>
        </w:rPr>
        <w:t>LEGAL PROCESS:</w:t>
      </w:r>
      <w:r>
        <w:rPr>
          <w:sz w:val="20"/>
          <w:szCs w:val="20"/>
          <w:color w:val="auto"/>
        </w:rPr>
        <w:tab/>
      </w:r>
      <w:r>
        <w:rPr>
          <w:rFonts w:ascii="Times New Roman" w:cs="Times New Roman" w:eastAsia="Times New Roman" w:hAnsi="Times New Roman"/>
          <w:sz w:val="20"/>
          <w:szCs w:val="20"/>
          <w:color w:val="auto"/>
        </w:rPr>
        <w:t>Legal process with respect to the Plan may be served upon the Plan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805180</wp:posOffset>
            </wp:positionV>
            <wp:extent cx="14204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142049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1287145</wp:posOffset>
            </wp:positionV>
            <wp:extent cx="7153275"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0160"/>
          </w:cols>
          <w:pgMar w:left="1180" w:top="110" w:right="559" w:bottom="1440" w:gutter="0" w:footer="0" w:header="0"/>
          <w:type w:val="continuous"/>
        </w:sectPr>
      </w:pPr>
    </w:p>
    <w:bookmarkStart w:id="158" w:name="page159"/>
    <w:bookmarkEnd w:id="158"/>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APPENDIX 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Definitions</w:t>
      </w:r>
    </w:p>
    <w:p>
      <w:pPr>
        <w:spacing w:after="0" w:line="200" w:lineRule="exact"/>
        <w:rPr>
          <w:sz w:val="20"/>
          <w:szCs w:val="20"/>
          <w:color w:val="auto"/>
        </w:rPr>
      </w:pPr>
    </w:p>
    <w:p>
      <w:pPr>
        <w:spacing w:after="0" w:line="2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Whenever used in this Plan, the following terms shall have the meanings set forth below:</w:t>
      </w:r>
    </w:p>
    <w:p>
      <w:pPr>
        <w:spacing w:after="0" w:line="199" w:lineRule="exact"/>
        <w:rPr>
          <w:sz w:val="20"/>
          <w:szCs w:val="20"/>
          <w:color w:val="auto"/>
        </w:rPr>
      </w:pPr>
    </w:p>
    <w:p>
      <w:pPr>
        <w:ind w:firstLine="869"/>
        <w:spacing w:after="0" w:line="270" w:lineRule="auto"/>
        <w:tabs>
          <w:tab w:leader="none" w:pos="1724"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Base Salary Rate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the Participant’s annual base salary rate in effect immediately prior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Participant’s Separation from Service.</w:t>
      </w:r>
    </w:p>
    <w:p>
      <w:pPr>
        <w:spacing w:after="0" w:line="137" w:lineRule="exact"/>
        <w:rPr>
          <w:rFonts w:ascii="Times New Roman" w:cs="Times New Roman" w:eastAsia="Times New Roman" w:hAnsi="Times New Roman"/>
          <w:sz w:val="21"/>
          <w:szCs w:val="21"/>
          <w:color w:val="auto"/>
        </w:rPr>
      </w:pPr>
    </w:p>
    <w:p>
      <w:pPr>
        <w:jc w:val="both"/>
        <w:ind w:firstLine="869"/>
        <w:spacing w:after="0" w:line="238" w:lineRule="auto"/>
        <w:tabs>
          <w:tab w:leader="none" w:pos="1815"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the occurrence of any of the following: (1) the Participant’s willful failure to substantially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perform Participant’s duties to the Company (other than any such failure resulting from the Participant’s incapacity due to physical or mental illness or any such actual or anticipated failure after Participant’s issuance of a notice of termination for Good Reason), after a written demand for performance is delivered to the Participant by the Board or the Chief Executive Officer of the Company, which demand specifically identifies the manner in which the Board or the Chief Executive Officer of the Company believes that the Participant has not performed Participant’s duties; (2) the Participant’s commission of an act of fraud or material dishonesty resulting in reputational, economic or financial injury to the Company; (3) the Participant’s commission of, including any entry by the Participant of a guilty or no contest plea to, a felony or other crime involving moral turpitude; (4) a material breach by the Participant of Participant’s fiduciary duty to the Company which results in reputational, economic, or other injury to the Company; or (5) the Participant’s material breach of the Participant’s obligation under a written agreement between the Company and the Participant.</w:t>
      </w:r>
    </w:p>
    <w:p>
      <w:pPr>
        <w:spacing w:after="0" w:line="169" w:lineRule="exact"/>
        <w:rPr>
          <w:rFonts w:ascii="Times New Roman" w:cs="Times New Roman" w:eastAsia="Times New Roman" w:hAnsi="Times New Roman"/>
          <w:sz w:val="21"/>
          <w:szCs w:val="21"/>
          <w:color w:val="auto"/>
        </w:rPr>
      </w:pPr>
    </w:p>
    <w:p>
      <w:pPr>
        <w:ind w:left="1720" w:hanging="851"/>
        <w:spacing w:after="0"/>
        <w:tabs>
          <w:tab w:leader="none" w:pos="172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CIC Severance Multiplier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with respect to any Participant [one and a half (1.5)].</w:t>
      </w:r>
    </w:p>
    <w:p>
      <w:pPr>
        <w:spacing w:after="0" w:line="203" w:lineRule="exact"/>
        <w:rPr>
          <w:rFonts w:ascii="Times New Roman" w:cs="Times New Roman" w:eastAsia="Times New Roman" w:hAnsi="Times New Roman"/>
          <w:sz w:val="21"/>
          <w:szCs w:val="21"/>
          <w:color w:val="auto"/>
        </w:rPr>
      </w:pPr>
    </w:p>
    <w:p>
      <w:pPr>
        <w:ind w:left="1740" w:hanging="871"/>
        <w:spacing w:after="0"/>
        <w:tabs>
          <w:tab w:leader="none" w:pos="174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Change in Control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has the meaning given in the Company’s 2020 Incentive Award Plan, as may be amended</w:t>
      </w:r>
    </w:p>
    <w:p>
      <w:pPr>
        <w:spacing w:after="0" w:line="2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time to time.</w:t>
      </w:r>
    </w:p>
    <w:p>
      <w:pPr>
        <w:spacing w:after="0" w:line="175" w:lineRule="exact"/>
        <w:rPr>
          <w:rFonts w:ascii="Times New Roman" w:cs="Times New Roman" w:eastAsia="Times New Roman" w:hAnsi="Times New Roman"/>
          <w:sz w:val="21"/>
          <w:szCs w:val="21"/>
          <w:color w:val="auto"/>
        </w:rPr>
      </w:pPr>
    </w:p>
    <w:p>
      <w:pPr>
        <w:ind w:firstLine="869"/>
        <w:spacing w:after="0" w:line="270" w:lineRule="auto"/>
        <w:tabs>
          <w:tab w:leader="none" w:pos="1724"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Change in Control Period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the period beginning on the date that is three (3) months prior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consummation of the Change in Control and ending on the twelve (12)-month anniversary of such Change in Control.</w:t>
      </w:r>
    </w:p>
    <w:p>
      <w:pPr>
        <w:spacing w:after="0" w:line="137" w:lineRule="exact"/>
        <w:rPr>
          <w:rFonts w:ascii="Times New Roman" w:cs="Times New Roman" w:eastAsia="Times New Roman" w:hAnsi="Times New Roman"/>
          <w:sz w:val="21"/>
          <w:szCs w:val="21"/>
          <w:color w:val="auto"/>
        </w:rPr>
      </w:pPr>
    </w:p>
    <w:p>
      <w:pPr>
        <w:ind w:firstLine="869"/>
        <w:spacing w:after="0" w:line="270" w:lineRule="auto"/>
        <w:tabs>
          <w:tab w:leader="none" w:pos="1701"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the Internal Revenue Code of 1986, as amended, or any successor thereto and any applicable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regulations (including proposed or temporary regulations) and other Internal Revenue Service guidance promulgated thereunder.</w:t>
      </w:r>
    </w:p>
    <w:p>
      <w:pPr>
        <w:spacing w:after="0" w:line="137" w:lineRule="exact"/>
        <w:rPr>
          <w:rFonts w:ascii="Times New Roman" w:cs="Times New Roman" w:eastAsia="Times New Roman" w:hAnsi="Times New Roman"/>
          <w:sz w:val="21"/>
          <w:szCs w:val="21"/>
          <w:color w:val="auto"/>
        </w:rPr>
      </w:pPr>
    </w:p>
    <w:p>
      <w:pPr>
        <w:ind w:left="1740" w:hanging="871"/>
        <w:spacing w:after="0"/>
        <w:tabs>
          <w:tab w:leader="none" w:pos="174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the Compensation Committee of the Board.</w:t>
      </w:r>
    </w:p>
    <w:p>
      <w:pPr>
        <w:spacing w:after="0" w:line="203" w:lineRule="exact"/>
        <w:rPr>
          <w:rFonts w:ascii="Times New Roman" w:cs="Times New Roman" w:eastAsia="Times New Roman" w:hAnsi="Times New Roman"/>
          <w:sz w:val="21"/>
          <w:szCs w:val="21"/>
          <w:color w:val="auto"/>
        </w:rPr>
      </w:pPr>
    </w:p>
    <w:p>
      <w:pPr>
        <w:ind w:firstLine="869"/>
        <w:spacing w:after="0" w:line="270" w:lineRule="auto"/>
        <w:tabs>
          <w:tab w:leader="none" w:pos="1736"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Vroom, Inc., and, following a Change in Control, a Successor that agrees to assume all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terms and provisions of this Plan or a Successor which otherwise becomes bound by operation of law to this Plan.</w:t>
      </w:r>
    </w:p>
    <w:p>
      <w:pPr>
        <w:spacing w:after="0" w:line="137" w:lineRule="exact"/>
        <w:rPr>
          <w:rFonts w:ascii="Times New Roman" w:cs="Times New Roman" w:eastAsia="Times New Roman" w:hAnsi="Times New Roman"/>
          <w:sz w:val="21"/>
          <w:szCs w:val="21"/>
          <w:color w:val="auto"/>
        </w:rPr>
      </w:pPr>
    </w:p>
    <w:p>
      <w:pPr>
        <w:ind w:firstLine="869"/>
        <w:spacing w:after="0" w:line="270" w:lineRule="auto"/>
        <w:tabs>
          <w:tab w:leader="none" w:pos="169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Company Group</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the group consisting of the Company and each present or future parent and subsidiary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corporation or other business entity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7153275"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59" w:name="page160"/>
    <w:bookmarkEnd w:id="159"/>
    <w:p>
      <w:pPr>
        <w:ind w:firstLine="869"/>
        <w:spacing w:after="0" w:line="271" w:lineRule="auto"/>
        <w:tabs>
          <w:tab w:leader="none" w:pos="169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Disability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that the Participant has become entitled to receive benefits under an applicable Company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long-term disability plan or, if no such plan covers the Participant, as determined in the reasonable discretion of the Board.</w:t>
      </w:r>
    </w:p>
    <w:p>
      <w:pPr>
        <w:spacing w:after="0" w:line="135" w:lineRule="exact"/>
        <w:rPr>
          <w:rFonts w:ascii="Times New Roman" w:cs="Times New Roman" w:eastAsia="Times New Roman" w:hAnsi="Times New Roman"/>
          <w:sz w:val="21"/>
          <w:szCs w:val="21"/>
          <w:color w:val="auto"/>
        </w:rPr>
      </w:pPr>
    </w:p>
    <w:p>
      <w:pPr>
        <w:ind w:firstLine="869"/>
        <w:spacing w:after="0" w:line="270" w:lineRule="auto"/>
        <w:tabs>
          <w:tab w:leader="none" w:pos="1736"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Equity Award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any Option, Stock Appreciation Rights, Restricted Stock, Restricted Stock Units or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stock-based compensation award.</w:t>
      </w:r>
    </w:p>
    <w:p>
      <w:pPr>
        <w:spacing w:after="0" w:line="137" w:lineRule="exact"/>
        <w:rPr>
          <w:rFonts w:ascii="Times New Roman" w:cs="Times New Roman" w:eastAsia="Times New Roman" w:hAnsi="Times New Roman"/>
          <w:sz w:val="21"/>
          <w:szCs w:val="21"/>
          <w:color w:val="auto"/>
        </w:rPr>
      </w:pPr>
    </w:p>
    <w:p>
      <w:pPr>
        <w:jc w:val="both"/>
        <w:ind w:firstLine="869"/>
        <w:spacing w:after="0" w:line="252" w:lineRule="auto"/>
        <w:tabs>
          <w:tab w:leader="none" w:pos="169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Good Reason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the occurrence of any of the following conditions without the Participant’s informed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written consent unless the Company fully corrects the circumstances constituting Good Reason (provided such circumstances are capable of correction):</w:t>
      </w:r>
    </w:p>
    <w:p>
      <w:pPr>
        <w:spacing w:after="0" w:line="159" w:lineRule="exact"/>
        <w:rPr>
          <w:rFonts w:ascii="Times New Roman" w:cs="Times New Roman" w:eastAsia="Times New Roman" w:hAnsi="Times New Roman"/>
          <w:sz w:val="21"/>
          <w:szCs w:val="21"/>
          <w:color w:val="auto"/>
        </w:rPr>
      </w:pPr>
    </w:p>
    <w:p>
      <w:pPr>
        <w:jc w:val="both"/>
        <w:ind w:firstLine="1733"/>
        <w:spacing w:after="0" w:line="250" w:lineRule="auto"/>
        <w:tabs>
          <w:tab w:leader="none" w:pos="2601"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diminution in the Participant’s position (including status, offices, titles and reporting requirements), authority, duties or responsibilities, excluding for this purpose any isolated, insubstantial or inadvertent actions not taken in bad faith and which are remedied by the Company promptly after receipt of notice thereof given by the Participant; or</w:t>
      </w:r>
    </w:p>
    <w:p>
      <w:pPr>
        <w:spacing w:after="0" w:line="161" w:lineRule="exact"/>
        <w:rPr>
          <w:rFonts w:ascii="Times New Roman" w:cs="Times New Roman" w:eastAsia="Times New Roman" w:hAnsi="Times New Roman"/>
          <w:sz w:val="21"/>
          <w:szCs w:val="21"/>
          <w:color w:val="auto"/>
        </w:rPr>
      </w:pPr>
    </w:p>
    <w:p>
      <w:pPr>
        <w:ind w:left="2600" w:hanging="867"/>
        <w:spacing w:after="0"/>
        <w:tabs>
          <w:tab w:leader="none" w:pos="260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material reduction in Participant’s base salary, as the same may be increased from time</w:t>
      </w:r>
    </w:p>
    <w:p>
      <w:pPr>
        <w:spacing w:after="0" w:line="29"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to time; or</w:t>
      </w:r>
    </w:p>
    <w:p>
      <w:pPr>
        <w:spacing w:after="0" w:line="179" w:lineRule="exact"/>
        <w:rPr>
          <w:rFonts w:ascii="Times New Roman" w:cs="Times New Roman" w:eastAsia="Times New Roman" w:hAnsi="Times New Roman"/>
          <w:sz w:val="20"/>
          <w:szCs w:val="20"/>
          <w:color w:val="auto"/>
        </w:rPr>
      </w:pPr>
    </w:p>
    <w:p>
      <w:pPr>
        <w:jc w:val="both"/>
        <w:ind w:firstLine="1733"/>
        <w:spacing w:after="0" w:line="292" w:lineRule="auto"/>
        <w:tabs>
          <w:tab w:leader="none" w:pos="2601"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change in the geographic location of the Participant’s principal location as of the date hereof, which shall, in any event, include only a relocation of the by more than twenty-five (25) miles from such principal location; or</w:t>
      </w:r>
    </w:p>
    <w:p>
      <w:pPr>
        <w:spacing w:after="0" w:line="120" w:lineRule="exact"/>
        <w:rPr>
          <w:rFonts w:ascii="Times New Roman" w:cs="Times New Roman" w:eastAsia="Times New Roman" w:hAnsi="Times New Roman"/>
          <w:sz w:val="20"/>
          <w:szCs w:val="20"/>
          <w:color w:val="auto"/>
        </w:rPr>
      </w:pPr>
    </w:p>
    <w:p>
      <w:pPr>
        <w:ind w:left="2600" w:hanging="867"/>
        <w:spacing w:after="0"/>
        <w:tabs>
          <w:tab w:leader="none" w:pos="260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material breach of this Plan by the Company Group with respect to the Participant.</w:t>
      </w:r>
    </w:p>
    <w:p>
      <w:pPr>
        <w:spacing w:after="0" w:line="20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Notwithstanding the foregoing, the Participant will not be deemed to have resigned for Good Reason unless (1) the Participant provides the Company with written notice setting forth in reasonable detail the facts and circumstances claimed by the Participant to constitute Good Reason within sixty (60) days after the date of the occurrence of any event that the Participant knows or should reasonably have known to constitute Good Reason, (2) the Company fails to cure such acts or omissions within thirty (30) days following its receipt of such notice, and (3) the effective date of the Participant’s termination for Good Reason occurs no later than sixty (60) days after the expiration of the Company’s cure period.</w:t>
      </w:r>
    </w:p>
    <w:p>
      <w:pPr>
        <w:spacing w:after="0" w:line="183" w:lineRule="exact"/>
        <w:rPr>
          <w:sz w:val="20"/>
          <w:szCs w:val="20"/>
          <w:color w:val="auto"/>
        </w:rPr>
      </w:pPr>
    </w:p>
    <w:p>
      <w:pPr>
        <w:jc w:val="both"/>
        <w:ind w:firstLine="869"/>
        <w:spacing w:after="0" w:line="252" w:lineRule="auto"/>
        <w:tabs>
          <w:tab w:leader="none" w:pos="1847"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Option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any option to purchase shares of the capital stock of the Company or of any other member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Company Group granted to a Participant by the Company or any other Company Group member, whether granted before or after a Change in Control.</w:t>
      </w:r>
    </w:p>
    <w:p>
      <w:pPr>
        <w:spacing w:after="0" w:line="155" w:lineRule="exact"/>
        <w:rPr>
          <w:rFonts w:ascii="Times New Roman" w:cs="Times New Roman" w:eastAsia="Times New Roman" w:hAnsi="Times New Roman"/>
          <w:sz w:val="21"/>
          <w:szCs w:val="21"/>
          <w:color w:val="auto"/>
        </w:rPr>
      </w:pPr>
    </w:p>
    <w:p>
      <w:pPr>
        <w:ind w:left="1740" w:hanging="871"/>
        <w:spacing w:after="0"/>
        <w:tabs>
          <w:tab w:leader="none" w:pos="174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Participant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each individual who listed on Appendix B.</w:t>
      </w:r>
    </w:p>
    <w:p>
      <w:pPr>
        <w:spacing w:after="0" w:line="203" w:lineRule="exact"/>
        <w:rPr>
          <w:rFonts w:ascii="Times New Roman" w:cs="Times New Roman" w:eastAsia="Times New Roman" w:hAnsi="Times New Roman"/>
          <w:sz w:val="21"/>
          <w:szCs w:val="21"/>
          <w:color w:val="auto"/>
        </w:rPr>
      </w:pPr>
    </w:p>
    <w:p>
      <w:pPr>
        <w:ind w:left="1740" w:hanging="871"/>
        <w:spacing w:after="0"/>
        <w:tabs>
          <w:tab w:leader="none" w:pos="174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Payroll Date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the last day of a payroll period.</w:t>
      </w:r>
    </w:p>
    <w:p>
      <w:pPr>
        <w:spacing w:after="0" w:line="203" w:lineRule="exact"/>
        <w:rPr>
          <w:rFonts w:ascii="Times New Roman" w:cs="Times New Roman" w:eastAsia="Times New Roman" w:hAnsi="Times New Roman"/>
          <w:sz w:val="21"/>
          <w:szCs w:val="21"/>
          <w:color w:val="auto"/>
        </w:rPr>
      </w:pPr>
    </w:p>
    <w:p>
      <w:pPr>
        <w:jc w:val="both"/>
        <w:ind w:firstLine="869"/>
        <w:spacing w:after="0" w:line="252" w:lineRule="auto"/>
        <w:tabs>
          <w:tab w:leader="none" w:pos="1736"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Release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a general release of all known and unknown claims against the Company and its affiliates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their stockholders, directors, officers, employees, agents, successors and assigns substantially in the form attached hereto as </w:t>
      </w:r>
      <w:r>
        <w:rPr>
          <w:rFonts w:ascii="Times New Roman" w:cs="Times New Roman" w:eastAsia="Times New Roman" w:hAnsi="Times New Roman"/>
          <w:sz w:val="21"/>
          <w:szCs w:val="21"/>
          <w:u w:val="single" w:color="auto"/>
          <w:color w:val="auto"/>
        </w:rPr>
        <w:t>Appendix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w:t>
      </w:r>
    </w:p>
    <w:p>
      <w:pPr>
        <w:spacing w:after="0" w:line="155" w:lineRule="exact"/>
        <w:rPr>
          <w:rFonts w:ascii="Times New Roman" w:cs="Times New Roman" w:eastAsia="Times New Roman" w:hAnsi="Times New Roman"/>
          <w:sz w:val="21"/>
          <w:szCs w:val="21"/>
          <w:color w:val="auto"/>
        </w:rPr>
      </w:pPr>
    </w:p>
    <w:p>
      <w:pPr>
        <w:ind w:firstLine="869"/>
        <w:spacing w:after="0" w:line="270" w:lineRule="auto"/>
        <w:tabs>
          <w:tab w:leader="none" w:pos="1736"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Release Deadline</w:t>
      </w:r>
      <w:r>
        <w:rPr>
          <w:rFonts w:ascii="Times New Roman" w:cs="Times New Roman" w:eastAsia="Times New Roman" w:hAnsi="Times New Roman"/>
          <w:sz w:val="21"/>
          <w:szCs w:val="21"/>
          <w:color w:val="auto"/>
        </w:rPr>
        <w:t>: means, with respect to a Participant who is age forty (40) or older on the date of such Participant’s Separation from Service, the date which is forty five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7153275"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0" w:name="page161"/>
    <w:bookmarkEnd w:id="160"/>
    <w:p>
      <w:pPr>
        <w:jc w:val="both"/>
        <w:spacing w:after="0" w:line="249" w:lineRule="auto"/>
        <w:rPr>
          <w:sz w:val="20"/>
          <w:szCs w:val="20"/>
          <w:color w:val="auto"/>
        </w:rPr>
      </w:pPr>
      <w:r>
        <w:rPr>
          <w:rFonts w:ascii="Times New Roman" w:cs="Times New Roman" w:eastAsia="Times New Roman" w:hAnsi="Times New Roman"/>
          <w:sz w:val="21"/>
          <w:szCs w:val="21"/>
          <w:color w:val="auto"/>
        </w:rPr>
        <w:t>days following the Participant’s Separation from Service. With respect to a Participant who is younger than age forty (40) on the date of such Participant’s Separation from Service, the “Release Deadline” shall be the date which is twenty one (21) days following the Participant’s Separation from Service.</w:t>
      </w:r>
    </w:p>
    <w:p>
      <w:pPr>
        <w:spacing w:after="0" w:line="159" w:lineRule="exact"/>
        <w:rPr>
          <w:sz w:val="20"/>
          <w:szCs w:val="20"/>
          <w:color w:val="auto"/>
        </w:rPr>
      </w:pPr>
    </w:p>
    <w:p>
      <w:pPr>
        <w:jc w:val="both"/>
        <w:ind w:firstLine="869"/>
        <w:spacing w:after="0" w:line="246" w:lineRule="auto"/>
        <w:tabs>
          <w:tab w:leader="none" w:pos="1701"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Restricted Stock</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any compensatory award of shares of the capital stock of the Company or of any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member of the Company Group granted to a Participant by the Company or any other Company Group member or acquired upon the exercise of an Option, whether such shares are granted or acquired before or after a Change in Control, including any shares issued in exchange for any such shares by a Successor or any other member of the Company Group.</w:t>
      </w:r>
    </w:p>
    <w:p>
      <w:pPr>
        <w:spacing w:after="0" w:line="161" w:lineRule="exact"/>
        <w:rPr>
          <w:rFonts w:ascii="Times New Roman" w:cs="Times New Roman" w:eastAsia="Times New Roman" w:hAnsi="Times New Roman"/>
          <w:sz w:val="21"/>
          <w:szCs w:val="21"/>
          <w:color w:val="auto"/>
        </w:rPr>
      </w:pPr>
    </w:p>
    <w:p>
      <w:pPr>
        <w:jc w:val="both"/>
        <w:ind w:firstLine="869"/>
        <w:spacing w:after="0" w:line="243" w:lineRule="auto"/>
        <w:tabs>
          <w:tab w:leader="none" w:pos="1713"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Restricted Stock Units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 any compensatory award of rights to receive shares of the capital stock or cash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 amount measured by the value of shares of the capital stock of the Company or of any other member of the Company Group at one or more specified future times or upon the satisfaction of one or more specified conditions granted to a Participant by the Company or any other Company Group member, whether such awards are granted before or after a Change in Control, including any such awards granted in exchange for such awards by a Successor or any other member of the Company Group.</w:t>
      </w:r>
    </w:p>
    <w:p>
      <w:pPr>
        <w:spacing w:after="0" w:line="164" w:lineRule="exact"/>
        <w:rPr>
          <w:rFonts w:ascii="Times New Roman" w:cs="Times New Roman" w:eastAsia="Times New Roman" w:hAnsi="Times New Roman"/>
          <w:sz w:val="21"/>
          <w:szCs w:val="21"/>
          <w:color w:val="auto"/>
        </w:rPr>
      </w:pPr>
    </w:p>
    <w:p>
      <w:pPr>
        <w:ind w:left="1700" w:hanging="831"/>
        <w:spacing w:after="0"/>
        <w:tabs>
          <w:tab w:leader="none" w:pos="170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Section 409A</w:t>
      </w:r>
      <w:r>
        <w:rPr>
          <w:rFonts w:ascii="Times New Roman" w:cs="Times New Roman" w:eastAsia="Times New Roman" w:hAnsi="Times New Roman"/>
          <w:sz w:val="21"/>
          <w:szCs w:val="21"/>
          <w:color w:val="auto"/>
        </w:rPr>
        <w:t>” means Section 409A of the Code.</w:t>
      </w:r>
    </w:p>
    <w:p>
      <w:pPr>
        <w:spacing w:after="0" w:line="203" w:lineRule="exact"/>
        <w:rPr>
          <w:rFonts w:ascii="Times New Roman" w:cs="Times New Roman" w:eastAsia="Times New Roman" w:hAnsi="Times New Roman"/>
          <w:sz w:val="21"/>
          <w:szCs w:val="21"/>
          <w:color w:val="auto"/>
        </w:rPr>
      </w:pPr>
    </w:p>
    <w:p>
      <w:pPr>
        <w:ind w:left="1740" w:hanging="871"/>
        <w:spacing w:after="0"/>
        <w:tabs>
          <w:tab w:leader="none" w:pos="174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Separation from Service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a “separation from service” as defined in Section 409A.</w:t>
      </w:r>
    </w:p>
    <w:p>
      <w:pPr>
        <w:spacing w:after="0" w:line="203" w:lineRule="exact"/>
        <w:rPr>
          <w:rFonts w:ascii="Times New Roman" w:cs="Times New Roman" w:eastAsia="Times New Roman" w:hAnsi="Times New Roman"/>
          <w:sz w:val="21"/>
          <w:szCs w:val="21"/>
          <w:color w:val="auto"/>
        </w:rPr>
      </w:pPr>
    </w:p>
    <w:p>
      <w:pPr>
        <w:ind w:right="340" w:firstLine="869"/>
        <w:spacing w:after="0" w:line="270" w:lineRule="auto"/>
        <w:tabs>
          <w:tab w:leader="none" w:pos="1789"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Severance Period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with respect to any Participant, commence upon such Participant’s termination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employment and end after the lapse of:</w:t>
      </w:r>
    </w:p>
    <w:p>
      <w:pPr>
        <w:spacing w:after="0" w:line="141" w:lineRule="exact"/>
        <w:rPr>
          <w:rFonts w:ascii="Times New Roman" w:cs="Times New Roman" w:eastAsia="Times New Roman" w:hAnsi="Times New Roman"/>
          <w:sz w:val="21"/>
          <w:szCs w:val="21"/>
          <w:color w:val="auto"/>
        </w:rPr>
      </w:pPr>
    </w:p>
    <w:p>
      <w:pPr>
        <w:ind w:left="2600" w:hanging="867"/>
        <w:spacing w:after="0"/>
        <w:tabs>
          <w:tab w:leader="none" w:pos="2600"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Participant is the Company’s Chief Executive Officer, eighteen (18) months; and</w:t>
      </w:r>
    </w:p>
    <w:p>
      <w:pPr>
        <w:spacing w:after="0" w:line="203" w:lineRule="exact"/>
        <w:rPr>
          <w:rFonts w:ascii="Times New Roman" w:cs="Times New Roman" w:eastAsia="Times New Roman" w:hAnsi="Times New Roman"/>
          <w:sz w:val="21"/>
          <w:szCs w:val="21"/>
          <w:color w:val="auto"/>
        </w:rPr>
      </w:pPr>
    </w:p>
    <w:p>
      <w:pPr>
        <w:ind w:left="2600" w:hanging="867"/>
        <w:spacing w:after="0"/>
        <w:tabs>
          <w:tab w:leader="none" w:pos="2600"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Participant other than the Company’s Chief Executive Officer, twelve (12) months;</w:t>
      </w:r>
    </w:p>
    <w:p>
      <w:pPr>
        <w:spacing w:after="0" w:line="199" w:lineRule="exact"/>
        <w:rPr>
          <w:rFonts w:ascii="Times New Roman" w:cs="Times New Roman" w:eastAsia="Times New Roman" w:hAnsi="Times New Roman"/>
          <w:sz w:val="21"/>
          <w:szCs w:val="21"/>
          <w:color w:val="auto"/>
        </w:rPr>
      </w:pPr>
    </w:p>
    <w:p>
      <w:pPr>
        <w:ind w:left="1840" w:hanging="971"/>
        <w:spacing w:after="0"/>
        <w:tabs>
          <w:tab w:leader="none" w:pos="184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Specified Employee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a specified employee of the Company Group as defined in Section 409A.</w:t>
      </w:r>
    </w:p>
    <w:p>
      <w:pPr>
        <w:spacing w:after="0" w:line="203" w:lineRule="exact"/>
        <w:rPr>
          <w:rFonts w:ascii="Times New Roman" w:cs="Times New Roman" w:eastAsia="Times New Roman" w:hAnsi="Times New Roman"/>
          <w:sz w:val="21"/>
          <w:szCs w:val="21"/>
          <w:color w:val="auto"/>
        </w:rPr>
      </w:pPr>
    </w:p>
    <w:p>
      <w:pPr>
        <w:jc w:val="both"/>
        <w:ind w:firstLine="869"/>
        <w:spacing w:after="0" w:line="258" w:lineRule="auto"/>
        <w:tabs>
          <w:tab w:leader="none" w:pos="173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Stock Appreciation Right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any award consisting of the right to receive payment, for each share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capital stock of the Company or of any other member of the Company Group subject to such award, of an amount equal to the excess, if any, of the fair market value of such share on the date of exercise of the award over the exercise price for such share granted to a Participant by the Company or any other Company Group member, whether such awards are granted before or after a Change in Control, including any such awards granted in exchange for such awards by a Successor or any other member of the Company Group.</w:t>
      </w:r>
    </w:p>
    <w:p>
      <w:pPr>
        <w:spacing w:after="0" w:line="150" w:lineRule="exact"/>
        <w:rPr>
          <w:rFonts w:ascii="Times New Roman" w:cs="Times New Roman" w:eastAsia="Times New Roman" w:hAnsi="Times New Roman"/>
          <w:sz w:val="20"/>
          <w:szCs w:val="20"/>
          <w:color w:val="auto"/>
        </w:rPr>
      </w:pPr>
    </w:p>
    <w:p>
      <w:pPr>
        <w:ind w:left="1740" w:hanging="871"/>
        <w:spacing w:after="0"/>
        <w:tabs>
          <w:tab w:leader="none" w:pos="174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Successor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any successor in interest to substantially all of the business and/or assets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153275"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1" w:name="page162"/>
    <w:bookmarkEnd w:id="161"/>
    <w:p>
      <w:pPr>
        <w:ind w:left="1720" w:hanging="851"/>
        <w:spacing w:after="0"/>
        <w:tabs>
          <w:tab w:leader="none" w:pos="172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Termination Upon a Change in Control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the occurrence of any of the following events:</w:t>
      </w:r>
    </w:p>
    <w:p>
      <w:pPr>
        <w:spacing w:after="0" w:line="207" w:lineRule="exact"/>
        <w:rPr>
          <w:rFonts w:ascii="Times New Roman" w:cs="Times New Roman" w:eastAsia="Times New Roman" w:hAnsi="Times New Roman"/>
          <w:sz w:val="21"/>
          <w:szCs w:val="21"/>
          <w:color w:val="auto"/>
        </w:rPr>
      </w:pPr>
    </w:p>
    <w:p>
      <w:pPr>
        <w:ind w:firstLine="1842"/>
        <w:spacing w:after="0" w:line="266" w:lineRule="auto"/>
        <w:tabs>
          <w:tab w:leader="none" w:pos="2710"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by the Company Group of the Participant’s employment for any reason other than Cause during the Change in Control Period; or</w:t>
      </w:r>
    </w:p>
    <w:p>
      <w:pPr>
        <w:spacing w:after="0" w:line="145" w:lineRule="exact"/>
        <w:rPr>
          <w:rFonts w:ascii="Times New Roman" w:cs="Times New Roman" w:eastAsia="Times New Roman" w:hAnsi="Times New Roman"/>
          <w:sz w:val="21"/>
          <w:szCs w:val="21"/>
          <w:color w:val="auto"/>
        </w:rPr>
      </w:pPr>
    </w:p>
    <w:p>
      <w:pPr>
        <w:jc w:val="both"/>
        <w:ind w:firstLine="1842"/>
        <w:spacing w:after="0" w:line="250" w:lineRule="auto"/>
        <w:tabs>
          <w:tab w:leader="none" w:pos="2710"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resignation for Good Reason from employment with the Company Group during the Change in Control Period, provided that such resignation occurs within sixty (60) days following the occurrence of the condition constituting Good Reason;</w:t>
      </w:r>
    </w:p>
    <w:p>
      <w:pPr>
        <w:spacing w:after="0" w:line="1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Termination Upon a Change in Control shall not include any termination of the Participant’s employment which is (i) for Cause, (ii) a result of the Participant’s death or Disability, or (iii) a result of the Participant’s voluntary termination of employment other than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601345</wp:posOffset>
            </wp:positionV>
            <wp:extent cx="7153275"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2" w:name="page163"/>
    <w:bookmarkEnd w:id="162"/>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APPENDIX B</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u w:val="single" w:color="auto"/>
          <w:color w:val="auto"/>
        </w:rPr>
        <w:t>Participants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Daniel Baker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Chad Bockius</w:t>
      </w:r>
    </w:p>
    <w:p>
      <w:pPr>
        <w:spacing w:after="0" w:line="234" w:lineRule="auto"/>
        <w:rPr>
          <w:sz w:val="20"/>
          <w:szCs w:val="20"/>
          <w:color w:val="auto"/>
        </w:rPr>
      </w:pPr>
      <w:r>
        <w:rPr>
          <w:rFonts w:ascii="Times New Roman" w:cs="Times New Roman" w:eastAsia="Times New Roman" w:hAnsi="Times New Roman"/>
          <w:sz w:val="21"/>
          <w:szCs w:val="21"/>
          <w:color w:val="auto"/>
        </w:rPr>
        <w:t>John Caine</w:t>
      </w:r>
    </w:p>
    <w:p>
      <w:pPr>
        <w:spacing w:after="0" w:line="234" w:lineRule="auto"/>
        <w:rPr>
          <w:sz w:val="20"/>
          <w:szCs w:val="20"/>
          <w:color w:val="auto"/>
        </w:rPr>
      </w:pPr>
      <w:r>
        <w:rPr>
          <w:rFonts w:ascii="Times New Roman" w:cs="Times New Roman" w:eastAsia="Times New Roman" w:hAnsi="Times New Roman"/>
          <w:sz w:val="21"/>
          <w:szCs w:val="21"/>
          <w:color w:val="auto"/>
        </w:rPr>
        <w:t>Steven Gropler</w:t>
      </w:r>
    </w:p>
    <w:p>
      <w:pPr>
        <w:spacing w:after="0" w:line="234" w:lineRule="auto"/>
        <w:rPr>
          <w:sz w:val="20"/>
          <w:szCs w:val="20"/>
          <w:color w:val="auto"/>
        </w:rPr>
      </w:pPr>
      <w:r>
        <w:rPr>
          <w:rFonts w:ascii="Times New Roman" w:cs="Times New Roman" w:eastAsia="Times New Roman" w:hAnsi="Times New Roman"/>
          <w:sz w:val="21"/>
          <w:szCs w:val="21"/>
          <w:color w:val="auto"/>
        </w:rPr>
        <w:t>Paul Hennessy</w:t>
      </w:r>
    </w:p>
    <w:p>
      <w:pPr>
        <w:spacing w:after="0" w:line="234" w:lineRule="auto"/>
        <w:rPr>
          <w:sz w:val="20"/>
          <w:szCs w:val="20"/>
          <w:color w:val="auto"/>
        </w:rPr>
      </w:pPr>
      <w:r>
        <w:rPr>
          <w:rFonts w:ascii="Times New Roman" w:cs="Times New Roman" w:eastAsia="Times New Roman" w:hAnsi="Times New Roman"/>
          <w:sz w:val="21"/>
          <w:szCs w:val="21"/>
          <w:color w:val="auto"/>
        </w:rPr>
        <w:t>David K. Jones</w:t>
      </w:r>
    </w:p>
    <w:p>
      <w:pPr>
        <w:spacing w:after="0" w:line="234" w:lineRule="auto"/>
        <w:rPr>
          <w:sz w:val="20"/>
          <w:szCs w:val="20"/>
          <w:color w:val="auto"/>
        </w:rPr>
      </w:pPr>
      <w:r>
        <w:rPr>
          <w:rFonts w:ascii="Times New Roman" w:cs="Times New Roman" w:eastAsia="Times New Roman" w:hAnsi="Times New Roman"/>
          <w:sz w:val="21"/>
          <w:szCs w:val="21"/>
          <w:color w:val="auto"/>
        </w:rPr>
        <w:t>Dennis Looney</w:t>
      </w:r>
    </w:p>
    <w:p>
      <w:pPr>
        <w:spacing w:after="0" w:line="234" w:lineRule="auto"/>
        <w:rPr>
          <w:sz w:val="20"/>
          <w:szCs w:val="20"/>
          <w:color w:val="auto"/>
        </w:rPr>
      </w:pPr>
      <w:r>
        <w:rPr>
          <w:rFonts w:ascii="Times New Roman" w:cs="Times New Roman" w:eastAsia="Times New Roman" w:hAnsi="Times New Roman"/>
          <w:sz w:val="21"/>
          <w:szCs w:val="21"/>
          <w:color w:val="auto"/>
        </w:rPr>
        <w:t>Patricia Moran</w:t>
      </w:r>
    </w:p>
    <w:p>
      <w:pPr>
        <w:spacing w:after="0" w:line="234" w:lineRule="auto"/>
        <w:rPr>
          <w:sz w:val="20"/>
          <w:szCs w:val="20"/>
          <w:color w:val="auto"/>
        </w:rPr>
      </w:pPr>
      <w:r>
        <w:rPr>
          <w:rFonts w:ascii="Times New Roman" w:cs="Times New Roman" w:eastAsia="Times New Roman" w:hAnsi="Times New Roman"/>
          <w:sz w:val="21"/>
          <w:szCs w:val="21"/>
          <w:color w:val="auto"/>
        </w:rPr>
        <w:t>Brian Rogers</w:t>
      </w:r>
    </w:p>
    <w:p>
      <w:pPr>
        <w:spacing w:after="0" w:line="234" w:lineRule="auto"/>
        <w:rPr>
          <w:sz w:val="20"/>
          <w:szCs w:val="20"/>
          <w:color w:val="auto"/>
        </w:rPr>
      </w:pPr>
      <w:r>
        <w:rPr>
          <w:rFonts w:ascii="Times New Roman" w:cs="Times New Roman" w:eastAsia="Times New Roman" w:hAnsi="Times New Roman"/>
          <w:sz w:val="21"/>
          <w:szCs w:val="21"/>
          <w:color w:val="auto"/>
        </w:rPr>
        <w:t>Mark Roszkowski</w:t>
      </w:r>
    </w:p>
    <w:p>
      <w:pPr>
        <w:spacing w:after="0" w:line="234" w:lineRule="auto"/>
        <w:rPr>
          <w:sz w:val="20"/>
          <w:szCs w:val="20"/>
          <w:color w:val="auto"/>
        </w:rPr>
      </w:pPr>
      <w:r>
        <w:rPr>
          <w:rFonts w:ascii="Times New Roman" w:cs="Times New Roman" w:eastAsia="Times New Roman" w:hAnsi="Times New Roman"/>
          <w:sz w:val="21"/>
          <w:szCs w:val="21"/>
          <w:color w:val="auto"/>
        </w:rPr>
        <w:t>Peter Scherr</w:t>
      </w:r>
    </w:p>
    <w:p>
      <w:pPr>
        <w:spacing w:after="0" w:line="234" w:lineRule="auto"/>
        <w:rPr>
          <w:sz w:val="20"/>
          <w:szCs w:val="20"/>
          <w:color w:val="auto"/>
        </w:rPr>
      </w:pPr>
      <w:r>
        <w:rPr>
          <w:rFonts w:ascii="Times New Roman" w:cs="Times New Roman" w:eastAsia="Times New Roman" w:hAnsi="Times New Roman"/>
          <w:sz w:val="21"/>
          <w:szCs w:val="21"/>
          <w:color w:val="auto"/>
        </w:rPr>
        <w:t>C. Denise Stott</w:t>
      </w:r>
    </w:p>
    <w:p>
      <w:pPr>
        <w:spacing w:after="0" w:line="234" w:lineRule="auto"/>
        <w:rPr>
          <w:sz w:val="20"/>
          <w:szCs w:val="20"/>
          <w:color w:val="auto"/>
        </w:rPr>
      </w:pPr>
      <w:r>
        <w:rPr>
          <w:rFonts w:ascii="Times New Roman" w:cs="Times New Roman" w:eastAsia="Times New Roman" w:hAnsi="Times New Roman"/>
          <w:sz w:val="21"/>
          <w:szCs w:val="21"/>
          <w:color w:val="auto"/>
        </w:rPr>
        <w:t>Jenny Watson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Mary Kay Wegner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1012190</wp:posOffset>
            </wp:positionV>
            <wp:extent cx="7153275"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0139"/>
          </w:cols>
          <w:pgMar w:left="320" w:top="762" w:right="1440"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APPENDIX 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Form of General Release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GENERAL RELEASE</w:t>
      </w:r>
    </w:p>
    <w:p>
      <w:pPr>
        <w:spacing w:after="0" w:line="200" w:lineRule="exact"/>
        <w:rPr>
          <w:sz w:val="20"/>
          <w:szCs w:val="20"/>
          <w:color w:val="auto"/>
        </w:rPr>
      </w:pPr>
    </w:p>
    <w:p>
      <w:pPr>
        <w:spacing w:after="0" w:line="238" w:lineRule="exact"/>
        <w:rPr>
          <w:sz w:val="20"/>
          <w:szCs w:val="20"/>
          <w:color w:val="auto"/>
        </w:rPr>
      </w:pPr>
    </w:p>
    <w:p>
      <w:pPr>
        <w:jc w:val="both"/>
        <w:ind w:firstLine="1729"/>
        <w:spacing w:after="0" w:line="245" w:lineRule="auto"/>
        <w:rPr>
          <w:sz w:val="20"/>
          <w:szCs w:val="20"/>
          <w:color w:val="auto"/>
        </w:rPr>
      </w:pPr>
      <w:r>
        <w:rPr>
          <w:rFonts w:ascii="Times New Roman" w:cs="Times New Roman" w:eastAsia="Times New Roman" w:hAnsi="Times New Roman"/>
          <w:sz w:val="19"/>
          <w:szCs w:val="19"/>
          <w:color w:val="auto"/>
        </w:rPr>
        <w:t>For valuable consideration, the receipt and adequacy of which are hereby acknowledged, the undersigned does hereby release and forever discharge the “</w:t>
      </w:r>
      <w:r>
        <w:rPr>
          <w:rFonts w:ascii="Times New Roman" w:cs="Times New Roman" w:eastAsia="Times New Roman" w:hAnsi="Times New Roman"/>
          <w:sz w:val="19"/>
          <w:szCs w:val="19"/>
          <w:b w:val="1"/>
          <w:bCs w:val="1"/>
          <w:i w:val="1"/>
          <w:iCs w:val="1"/>
          <w:color w:val="auto"/>
        </w:rPr>
        <w:t>Releasees</w:t>
      </w:r>
      <w:r>
        <w:rPr>
          <w:rFonts w:ascii="Times New Roman" w:cs="Times New Roman" w:eastAsia="Times New Roman" w:hAnsi="Times New Roman"/>
          <w:sz w:val="19"/>
          <w:szCs w:val="19"/>
          <w:color w:val="auto"/>
        </w:rPr>
        <w:t>” hereunder, consisting of the Company and each of its affiliates, including, without limitation, Left Gate Property Holding, LLC d/b/a Texas Direct Auto and AAGP, LLC d/b/a Vroom (collectively, “Affiliates”), and their respective predecessors, successors, subsidiaries, associates, affiliates, heirs, assigns, agents, officers, directors, managers, members, partners, equity holders, agents, representatives, vendors, employees, consultants, lawyers, insurers, advisors and all persons acting by, through, under or in concert with them, or any of them (collectively, the “</w:t>
      </w:r>
      <w:r>
        <w:rPr>
          <w:rFonts w:ascii="Times New Roman" w:cs="Times New Roman" w:eastAsia="Times New Roman" w:hAnsi="Times New Roman"/>
          <w:sz w:val="19"/>
          <w:szCs w:val="19"/>
          <w:u w:val="single" w:color="auto"/>
          <w:color w:val="auto"/>
        </w:rPr>
        <w:t>Releasees</w:t>
      </w:r>
      <w:r>
        <w:rPr>
          <w:rFonts w:ascii="Times New Roman" w:cs="Times New Roman" w:eastAsia="Times New Roman" w:hAnsi="Times New Roman"/>
          <w:sz w:val="19"/>
          <w:szCs w:val="19"/>
          <w:color w:val="auto"/>
        </w:rPr>
        <w:t>”), of and from any and all manner of action or actions, cause or causes of action, in law or in equity, suits, debts, liens, contracts, agreements, promises, liability, claims, demands, damages, losses, costs, attorneys’ fees or expenses, indemnities, and/or obligations, of any nature whatsoever, known or unknown, fixed or contingent (hereinafter called “</w:t>
      </w:r>
      <w:r>
        <w:rPr>
          <w:rFonts w:ascii="Times New Roman" w:cs="Times New Roman" w:eastAsia="Times New Roman" w:hAnsi="Times New Roman"/>
          <w:sz w:val="19"/>
          <w:szCs w:val="19"/>
          <w:b w:val="1"/>
          <w:bCs w:val="1"/>
          <w:i w:val="1"/>
          <w:iCs w:val="1"/>
          <w:color w:val="auto"/>
        </w:rPr>
        <w:t>Claims</w:t>
      </w:r>
      <w:r>
        <w:rPr>
          <w:rFonts w:ascii="Times New Roman" w:cs="Times New Roman" w:eastAsia="Times New Roman" w:hAnsi="Times New Roman"/>
          <w:sz w:val="19"/>
          <w:szCs w:val="19"/>
          <w:color w:val="auto"/>
        </w:rPr>
        <w:t>”), which the undersigned now has or may hereafter have against the Releasees, or any of them, by reason of any matter, cause, or thing whatsoever from the beginning of time to the date hereof. The Claims released herein include, without limiting the generality of the foregoing, any Claims in any way directly or indirectly arising out of, based upon, or related to the employment or termination of employment of the undersigned by the Releasees, or any of them; all such Claims related to salary, bonuses, commissions, equity or equity-based compensation (except as provided below), long-term incentive compensation, vacation pay, fringe benefits, expense reimbursements, severance pay, payment in lieu of notice, and/or any other form of compensation and any taxes with respect thereof; any alleged breach of any express or implied contract of employment; any alleged torts or other alleged legal restrictions on Releasees’ right to terminate the employment of the undersigned; and any alleged violation of any federal, state or local statute or ordinance including, without limitation, Title VII of the Civil Rights Act of 1964, the Civil Rights Act of 1991, the Age Discrimination in Employment Act, the Older Workers Benefit Protection Act, sections 1981 through 1988 of Title 42 of the United States Code, the Equal Pay Act, the Employee Retirement Income Security Act of 1974, as amended (“ERISA”), the Family and Medical Leave Act of 1993, the Immigration Reform and Control Act, the Americans with Disabilities Act of 1990, as amended, the Workers Adjustment and Retraining Notification Act, the Sarbanes-Oxley Act of 2002, the Occupational Safety and Health Act, the Consolidated Omnibus Budget Reconciliation Act of 1985, the Genetic Information Nondiscrimination Act of 2008, the Immigration Reform and Control Act, the anti-retaliation provisions of any federal or state statutes, any Claims arising under the Texas labor Code, including the Texas Payday Act, the Texas Anti-Retaliation Act, Chapter 21 of the Texas Labor Code, the Texas Whistleblower Act, each as amended, [the New York State Executive Law, the New York State Human Rights Law, the New York State Equal Rights Law, the New York State Labor Law, the New York Minimum Wage and Wage Payment Laws, the New York Whistleblower Law, the New York Legal Activities Law, the New York Worker Adjustment and Retraining Notification Act, the New York Civil Rights Law, the New York State Equal Pay Law, the New York Paid Family Leave Law, the New York City Human Rights Law, the New York City Administrative Code, the New York City Paid Sick Leave Act].</w:t>
      </w:r>
    </w:p>
    <w:p>
      <w:pPr>
        <w:spacing w:after="0" w:line="191" w:lineRule="exact"/>
        <w:rPr>
          <w:sz w:val="20"/>
          <w:szCs w:val="20"/>
          <w:color w:val="auto"/>
        </w:rPr>
      </w:pPr>
    </w:p>
    <w:p>
      <w:pPr>
        <w:jc w:val="both"/>
        <w:ind w:left="860" w:hanging="855"/>
        <w:spacing w:after="0" w:line="246" w:lineRule="auto"/>
        <w:tabs>
          <w:tab w:leader="none" w:pos="86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THE UNDERSIGNED ALSO AGREES THAT S/HE WILL NOT MAKE ANY STATEMENTS OR CLAIMS, INITIATE ANY PROCEEDINGS OR TAKE ANY ACTIONS EITHER DIRECTLY OR INDIRECTLY, OR THROUGH THIRD PARTIES, WHETHER ORALLY OR IN WRITING, WHICH DISPARAGE, DEMEAN, DETRACT, CRITICIZE OR OTHERWISE CAST THE COMPANY OR ANY OF ITS CURRENT OR FORMER DIRECTORS, INVESTORS, STOCKHOLDERS, OFFICERS, AGENTS, REPRESENTATIVES, EMPLOYEES OR AFFILIATES IN AN UNFAVORABLE LIGHT IN THE EYES OF ITS CURRENT OR PROSPECTIVE INVESTORS, CLIENTS, SUPPLIERS, EMPLOYEES, CONSULTANTS OR ANY OTHER PERSONS, OR WHICH COULD ADVERSELY AFFECT THE MORALE OF ANY EMPLOYEE OF THE COMPANY, OR WHICH INTERFERE WITH THE COMPANY’S CONTRACTUAL RELATIONSHIPS WITH ITS CUSTOMERS, SUPPLIERS, EMPLOYEES OR CONSULTANTS, OR WHICH OTHERWISE DISPARAGE OR DEFAME THE GOODWILL OR REPUTATION OF THE COMPANY OR ANY OF ITS CURRENT OR FORMER DIRECTORS, INVESTORS, STOCKHOLDERS, MANAGERS, OFFICERS, AGENTS, REPRESENTATIVES, EMPLOYEES OR AFFILIATES. HOWEVER, NOTHING PRECLUDES EITHER PARTY FROM</w:t>
      </w:r>
    </w:p>
    <w:p>
      <w:pPr>
        <w:spacing w:after="0" w:line="5" w:lineRule="exact"/>
        <w:rPr>
          <w:rFonts w:ascii="Times New Roman" w:cs="Times New Roman" w:eastAsia="Times New Roman" w:hAnsi="Times New Roman"/>
          <w:sz w:val="19"/>
          <w:szCs w:val="19"/>
          <w:color w:val="auto"/>
        </w:rPr>
      </w:pPr>
    </w:p>
    <w:p>
      <w:pPr>
        <w:jc w:val="both"/>
        <w:ind w:left="860" w:firstLine="8"/>
        <w:spacing w:after="0" w:line="250" w:lineRule="auto"/>
        <w:tabs>
          <w:tab w:leader="none" w:pos="1191" w:val="left"/>
        </w:tabs>
        <w:numPr>
          <w:ilvl w:val="1"/>
          <w:numId w:val="9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ENFORCING ITS RIGHTS PURSUANT TO THIS AGREEMENT, (II) PROVIDING ANY DISCLOSURE OF INFORMATION REQUIRED BY LAW, OR (III) FROM MAKING PRIVILEGED STATEMENTS TO SUCH PARTY’S ATTORNEY(S).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455930</wp:posOffset>
            </wp:positionV>
            <wp:extent cx="7153275"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64" w:name="page165"/>
    <w:bookmarkEnd w:id="164"/>
    <w:p>
      <w:pPr>
        <w:jc w:val="both"/>
        <w:ind w:firstLine="1729"/>
        <w:spacing w:after="0" w:line="251" w:lineRule="auto"/>
        <w:rPr>
          <w:sz w:val="20"/>
          <w:szCs w:val="20"/>
          <w:color w:val="auto"/>
        </w:rPr>
      </w:pPr>
      <w:r>
        <w:rPr>
          <w:rFonts w:ascii="Times New Roman" w:cs="Times New Roman" w:eastAsia="Times New Roman" w:hAnsi="Times New Roman"/>
          <w:sz w:val="19"/>
          <w:szCs w:val="19"/>
          <w:color w:val="auto"/>
        </w:rPr>
        <w:t>Notwithstanding the foregoing, this general release (the “</w:t>
      </w:r>
      <w:r>
        <w:rPr>
          <w:rFonts w:ascii="Times New Roman" w:cs="Times New Roman" w:eastAsia="Times New Roman" w:hAnsi="Times New Roman"/>
          <w:sz w:val="19"/>
          <w:szCs w:val="19"/>
          <w:b w:val="1"/>
          <w:bCs w:val="1"/>
          <w:i w:val="1"/>
          <w:iCs w:val="1"/>
          <w:color w:val="auto"/>
        </w:rPr>
        <w:t>Release</w:t>
      </w:r>
      <w:r>
        <w:rPr>
          <w:rFonts w:ascii="Times New Roman" w:cs="Times New Roman" w:eastAsia="Times New Roman" w:hAnsi="Times New Roman"/>
          <w:sz w:val="19"/>
          <w:szCs w:val="19"/>
          <w:color w:val="auto"/>
        </w:rPr>
        <w:t>”) shall not operate to release any rights or claims of the undersigned (i) to accrued or vested benefits the undersigned may have, if any, as of the date hereof under any applicable plan, policy, practice, program, contract or agreement with the Company, (ii) to any Claims, including claims for indemnification and/or advancement of expenses arising under any indemnification agreement between the undersigned and the Company or under the bylaws, certificate of incorporation or other similar governing document of the Company, (iii) to any Claims which cannot be waived by an employee under applicable law or (iv) with respect to the undersigned’s right to communicate directly with, cooperate with, or provide information to, any federal, state or local government regulator.</w:t>
      </w:r>
    </w:p>
    <w:p>
      <w:pPr>
        <w:spacing w:after="0" w:line="399" w:lineRule="exact"/>
        <w:rPr>
          <w:sz w:val="20"/>
          <w:szCs w:val="20"/>
          <w:color w:val="auto"/>
        </w:rPr>
      </w:pPr>
    </w:p>
    <w:p>
      <w:pPr>
        <w:jc w:val="both"/>
        <w:ind w:firstLine="1729"/>
        <w:spacing w:after="0" w:line="279" w:lineRule="auto"/>
        <w:rPr>
          <w:sz w:val="20"/>
          <w:szCs w:val="20"/>
          <w:color w:val="auto"/>
        </w:rPr>
      </w:pPr>
      <w:r>
        <w:rPr>
          <w:rFonts w:ascii="Times New Roman" w:cs="Times New Roman" w:eastAsia="Times New Roman" w:hAnsi="Times New Roman"/>
          <w:sz w:val="19"/>
          <w:szCs w:val="19"/>
          <w:color w:val="auto"/>
        </w:rPr>
        <w:t>[IN ACCORDANCE WITH THE OLDER WORKERS BENEFIT PROTECTION ACT OF 1990, THE UNDERSIGNED IS HEREBY ADVISED AS FOLLOWS:</w:t>
      </w:r>
    </w:p>
    <w:p>
      <w:pPr>
        <w:spacing w:after="0" w:line="146" w:lineRule="exact"/>
        <w:rPr>
          <w:sz w:val="20"/>
          <w:szCs w:val="20"/>
          <w:color w:val="auto"/>
        </w:rPr>
      </w:pPr>
    </w:p>
    <w:p>
      <w:pPr>
        <w:ind w:left="2500" w:hanging="900"/>
        <w:spacing w:after="0"/>
        <w:tabs>
          <w:tab w:leader="none" w:pos="250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EXECUTIVE HAS THE RIGHT TO CONSULT WITH AN ATTORNEY BEFORE SIGNING</w:t>
      </w:r>
    </w:p>
    <w:p>
      <w:pPr>
        <w:spacing w:after="0" w:line="25" w:lineRule="exact"/>
        <w:rPr>
          <w:rFonts w:ascii="Times New Roman" w:cs="Times New Roman" w:eastAsia="Times New Roman" w:hAnsi="Times New Roman"/>
          <w:sz w:val="19"/>
          <w:szCs w:val="19"/>
          <w:color w:val="auto"/>
        </w:rPr>
      </w:pPr>
    </w:p>
    <w:p>
      <w:pPr>
        <w:ind w:left="8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RELEASE;</w:t>
      </w:r>
    </w:p>
    <w:p>
      <w:pPr>
        <w:spacing w:after="0" w:line="191" w:lineRule="exact"/>
        <w:rPr>
          <w:rFonts w:ascii="Times New Roman" w:cs="Times New Roman" w:eastAsia="Times New Roman" w:hAnsi="Times New Roman"/>
          <w:sz w:val="19"/>
          <w:szCs w:val="19"/>
          <w:color w:val="auto"/>
        </w:rPr>
      </w:pPr>
    </w:p>
    <w:p>
      <w:pPr>
        <w:ind w:left="2480" w:hanging="880"/>
        <w:spacing w:after="0"/>
        <w:tabs>
          <w:tab w:leader="none" w:pos="248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EXECUTIVE HAS TWENTY-ONE (21) DAYS TO CONSIDER THIS RELEASE BEFORE</w:t>
      </w:r>
    </w:p>
    <w:p>
      <w:pPr>
        <w:spacing w:after="0" w:line="25" w:lineRule="exact"/>
        <w:rPr>
          <w:rFonts w:ascii="Times New Roman" w:cs="Times New Roman" w:eastAsia="Times New Roman" w:hAnsi="Times New Roman"/>
          <w:sz w:val="19"/>
          <w:szCs w:val="19"/>
          <w:color w:val="auto"/>
        </w:rPr>
      </w:pPr>
    </w:p>
    <w:p>
      <w:pPr>
        <w:ind w:left="8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SIGNING IT; AND</w:t>
      </w:r>
    </w:p>
    <w:p>
      <w:pPr>
        <w:spacing w:after="0" w:line="191" w:lineRule="exact"/>
        <w:rPr>
          <w:rFonts w:ascii="Times New Roman" w:cs="Times New Roman" w:eastAsia="Times New Roman" w:hAnsi="Times New Roman"/>
          <w:sz w:val="19"/>
          <w:szCs w:val="19"/>
          <w:color w:val="auto"/>
        </w:rPr>
      </w:pPr>
    </w:p>
    <w:p>
      <w:pPr>
        <w:jc w:val="both"/>
        <w:ind w:left="860" w:right="880" w:firstLine="740"/>
        <w:spacing w:after="0" w:line="262" w:lineRule="auto"/>
        <w:tabs>
          <w:tab w:leader="none" w:pos="2475"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EXECUTIVE HAS SEVEN (7) DAYS AFTER SIGNING THIS RELEASE TO REVOKE THIS RELEASE, AND THIS RELEASE WILL BECOME EFFECTIVE UPON THE EXPIRATION OF THAT REVOCATION PERIOD.]</w:t>
      </w:r>
    </w:p>
    <w:p>
      <w:pPr>
        <w:spacing w:after="0" w:line="161" w:lineRule="exact"/>
        <w:rPr>
          <w:sz w:val="20"/>
          <w:szCs w:val="20"/>
          <w:color w:val="auto"/>
        </w:rPr>
      </w:pPr>
    </w:p>
    <w:p>
      <w:pPr>
        <w:jc w:val="both"/>
        <w:ind w:firstLine="1729"/>
        <w:spacing w:after="0" w:line="253" w:lineRule="auto"/>
        <w:rPr>
          <w:sz w:val="20"/>
          <w:szCs w:val="20"/>
          <w:color w:val="auto"/>
        </w:rPr>
      </w:pPr>
      <w:r>
        <w:rPr>
          <w:rFonts w:ascii="Times New Roman" w:cs="Times New Roman" w:eastAsia="Times New Roman" w:hAnsi="Times New Roman"/>
          <w:sz w:val="19"/>
          <w:szCs w:val="19"/>
          <w:color w:val="auto"/>
        </w:rPr>
        <w:t>The undersigned represents and warrants that there has been no assignment or other transfer of any interest in any Claim which the Executive may have against Releasees, or any of them, and the undersigned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the undersigned under this indemnity.</w:t>
      </w:r>
    </w:p>
    <w:p>
      <w:pPr>
        <w:spacing w:after="0" w:line="170" w:lineRule="exact"/>
        <w:rPr>
          <w:sz w:val="20"/>
          <w:szCs w:val="20"/>
          <w:color w:val="auto"/>
        </w:rPr>
      </w:pPr>
    </w:p>
    <w:p>
      <w:pPr>
        <w:jc w:val="both"/>
        <w:ind w:firstLine="1729"/>
        <w:spacing w:after="0" w:line="256" w:lineRule="auto"/>
        <w:rPr>
          <w:sz w:val="20"/>
          <w:szCs w:val="20"/>
          <w:color w:val="auto"/>
        </w:rPr>
      </w:pPr>
      <w:r>
        <w:rPr>
          <w:rFonts w:ascii="Times New Roman" w:cs="Times New Roman" w:eastAsia="Times New Roman" w:hAnsi="Times New Roman"/>
          <w:sz w:val="19"/>
          <w:szCs w:val="19"/>
          <w:color w:val="auto"/>
        </w:rPr>
        <w:t>Notwithstanding anything herein, the undersigned acknowledges and agrees that, pursuant to 18 USC Section 1833(b), the undersigned will not be held criminally or civilly liable under any federal or state trade secret law for the disclosure of a trade secret that is made:</w:t>
      </w:r>
    </w:p>
    <w:p>
      <w:pPr>
        <w:spacing w:after="0" w:line="1" w:lineRule="exact"/>
        <w:rPr>
          <w:sz w:val="20"/>
          <w:szCs w:val="20"/>
          <w:color w:val="auto"/>
        </w:rPr>
      </w:pPr>
    </w:p>
    <w:p>
      <w:pPr>
        <w:jc w:val="both"/>
        <w:ind w:firstLine="5"/>
        <w:spacing w:after="0" w:line="250" w:lineRule="auto"/>
        <w:tabs>
          <w:tab w:leader="none" w:pos="254"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confidence to a federal, state, or local government official, either directly or indirectly, or to an attorney, and solely for the purpose of reporting or investigating a suspected violation of law; or (ii) in a complaint or other document filed in a lawsuit or other proceeding, if such filing is made under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7153275"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9">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65" w:name="page166"/>
    <w:bookmarkEnd w:id="165"/>
    <w:p>
      <w:pPr>
        <w:jc w:val="both"/>
        <w:ind w:firstLine="1729"/>
        <w:spacing w:after="0" w:line="255" w:lineRule="auto"/>
        <w:rPr>
          <w:sz w:val="20"/>
          <w:szCs w:val="20"/>
          <w:color w:val="auto"/>
        </w:rPr>
      </w:pPr>
      <w:r>
        <w:rPr>
          <w:rFonts w:ascii="Times New Roman" w:cs="Times New Roman" w:eastAsia="Times New Roman" w:hAnsi="Times New Roman"/>
          <w:sz w:val="19"/>
          <w:szCs w:val="19"/>
          <w:color w:val="auto"/>
        </w:rPr>
        <w:t>The undersigned agrees that if the Executive hereafter commences any suit arising out of, based upon, or relating to any of the Claims released hereunder or in any manner asserts against Releasees, or any of them, any of the Claims released hereunder, then the undersigned agrees to pay to Releasees, and each of them, in addition to any other damages caused to Releasees thereby, all attorneys’ fees incurred by Releasees in defending or otherwise responding to said suit or Claim.</w:t>
      </w:r>
    </w:p>
    <w:p>
      <w:pPr>
        <w:spacing w:after="0" w:line="170" w:lineRule="exact"/>
        <w:rPr>
          <w:sz w:val="20"/>
          <w:szCs w:val="20"/>
          <w:color w:val="auto"/>
        </w:rPr>
      </w:pPr>
    </w:p>
    <w:p>
      <w:pPr>
        <w:jc w:val="both"/>
        <w:ind w:firstLine="1729"/>
        <w:spacing w:after="0" w:line="262" w:lineRule="auto"/>
        <w:rPr>
          <w:sz w:val="20"/>
          <w:szCs w:val="20"/>
          <w:color w:val="auto"/>
        </w:rPr>
      </w:pPr>
      <w:r>
        <w:rPr>
          <w:rFonts w:ascii="Times New Roman" w:cs="Times New Roman" w:eastAsia="Times New Roman" w:hAnsi="Times New Roman"/>
          <w:sz w:val="19"/>
          <w:szCs w:val="19"/>
          <w:color w:val="auto"/>
        </w:rPr>
        <w:t>The undersigned further understands and agrees that neither the payment of any sum of money nor the execution of this Release shall constitute or be construed as an admission of any liability whatsoever by the Releasees, or any of them, who have consistently taken the position that they have no liability whatsoever to the undersigned.</w:t>
      </w:r>
    </w:p>
    <w:p>
      <w:pPr>
        <w:spacing w:after="0" w:line="16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9"/>
          <w:szCs w:val="19"/>
          <w:color w:val="auto"/>
        </w:rPr>
        <w:t>IN WITNESS WHEREOF, the undersigned has executed this Release this ____ day of ___________,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407670</wp:posOffset>
            </wp:positionV>
            <wp:extent cx="23742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6" w:name="page167"/>
    <w:bookmarkEnd w:id="166"/>
    <w:p>
      <w:pPr>
        <w:jc w:val="right"/>
        <w:ind w:right="179"/>
        <w:spacing w:after="0"/>
        <w:rPr>
          <w:sz w:val="20"/>
          <w:szCs w:val="20"/>
          <w:color w:val="auto"/>
        </w:rPr>
      </w:pPr>
      <w:r>
        <w:rPr>
          <w:rFonts w:ascii="Times New Roman" w:cs="Times New Roman" w:eastAsia="Times New Roman" w:hAnsi="Times New Roman"/>
          <w:sz w:val="19"/>
          <w:szCs w:val="19"/>
          <w:b w:val="1"/>
          <w:bCs w:val="1"/>
          <w:color w:val="auto"/>
        </w:rPr>
        <w:t>Exhibit 10.14</w:t>
      </w:r>
    </w:p>
    <w:p>
      <w:pPr>
        <w:spacing w:after="0" w:line="385"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19"/>
          <w:szCs w:val="19"/>
          <w:b w:val="1"/>
          <w:bCs w:val="1"/>
          <w:u w:val="single" w:color="auto"/>
          <w:color w:val="auto"/>
        </w:rPr>
        <w:t>AMENDMENT TO LEASE AGREEMENT</w:t>
      </w:r>
    </w:p>
    <w:p>
      <w:pPr>
        <w:spacing w:after="0" w:line="228" w:lineRule="exact"/>
        <w:rPr>
          <w:sz w:val="20"/>
          <w:szCs w:val="20"/>
          <w:color w:val="auto"/>
        </w:rPr>
      </w:pPr>
    </w:p>
    <w:p>
      <w:pPr>
        <w:jc w:val="both"/>
        <w:ind w:left="24" w:right="459" w:firstLine="632"/>
        <w:spacing w:after="0" w:line="262" w:lineRule="auto"/>
        <w:rPr>
          <w:sz w:val="20"/>
          <w:szCs w:val="20"/>
          <w:color w:val="auto"/>
        </w:rPr>
      </w:pPr>
      <w:r>
        <w:rPr>
          <w:rFonts w:ascii="Times New Roman" w:cs="Times New Roman" w:eastAsia="Times New Roman" w:hAnsi="Times New Roman"/>
          <w:sz w:val="19"/>
          <w:szCs w:val="19"/>
          <w:color w:val="auto"/>
        </w:rPr>
        <w:t>THIS AMENDMENT TO LEASE AGREEMENT (hereinafter called the "Amendment") is made and entered into effective as of January 3, 2019, by and between Beechnut FEC LLC ("Lessor"), and Vroom, Inc. (hereinafter called "Lessee").</w:t>
      </w:r>
    </w:p>
    <w:p>
      <w:pPr>
        <w:spacing w:after="0" w:line="174" w:lineRule="exact"/>
        <w:rPr>
          <w:sz w:val="20"/>
          <w:szCs w:val="20"/>
          <w:color w:val="auto"/>
        </w:rPr>
      </w:pPr>
    </w:p>
    <w:p>
      <w:pPr>
        <w:jc w:val="both"/>
        <w:ind w:left="24" w:right="459" w:firstLine="642"/>
        <w:spacing w:after="0" w:line="256" w:lineRule="auto"/>
        <w:rPr>
          <w:sz w:val="20"/>
          <w:szCs w:val="20"/>
          <w:color w:val="auto"/>
        </w:rPr>
      </w:pPr>
      <w:r>
        <w:rPr>
          <w:rFonts w:ascii="Times New Roman" w:cs="Times New Roman" w:eastAsia="Times New Roman" w:hAnsi="Times New Roman"/>
          <w:sz w:val="19"/>
          <w:szCs w:val="19"/>
          <w:color w:val="auto"/>
        </w:rPr>
        <w:t>WHEREAS Lessor and Left Gate Property Holding, Inc. d/b/a Texas Direct Auto entered into that certain Lease Agreement, dated May 21, 2011 (the "Lease") for the lease of certain properties whose addresses are: (i) 12002 Southwest Freeway, Stafford, Texas; (ii) l 1000 Dorrance Lane, Meadows Place, Texas 77477; and (iii) I 1000 Dorrance Lance, Meadows Place, Texas, (all three tracts collectively called the "Leased Premises" in the Lease);</w:t>
      </w:r>
    </w:p>
    <w:p>
      <w:pPr>
        <w:spacing w:after="0" w:line="180" w:lineRule="exact"/>
        <w:rPr>
          <w:sz w:val="20"/>
          <w:szCs w:val="20"/>
          <w:color w:val="auto"/>
        </w:rPr>
      </w:pPr>
    </w:p>
    <w:p>
      <w:pPr>
        <w:jc w:val="both"/>
        <w:ind w:left="24" w:right="459" w:firstLine="636"/>
        <w:spacing w:after="0" w:line="279" w:lineRule="auto"/>
        <w:rPr>
          <w:sz w:val="20"/>
          <w:szCs w:val="20"/>
          <w:color w:val="auto"/>
        </w:rPr>
      </w:pPr>
      <w:r>
        <w:rPr>
          <w:rFonts w:ascii="Times New Roman" w:cs="Times New Roman" w:eastAsia="Times New Roman" w:hAnsi="Times New Roman"/>
          <w:sz w:val="19"/>
          <w:szCs w:val="19"/>
          <w:color w:val="auto"/>
        </w:rPr>
        <w:t>WHEREAS the Lessee has succeeded to all of the rights of Left Gate Property Holding, Inc. d/b/a Texas Direct Auto under the lease;</w:t>
      </w:r>
    </w:p>
    <w:p>
      <w:pPr>
        <w:spacing w:after="0" w:line="159" w:lineRule="exact"/>
        <w:rPr>
          <w:sz w:val="20"/>
          <w:szCs w:val="20"/>
          <w:color w:val="auto"/>
        </w:rPr>
      </w:pPr>
    </w:p>
    <w:p>
      <w:pPr>
        <w:ind w:left="784"/>
        <w:spacing w:after="0"/>
        <w:rPr>
          <w:sz w:val="20"/>
          <w:szCs w:val="20"/>
          <w:color w:val="auto"/>
        </w:rPr>
      </w:pPr>
      <w:r>
        <w:rPr>
          <w:rFonts w:ascii="Times New Roman" w:cs="Times New Roman" w:eastAsia="Times New Roman" w:hAnsi="Times New Roman"/>
          <w:sz w:val="19"/>
          <w:szCs w:val="19"/>
          <w:color w:val="auto"/>
        </w:rPr>
        <w:t>AND WHEREAS Lessor and Lessee desire to further amend the Lease.</w:t>
      </w:r>
    </w:p>
    <w:p>
      <w:pPr>
        <w:spacing w:after="0" w:line="226" w:lineRule="exact"/>
        <w:rPr>
          <w:sz w:val="20"/>
          <w:szCs w:val="20"/>
          <w:color w:val="auto"/>
        </w:rPr>
      </w:pPr>
    </w:p>
    <w:p>
      <w:pPr>
        <w:jc w:val="both"/>
        <w:ind w:left="24" w:right="459" w:firstLine="635"/>
        <w:spacing w:after="0" w:line="279" w:lineRule="auto"/>
        <w:rPr>
          <w:sz w:val="20"/>
          <w:szCs w:val="20"/>
          <w:color w:val="auto"/>
        </w:rPr>
      </w:pPr>
      <w:r>
        <w:rPr>
          <w:rFonts w:ascii="Times New Roman" w:cs="Times New Roman" w:eastAsia="Times New Roman" w:hAnsi="Times New Roman"/>
          <w:sz w:val="19"/>
          <w:szCs w:val="19"/>
          <w:color w:val="auto"/>
        </w:rPr>
        <w:t>NOW, THEREFORE, in consideration of the foregoing, and for other good and valuable consideration, the receipt and sufficiency of which are acknowledged, the parties hereby amend the Lease as follows:</w:t>
      </w:r>
    </w:p>
    <w:p>
      <w:pPr>
        <w:spacing w:after="0" w:line="2" w:lineRule="exact"/>
        <w:rPr>
          <w:sz w:val="20"/>
          <w:szCs w:val="20"/>
          <w:color w:val="auto"/>
        </w:rPr>
      </w:pPr>
    </w:p>
    <w:p>
      <w:pPr>
        <w:jc w:val="both"/>
        <w:ind w:left="684" w:right="439" w:hanging="551"/>
        <w:spacing w:after="0" w:line="251" w:lineRule="auto"/>
        <w:tabs>
          <w:tab w:leader="none" w:pos="664" w:val="left"/>
        </w:tabs>
        <w:rPr>
          <w:sz w:val="20"/>
          <w:szCs w:val="20"/>
          <w:color w:val="auto"/>
        </w:rPr>
      </w:pPr>
      <w:r>
        <w:rPr>
          <w:rFonts w:ascii="Times New Roman" w:cs="Times New Roman" w:eastAsia="Times New Roman" w:hAnsi="Times New Roman"/>
          <w:sz w:val="19"/>
          <w:szCs w:val="19"/>
          <w:color w:val="auto"/>
        </w:rPr>
        <w:t>1 .</w:t>
        <w:tab/>
        <w:t>The primary term of the Lease is hereby extended for an additional period of twenty-nine (29) months at the same base rent of Sixty-Five Thousand and No/100 ($65,000.00) per month. Accordingly, Section 1.0l of the Lease is hereby amended to substitute: "one hundred twenty-seven (127)" in place of "ninety-eight (98)" appearing in the first line of Section 1.01. Section 3.01 of the Lease is hereby amended to substitute: "one hundred twenty-five (125)" in place of "Ninety-Six (96)" appearing in the 3</w:t>
      </w:r>
      <w:r>
        <w:rPr>
          <w:rFonts w:ascii="Times New Roman" w:cs="Times New Roman" w:eastAsia="Times New Roman" w:hAnsi="Times New Roman"/>
          <w:sz w:val="16"/>
          <w:szCs w:val="16"/>
          <w:color w:val="auto"/>
        </w:rPr>
        <w:t>rd</w:t>
      </w:r>
      <w:r>
        <w:rPr>
          <w:rFonts w:ascii="Times New Roman" w:cs="Times New Roman" w:eastAsia="Times New Roman" w:hAnsi="Times New Roman"/>
          <w:sz w:val="19"/>
          <w:szCs w:val="19"/>
          <w:color w:val="auto"/>
        </w:rPr>
        <w:t xml:space="preserve"> and 4</w:t>
      </w:r>
      <w:r>
        <w:rPr>
          <w:rFonts w:ascii="Times New Roman" w:cs="Times New Roman" w:eastAsia="Times New Roman" w:hAnsi="Times New Roman"/>
          <w:sz w:val="16"/>
          <w:szCs w:val="16"/>
          <w:color w:val="auto"/>
        </w:rPr>
        <w:t>th</w:t>
      </w:r>
      <w:r>
        <w:rPr>
          <w:rFonts w:ascii="Times New Roman" w:cs="Times New Roman" w:eastAsia="Times New Roman" w:hAnsi="Times New Roman"/>
          <w:sz w:val="19"/>
          <w:szCs w:val="19"/>
          <w:color w:val="auto"/>
        </w:rPr>
        <w:t xml:space="preserve"> line of Section 3.01; and "one hundred twenty-four (124)" in place of "ninety-five (95)" appearing in the last line of Section 3.01.</w:t>
      </w:r>
    </w:p>
    <w:p>
      <w:pPr>
        <w:spacing w:after="0" w:line="55" w:lineRule="exact"/>
        <w:rPr>
          <w:sz w:val="20"/>
          <w:szCs w:val="20"/>
          <w:color w:val="auto"/>
        </w:rPr>
      </w:pPr>
    </w:p>
    <w:p>
      <w:pPr>
        <w:jc w:val="both"/>
        <w:ind w:left="764" w:right="459" w:hanging="751"/>
        <w:spacing w:after="0" w:line="256" w:lineRule="auto"/>
        <w:tabs>
          <w:tab w:leader="none" w:pos="764" w:val="left"/>
        </w:tabs>
        <w:numPr>
          <w:ilvl w:val="1"/>
          <w:numId w:val="95"/>
        </w:numPr>
        <w:rPr>
          <w:rFonts w:ascii="Times New Roman" w:cs="Times New Roman" w:eastAsia="Times New Roman" w:hAnsi="Times New Roman"/>
          <w:sz w:val="17"/>
          <w:szCs w:val="17"/>
          <w:color w:val="383838"/>
        </w:rPr>
      </w:pPr>
      <w:r>
        <w:rPr>
          <w:rFonts w:ascii="Times New Roman" w:cs="Times New Roman" w:eastAsia="Times New Roman" w:hAnsi="Times New Roman"/>
          <w:sz w:val="19"/>
          <w:szCs w:val="19"/>
          <w:color w:val="auto"/>
        </w:rPr>
        <w:t>The Lessee shall not have any option to renew the Lease. Accordingly, Article 4 of the Lease shall be deemed to have been intentionally deleted from the Lease. Likewise, the Lessee shall not have any right of first refusal to purchase the Leased Premises or any option to purchase the Leased Premises. Accordingly, Article 25 of the Lease shall be deemed to have been intentionally deleted from the Lease.</w:t>
      </w:r>
    </w:p>
    <w:p>
      <w:pPr>
        <w:spacing w:after="0" w:line="22" w:lineRule="exact"/>
        <w:rPr>
          <w:rFonts w:ascii="Times New Roman" w:cs="Times New Roman" w:eastAsia="Times New Roman" w:hAnsi="Times New Roman"/>
          <w:sz w:val="17"/>
          <w:szCs w:val="17"/>
          <w:color w:val="383838"/>
        </w:rPr>
      </w:pPr>
    </w:p>
    <w:p>
      <w:pPr>
        <w:jc w:val="both"/>
        <w:ind w:left="744" w:right="459" w:hanging="744"/>
        <w:spacing w:after="0" w:line="256" w:lineRule="auto"/>
        <w:tabs>
          <w:tab w:leader="none" w:pos="744" w:val="left"/>
        </w:tabs>
        <w:numPr>
          <w:ilvl w:val="0"/>
          <w:numId w:val="96"/>
        </w:numPr>
        <w:rPr>
          <w:rFonts w:ascii="Times New Roman" w:cs="Times New Roman" w:eastAsia="Times New Roman" w:hAnsi="Times New Roman"/>
          <w:sz w:val="17"/>
          <w:szCs w:val="17"/>
          <w:color w:val="383838"/>
        </w:rPr>
      </w:pPr>
      <w:r>
        <w:rPr>
          <w:rFonts w:ascii="Times New Roman" w:cs="Times New Roman" w:eastAsia="Times New Roman" w:hAnsi="Times New Roman"/>
          <w:sz w:val="19"/>
          <w:szCs w:val="19"/>
          <w:color w:val="auto"/>
        </w:rPr>
        <w:t>The Lessee shall solely be responsible to pay any and all broker fee or commission, if any, payable to any broker in connection with the twenty-nine (29) month extension of the term of the Lease and agrees to indemnify and hold Lessor harmless from and against any and all claims, obligations, liabilities or causes of action that arise because of any failure to pay any such brokerage fee or commission.</w:t>
      </w:r>
    </w:p>
    <w:p>
      <w:pPr>
        <w:spacing w:after="0" w:line="179" w:lineRule="exact"/>
        <w:rPr>
          <w:rFonts w:ascii="Times New Roman" w:cs="Times New Roman" w:eastAsia="Times New Roman" w:hAnsi="Times New Roman"/>
          <w:sz w:val="17"/>
          <w:szCs w:val="17"/>
          <w:color w:val="383838"/>
        </w:rPr>
      </w:pPr>
    </w:p>
    <w:p>
      <w:pPr>
        <w:jc w:val="both"/>
        <w:ind w:left="724" w:right="459" w:hanging="724"/>
        <w:spacing w:after="0" w:line="250" w:lineRule="auto"/>
        <w:tabs>
          <w:tab w:leader="none" w:pos="724" w:val="left"/>
        </w:tabs>
        <w:numPr>
          <w:ilvl w:val="0"/>
          <w:numId w:val="96"/>
        </w:numPr>
        <w:rPr>
          <w:rFonts w:ascii="Times New Roman" w:cs="Times New Roman" w:eastAsia="Times New Roman" w:hAnsi="Times New Roman"/>
          <w:sz w:val="17"/>
          <w:szCs w:val="17"/>
          <w:color w:val="383838"/>
        </w:rPr>
      </w:pPr>
      <w:r>
        <w:rPr>
          <w:rFonts w:ascii="Times New Roman" w:cs="Times New Roman" w:eastAsia="Times New Roman" w:hAnsi="Times New Roman"/>
          <w:sz w:val="19"/>
          <w:szCs w:val="19"/>
          <w:color w:val="auto"/>
        </w:rPr>
        <w:t>The Lessee acknowledges that Lessor will require the financial statements of the Lessee in connection with refinancing of the loan that is secured by the Leased Premises. To that end, the Lessee agrees that upon request of Lessor, which request shall not be made more than once during the extended term of the Lease, the Lessee shall promptly furnish to Lessor its financial statements (including a balance sheet and income and expense statement), provided however, that prior to delivery of the financial statements, the Lessor and Lessee shall enter into a confidentiality and non-disclosure agreement in such form as is satisfactory to the Lessee, whereby Lessor shall agree to keep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57785</wp:posOffset>
            </wp:positionV>
            <wp:extent cx="7153275"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0004"/>
          </w:cols>
          <w:pgMar w:left="456" w:top="114" w:right="1440" w:bottom="1440" w:gutter="0" w:footer="0" w:header="0"/>
        </w:sectPr>
      </w:pPr>
    </w:p>
    <w:bookmarkStart w:id="167" w:name="page168"/>
    <w:bookmarkEnd w:id="167"/>
    <w:p>
      <w:pPr>
        <w:ind w:left="840" w:right="459"/>
        <w:spacing w:after="0" w:line="279" w:lineRule="auto"/>
        <w:rPr>
          <w:sz w:val="20"/>
          <w:szCs w:val="20"/>
          <w:color w:val="auto"/>
        </w:rPr>
      </w:pPr>
      <w:r>
        <w:rPr>
          <w:rFonts w:ascii="Times New Roman" w:cs="Times New Roman" w:eastAsia="Times New Roman" w:hAnsi="Times New Roman"/>
          <w:sz w:val="19"/>
          <w:szCs w:val="19"/>
          <w:color w:val="auto"/>
        </w:rPr>
        <w:t>financial information confidential and not to disclose same except to Lessor's lender, accountants and attorneys (after such lender or other individuals have signed appropriate confidential and non-disclosure agreements).</w:t>
      </w:r>
    </w:p>
    <w:p>
      <w:pPr>
        <w:spacing w:after="0" w:line="28" w:lineRule="exact"/>
        <w:rPr>
          <w:sz w:val="20"/>
          <w:szCs w:val="20"/>
          <w:color w:val="auto"/>
        </w:rPr>
      </w:pPr>
    </w:p>
    <w:p>
      <w:pPr>
        <w:jc w:val="both"/>
        <w:ind w:left="860" w:right="459" w:hanging="744"/>
        <w:spacing w:after="0" w:line="248" w:lineRule="auto"/>
        <w:tabs>
          <w:tab w:leader="none" w:pos="860" w:val="left"/>
        </w:tabs>
        <w:numPr>
          <w:ilvl w:val="2"/>
          <w:numId w:val="97"/>
        </w:numPr>
        <w:rPr>
          <w:rFonts w:ascii="Times New Roman" w:cs="Times New Roman" w:eastAsia="Times New Roman" w:hAnsi="Times New Roman"/>
          <w:sz w:val="17"/>
          <w:szCs w:val="17"/>
          <w:color w:val="383838"/>
        </w:rPr>
      </w:pPr>
      <w:r>
        <w:rPr>
          <w:rFonts w:ascii="Times New Roman" w:cs="Times New Roman" w:eastAsia="Times New Roman" w:hAnsi="Times New Roman"/>
          <w:sz w:val="19"/>
          <w:szCs w:val="19"/>
          <w:color w:val="auto"/>
        </w:rPr>
        <w:t>The Lease (as modified by this Amendment including the extension of the primary term) and all obligations of Lessee's as contained in the Lease (as modified by this Amendment) are specifically conditioned upon Lessee's ability to obtain all city, county and/or state permits and other required approvals from any governmental or municipal authorities as necessary to use and operate the Leased Premises for the permitted use for the entire term (as extended under this Amendment) including obtaining any required extensions and/or renewals of the Special Use Permit pursuant to that certain Development Agreement between the City of Meadows Place, Texas and Lessee's predecessor-in-interest. This Amendment shall in no way waive, limit or restrict Lessee's rights under the Lease in the event Lessee is unable to operate (or obtain all required permits and approvals required to operate) in the Leased Premises (including without limitation Lessee's right to terminate the Lease (and this Amendment) as set forth in Section 7.07 and Section 19.01 of the Lease).</w:t>
      </w:r>
    </w:p>
    <w:p>
      <w:pPr>
        <w:spacing w:after="0" w:line="58" w:lineRule="exact"/>
        <w:rPr>
          <w:rFonts w:ascii="Times New Roman" w:cs="Times New Roman" w:eastAsia="Times New Roman" w:hAnsi="Times New Roman"/>
          <w:sz w:val="17"/>
          <w:szCs w:val="17"/>
          <w:color w:val="383838"/>
        </w:rPr>
      </w:pPr>
    </w:p>
    <w:p>
      <w:pPr>
        <w:jc w:val="both"/>
        <w:ind w:left="840" w:right="499" w:hanging="738"/>
        <w:spacing w:after="0" w:line="256" w:lineRule="auto"/>
        <w:tabs>
          <w:tab w:leader="none" w:pos="840" w:val="left"/>
        </w:tabs>
        <w:numPr>
          <w:ilvl w:val="1"/>
          <w:numId w:val="98"/>
        </w:numPr>
        <w:rPr>
          <w:rFonts w:ascii="Times New Roman" w:cs="Times New Roman" w:eastAsia="Times New Roman" w:hAnsi="Times New Roman"/>
          <w:sz w:val="17"/>
          <w:szCs w:val="17"/>
          <w:color w:val="383838"/>
        </w:rPr>
      </w:pPr>
      <w:r>
        <w:rPr>
          <w:rFonts w:ascii="Times New Roman" w:cs="Times New Roman" w:eastAsia="Times New Roman" w:hAnsi="Times New Roman"/>
          <w:sz w:val="19"/>
          <w:szCs w:val="19"/>
          <w:color w:val="auto"/>
        </w:rPr>
        <w:t>The Lease (as modified by this Amendment including the extension of the primary term) and all obligations of Lessee's as contained in the Lease (as modified by this Amendment) are further conditioned upon Lessee's ability to obtain a lease amendment from the adjacent tract owner Sohani Heritage Trust extending the term of Lessee's lease of such adjacent tract.</w:t>
      </w:r>
    </w:p>
    <w:p>
      <w:pPr>
        <w:spacing w:after="0" w:line="49" w:lineRule="exact"/>
        <w:rPr>
          <w:rFonts w:ascii="Times New Roman" w:cs="Times New Roman" w:eastAsia="Times New Roman" w:hAnsi="Times New Roman"/>
          <w:sz w:val="17"/>
          <w:szCs w:val="17"/>
          <w:color w:val="383838"/>
        </w:rPr>
      </w:pPr>
    </w:p>
    <w:p>
      <w:pPr>
        <w:jc w:val="both"/>
        <w:ind w:left="840" w:right="479" w:hanging="738"/>
        <w:spacing w:after="0" w:line="262" w:lineRule="auto"/>
        <w:tabs>
          <w:tab w:leader="none" w:pos="840" w:val="left"/>
        </w:tabs>
        <w:numPr>
          <w:ilvl w:val="1"/>
          <w:numId w:val="98"/>
        </w:numPr>
        <w:rPr>
          <w:rFonts w:ascii="Times New Roman" w:cs="Times New Roman" w:eastAsia="Times New Roman" w:hAnsi="Times New Roman"/>
          <w:sz w:val="17"/>
          <w:szCs w:val="17"/>
          <w:color w:val="383838"/>
        </w:rPr>
      </w:pPr>
      <w:r>
        <w:rPr>
          <w:rFonts w:ascii="Times New Roman" w:cs="Times New Roman" w:eastAsia="Times New Roman" w:hAnsi="Times New Roman"/>
          <w:sz w:val="19"/>
          <w:szCs w:val="19"/>
          <w:color w:val="auto"/>
        </w:rPr>
        <w:t>The parties hereby further agree and acknowledge that Lessee shall not be obligated to pay or deposit any additional security deposit in connection with this Amendment or the extension of the primary term as set forth herein.</w:t>
      </w:r>
    </w:p>
    <w:p>
      <w:pPr>
        <w:spacing w:after="0" w:line="43" w:lineRule="exact"/>
        <w:rPr>
          <w:rFonts w:ascii="Times New Roman" w:cs="Times New Roman" w:eastAsia="Times New Roman" w:hAnsi="Times New Roman"/>
          <w:sz w:val="17"/>
          <w:szCs w:val="17"/>
          <w:color w:val="383838"/>
        </w:rPr>
      </w:pPr>
    </w:p>
    <w:p>
      <w:pPr>
        <w:ind w:left="840" w:hanging="751"/>
        <w:spacing w:after="0"/>
        <w:tabs>
          <w:tab w:leader="none" w:pos="840" w:val="left"/>
        </w:tabs>
        <w:numPr>
          <w:ilvl w:val="0"/>
          <w:numId w:val="99"/>
        </w:numPr>
        <w:rPr>
          <w:rFonts w:ascii="Times New Roman" w:cs="Times New Roman" w:eastAsia="Times New Roman" w:hAnsi="Times New Roman"/>
          <w:sz w:val="17"/>
          <w:szCs w:val="17"/>
          <w:color w:val="383838"/>
        </w:rPr>
      </w:pPr>
      <w:r>
        <w:rPr>
          <w:rFonts w:ascii="Times New Roman" w:cs="Times New Roman" w:eastAsia="Times New Roman" w:hAnsi="Times New Roman"/>
          <w:sz w:val="19"/>
          <w:szCs w:val="19"/>
          <w:color w:val="auto"/>
        </w:rPr>
        <w:t>All of the terms of the Lease shall remain in full force and effect except as amended hereby.</w:t>
      </w:r>
    </w:p>
    <w:p>
      <w:pPr>
        <w:spacing w:after="0" w:line="108" w:lineRule="exact"/>
        <w:rPr>
          <w:rFonts w:ascii="Times New Roman" w:cs="Times New Roman" w:eastAsia="Times New Roman" w:hAnsi="Times New Roman"/>
          <w:sz w:val="17"/>
          <w:szCs w:val="17"/>
          <w:color w:val="383838"/>
        </w:rPr>
      </w:pPr>
    </w:p>
    <w:p>
      <w:pPr>
        <w:jc w:val="both"/>
        <w:ind w:left="840" w:right="479" w:hanging="751"/>
        <w:spacing w:after="0" w:line="256" w:lineRule="auto"/>
        <w:tabs>
          <w:tab w:leader="none" w:pos="840" w:val="left"/>
        </w:tabs>
        <w:numPr>
          <w:ilvl w:val="0"/>
          <w:numId w:val="99"/>
        </w:numPr>
        <w:rPr>
          <w:rFonts w:ascii="Times New Roman" w:cs="Times New Roman" w:eastAsia="Times New Roman" w:hAnsi="Times New Roman"/>
          <w:sz w:val="17"/>
          <w:szCs w:val="17"/>
          <w:color w:val="383838"/>
        </w:rPr>
      </w:pPr>
      <w:r>
        <w:rPr>
          <w:rFonts w:ascii="Times New Roman" w:cs="Times New Roman" w:eastAsia="Times New Roman" w:hAnsi="Times New Roman"/>
          <w:sz w:val="19"/>
          <w:szCs w:val="19"/>
          <w:color w:val="auto"/>
        </w:rPr>
        <w:t>This Amendment shall be binding upon the parties and their respective successors and assigns. This Amendment may be executed in multiple originals or counterparts, each of which shall be deemed to be an original but all of which shall constitute one and the same document. A copy or facsimile of this Amendment shall have the same force and effect as that of an original.</w:t>
      </w:r>
    </w:p>
    <w:p>
      <w:pPr>
        <w:sectPr>
          <w:pgSz w:w="11900" w:h="16838" w:orient="portrait"/>
          <w:cols w:equalWidth="0" w:num="1">
            <w:col w:w="10119"/>
          </w:cols>
          <w:pgMar w:left="3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Amendment as of the date first written</w:t>
      </w:r>
    </w:p>
    <w:p>
      <w:pPr>
        <w:spacing w:after="0" w:line="2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Lessor:</w:t>
      </w:r>
    </w:p>
    <w:p>
      <w:pPr>
        <w:spacing w:after="0" w:line="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BEECHNUT FEC, LLC</w:t>
      </w:r>
    </w:p>
    <w:p>
      <w:pPr>
        <w:spacing w:after="0" w:line="2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Asma Khan</w:t>
      </w:r>
    </w:p>
    <w:p>
      <w:pPr>
        <w:spacing w:after="0" w:line="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Name: Asma Khan</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Title: President</w:t>
      </w:r>
    </w:p>
    <w:p>
      <w:pPr>
        <w:spacing w:after="0" w:line="2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Lessee:</w:t>
      </w:r>
    </w:p>
    <w:p>
      <w:pPr>
        <w:spacing w:after="0" w:line="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VROOM, INC.</w:t>
      </w:r>
    </w:p>
    <w:p>
      <w:pPr>
        <w:spacing w:after="0" w:line="2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u w:val="single" w:color="auto"/>
          <w:color w:val="auto"/>
        </w:rPr>
        <w:t>/s/ C. Denise Stott</w:t>
      </w:r>
    </w:p>
    <w:p>
      <w:pPr>
        <w:spacing w:after="0" w:line="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C. Denise Stott</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SVP, People &amp; Culture</w:t>
      </w:r>
    </w:p>
    <w:p>
      <w:pPr>
        <w:sectPr>
          <w:pgSz w:w="11900" w:h="16838" w:orient="portrait"/>
          <w:cols w:equalWidth="0" w:num="2">
            <w:col w:w="600" w:space="720"/>
            <w:col w:w="8799"/>
          </w:cols>
          <w:pgMar w:left="340" w:top="118" w:right="1440" w:bottom="1440" w:gutter="0" w:footer="0" w:header="0"/>
          <w:type w:val="continuous"/>
        </w:sectPr>
      </w:pPr>
    </w:p>
    <w:bookmarkStart w:id="168" w:name="page169"/>
    <w:bookmarkEnd w:id="168"/>
    <w:p>
      <w:pPr>
        <w:jc w:val="right"/>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THIRD AMENDMENT TO LEASE AGREEEMENT</w:t>
      </w:r>
    </w:p>
    <w:p>
      <w:pPr>
        <w:spacing w:after="0" w:line="234"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1"/>
          <w:szCs w:val="21"/>
          <w:color w:val="auto"/>
        </w:rPr>
        <w:t xml:space="preserve">This THIRD AMENDMENT TO LEASE AGREEEMENT (the “Third Amendment”) is made and entered into effective as of February 2, 2021, by and between Beechnut FEC LLC ("Lessor") and Left Gate Property Holding, LLC d/b/a Texas Direct Auto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"Lessee").</w:t>
      </w:r>
    </w:p>
    <w:p>
      <w:pPr>
        <w:spacing w:after="0" w:line="18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b w:val="1"/>
          <w:bCs w:val="1"/>
          <w:u w:val="single" w:color="auto"/>
          <w:color w:val="auto"/>
        </w:rPr>
        <w:t>WITNESSETH:</w:t>
      </w:r>
    </w:p>
    <w:p>
      <w:pPr>
        <w:spacing w:after="0" w:line="230"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Lessor and Lessee entered into that certain Lease Agreement dated May 21, 2011 (the “Original Lease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covering those premises (the “Premises”) commonly known as (i) 12002 Southwest Freeway, Stafford, Texas, (ii) 11000 Dorrence Lane, Meadows Place, TX and (iii) 11000 Dorrence Lance, Meadows Place, TX , as more particularly described in the Lease.</w:t>
      </w:r>
    </w:p>
    <w:p>
      <w:pPr>
        <w:spacing w:after="0" w:line="181" w:lineRule="exact"/>
        <w:rPr>
          <w:sz w:val="20"/>
          <w:szCs w:val="20"/>
          <w:color w:val="auto"/>
        </w:rPr>
      </w:pPr>
    </w:p>
    <w:p>
      <w:pPr>
        <w:jc w:val="both"/>
        <w:ind w:firstLine="864"/>
        <w:spacing w:after="0" w:line="29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Lessor and Lessee amended the Lease pursuant to the Amendment to Lease Agreement, dated August 26, 2011,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Amendment to Lease Agreement dated January 3, 2019 (the “Amendments” and together with the Original Lease, the “Lease”).</w:t>
      </w:r>
    </w:p>
    <w:p>
      <w:pPr>
        <w:spacing w:after="0" w:line="139"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one or more of the Amendments incorrectly refers to Lessee as Vroom, Inc., as successor to Left Gate Property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Holdings, Inc. and the correct name of Lessee and the successor in interest to Left Gate Property Holdings, Inc. is Left Gate Property Holding, LLC.</w:t>
      </w:r>
    </w:p>
    <w:p>
      <w:pPr>
        <w:spacing w:after="0" w:line="181" w:lineRule="exact"/>
        <w:rPr>
          <w:sz w:val="20"/>
          <w:szCs w:val="20"/>
          <w:color w:val="auto"/>
        </w:rPr>
      </w:pPr>
    </w:p>
    <w:p>
      <w:pPr>
        <w:jc w:val="both"/>
        <w:ind w:firstLine="864"/>
        <w:spacing w:after="0" w:line="270"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Lessor and Lessee desire to further amend the Lease to modify the terms of the Lease to extend the Lease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through December 31, 2023, and modify the rent schedule for the remaining term of the Lease.</w:t>
      </w:r>
    </w:p>
    <w:p>
      <w:pPr>
        <w:spacing w:after="0" w:line="163" w:lineRule="exact"/>
        <w:rPr>
          <w:sz w:val="20"/>
          <w:szCs w:val="20"/>
          <w:color w:val="auto"/>
        </w:rPr>
      </w:pPr>
    </w:p>
    <w:p>
      <w:pPr>
        <w:jc w:val="both"/>
        <w:ind w:firstLine="864"/>
        <w:spacing w:after="0" w:line="270"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for good and valuable consideration, the receipt and sufficiency of which is hereby acknowledged,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hereby agree as follows:</w:t>
      </w:r>
    </w:p>
    <w:p>
      <w:pPr>
        <w:spacing w:after="0" w:line="163" w:lineRule="exact"/>
        <w:rPr>
          <w:sz w:val="20"/>
          <w:szCs w:val="20"/>
          <w:color w:val="auto"/>
        </w:rPr>
      </w:pPr>
    </w:p>
    <w:p>
      <w:pPr>
        <w:ind w:left="1960" w:hanging="1091"/>
        <w:spacing w:after="0"/>
        <w:tabs>
          <w:tab w:leader="none" w:pos="1960"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Recitals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foregoing recitals are true and correct and are incorporated herein by reference as if they are set</w:t>
      </w:r>
    </w:p>
    <w:p>
      <w:pPr>
        <w:spacing w:after="0" w:line="33"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forth below.</w:t>
      </w:r>
    </w:p>
    <w:p>
      <w:pPr>
        <w:spacing w:after="0" w:line="201" w:lineRule="exact"/>
        <w:rPr>
          <w:rFonts w:ascii="Times New Roman" w:cs="Times New Roman" w:eastAsia="Times New Roman" w:hAnsi="Times New Roman"/>
          <w:sz w:val="20"/>
          <w:szCs w:val="20"/>
          <w:b w:val="1"/>
          <w:bCs w:val="1"/>
          <w:color w:val="auto"/>
        </w:rPr>
      </w:pPr>
    </w:p>
    <w:p>
      <w:pPr>
        <w:ind w:firstLine="869"/>
        <w:spacing w:after="0" w:line="270" w:lineRule="auto"/>
        <w:tabs>
          <w:tab w:leader="none" w:pos="1958" w:val="left"/>
        </w:tabs>
        <w:numPr>
          <w:ilvl w:val="0"/>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is otherwise defined herein, all defined terms hereinafter set forth in this Third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 shall have the same meaning as and when such defined terms are used in the Lease.</w:t>
      </w:r>
    </w:p>
    <w:p>
      <w:pPr>
        <w:spacing w:after="0" w:line="163" w:lineRule="exact"/>
        <w:rPr>
          <w:sz w:val="20"/>
          <w:szCs w:val="20"/>
          <w:color w:val="auto"/>
        </w:rPr>
      </w:pPr>
    </w:p>
    <w:p>
      <w:pPr>
        <w:ind w:firstLine="864"/>
        <w:spacing w:after="0" w:line="270" w:lineRule="auto"/>
        <w:rPr>
          <w:sz w:val="20"/>
          <w:szCs w:val="20"/>
          <w:color w:val="auto"/>
        </w:rPr>
      </w:pPr>
      <w:r>
        <w:rPr>
          <w:rFonts w:ascii="Times New Roman" w:cs="Times New Roman" w:eastAsia="Times New Roman" w:hAnsi="Times New Roman"/>
          <w:sz w:val="21"/>
          <w:szCs w:val="21"/>
          <w:b w:val="1"/>
          <w:bCs w:val="1"/>
          <w:color w:val="auto"/>
        </w:rPr>
        <w:t>3</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Term</w:t>
      </w:r>
      <w:r>
        <w:rPr>
          <w:rFonts w:ascii="Times New Roman" w:cs="Times New Roman" w:eastAsia="Times New Roman" w:hAnsi="Times New Roman"/>
          <w:sz w:val="21"/>
          <w:szCs w:val="21"/>
          <w:color w:val="auto"/>
        </w:rPr>
        <w:t>. Notwithstanding anything to the contrary provided in the Lease, Lessor and Lessee hereby agree that the term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Lease is hereby extended and will terminate at 11:59 PM Houston, Texas time, on December 31, 2023.</w:t>
      </w:r>
    </w:p>
    <w:p>
      <w:pPr>
        <w:spacing w:after="0" w:line="163" w:lineRule="exact"/>
        <w:rPr>
          <w:sz w:val="20"/>
          <w:szCs w:val="20"/>
          <w:color w:val="auto"/>
        </w:rPr>
      </w:pPr>
    </w:p>
    <w:p>
      <w:pPr>
        <w:jc w:val="both"/>
        <w:ind w:firstLine="869"/>
        <w:spacing w:after="0" w:line="252" w:lineRule="auto"/>
        <w:tabs>
          <w:tab w:leader="none" w:pos="1191" w:val="left"/>
        </w:tabs>
        <w:numPr>
          <w:ilvl w:val="0"/>
          <w:numId w:val="10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Rent Schedule</w:t>
      </w:r>
      <w:r>
        <w:rPr>
          <w:rFonts w:ascii="Times New Roman" w:cs="Times New Roman" w:eastAsia="Times New Roman" w:hAnsi="Times New Roman"/>
          <w:sz w:val="21"/>
          <w:szCs w:val="21"/>
          <w:color w:val="auto"/>
        </w:rPr>
        <w:t>. Notwithstanding anything to the contrary provided in the Lease, Lessor and Lessee hereby agree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Lessee will pay a monthly base rent of $70,000.00 per month, each month, starting February 1, 2021, through the new expiration date of December 31, 2023. Lessee will also continue to make the deferred rent payments of $46,836.50 per month, each month</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153275"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1"/>
          <w:szCs w:val="21"/>
          <w:color w:val="auto"/>
        </w:rPr>
        <w:t>from February 1, 2021 through June 1, 2021 to complete the repayment for the deferred rent from May, June and July 2020.</w:t>
      </w:r>
    </w:p>
    <w:p>
      <w:pPr>
        <w:spacing w:after="0" w:line="224" w:lineRule="exact"/>
        <w:rPr>
          <w:sz w:val="20"/>
          <w:szCs w:val="20"/>
          <w:color w:val="auto"/>
        </w:rPr>
      </w:pPr>
    </w:p>
    <w:p>
      <w:pPr>
        <w:jc w:val="both"/>
        <w:ind w:firstLine="977"/>
        <w:spacing w:after="0"/>
        <w:tabs>
          <w:tab w:leader="none" w:pos="1325" w:val="left"/>
        </w:tabs>
        <w:numPr>
          <w:ilvl w:val="1"/>
          <w:numId w:val="10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Effect of this Amendment.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Lease, as amended by this Third Amendment, is hereby ratified and affirmed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expressly amended hereby, all other items and provisions of the Lease remain unchanged and continue to be in full force and effect. The terms of this Third Amendment shall control over any conflicts between the terms of the Lease and the terms of this Third Amendment. The Lease, as amended by the Amendments and this Third Amendment, constitutes the entire agreement and understanding between the parties hereto relating to the subject matter hereof and all prior agreements, proposals, negotiations, understandings and correspondence between the parties in this regard, whether written or oral, hereby superseded and merged herewith.</w:t>
      </w:r>
    </w:p>
    <w:p>
      <w:pPr>
        <w:spacing w:after="0" w:line="193" w:lineRule="exact"/>
        <w:rPr>
          <w:rFonts w:ascii="Times New Roman" w:cs="Times New Roman" w:eastAsia="Times New Roman" w:hAnsi="Times New Roman"/>
          <w:sz w:val="21"/>
          <w:szCs w:val="21"/>
          <w:b w:val="1"/>
          <w:bCs w:val="1"/>
          <w:color w:val="auto"/>
        </w:rPr>
      </w:pPr>
    </w:p>
    <w:p>
      <w:pPr>
        <w:jc w:val="both"/>
        <w:ind w:firstLine="1181"/>
        <w:spacing w:after="0" w:line="252" w:lineRule="auto"/>
        <w:tabs>
          <w:tab w:leader="none" w:pos="1569" w:val="left"/>
        </w:tabs>
        <w:numPr>
          <w:ilvl w:val="2"/>
          <w:numId w:val="10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The Lease and this Third Amendment shall be governed by and construed and interpreted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the Laws of the United States and the State of Texas. Harris County, Texas, shall be a proper place of venue to enforce payment or performance under the Lease and this Third Amendment.</w:t>
      </w:r>
    </w:p>
    <w:p>
      <w:pPr>
        <w:spacing w:after="0" w:line="181" w:lineRule="exact"/>
        <w:rPr>
          <w:rFonts w:ascii="Times New Roman" w:cs="Times New Roman" w:eastAsia="Times New Roman" w:hAnsi="Times New Roman"/>
          <w:sz w:val="21"/>
          <w:szCs w:val="21"/>
          <w:b w:val="1"/>
          <w:bCs w:val="1"/>
          <w:color w:val="auto"/>
        </w:rPr>
      </w:pPr>
    </w:p>
    <w:p>
      <w:pPr>
        <w:jc w:val="both"/>
        <w:ind w:firstLine="869"/>
        <w:spacing w:after="0" w:line="246" w:lineRule="auto"/>
        <w:tabs>
          <w:tab w:leader="none" w:pos="1283" w:val="left"/>
        </w:tabs>
        <w:numPr>
          <w:ilvl w:val="0"/>
          <w:numId w:val="1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Inconsistencies</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the event of any inconsistencies between the Lease and this Third Amendment, the terms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Third Amendment shall take precedence. Except as expressly set forth in this Third Amendment, the Lease otherwise is unmodified, remains in full force and effect and is incorporated and restated herein as if fully set forth at length. Each reference in the Lease to itself shall be deemed also to refer to this Third Amendment.</w:t>
      </w:r>
    </w:p>
    <w:p>
      <w:pPr>
        <w:spacing w:after="0" w:line="19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IN WITNESS WHEREOF, the parties have duly executed this Third Amendment effective on the date first set forth above.</w:t>
      </w:r>
    </w:p>
    <w:p>
      <w:pPr>
        <w:spacing w:after="0" w:line="200" w:lineRule="exact"/>
        <w:rPr>
          <w:sz w:val="20"/>
          <w:szCs w:val="20"/>
          <w:color w:val="auto"/>
        </w:rPr>
      </w:pPr>
    </w:p>
    <w:p>
      <w:pPr>
        <w:spacing w:after="0" w:line="2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b w:val="1"/>
          <w:bCs w:val="1"/>
          <w:color w:val="auto"/>
        </w:rPr>
        <w:t>LESSOR:</w:t>
      </w:r>
    </w:p>
    <w:p>
      <w:pPr>
        <w:spacing w:after="0" w:line="23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BEECHNUT FEC LLC</w:t>
      </w:r>
    </w:p>
    <w:p>
      <w:pPr>
        <w:spacing w:after="0" w:line="2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Asma Khan</w:t>
      </w:r>
    </w:p>
    <w:p>
      <w:pPr>
        <w:spacing w:after="0" w:line="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Name: Asma Khan</w:t>
      </w:r>
    </w:p>
    <w:p>
      <w:pPr>
        <w:ind w:left="5200"/>
        <w:spacing w:after="0"/>
        <w:rPr>
          <w:sz w:val="20"/>
          <w:szCs w:val="20"/>
          <w:color w:val="auto"/>
        </w:rPr>
      </w:pPr>
      <w:r>
        <w:rPr>
          <w:rFonts w:ascii="Times New Roman" w:cs="Times New Roman" w:eastAsia="Times New Roman" w:hAnsi="Times New Roman"/>
          <w:sz w:val="21"/>
          <w:szCs w:val="21"/>
          <w:color w:val="auto"/>
        </w:rPr>
        <w:t>Title: Owner</w:t>
      </w:r>
    </w:p>
    <w:p>
      <w:pPr>
        <w:spacing w:after="0" w:line="200" w:lineRule="exact"/>
        <w:rPr>
          <w:sz w:val="20"/>
          <w:szCs w:val="20"/>
          <w:color w:val="auto"/>
        </w:rPr>
      </w:pPr>
    </w:p>
    <w:p>
      <w:pPr>
        <w:spacing w:after="0" w:line="2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b w:val="1"/>
          <w:bCs w:val="1"/>
          <w:color w:val="auto"/>
        </w:rPr>
        <w:t>LESSEE:</w:t>
      </w:r>
    </w:p>
    <w:p>
      <w:pPr>
        <w:spacing w:after="0" w:line="23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LEFT GATE PROPERTY HOLDING, LLC</w:t>
      </w:r>
    </w:p>
    <w:p>
      <w:pPr>
        <w:spacing w:after="0" w:line="2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Deni Stott</w:t>
      </w:r>
    </w:p>
    <w:p>
      <w:pPr>
        <w:spacing w:after="0" w:line="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Name: Deni Stott</w:t>
      </w:r>
    </w:p>
    <w:p>
      <w:pPr>
        <w:ind w:left="5200"/>
        <w:spacing w:after="0"/>
        <w:rPr>
          <w:sz w:val="20"/>
          <w:szCs w:val="20"/>
          <w:color w:val="auto"/>
        </w:rPr>
      </w:pPr>
      <w:r>
        <w:rPr>
          <w:rFonts w:ascii="Times New Roman" w:cs="Times New Roman" w:eastAsia="Times New Roman" w:hAnsi="Times New Roman"/>
          <w:sz w:val="21"/>
          <w:szCs w:val="21"/>
          <w:color w:val="auto"/>
        </w:rPr>
        <w:t>Title: Chief People &amp; Culture Officer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14"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0"/>
          <w:szCs w:val="20"/>
          <w:b w:val="1"/>
          <w:bCs w:val="1"/>
          <w:color w:val="auto"/>
        </w:rPr>
        <w:t>Exhibit 10.17</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FIRST AMENDMENT TO LEASE AGREEMENT</w:t>
      </w:r>
    </w:p>
    <w:p>
      <w:pPr>
        <w:spacing w:after="0" w:line="218" w:lineRule="exact"/>
        <w:rPr>
          <w:sz w:val="20"/>
          <w:szCs w:val="20"/>
          <w:color w:val="auto"/>
        </w:rPr>
      </w:pPr>
    </w:p>
    <w:p>
      <w:pPr>
        <w:jc w:val="both"/>
        <w:ind w:firstLine="750"/>
        <w:spacing w:after="0" w:line="276" w:lineRule="auto"/>
        <w:rPr>
          <w:sz w:val="20"/>
          <w:szCs w:val="20"/>
          <w:color w:val="auto"/>
        </w:rPr>
      </w:pPr>
      <w:r>
        <w:rPr>
          <w:rFonts w:ascii="Times New Roman" w:cs="Times New Roman" w:eastAsia="Times New Roman" w:hAnsi="Times New Roman"/>
          <w:sz w:val="17"/>
          <w:szCs w:val="17"/>
          <w:color w:val="auto"/>
        </w:rPr>
        <w:t>THIS FIRST AMENDMENT OF LEASE AGREEMENT (“First Amendment”) is made hereto by and between SOHANI HERITAGE TRUST (hereinafter called “Lessor”) and VROOM, INC. as successor to LEFT GATE PROPERTY HOLDING, INC d/b/a TEXAS DIRECT AUTO (hereinafter called “Lessee”).</w:t>
      </w:r>
    </w:p>
    <w:p>
      <w:pPr>
        <w:spacing w:after="0" w:line="1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WITNESSETH:</w:t>
      </w:r>
    </w:p>
    <w:p>
      <w:pPr>
        <w:spacing w:after="0" w:line="218" w:lineRule="exact"/>
        <w:rPr>
          <w:sz w:val="20"/>
          <w:szCs w:val="20"/>
          <w:color w:val="auto"/>
        </w:rPr>
      </w:pPr>
    </w:p>
    <w:p>
      <w:pPr>
        <w:jc w:val="both"/>
        <w:ind w:firstLine="750"/>
        <w:spacing w:after="0" w:line="296" w:lineRule="auto"/>
        <w:rPr>
          <w:sz w:val="20"/>
          <w:szCs w:val="20"/>
          <w:color w:val="auto"/>
        </w:rPr>
      </w:pPr>
      <w:r>
        <w:rPr>
          <w:rFonts w:ascii="Times New Roman" w:cs="Times New Roman" w:eastAsia="Times New Roman" w:hAnsi="Times New Roman"/>
          <w:sz w:val="17"/>
          <w:szCs w:val="17"/>
          <w:color w:val="auto"/>
        </w:rPr>
        <w:t>WHEREAS, Lessor and Lessee entered into a Lease Agreement (“Lease”) dated May 21, 2011 covering the leased premises commonly known as l2002 Southwest Freeway, Stafford, Texas; and</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WHEREAS, Lessor and Lessee desire to modify certain terms and conditions of the Lease set out below.</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NOW, THEREFORE, in consideration of the leased premises and the mutual covenants herein contained, the undersigned parties agree as follows:</w:t>
      </w:r>
    </w:p>
    <w:p>
      <w:pPr>
        <w:spacing w:after="0" w:line="223" w:lineRule="exact"/>
        <w:rPr>
          <w:sz w:val="20"/>
          <w:szCs w:val="20"/>
          <w:color w:val="auto"/>
        </w:rPr>
      </w:pPr>
    </w:p>
    <w:p>
      <w:pPr>
        <w:ind w:left="1560" w:hanging="806"/>
        <w:spacing w:after="0"/>
        <w:tabs>
          <w:tab w:leader="none" w:pos="156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1 is hereby amended to read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l. TERM</w:t>
      </w:r>
    </w:p>
    <w:p>
      <w:pPr>
        <w:spacing w:after="0" w:line="225" w:lineRule="exact"/>
        <w:rPr>
          <w:sz w:val="20"/>
          <w:szCs w:val="20"/>
          <w:color w:val="auto"/>
        </w:rPr>
      </w:pPr>
    </w:p>
    <w:p>
      <w:pPr>
        <w:jc w:val="both"/>
        <w:ind w:firstLine="750"/>
        <w:spacing w:after="0" w:line="263" w:lineRule="auto"/>
        <w:rPr>
          <w:sz w:val="20"/>
          <w:szCs w:val="20"/>
          <w:color w:val="auto"/>
        </w:rPr>
      </w:pPr>
      <w:r>
        <w:rPr>
          <w:rFonts w:ascii="Times New Roman" w:cs="Times New Roman" w:eastAsia="Times New Roman" w:hAnsi="Times New Roman"/>
          <w:sz w:val="17"/>
          <w:szCs w:val="17"/>
          <w:color w:val="auto"/>
        </w:rPr>
        <w:t>The term of the Lease is hereby extended to end at 11 :59 pm, Houston, Texas time, December 31, 2021. Lessee shall be able to obtain necessary permits and rights to conduct its intended business, as stated above, due to municipal laws and other governmental regulations. Lessee shall be responsible to obtain or renew (as the case may be) all required governmental permit(s) from the City of Meadows Place, Texas for conducting Lessee’s business at the leased premises. In the event Lessee is unable to obtain or renew such governmental permit(s) from the City of Meadows Place, Texas by July 1, 2020, then in that event Lessee shall terminate this Lease effective 11:59 pm, Houston, Texas time, June 30, 2021 by written notice received by Lessor on or before 5:00 pm, Houston, Texas time, July 1, 2020. The parties agree that Lessor shall have the right to list and place “for sale” and/or “for lease” signs on the leased premises upon the earlier of: (i) July 1, 2020; or (ii) termination of this Lease.</w:t>
      </w:r>
    </w:p>
    <w:p>
      <w:pPr>
        <w:spacing w:after="0" w:line="175" w:lineRule="exact"/>
        <w:rPr>
          <w:sz w:val="20"/>
          <w:szCs w:val="20"/>
          <w:color w:val="auto"/>
        </w:rPr>
      </w:pPr>
    </w:p>
    <w:p>
      <w:pPr>
        <w:ind w:left="1560" w:hanging="806"/>
        <w:spacing w:after="0"/>
        <w:tabs>
          <w:tab w:leader="none" w:pos="156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3, Rent, section 3.01, is hereby amended to read as follows: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3. RENT</w:t>
      </w:r>
    </w:p>
    <w:p>
      <w:pPr>
        <w:spacing w:after="0" w:line="218" w:lineRule="exact"/>
        <w:rPr>
          <w:sz w:val="20"/>
          <w:szCs w:val="20"/>
          <w:color w:val="auto"/>
        </w:rPr>
      </w:pPr>
    </w:p>
    <w:p>
      <w:pPr>
        <w:jc w:val="both"/>
        <w:ind w:firstLine="750"/>
        <w:spacing w:after="0" w:line="288" w:lineRule="auto"/>
        <w:rPr>
          <w:sz w:val="20"/>
          <w:szCs w:val="20"/>
          <w:color w:val="auto"/>
        </w:rPr>
      </w:pPr>
      <w:r>
        <w:rPr>
          <w:rFonts w:ascii="Times New Roman" w:cs="Times New Roman" w:eastAsia="Times New Roman" w:hAnsi="Times New Roman"/>
          <w:sz w:val="17"/>
          <w:szCs w:val="17"/>
          <w:color w:val="auto"/>
        </w:rPr>
        <w:t>3.01. During the term of the Lease, Lessee shall pay Lessor as minimum base rent, payable in monthly installments of $53,582.00 each, in advance, plus any additional rent as contemplated herein being due and payable on or before the first (1</w:t>
      </w:r>
      <w:r>
        <w:rPr>
          <w:rFonts w:ascii="Times New Roman" w:cs="Times New Roman" w:eastAsia="Times New Roman" w:hAnsi="Times New Roman"/>
          <w:sz w:val="14"/>
          <w:szCs w:val="14"/>
          <w:color w:val="auto"/>
        </w:rPr>
        <w:t>st</w:t>
      </w:r>
      <w:r>
        <w:rPr>
          <w:rFonts w:ascii="Times New Roman" w:cs="Times New Roman" w:eastAsia="Times New Roman" w:hAnsi="Times New Roman"/>
          <w:sz w:val="17"/>
          <w:szCs w:val="17"/>
          <w:color w:val="auto"/>
        </w:rPr>
        <w:t>) day of each month until the final payment is made on December 1, 2021.</w:t>
      </w:r>
    </w:p>
    <w:p>
      <w:pPr>
        <w:spacing w:after="0" w:line="368" w:lineRule="exact"/>
        <w:rPr>
          <w:sz w:val="20"/>
          <w:szCs w:val="20"/>
          <w:color w:val="auto"/>
        </w:rPr>
      </w:pPr>
    </w:p>
    <w:p>
      <w:pPr>
        <w:ind w:left="1560" w:hanging="806"/>
        <w:spacing w:after="0"/>
        <w:tabs>
          <w:tab w:leader="none" w:pos="156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4 is hereby amended to read as follows: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53275"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9"/>
          <w:szCs w:val="19"/>
          <w:b w:val="1"/>
          <w:bCs w:val="1"/>
          <w:color w:val="auto"/>
        </w:rPr>
        <w:t>ARTICLE 4. OPTION TO RENEW</w:t>
      </w:r>
    </w:p>
    <w:p>
      <w:pPr>
        <w:spacing w:after="0" w:line="220" w:lineRule="exact"/>
        <w:rPr>
          <w:sz w:val="20"/>
          <w:szCs w:val="20"/>
          <w:color w:val="auto"/>
        </w:rPr>
      </w:pPr>
    </w:p>
    <w:p>
      <w:pPr>
        <w:jc w:val="both"/>
        <w:ind w:firstLine="750"/>
        <w:spacing w:after="0" w:line="276" w:lineRule="auto"/>
        <w:rPr>
          <w:sz w:val="20"/>
          <w:szCs w:val="20"/>
          <w:color w:val="auto"/>
        </w:rPr>
      </w:pPr>
      <w:r>
        <w:rPr>
          <w:rFonts w:ascii="Times New Roman" w:cs="Times New Roman" w:eastAsia="Times New Roman" w:hAnsi="Times New Roman"/>
          <w:sz w:val="17"/>
          <w:szCs w:val="17"/>
          <w:color w:val="auto"/>
        </w:rPr>
        <w:t>4.01. Lessee is hereby granted the option to renew this Lease for an additional term of three (3) years (hereinafter called “extended term,”) beginning January 1, 2022, ending December 31, 2025, on similar terms, covenants and conditions herein contained, subject to the following conditions which shall be applicable to said extended term:</w:t>
      </w:r>
    </w:p>
    <w:p>
      <w:pPr>
        <w:spacing w:after="0" w:line="163" w:lineRule="exact"/>
        <w:rPr>
          <w:sz w:val="20"/>
          <w:szCs w:val="20"/>
          <w:color w:val="auto"/>
        </w:rPr>
      </w:pPr>
    </w:p>
    <w:p>
      <w:pPr>
        <w:ind w:left="1500" w:hanging="750"/>
        <w:spacing w:after="0"/>
        <w:tabs>
          <w:tab w:leader="none" w:pos="15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Lessee is not in default of this Lease.</w:t>
      </w:r>
    </w:p>
    <w:p>
      <w:pPr>
        <w:spacing w:after="0" w:line="200" w:lineRule="exact"/>
        <w:rPr>
          <w:rFonts w:ascii="Times New Roman" w:cs="Times New Roman" w:eastAsia="Times New Roman" w:hAnsi="Times New Roman"/>
          <w:sz w:val="17"/>
          <w:szCs w:val="17"/>
          <w:color w:val="auto"/>
        </w:rPr>
      </w:pPr>
    </w:p>
    <w:p>
      <w:pPr>
        <w:spacing w:after="0" w:line="232" w:lineRule="exact"/>
        <w:rPr>
          <w:rFonts w:ascii="Times New Roman" w:cs="Times New Roman" w:eastAsia="Times New Roman" w:hAnsi="Times New Roman"/>
          <w:sz w:val="17"/>
          <w:szCs w:val="17"/>
          <w:color w:val="auto"/>
        </w:rPr>
      </w:pPr>
    </w:p>
    <w:p>
      <w:pPr>
        <w:ind w:left="1500" w:hanging="750"/>
        <w:spacing w:after="0"/>
        <w:tabs>
          <w:tab w:leader="none" w:pos="15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Lessor shall have received written notice of Lessee’s intention to exercise said option no later than December 31, 2020.</w:t>
      </w:r>
    </w:p>
    <w:p>
      <w:pPr>
        <w:spacing w:after="0" w:line="200" w:lineRule="exact"/>
        <w:rPr>
          <w:rFonts w:ascii="Times New Roman" w:cs="Times New Roman" w:eastAsia="Times New Roman" w:hAnsi="Times New Roman"/>
          <w:sz w:val="17"/>
          <w:szCs w:val="17"/>
          <w:color w:val="auto"/>
        </w:rPr>
      </w:pPr>
    </w:p>
    <w:p>
      <w:pPr>
        <w:spacing w:after="0" w:line="232" w:lineRule="exact"/>
        <w:rPr>
          <w:rFonts w:ascii="Times New Roman" w:cs="Times New Roman" w:eastAsia="Times New Roman" w:hAnsi="Times New Roman"/>
          <w:sz w:val="17"/>
          <w:szCs w:val="17"/>
          <w:color w:val="auto"/>
        </w:rPr>
      </w:pPr>
    </w:p>
    <w:p>
      <w:pPr>
        <w:jc w:val="both"/>
        <w:ind w:left="1500" w:hanging="750"/>
        <w:spacing w:after="0" w:line="270" w:lineRule="auto"/>
        <w:tabs>
          <w:tab w:leader="none" w:pos="15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extended term, Lessee shall pay Lessor as minimum base rent, payable in thirty-six (36) successive monthly installments of $56,261.10 each, in advance, the first such payment plus any additional rent as contemplated herein being due and payable on or before the first (1</w:t>
      </w:r>
      <w:r>
        <w:rPr>
          <w:rFonts w:ascii="Times New Roman" w:cs="Times New Roman" w:eastAsia="Times New Roman" w:hAnsi="Times New Roman"/>
          <w:sz w:val="14"/>
          <w:szCs w:val="14"/>
          <w:color w:val="auto"/>
        </w:rPr>
        <w:t>st</w:t>
      </w:r>
      <w:r>
        <w:rPr>
          <w:rFonts w:ascii="Times New Roman" w:cs="Times New Roman" w:eastAsia="Times New Roman" w:hAnsi="Times New Roman"/>
          <w:sz w:val="17"/>
          <w:szCs w:val="17"/>
          <w:color w:val="auto"/>
        </w:rPr>
        <w:t>) day of January 2022, and a like payment being due and payable on or before the same day of each succeeding month thereafter until the final payment is made on December l, 2025.</w:t>
      </w:r>
    </w:p>
    <w:p>
      <w:pPr>
        <w:spacing w:after="0" w:line="167" w:lineRule="exact"/>
        <w:rPr>
          <w:rFonts w:ascii="Times New Roman" w:cs="Times New Roman" w:eastAsia="Times New Roman" w:hAnsi="Times New Roman"/>
          <w:sz w:val="17"/>
          <w:szCs w:val="17"/>
          <w:color w:val="auto"/>
        </w:rPr>
      </w:pPr>
    </w:p>
    <w:p>
      <w:pPr>
        <w:jc w:val="both"/>
        <w:ind w:firstLine="754"/>
        <w:spacing w:after="0" w:line="264" w:lineRule="auto"/>
        <w:tabs>
          <w:tab w:leader="none" w:pos="1552"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Lease, as modified by this First Amendment, and all obligations of Lessee are specifically conditioned upon Lessee’s ability to obtain any required extension and/or renewal of the Special Use Permit pursuant to that certain Development Agreement between the City of Meadows Place, Texas and Lessee’s predecessor-in-interest. This First Amendment shall in no way waive, limit or restrict Lessee’s rights under the Lease in the event Lessee is unable to operate (or obtain all required permits and approvals required to operate) in the leased premises (including without limitation Lessee’s termination rights pursuant to Sections 7.07 and 19.01 of the Lease). The Lease (as modified by this First Amendment) and all obligations of Lessee are further conditioned upon Lessee’s ability to obtain a lease amendment from the adjacent tract owner Beechnut FEC LLC extending the term of Lessee’s lease of such adjacent tract.</w:t>
      </w:r>
    </w:p>
    <w:p>
      <w:pPr>
        <w:spacing w:after="0" w:line="175" w:lineRule="exact"/>
        <w:rPr>
          <w:rFonts w:ascii="Times New Roman" w:cs="Times New Roman" w:eastAsia="Times New Roman" w:hAnsi="Times New Roman"/>
          <w:sz w:val="17"/>
          <w:szCs w:val="17"/>
          <w:color w:val="auto"/>
        </w:rPr>
      </w:pPr>
    </w:p>
    <w:p>
      <w:pPr>
        <w:jc w:val="both"/>
        <w:ind w:firstLine="754"/>
        <w:spacing w:after="0" w:line="270" w:lineRule="auto"/>
        <w:tabs>
          <w:tab w:leader="none" w:pos="1552"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hereby agree and acknowledge that notwithstanding anything contained in the Lease to the contrary at the end of the term of the Lease (as extended hereby) Lessee shall only be obligated to surrender possession of the leased premises, vacant and broom clean, in its “as is” condition and state of repair, subject to reasonable wear and tear and damage caused by Lessor’s acts, casualty, condemnation or other events of force majeure. The foregoing shall in no way release Lessee from its obligations under Article 23 of the Lease.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All other terms, covenants and conditions of the Lease shall remain the same and in full force and effect except as amended hereby.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53275"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95"/>
        </w:trPr>
        <w:tc>
          <w:tcPr>
            <w:tcW w:w="360" w:type="dxa"/>
            <w:vAlign w:val="bottom"/>
          </w:tcPr>
          <w:p>
            <w:pPr>
              <w:spacing w:after="0"/>
              <w:rPr>
                <w:sz w:val="17"/>
                <w:szCs w:val="17"/>
                <w:color w:val="auto"/>
              </w:rPr>
            </w:pPr>
          </w:p>
        </w:tc>
        <w:tc>
          <w:tcPr>
            <w:tcW w:w="5740" w:type="dxa"/>
            <w:vAlign w:val="bottom"/>
            <w:gridSpan w:val="7"/>
          </w:tcPr>
          <w:p>
            <w:pPr>
              <w:ind w:left="120"/>
              <w:spacing w:after="0"/>
              <w:rPr>
                <w:sz w:val="20"/>
                <w:szCs w:val="20"/>
                <w:color w:val="auto"/>
              </w:rPr>
            </w:pPr>
            <w:r>
              <w:rPr>
                <w:rFonts w:ascii="Times New Roman" w:cs="Times New Roman" w:eastAsia="Times New Roman" w:hAnsi="Times New Roman"/>
                <w:sz w:val="17"/>
                <w:szCs w:val="17"/>
                <w:color w:val="auto"/>
              </w:rPr>
              <w:t>EXECUTED on this 28 day of December, 2018.</w:t>
            </w:r>
          </w:p>
        </w:tc>
        <w:tc>
          <w:tcPr>
            <w:tcW w:w="48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20"/>
        </w:trPr>
        <w:tc>
          <w:tcPr>
            <w:tcW w:w="19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LESSOR:</w:t>
            </w:r>
          </w:p>
        </w:tc>
        <w:tc>
          <w:tcPr>
            <w:tcW w:w="1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740" w:type="dxa"/>
            <w:vAlign w:val="bottom"/>
            <w:gridSpan w:val="2"/>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LESSEE:</w:t>
            </w:r>
          </w:p>
        </w:tc>
      </w:tr>
      <w:tr>
        <w:trPr>
          <w:trHeight w:val="227"/>
        </w:trPr>
        <w:tc>
          <w:tcPr>
            <w:tcW w:w="61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SOHANI HERITAGE TRUST</w:t>
            </w:r>
          </w:p>
        </w:tc>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VROOM, INC.</w:t>
            </w:r>
          </w:p>
        </w:tc>
      </w:tr>
      <w:tr>
        <w:trPr>
          <w:trHeight w:val="419"/>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gridSpan w:val="7"/>
          </w:tcPr>
          <w:p>
            <w:pPr>
              <w:ind w:left="280"/>
              <w:spacing w:after="0"/>
              <w:rPr>
                <w:sz w:val="20"/>
                <w:szCs w:val="20"/>
                <w:color w:val="auto"/>
              </w:rPr>
            </w:pPr>
            <w:r>
              <w:rPr>
                <w:rFonts w:ascii="Times New Roman" w:cs="Times New Roman" w:eastAsia="Times New Roman" w:hAnsi="Times New Roman"/>
                <w:sz w:val="17"/>
                <w:szCs w:val="17"/>
                <w:color w:val="auto"/>
              </w:rPr>
              <w:t>/s/ Shiraz Ali</w:t>
            </w:r>
          </w:p>
        </w:tc>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   /s/ C. Denise Stott</w:t>
            </w:r>
          </w:p>
        </w:tc>
      </w:tr>
      <w:tr>
        <w:trPr>
          <w:trHeight w:val="20"/>
        </w:trPr>
        <w:tc>
          <w:tcPr>
            <w:tcW w:w="640" w:type="dxa"/>
            <w:vAlign w:val="bottom"/>
            <w:gridSpan w:val="2"/>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r>
      <w:tr>
        <w:trPr>
          <w:trHeight w:val="412"/>
        </w:trPr>
        <w:tc>
          <w:tcPr>
            <w:tcW w:w="61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Printed Name &amp; Title: Shiraz Ali</w:t>
            </w:r>
          </w:p>
        </w:tc>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Printed Name &amp; Title: SVP, People &amp; Culture</w:t>
            </w:r>
          </w:p>
        </w:tc>
      </w:tr>
      <w:tr>
        <w:trPr>
          <w:trHeight w:val="210"/>
        </w:trPr>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tcPr>
          <w:p>
            <w:pPr>
              <w:spacing w:after="0"/>
              <w:rPr>
                <w:sz w:val="18"/>
                <w:szCs w:val="18"/>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 of 3]</w:t>
      </w:r>
    </w:p>
    <w:p>
      <w:pPr>
        <w:sectPr>
          <w:pgSz w:w="11900" w:h="16838" w:orient="portrait"/>
          <w:cols w:equalWidth="0" w:num="1">
            <w:col w:w="11240"/>
          </w:cols>
          <w:pgMar w:left="320" w:top="559"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7"/>
          <w:szCs w:val="17"/>
          <w:b w:val="1"/>
          <w:bCs w:val="1"/>
          <w:color w:val="auto"/>
        </w:rPr>
        <w:t>Exhibit 10.18</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SECOND AMENDENT TO LEASE AGREEEMENT</w:t>
      </w:r>
    </w:p>
    <w:p>
      <w:pPr>
        <w:spacing w:after="0" w:line="225" w:lineRule="exact"/>
        <w:rPr>
          <w:sz w:val="20"/>
          <w:szCs w:val="20"/>
          <w:color w:val="auto"/>
        </w:rPr>
      </w:pPr>
    </w:p>
    <w:p>
      <w:pPr>
        <w:ind w:firstLine="735"/>
        <w:spacing w:after="0" w:line="296" w:lineRule="auto"/>
        <w:rPr>
          <w:sz w:val="20"/>
          <w:szCs w:val="20"/>
          <w:color w:val="auto"/>
        </w:rPr>
      </w:pPr>
      <w:r>
        <w:rPr>
          <w:rFonts w:ascii="Times New Roman" w:cs="Times New Roman" w:eastAsia="Times New Roman" w:hAnsi="Times New Roman"/>
          <w:sz w:val="17"/>
          <w:szCs w:val="17"/>
          <w:color w:val="auto"/>
        </w:rPr>
        <w:t>This SECOND AMENDMENT TO LEASE AGREEEMENT (the “Second Amendment”) is made and entered into effective as of April 28</w:t>
      </w:r>
      <w:r>
        <w:rPr>
          <w:rFonts w:ascii="Times New Roman" w:cs="Times New Roman" w:eastAsia="Times New Roman" w:hAnsi="Times New Roman"/>
          <w:sz w:val="14"/>
          <w:szCs w:val="14"/>
          <w:color w:val="auto"/>
        </w:rPr>
        <w:t>th</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 xml:space="preserve"> 2020, by and between Sohani Heritage Trust (“Lessor”) and Vroom, Inc., as successor to Left Gate Property Holdings, Inc. d/b/a Texas Direct Auto (“Lessee”).</w:t>
      </w:r>
    </w:p>
    <w:p>
      <w:pPr>
        <w:spacing w:after="0" w:line="1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u w:val="single" w:color="auto"/>
          <w:color w:val="auto"/>
        </w:rPr>
        <w:t>WITNESSETH:</w:t>
      </w:r>
    </w:p>
    <w:p>
      <w:pPr>
        <w:spacing w:after="0" w:line="224" w:lineRule="exact"/>
        <w:rPr>
          <w:sz w:val="20"/>
          <w:szCs w:val="20"/>
          <w:color w:val="auto"/>
        </w:rPr>
      </w:pPr>
    </w:p>
    <w:p>
      <w:pPr>
        <w:ind w:firstLine="750"/>
        <w:spacing w:after="0" w:line="29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Lessor and Lessee entered into that certain Lease Agreement dated May 21, 2011 (the “Lease”) covering that premise (the “Premises”)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commonly known as 12002 Southwest Freeway, Stafford, Texas, as more particularly described in the Lease.</w:t>
      </w:r>
    </w:p>
    <w:p>
      <w:pPr>
        <w:spacing w:after="0" w:line="143" w:lineRule="exact"/>
        <w:rPr>
          <w:sz w:val="20"/>
          <w:szCs w:val="20"/>
          <w:color w:val="auto"/>
        </w:rPr>
      </w:pPr>
    </w:p>
    <w:p>
      <w:pPr>
        <w:ind w:firstLine="750"/>
        <w:spacing w:after="0" w:line="29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Lessor and Lessee extended the Lease pursuant to the First Amendment to Lease Agreement, dated December 28, 2018 (the “First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Amendment”).</w:t>
      </w:r>
    </w:p>
    <w:p>
      <w:pPr>
        <w:spacing w:after="0" w:line="143" w:lineRule="exact"/>
        <w:rPr>
          <w:sz w:val="20"/>
          <w:szCs w:val="20"/>
          <w:color w:val="auto"/>
        </w:rPr>
      </w:pPr>
    </w:p>
    <w:p>
      <w:pPr>
        <w:ind w:firstLine="750"/>
        <w:spacing w:after="0" w:line="29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Lessor and Lessee desire to further amend the Lease to modify the terms of the rental payments to allow Lessee to defer rental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payments for the three (3) months of May, June and July 2020.</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for good and valuable consideration, the receipt and sufficiency of which is hereby acknowledged, the parties hereby agree as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203" w:lineRule="exact"/>
        <w:rPr>
          <w:sz w:val="20"/>
          <w:szCs w:val="20"/>
          <w:color w:val="auto"/>
        </w:rPr>
      </w:pPr>
    </w:p>
    <w:p>
      <w:pPr>
        <w:ind w:firstLine="754"/>
        <w:spacing w:after="0" w:line="298" w:lineRule="auto"/>
        <w:tabs>
          <w:tab w:leader="none" w:pos="1508"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color w:val="auto"/>
        </w:rPr>
        <w:t>. Except as is otherwise defined herein, all defined terms hereinafter set forth in this Second Amendment shall have the same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meaning as and when such defined terms are used in the Lease.</w:t>
      </w:r>
    </w:p>
    <w:p>
      <w:pPr>
        <w:spacing w:after="0" w:line="142" w:lineRule="exact"/>
        <w:rPr>
          <w:rFonts w:ascii="Times New Roman" w:cs="Times New Roman" w:eastAsia="Times New Roman" w:hAnsi="Times New Roman"/>
          <w:sz w:val="17"/>
          <w:szCs w:val="17"/>
          <w:b w:val="1"/>
          <w:bCs w:val="1"/>
          <w:color w:val="auto"/>
        </w:rPr>
      </w:pPr>
    </w:p>
    <w:p>
      <w:pPr>
        <w:ind w:firstLine="754"/>
        <w:spacing w:after="0" w:line="298" w:lineRule="auto"/>
        <w:tabs>
          <w:tab w:leader="none" w:pos="1508"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Rent Deferral Period</w:t>
      </w:r>
      <w:r>
        <w:rPr>
          <w:rFonts w:ascii="Times New Roman" w:cs="Times New Roman" w:eastAsia="Times New Roman" w:hAnsi="Times New Roman"/>
          <w:sz w:val="17"/>
          <w:szCs w:val="17"/>
          <w:color w:val="auto"/>
        </w:rPr>
        <w:t>. Notwithstanding anything to the contrary provided in the Lease, Lessor and Lessee hereby agree as follows,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hereby amend the Lease and the First Amendment:</w:t>
      </w:r>
    </w:p>
    <w:p>
      <w:pPr>
        <w:spacing w:after="0" w:line="145" w:lineRule="exact"/>
        <w:rPr>
          <w:sz w:val="20"/>
          <w:szCs w:val="20"/>
          <w:color w:val="auto"/>
        </w:rPr>
      </w:pPr>
    </w:p>
    <w:p>
      <w:pPr>
        <w:jc w:val="both"/>
        <w:ind w:firstLine="750"/>
        <w:spacing w:after="0" w:line="270" w:lineRule="auto"/>
        <w:rPr>
          <w:sz w:val="20"/>
          <w:szCs w:val="20"/>
          <w:color w:val="auto"/>
        </w:rPr>
      </w:pPr>
      <w:r>
        <w:rPr>
          <w:rFonts w:ascii="Times New Roman" w:cs="Times New Roman" w:eastAsia="Times New Roman" w:hAnsi="Times New Roman"/>
          <w:sz w:val="17"/>
          <w:szCs w:val="17"/>
          <w:color w:val="auto"/>
        </w:rPr>
        <w:t>Lessor and Lessee hereby agree that Lessee will be allowed to defer all of Lessee’s rental payments for rent, taxes, signage, and all regular additional monthly payments customarily included in the regular monthly rental payment (“Rental Payments”) for the three (3) months of May, June and July 2020 (the “Deferred Rent Period”). Rental payments for the Deferred Rent Period will be reduced by one hundred percent (100%) each month, for a new total rental payment of $0.00 per month. A total of $53,582.00 shall be deferred for each month of the Deferred Rental Period (the “Deferred Rent”).</w:t>
      </w:r>
    </w:p>
    <w:p>
      <w:pPr>
        <w:spacing w:after="0" w:line="165" w:lineRule="exact"/>
        <w:rPr>
          <w:sz w:val="20"/>
          <w:szCs w:val="20"/>
          <w:color w:val="auto"/>
        </w:rPr>
      </w:pPr>
    </w:p>
    <w:p>
      <w:pPr>
        <w:ind w:firstLine="754"/>
        <w:spacing w:after="0" w:line="298" w:lineRule="auto"/>
        <w:tabs>
          <w:tab w:leader="none" w:pos="1508"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Deferred Rent Repayment Period</w:t>
      </w:r>
      <w:r>
        <w:rPr>
          <w:rFonts w:ascii="Times New Roman" w:cs="Times New Roman" w:eastAsia="Times New Roman" w:hAnsi="Times New Roman"/>
          <w:sz w:val="17"/>
          <w:szCs w:val="17"/>
          <w:color w:val="auto"/>
        </w:rPr>
        <w:t>. Notwithstanding anything to the contrary provided in the Lease, Lessor and Lessee hereby agree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follows, which provisions hereby amend the Lease:</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Lessor and Lessee hereby agree that Lessee will repay the total of the Deferred Rent, consisting of $160,746.00, according to the following schedule:</w:t>
      </w:r>
    </w:p>
    <w:p>
      <w:pPr>
        <w:spacing w:after="0" w:line="119" w:lineRule="exact"/>
        <w:rPr>
          <w:sz w:val="20"/>
          <w:szCs w:val="20"/>
          <w:color w:val="auto"/>
        </w:rPr>
      </w:pPr>
    </w:p>
    <w:p>
      <w:pPr>
        <w:ind w:left="1500" w:hanging="750"/>
        <w:spacing w:after="0"/>
        <w:tabs>
          <w:tab w:leader="none" w:pos="15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August 2020- $10,000.00</w:t>
      </w:r>
    </w:p>
    <w:p>
      <w:pPr>
        <w:spacing w:after="0" w:line="118" w:lineRule="exact"/>
        <w:rPr>
          <w:rFonts w:ascii="Times New Roman" w:cs="Times New Roman" w:eastAsia="Times New Roman" w:hAnsi="Times New Roman"/>
          <w:sz w:val="17"/>
          <w:szCs w:val="17"/>
          <w:color w:val="auto"/>
        </w:rPr>
      </w:pPr>
    </w:p>
    <w:p>
      <w:pPr>
        <w:ind w:left="1500" w:hanging="750"/>
        <w:spacing w:after="0"/>
        <w:tabs>
          <w:tab w:leader="none" w:pos="15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September 2020 - $10,000.00</w:t>
      </w:r>
    </w:p>
    <w:p>
      <w:pPr>
        <w:spacing w:after="0" w:line="118" w:lineRule="exact"/>
        <w:rPr>
          <w:rFonts w:ascii="Times New Roman" w:cs="Times New Roman" w:eastAsia="Times New Roman" w:hAnsi="Times New Roman"/>
          <w:sz w:val="17"/>
          <w:szCs w:val="17"/>
          <w:color w:val="auto"/>
        </w:rPr>
      </w:pPr>
    </w:p>
    <w:p>
      <w:pPr>
        <w:ind w:left="1500" w:hanging="750"/>
        <w:spacing w:after="0"/>
        <w:tabs>
          <w:tab w:leader="none" w:pos="15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October 2020 - $20,000.00</w:t>
      </w:r>
    </w:p>
    <w:p>
      <w:pPr>
        <w:spacing w:after="0" w:line="118" w:lineRule="exact"/>
        <w:rPr>
          <w:rFonts w:ascii="Times New Roman" w:cs="Times New Roman" w:eastAsia="Times New Roman" w:hAnsi="Times New Roman"/>
          <w:sz w:val="17"/>
          <w:szCs w:val="17"/>
          <w:color w:val="auto"/>
        </w:rPr>
      </w:pPr>
    </w:p>
    <w:p>
      <w:pPr>
        <w:ind w:left="1500" w:hanging="750"/>
        <w:spacing w:after="0"/>
        <w:tabs>
          <w:tab w:leader="none" w:pos="15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November 2020- $20,000.00</w:t>
      </w:r>
    </w:p>
    <w:p>
      <w:pPr>
        <w:spacing w:after="0" w:line="118" w:lineRule="exact"/>
        <w:rPr>
          <w:rFonts w:ascii="Times New Roman" w:cs="Times New Roman" w:eastAsia="Times New Roman" w:hAnsi="Times New Roman"/>
          <w:sz w:val="17"/>
          <w:szCs w:val="17"/>
          <w:color w:val="auto"/>
        </w:rPr>
      </w:pPr>
    </w:p>
    <w:p>
      <w:pPr>
        <w:ind w:left="1500" w:hanging="750"/>
        <w:spacing w:after="0"/>
        <w:tabs>
          <w:tab w:leader="none" w:pos="15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December 2020 - $25,000.00</w:t>
      </w:r>
    </w:p>
    <w:p>
      <w:pPr>
        <w:spacing w:after="0" w:line="118" w:lineRule="exact"/>
        <w:rPr>
          <w:rFonts w:ascii="Times New Roman" w:cs="Times New Roman" w:eastAsia="Times New Roman" w:hAnsi="Times New Roman"/>
          <w:sz w:val="17"/>
          <w:szCs w:val="17"/>
          <w:color w:val="auto"/>
        </w:rPr>
      </w:pPr>
    </w:p>
    <w:p>
      <w:pPr>
        <w:ind w:left="1500" w:hanging="750"/>
        <w:spacing w:after="0"/>
        <w:tabs>
          <w:tab w:leader="none" w:pos="15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January 2021 - $25,000.00</w:t>
      </w:r>
    </w:p>
    <w:p>
      <w:pPr>
        <w:spacing w:after="0" w:line="118" w:lineRule="exact"/>
        <w:rPr>
          <w:rFonts w:ascii="Times New Roman" w:cs="Times New Roman" w:eastAsia="Times New Roman" w:hAnsi="Times New Roman"/>
          <w:sz w:val="17"/>
          <w:szCs w:val="17"/>
          <w:color w:val="auto"/>
        </w:rPr>
      </w:pPr>
    </w:p>
    <w:p>
      <w:pPr>
        <w:ind w:left="1500" w:hanging="750"/>
        <w:spacing w:after="0"/>
        <w:tabs>
          <w:tab w:leader="none" w:pos="15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February 2021 - $25,000 .00</w:t>
      </w:r>
    </w:p>
    <w:p>
      <w:pPr>
        <w:spacing w:after="0" w:line="104" w:lineRule="exact"/>
        <w:rPr>
          <w:rFonts w:ascii="Times New Roman" w:cs="Times New Roman" w:eastAsia="Times New Roman" w:hAnsi="Times New Roman"/>
          <w:sz w:val="17"/>
          <w:szCs w:val="17"/>
          <w:color w:val="auto"/>
        </w:rPr>
      </w:pPr>
    </w:p>
    <w:p>
      <w:pPr>
        <w:ind w:left="1500" w:hanging="750"/>
        <w:spacing w:after="0"/>
        <w:tabs>
          <w:tab w:leader="none" w:pos="150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March 2021 - $25,746.00</w:t>
      </w: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These additional payments will be included with the regular Rental Payments for the respective month.</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53275"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74" w:name="page175"/>
    <w:bookmarkEnd w:id="174"/>
    <w:p>
      <w:pPr>
        <w:jc w:val="both"/>
        <w:ind w:firstLine="754"/>
        <w:spacing w:after="0" w:line="266" w:lineRule="auto"/>
        <w:tabs>
          <w:tab w:leader="none" w:pos="1508" w:val="left"/>
        </w:tabs>
        <w:numPr>
          <w:ilvl w:val="0"/>
          <w:numId w:val="1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Effect of this Amendment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Lease, as amended by this Second Amendment, is hereby ratified and affirmed and, except as expressly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amended hereby, all other items and provisions of the Lease remain unchanged and continue to be in full force and effect. The terms of this Second Amendment shall control over any conflicts between the terms of the Lease and the terms of this Second Amendment. The Lease, as amended by this Second Amendment, constitutes the entire agreement and understanding between the parties hereto relating to the subject matter hereof and all prior agreements, proposals, negotiations, understandings and correspondence between the parties in this regard, whether written or oral, hereby superseded </w:t>
      </w:r>
      <w:r>
        <w:rPr>
          <w:rFonts w:ascii="Times New Roman" w:cs="Times New Roman" w:eastAsia="Times New Roman" w:hAnsi="Times New Roman"/>
          <w:sz w:val="20"/>
          <w:szCs w:val="20"/>
          <w:color w:val="auto"/>
        </w:rPr>
        <w:t>and</w:t>
      </w:r>
      <w:r>
        <w:rPr>
          <w:rFonts w:ascii="Times New Roman" w:cs="Times New Roman" w:eastAsia="Times New Roman" w:hAnsi="Times New Roman"/>
          <w:sz w:val="17"/>
          <w:szCs w:val="17"/>
          <w:color w:val="auto"/>
        </w:rPr>
        <w:t xml:space="preserve"> merged </w:t>
      </w:r>
      <w:r>
        <w:rPr>
          <w:rFonts w:ascii="Times New Roman" w:cs="Times New Roman" w:eastAsia="Times New Roman" w:hAnsi="Times New Roman"/>
          <w:sz w:val="20"/>
          <w:szCs w:val="20"/>
          <w:color w:val="auto"/>
        </w:rPr>
        <w:t>herewith.</w:t>
      </w:r>
    </w:p>
    <w:p>
      <w:pPr>
        <w:spacing w:after="0" w:line="159" w:lineRule="exact"/>
        <w:rPr>
          <w:rFonts w:ascii="Times New Roman" w:cs="Times New Roman" w:eastAsia="Times New Roman" w:hAnsi="Times New Roman"/>
          <w:sz w:val="17"/>
          <w:szCs w:val="17"/>
          <w:b w:val="1"/>
          <w:bCs w:val="1"/>
          <w:color w:val="auto"/>
        </w:rPr>
      </w:pPr>
    </w:p>
    <w:p>
      <w:pPr>
        <w:jc w:val="both"/>
        <w:ind w:firstLine="754"/>
        <w:spacing w:after="0" w:line="276" w:lineRule="auto"/>
        <w:tabs>
          <w:tab w:leader="none" w:pos="924" w:val="left"/>
        </w:tabs>
        <w:numPr>
          <w:ilvl w:val="0"/>
          <w:numId w:val="1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Lease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1"/>
          <w:szCs w:val="21"/>
          <w:color w:val="auto"/>
        </w:rPr>
        <w:t>Second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0"/>
          <w:szCs w:val="20"/>
          <w:color w:val="auto"/>
        </w:rPr>
        <w:t>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1"/>
          <w:szCs w:val="21"/>
          <w:color w:val="auto"/>
        </w:rPr>
        <w:t>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governed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1"/>
          <w:szCs w:val="21"/>
          <w:color w:val="auto"/>
        </w:rPr>
        <w:t>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construed and interpreted in accordance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0"/>
          <w:szCs w:val="20"/>
          <w:color w:val="auto"/>
        </w:rPr>
        <w:t>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Laws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United States and the State of Texas. </w:t>
      </w:r>
      <w:r>
        <w:rPr>
          <w:rFonts w:ascii="Times New Roman" w:cs="Times New Roman" w:eastAsia="Times New Roman" w:hAnsi="Times New Roman"/>
          <w:sz w:val="21"/>
          <w:szCs w:val="21"/>
          <w:color w:val="auto"/>
        </w:rPr>
        <w:t>Harris</w:t>
      </w:r>
      <w:r>
        <w:rPr>
          <w:rFonts w:ascii="Times New Roman" w:cs="Times New Roman" w:eastAsia="Times New Roman" w:hAnsi="Times New Roman"/>
          <w:sz w:val="17"/>
          <w:szCs w:val="17"/>
          <w:color w:val="auto"/>
        </w:rPr>
        <w:t xml:space="preserve"> County, </w:t>
      </w:r>
      <w:r>
        <w:rPr>
          <w:rFonts w:ascii="Times New Roman" w:cs="Times New Roman" w:eastAsia="Times New Roman" w:hAnsi="Times New Roman"/>
          <w:sz w:val="23"/>
          <w:szCs w:val="23"/>
          <w:color w:val="auto"/>
        </w:rPr>
        <w:t>Texas,</w:t>
      </w:r>
      <w:r>
        <w:rPr>
          <w:rFonts w:ascii="Times New Roman" w:cs="Times New Roman" w:eastAsia="Times New Roman" w:hAnsi="Times New Roman"/>
          <w:sz w:val="17"/>
          <w:szCs w:val="17"/>
          <w:color w:val="auto"/>
        </w:rPr>
        <w:t xml:space="preserve"> shall be </w:t>
      </w:r>
      <w:r>
        <w:rPr>
          <w:rFonts w:ascii="Times New Roman" w:cs="Times New Roman" w:eastAsia="Times New Roman" w:hAnsi="Times New Roman"/>
          <w:sz w:val="21"/>
          <w:szCs w:val="21"/>
          <w:color w:val="auto"/>
        </w:rPr>
        <w:t>a</w:t>
      </w:r>
      <w:r>
        <w:rPr>
          <w:rFonts w:ascii="Times New Roman" w:cs="Times New Roman" w:eastAsia="Times New Roman" w:hAnsi="Times New Roman"/>
          <w:sz w:val="17"/>
          <w:szCs w:val="17"/>
          <w:color w:val="auto"/>
        </w:rPr>
        <w:t xml:space="preserve"> proper place of venue to enforce payment or performance under the Lease and this Second Amendment.</w:t>
      </w:r>
    </w:p>
    <w:p>
      <w:pPr>
        <w:spacing w:after="0" w:line="148" w:lineRule="exact"/>
        <w:rPr>
          <w:rFonts w:ascii="Times New Roman" w:cs="Times New Roman" w:eastAsia="Times New Roman" w:hAnsi="Times New Roman"/>
          <w:sz w:val="17"/>
          <w:szCs w:val="17"/>
          <w:b w:val="1"/>
          <w:bCs w:val="1"/>
          <w:color w:val="auto"/>
        </w:rPr>
      </w:pPr>
    </w:p>
    <w:p>
      <w:pPr>
        <w:ind w:left="940" w:hanging="186"/>
        <w:spacing w:after="0"/>
        <w:tabs>
          <w:tab w:leader="none" w:pos="940" w:val="left"/>
        </w:tabs>
        <w:numPr>
          <w:ilvl w:val="0"/>
          <w:numId w:val="1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Inconsistencies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event of any inconsistencies between the Lease and this Second Amendment,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1"/>
          <w:szCs w:val="21"/>
          <w:color w:val="auto"/>
        </w:rPr>
        <w:t>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1"/>
          <w:szCs w:val="21"/>
          <w:color w:val="auto"/>
        </w:rPr>
        <w:t>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Second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1"/>
          <w:szCs w:val="21"/>
          <w:color w:val="auto"/>
        </w:rPr>
        <w:t>Amendment</w:t>
      </w:r>
    </w:p>
    <w:p>
      <w:pPr>
        <w:spacing w:after="0" w:line="42"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shall </w:t>
      </w:r>
      <w:r>
        <w:rPr>
          <w:rFonts w:ascii="Times New Roman" w:cs="Times New Roman" w:eastAsia="Times New Roman" w:hAnsi="Times New Roman"/>
          <w:sz w:val="18"/>
          <w:szCs w:val="18"/>
          <w:color w:val="auto"/>
        </w:rPr>
        <w:t>take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1"/>
          <w:szCs w:val="21"/>
          <w:color w:val="auto"/>
        </w:rPr>
        <w:t>precedence.</w:t>
      </w:r>
    </w:p>
    <w:p>
      <w:pPr>
        <w:spacing w:after="0" w:line="211" w:lineRule="exact"/>
        <w:rPr>
          <w:sz w:val="20"/>
          <w:szCs w:val="20"/>
          <w:color w:val="auto"/>
        </w:rPr>
      </w:pPr>
    </w:p>
    <w:p>
      <w:pPr>
        <w:ind w:firstLine="750"/>
        <w:spacing w:after="0" w:line="296" w:lineRule="auto"/>
        <w:rPr>
          <w:sz w:val="20"/>
          <w:szCs w:val="20"/>
          <w:color w:val="auto"/>
        </w:rPr>
      </w:pPr>
      <w:r>
        <w:rPr>
          <w:rFonts w:ascii="Times New Roman" w:cs="Times New Roman" w:eastAsia="Times New Roman" w:hAnsi="Times New Roman"/>
          <w:sz w:val="17"/>
          <w:szCs w:val="17"/>
          <w:color w:val="auto"/>
        </w:rPr>
        <w:t>Except as expressly set forth in this Second Amendment, the Lease otherwise is unmodified, remains in full force and effect and is incorporated and restated herein as if fully set forth at length. Each reference in the Lease to itself shall be deemed also to refer to this Second Amendment.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53275"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0"/>
          <w:szCs w:val="20"/>
          <w:color w:val="auto"/>
        </w:rPr>
        <w:t xml:space="preserve">IN WITNESS WHEREOF, the parties have duly executed this Second Amendment effective on the date first set </w:t>
      </w:r>
      <w:r>
        <w:rPr>
          <w:rFonts w:ascii="Times New Roman" w:cs="Times New Roman" w:eastAsia="Times New Roman" w:hAnsi="Times New Roman"/>
          <w:sz w:val="17"/>
          <w:szCs w:val="17"/>
          <w:color w:val="auto"/>
        </w:rPr>
        <w:t>forth</w:t>
      </w:r>
      <w:r>
        <w:rPr>
          <w:rFonts w:ascii="Times New Roman" w:cs="Times New Roman" w:eastAsia="Times New Roman" w:hAnsi="Times New Roman"/>
          <w:sz w:val="20"/>
          <w:szCs w:val="20"/>
          <w:color w:val="auto"/>
        </w:rPr>
        <w:t xml:space="preserve"> above.</w:t>
      </w:r>
    </w:p>
    <w:p>
      <w:pPr>
        <w:spacing w:after="0" w:line="2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1"/>
          <w:szCs w:val="21"/>
          <w:b w:val="1"/>
          <w:bCs w:val="1"/>
          <w:color w:val="auto"/>
        </w:rPr>
        <w:t>LESSOR:</w:t>
      </w:r>
    </w:p>
    <w:p>
      <w:pPr>
        <w:spacing w:after="0" w:line="2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1"/>
          <w:szCs w:val="21"/>
          <w:color w:val="auto"/>
        </w:rPr>
        <w:t>SOHANI HERITAGE TRUST</w:t>
      </w:r>
    </w:p>
    <w:p>
      <w:pPr>
        <w:spacing w:after="0" w:line="230" w:lineRule="exact"/>
        <w:rPr>
          <w:sz w:val="20"/>
          <w:szCs w:val="20"/>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21"/>
          <w:szCs w:val="21"/>
          <w:color w:val="auto"/>
        </w:rPr>
        <w:t>By:</w:t>
        <w:tab/>
        <w:t>/s/ Shiraz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4147820</wp:posOffset>
            </wp:positionH>
            <wp:positionV relativeFrom="paragraph">
              <wp:posOffset>13335</wp:posOffset>
            </wp:positionV>
            <wp:extent cx="25006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7">
                      <a:extLst>
                        <a:ext uri="{28A0092B-C50C-407E-A947-70E740481C1C}"/>
                      </a:extLst>
                    </a:blip>
                    <a:srcRect/>
                    <a:stretch>
                      <a:fillRect/>
                    </a:stretch>
                  </pic:blipFill>
                  <pic:spPr bwMode="auto">
                    <a:xfrm>
                      <a:off x="0" y="0"/>
                      <a:ext cx="2500630" cy="8255"/>
                    </a:xfrm>
                    <a:prstGeom prst="rect">
                      <a:avLst/>
                    </a:prstGeom>
                    <a:noFill/>
                  </pic:spPr>
                </pic:pic>
              </a:graphicData>
            </a:graphic>
          </wp:anchor>
        </w:drawing>
      </w:r>
    </w:p>
    <w:p>
      <w:pPr>
        <w:spacing w:after="0" w:line="11" w:lineRule="exact"/>
        <w:rPr>
          <w:sz w:val="20"/>
          <w:szCs w:val="20"/>
          <w:color w:val="auto"/>
        </w:rPr>
      </w:pPr>
    </w:p>
    <w:p>
      <w:pPr>
        <w:ind w:left="5980"/>
        <w:spacing w:after="0"/>
        <w:tabs>
          <w:tab w:leader="none" w:pos="690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1"/>
          <w:szCs w:val="21"/>
          <w:color w:val="auto"/>
        </w:rPr>
        <w:t>Shiraz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-1270</wp:posOffset>
            </wp:positionV>
            <wp:extent cx="22599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8">
                      <a:extLst>
                        <a:ext uri="{28A0092B-C50C-407E-A947-70E740481C1C}"/>
                      </a:extLst>
                    </a:blip>
                    <a:srcRect/>
                    <a:stretch>
                      <a:fillRect/>
                    </a:stretch>
                  </pic:blipFill>
                  <pic:spPr bwMode="auto">
                    <a:xfrm>
                      <a:off x="0" y="0"/>
                      <a:ext cx="2259965" cy="8255"/>
                    </a:xfrm>
                    <a:prstGeom prst="rect">
                      <a:avLst/>
                    </a:prstGeom>
                    <a:noFill/>
                  </pic:spPr>
                </pic:pic>
              </a:graphicData>
            </a:graphic>
          </wp:anchor>
        </w:drawing>
      </w:r>
    </w:p>
    <w:p>
      <w:pPr>
        <w:ind w:left="5980"/>
        <w:spacing w:after="0"/>
        <w:tabs>
          <w:tab w:leader="none" w:pos="684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-1270</wp:posOffset>
            </wp:positionV>
            <wp:extent cx="23596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9">
                      <a:extLst>
                        <a:ext uri="{28A0092B-C50C-407E-A947-70E740481C1C}"/>
                      </a:extLst>
                    </a:blip>
                    <a:srcRect/>
                    <a:stretch>
                      <a:fillRect/>
                    </a:stretch>
                  </pic:blipFill>
                  <pic:spPr bwMode="auto">
                    <a:xfrm>
                      <a:off x="0" y="0"/>
                      <a:ext cx="2359660" cy="8255"/>
                    </a:xfrm>
                    <a:prstGeom prst="rect">
                      <a:avLst/>
                    </a:prstGeom>
                    <a:noFill/>
                  </pic:spPr>
                </pic:pic>
              </a:graphicData>
            </a:graphic>
          </wp:anchor>
        </w:drawing>
      </w:r>
    </w:p>
    <w:p>
      <w:pPr>
        <w:spacing w:after="0" w:line="19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1"/>
          <w:szCs w:val="21"/>
          <w:b w:val="1"/>
          <w:bCs w:val="1"/>
          <w:color w:val="auto"/>
        </w:rPr>
        <w:t>LESSEE:</w:t>
      </w:r>
    </w:p>
    <w:p>
      <w:pPr>
        <w:spacing w:after="0" w:line="2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1"/>
          <w:szCs w:val="21"/>
          <w:color w:val="auto"/>
        </w:rPr>
        <w:t>VROOM, INC.</w:t>
      </w:r>
    </w:p>
    <w:p>
      <w:pPr>
        <w:spacing w:after="0" w:line="230" w:lineRule="exact"/>
        <w:rPr>
          <w:sz w:val="20"/>
          <w:szCs w:val="20"/>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21"/>
          <w:szCs w:val="21"/>
          <w:color w:val="auto"/>
        </w:rPr>
        <w:t>By:</w:t>
        <w:tab/>
        <w:t>/s/ Deni Stott</w:t>
      </w:r>
    </w:p>
    <w:p>
      <w:pPr>
        <w:spacing w:after="0" w:line="21" w:lineRule="exact"/>
        <w:rPr>
          <w:sz w:val="20"/>
          <w:szCs w:val="20"/>
          <w:color w:val="auto"/>
        </w:rPr>
      </w:pPr>
    </w:p>
    <w:tbl>
      <w:tblPr>
        <w:tblLayout w:type="fixed"/>
        <w:tblInd w:w="5980" w:type="dxa"/>
        <w:tblCellMar>
          <w:top w:w="0" w:type="dxa"/>
          <w:left w:w="0" w:type="dxa"/>
          <w:bottom w:w="0" w:type="dxa"/>
          <w:right w:w="0" w:type="dxa"/>
        </w:tblCellMar>
      </w:tblPr>
      <w:tr>
        <w:trPr>
          <w:trHeight w:val="229"/>
        </w:trPr>
        <w:tc>
          <w:tcPr>
            <w:tcW w:w="560" w:type="dxa"/>
            <w:vAlign w:val="bottom"/>
          </w:tcPr>
          <w:p>
            <w:pPr>
              <w:spacing w:after="0" w:line="229" w:lineRule="exact"/>
              <w:rPr>
                <w:sz w:val="20"/>
                <w:szCs w:val="20"/>
                <w:color w:val="auto"/>
              </w:rPr>
            </w:pPr>
            <w:r>
              <w:rPr>
                <w:rFonts w:ascii="Times New Roman" w:cs="Times New Roman" w:eastAsia="Times New Roman" w:hAnsi="Times New Roman"/>
                <w:sz w:val="21"/>
                <w:szCs w:val="21"/>
                <w:color w:val="auto"/>
                <w:w w:val="96"/>
              </w:rPr>
              <w:t>Name:</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560" w:type="dxa"/>
            <w:vAlign w:val="bottom"/>
            <w:tcBorders>
              <w:top w:val="single" w:sz="8" w:color="auto"/>
              <w:bottom w:val="single" w:sz="8" w:color="auto"/>
            </w:tcBorders>
          </w:tcPr>
          <w:p>
            <w:pPr>
              <w:spacing w:after="0" w:line="229" w:lineRule="exact"/>
              <w:rPr>
                <w:sz w:val="20"/>
                <w:szCs w:val="20"/>
                <w:color w:val="auto"/>
              </w:rPr>
            </w:pPr>
            <w:r>
              <w:rPr>
                <w:rFonts w:ascii="Times New Roman" w:cs="Times New Roman" w:eastAsia="Times New Roman" w:hAnsi="Times New Roman"/>
                <w:sz w:val="21"/>
                <w:szCs w:val="21"/>
                <w:color w:val="auto"/>
              </w:rPr>
              <w:t>Deni Stott</w:t>
            </w:r>
          </w:p>
        </w:tc>
      </w:tr>
      <w:tr>
        <w:trPr>
          <w:trHeight w:val="229"/>
        </w:trPr>
        <w:tc>
          <w:tcPr>
            <w:tcW w:w="780" w:type="dxa"/>
            <w:vAlign w:val="bottom"/>
            <w:gridSpan w:val="2"/>
          </w:tcPr>
          <w:p>
            <w:pPr>
              <w:spacing w:after="0" w:line="229" w:lineRule="exact"/>
              <w:rPr>
                <w:sz w:val="20"/>
                <w:szCs w:val="20"/>
                <w:color w:val="auto"/>
              </w:rPr>
            </w:pPr>
            <w:r>
              <w:rPr>
                <w:rFonts w:ascii="Times New Roman" w:cs="Times New Roman" w:eastAsia="Times New Roman" w:hAnsi="Times New Roman"/>
                <w:sz w:val="21"/>
                <w:szCs w:val="21"/>
                <w:color w:val="auto"/>
              </w:rPr>
              <w:t>Title:</w:t>
            </w:r>
          </w:p>
        </w:tc>
        <w:tc>
          <w:tcPr>
            <w:tcW w:w="3720" w:type="dxa"/>
            <w:vAlign w:val="bottom"/>
            <w:tcBorders>
              <w:bottom w:val="single" w:sz="8" w:color="auto"/>
            </w:tcBorders>
            <w:gridSpan w:val="2"/>
          </w:tcPr>
          <w:p>
            <w:pPr>
              <w:spacing w:after="0" w:line="229" w:lineRule="exact"/>
              <w:rPr>
                <w:sz w:val="20"/>
                <w:szCs w:val="20"/>
                <w:color w:val="auto"/>
              </w:rPr>
            </w:pPr>
            <w:r>
              <w:rPr>
                <w:rFonts w:ascii="Times New Roman" w:cs="Times New Roman" w:eastAsia="Times New Roman" w:hAnsi="Times New Roman"/>
                <w:sz w:val="21"/>
                <w:szCs w:val="21"/>
                <w:color w:val="auto"/>
              </w:rPr>
              <w:t>Chief People &amp; Culture Officer</w:t>
            </w:r>
          </w:p>
        </w:tc>
      </w:tr>
    </w:tbl>
    <w:p>
      <w:pPr>
        <w:spacing w:after="0" w:line="200" w:lineRule="exact"/>
        <w:rPr>
          <w:sz w:val="20"/>
          <w:szCs w:val="20"/>
          <w:color w:val="auto"/>
        </w:rPr>
      </w:pPr>
    </w:p>
    <w:p>
      <w:pPr>
        <w:spacing w:after="0" w:line="2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480"/>
          </w:cols>
          <w:pgMar w:left="1080" w:top="567"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21"/>
          <w:szCs w:val="21"/>
          <w:b w:val="1"/>
          <w:bCs w:val="1"/>
          <w:color w:val="auto"/>
        </w:rPr>
        <w:t>Exhibit 10.19</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THIRD AMENDMENT TO LEASE AGREEEMENT</w:t>
      </w:r>
    </w:p>
    <w:p>
      <w:pPr>
        <w:spacing w:after="0" w:line="207"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1"/>
          <w:szCs w:val="21"/>
          <w:color w:val="auto"/>
        </w:rPr>
        <w:t xml:space="preserve">This THIRD AMENDMENT TO LEASE AGREEEMENT (the “Third Amendment”) is made and entered into effective as of January 28, 2021, by and between Sohani Heritage Trust ("Lessor") and Left Gate Property Holding, LLC d/b/a Texas Direct Auto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"Lessee").</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b w:val="1"/>
          <w:bCs w:val="1"/>
          <w:u w:val="single" w:color="auto"/>
          <w:color w:val="auto"/>
        </w:rPr>
        <w:t>WITNESSETH:</w:t>
      </w:r>
    </w:p>
    <w:p>
      <w:pPr>
        <w:spacing w:after="0" w:line="203"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Lessor and Lessee entered into that certain Lease Agreement dated May 21, 2011 (the “Original Lease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covering those certain premises (the “Premises”) commonly known as 12002 Southwest Freeway, Stafford, Texas, as more particularly described in the Lease.</w:t>
      </w:r>
    </w:p>
    <w:p>
      <w:pPr>
        <w:spacing w:after="0" w:line="155"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Lessor and Lessee amended the Lease pursuant to the First Amendment to Lease Agreement, dated December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28, 2018, and the Second Amendment to Lease Agreement, dated May 1, 2020 (the “Amendments” and together with the Original Lease, the “Lease”).</w:t>
      </w:r>
    </w:p>
    <w:p>
      <w:pPr>
        <w:spacing w:after="0" w:line="1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Amendments incorrectly refers to Lessee as Vroom, Inc., as successor to Left Gate Property Holdings,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the correct name of Lessee and the successor in interest to Left Gate Property Holdings, Inc. is Left Gate Property Holding, LLC.</w:t>
      </w:r>
    </w:p>
    <w:p>
      <w:pPr>
        <w:spacing w:after="0" w:line="175" w:lineRule="exact"/>
        <w:rPr>
          <w:sz w:val="20"/>
          <w:szCs w:val="20"/>
          <w:color w:val="auto"/>
        </w:rPr>
      </w:pPr>
    </w:p>
    <w:p>
      <w:pPr>
        <w:jc w:val="both"/>
        <w:ind w:firstLine="864"/>
        <w:spacing w:after="0" w:line="270"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Lessor and Lessee desire to further amend the Lease to modify the terms of the Lease to extend the Lease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through December 31, 2023, and modify the rent schedule for the remaining term of the Lease.</w:t>
      </w:r>
    </w:p>
    <w:p>
      <w:pPr>
        <w:spacing w:after="0" w:line="137" w:lineRule="exact"/>
        <w:rPr>
          <w:sz w:val="20"/>
          <w:szCs w:val="20"/>
          <w:color w:val="auto"/>
        </w:rPr>
      </w:pPr>
    </w:p>
    <w:p>
      <w:pPr>
        <w:jc w:val="both"/>
        <w:ind w:firstLine="864"/>
        <w:spacing w:after="0" w:line="270"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for good and valuable consideration, the receipt and sufficiency of which is hereby acknowledged,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hereby agree as follows:</w:t>
      </w:r>
    </w:p>
    <w:p>
      <w:pPr>
        <w:spacing w:after="0" w:line="137" w:lineRule="exact"/>
        <w:rPr>
          <w:sz w:val="20"/>
          <w:szCs w:val="20"/>
          <w:color w:val="auto"/>
        </w:rPr>
      </w:pPr>
    </w:p>
    <w:p>
      <w:pPr>
        <w:ind w:left="1960" w:hanging="1091"/>
        <w:spacing w:after="0"/>
        <w:tabs>
          <w:tab w:leader="none" w:pos="1960"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Recitals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foregoing recitals are true and correct and are incorporated herein by reference as if they are set</w:t>
      </w:r>
    </w:p>
    <w:p>
      <w:pPr>
        <w:spacing w:after="0" w:line="33"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forth below.</w:t>
      </w:r>
    </w:p>
    <w:p>
      <w:pPr>
        <w:spacing w:after="0" w:line="175" w:lineRule="exact"/>
        <w:rPr>
          <w:rFonts w:ascii="Times New Roman" w:cs="Times New Roman" w:eastAsia="Times New Roman" w:hAnsi="Times New Roman"/>
          <w:sz w:val="20"/>
          <w:szCs w:val="20"/>
          <w:b w:val="1"/>
          <w:bCs w:val="1"/>
          <w:color w:val="auto"/>
        </w:rPr>
      </w:pPr>
    </w:p>
    <w:p>
      <w:pPr>
        <w:ind w:firstLine="869"/>
        <w:spacing w:after="0" w:line="270" w:lineRule="auto"/>
        <w:tabs>
          <w:tab w:leader="none" w:pos="1958" w:val="left"/>
        </w:tabs>
        <w:numPr>
          <w:ilvl w:val="0"/>
          <w:numId w:val="1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is otherwise defined herein, all defined terms hereinafter set forth in this Third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 shall have the same meaning as and when such defined terms are used in the Lease.</w:t>
      </w:r>
    </w:p>
    <w:p>
      <w:pPr>
        <w:spacing w:after="0" w:line="137"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1"/>
          <w:szCs w:val="21"/>
          <w:b w:val="1"/>
          <w:bCs w:val="1"/>
          <w:color w:val="auto"/>
        </w:rPr>
        <w:t>3</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Term</w:t>
      </w:r>
      <w:r>
        <w:rPr>
          <w:rFonts w:ascii="Times New Roman" w:cs="Times New Roman" w:eastAsia="Times New Roman" w:hAnsi="Times New Roman"/>
          <w:sz w:val="21"/>
          <w:szCs w:val="21"/>
          <w:color w:val="auto"/>
        </w:rPr>
        <w:t>. Notwithstanding anything to the contrary provided in the Lease, Lessor and Lessee hereby agree that the term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Lease will be extended and will terminate at 11:59 PM Houston, Texas time, on December 31, 2023. The parties agree that Lessor shall have the right to list and place “for sale” and/or “for lease” banners and signs on the leased premises during the period of January 1, 2023 to December 31, 2023.</w:t>
      </w:r>
    </w:p>
    <w:p>
      <w:pPr>
        <w:spacing w:after="0" w:line="161" w:lineRule="exact"/>
        <w:rPr>
          <w:sz w:val="20"/>
          <w:szCs w:val="20"/>
          <w:color w:val="auto"/>
        </w:rPr>
      </w:pPr>
    </w:p>
    <w:p>
      <w:pPr>
        <w:jc w:val="both"/>
        <w:ind w:firstLine="864"/>
        <w:spacing w:after="0" w:line="270" w:lineRule="auto"/>
        <w:rPr>
          <w:sz w:val="20"/>
          <w:szCs w:val="20"/>
          <w:color w:val="auto"/>
        </w:rPr>
      </w:pPr>
      <w:r>
        <w:rPr>
          <w:rFonts w:ascii="Times New Roman" w:cs="Times New Roman" w:eastAsia="Times New Roman" w:hAnsi="Times New Roman"/>
          <w:sz w:val="21"/>
          <w:szCs w:val="21"/>
          <w:b w:val="1"/>
          <w:bCs w:val="1"/>
          <w:color w:val="auto"/>
        </w:rPr>
        <w:t>4</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Rent Schedule</w:t>
      </w:r>
      <w:r>
        <w:rPr>
          <w:rFonts w:ascii="Times New Roman" w:cs="Times New Roman" w:eastAsia="Times New Roman" w:hAnsi="Times New Roman"/>
          <w:sz w:val="21"/>
          <w:szCs w:val="21"/>
          <w:color w:val="auto"/>
        </w:rPr>
        <w:t>. Notwithstanding anything to the contrary provided in the Lease, Lessor and Lessee hereby agree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monthly rental payment shall be as follows:</w:t>
      </w:r>
    </w:p>
    <w:p>
      <w:pPr>
        <w:spacing w:after="0" w:line="141" w:lineRule="exact"/>
        <w:rPr>
          <w:sz w:val="20"/>
          <w:szCs w:val="20"/>
          <w:color w:val="auto"/>
        </w:rPr>
      </w:pPr>
    </w:p>
    <w:p>
      <w:pPr>
        <w:ind w:left="5500" w:right="4020" w:hanging="4191"/>
        <w:spacing w:after="0" w:line="474" w:lineRule="auto"/>
        <w:tabs>
          <w:tab w:leader="none" w:pos="1908"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February 1, 2021 – December 31, 2021 - $55,494.48 per month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153275"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77" w:name="page178"/>
    <w:bookmarkEnd w:id="177"/>
    <w:p>
      <w:pPr>
        <w:ind w:left="1920" w:hanging="611"/>
        <w:spacing w:after="0"/>
        <w:tabs>
          <w:tab w:leader="none" w:pos="192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January 1, 2022 – December 31, 2022 - $56,624.12 per month</w:t>
      </w:r>
    </w:p>
    <w:p>
      <w:pPr>
        <w:spacing w:after="0" w:line="18" w:lineRule="exact"/>
        <w:rPr>
          <w:rFonts w:ascii="Times New Roman" w:cs="Times New Roman" w:eastAsia="Times New Roman" w:hAnsi="Times New Roman"/>
          <w:sz w:val="21"/>
          <w:szCs w:val="21"/>
          <w:color w:val="auto"/>
        </w:rPr>
      </w:pPr>
    </w:p>
    <w:p>
      <w:pPr>
        <w:ind w:left="1920" w:hanging="611"/>
        <w:spacing w:after="0"/>
        <w:tabs>
          <w:tab w:leader="none" w:pos="192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January 1, 2023 – December 31, 2023 - $58,883.40 per month</w:t>
      </w:r>
    </w:p>
    <w:p>
      <w:pPr>
        <w:spacing w:after="0" w:line="1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Lessee will also continue to make the Deferred Rent Payments in accordance with the Second Amendment to Lease Agreement, referenced herein.</w:t>
      </w:r>
    </w:p>
    <w:p>
      <w:pPr>
        <w:spacing w:after="0" w:line="141" w:lineRule="exact"/>
        <w:rPr>
          <w:sz w:val="20"/>
          <w:szCs w:val="20"/>
          <w:color w:val="auto"/>
        </w:rPr>
      </w:pPr>
    </w:p>
    <w:p>
      <w:pPr>
        <w:jc w:val="both"/>
        <w:ind w:firstLine="977"/>
        <w:spacing w:after="0" w:line="241" w:lineRule="auto"/>
        <w:tabs>
          <w:tab w:leader="none" w:pos="1325" w:val="left"/>
        </w:tabs>
        <w:numPr>
          <w:ilvl w:val="0"/>
          <w:numId w:val="1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Effect of this Amendment.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Lease, as amended by this Third Amendment, is hereby ratified and affirmed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expressly amended hereby, all other items and provisions of the Lease remain unchanged and continue to be in full force and effect. The terms of this Third Amendment shall control over any conflicts between the terms of the Lease and the terms of this Third Amendment. The Lease, as amended by this Third Amendment, constitutes the entire agreement and understanding between the parties hereto relating to the subject matter hereof and all prior agreements, proposals, negotiations, understandings and correspondence between the parties in this regard, whether written or oral, hereby superseded and merged herewith.</w:t>
      </w:r>
    </w:p>
    <w:p>
      <w:pPr>
        <w:spacing w:after="0" w:line="167" w:lineRule="exact"/>
        <w:rPr>
          <w:rFonts w:ascii="Times New Roman" w:cs="Times New Roman" w:eastAsia="Times New Roman" w:hAnsi="Times New Roman"/>
          <w:sz w:val="21"/>
          <w:szCs w:val="21"/>
          <w:b w:val="1"/>
          <w:bCs w:val="1"/>
          <w:color w:val="auto"/>
        </w:rPr>
      </w:pPr>
    </w:p>
    <w:p>
      <w:pPr>
        <w:jc w:val="both"/>
        <w:ind w:firstLine="1181"/>
        <w:spacing w:after="0" w:line="252" w:lineRule="auto"/>
        <w:tabs>
          <w:tab w:leader="none" w:pos="1569" w:val="left"/>
        </w:tabs>
        <w:numPr>
          <w:ilvl w:val="1"/>
          <w:numId w:val="1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The Lease and this Third Amendment shall be governed by and construed and interpreted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the Laws of the United States and the State of Texas. Harris County, Texas, shall be a proper place of venue to enforce payment or performance under the Lease and this Third Amendment.</w:t>
      </w:r>
    </w:p>
    <w:p>
      <w:pPr>
        <w:spacing w:after="0" w:line="155" w:lineRule="exact"/>
        <w:rPr>
          <w:rFonts w:ascii="Times New Roman" w:cs="Times New Roman" w:eastAsia="Times New Roman" w:hAnsi="Times New Roman"/>
          <w:sz w:val="21"/>
          <w:szCs w:val="21"/>
          <w:b w:val="1"/>
          <w:bCs w:val="1"/>
          <w:color w:val="auto"/>
        </w:rPr>
      </w:pPr>
    </w:p>
    <w:p>
      <w:pPr>
        <w:jc w:val="both"/>
        <w:ind w:firstLine="1181"/>
        <w:spacing w:after="0" w:line="246" w:lineRule="auto"/>
        <w:tabs>
          <w:tab w:leader="none" w:pos="1608" w:val="left"/>
        </w:tabs>
        <w:numPr>
          <w:ilvl w:val="1"/>
          <w:numId w:val="1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Inconsistencies</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the event of any inconsistencies between the Lease and this Third Amendment, the terms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Third Amendment shall take precedence. Except as expressly set forth in this Third Amendment, the Lease otherwise is unmodified, remains in full force and effect and is incorporated and restated herein as if fully set forth at length. Each reference in the Lease to itself shall be deemed also to refer to this Third Amendment.</w:t>
      </w:r>
    </w:p>
    <w:p>
      <w:pPr>
        <w:spacing w:after="0" w:line="1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IN WITNESS WHEREOF, the parties have duly executed this Third Amendment effective on the date first set forth above.</w:t>
      </w:r>
    </w:p>
    <w:p>
      <w:pPr>
        <w:spacing w:after="0" w:line="1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b w:val="1"/>
          <w:bCs w:val="1"/>
          <w:color w:val="auto"/>
        </w:rPr>
        <w:t>LESSOR:</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SOHANI HERITAGE TRUST</w:t>
      </w:r>
    </w:p>
    <w:p>
      <w:pPr>
        <w:spacing w:after="0" w:line="20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Shiraz Ali</w:t>
      </w:r>
    </w:p>
    <w:p>
      <w:pPr>
        <w:spacing w:after="0" w:line="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Name: Shiraz Ali</w:t>
      </w:r>
    </w:p>
    <w:p>
      <w:pPr>
        <w:ind w:left="5200"/>
        <w:spacing w:after="0"/>
        <w:rPr>
          <w:sz w:val="20"/>
          <w:szCs w:val="20"/>
          <w:color w:val="auto"/>
        </w:rPr>
      </w:pPr>
      <w:r>
        <w:rPr>
          <w:rFonts w:ascii="Times New Roman" w:cs="Times New Roman" w:eastAsia="Times New Roman" w:hAnsi="Times New Roman"/>
          <w:sz w:val="21"/>
          <w:szCs w:val="21"/>
          <w:color w:val="auto"/>
        </w:rPr>
        <w:t>Title: President</w:t>
      </w:r>
    </w:p>
    <w:p>
      <w:pPr>
        <w:spacing w:after="0" w:line="1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b w:val="1"/>
          <w:bCs w:val="1"/>
          <w:color w:val="auto"/>
        </w:rPr>
        <w:t>LESSEE:</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LEFT GATE PROPERTY HOLDING, LLC</w:t>
      </w:r>
    </w:p>
    <w:p>
      <w:pPr>
        <w:spacing w:after="0" w:line="20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Deni Stott</w:t>
      </w:r>
    </w:p>
    <w:p>
      <w:pPr>
        <w:spacing w:after="0" w:line="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Name: Deni Stott</w:t>
      </w:r>
    </w:p>
    <w:p>
      <w:pPr>
        <w:ind w:left="5200"/>
        <w:spacing w:after="0"/>
        <w:rPr>
          <w:sz w:val="20"/>
          <w:szCs w:val="20"/>
          <w:color w:val="auto"/>
        </w:rPr>
      </w:pPr>
      <w:r>
        <w:rPr>
          <w:rFonts w:ascii="Times New Roman" w:cs="Times New Roman" w:eastAsia="Times New Roman" w:hAnsi="Times New Roman"/>
          <w:sz w:val="21"/>
          <w:szCs w:val="21"/>
          <w:color w:val="auto"/>
        </w:rPr>
        <w:t>Title: Chief People &amp; Culture Officer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348"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7"/>
          <w:szCs w:val="17"/>
          <w:b w:val="1"/>
          <w:bCs w:val="1"/>
          <w:color w:val="auto"/>
        </w:rPr>
        <w:t>Exhibit 10.25</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ASSIGNMENT AND ASSUMPTION AGREEMENT</w:t>
      </w:r>
    </w:p>
    <w:p>
      <w:pPr>
        <w:spacing w:after="0" w:line="210" w:lineRule="exact"/>
        <w:rPr>
          <w:sz w:val="20"/>
          <w:szCs w:val="20"/>
          <w:color w:val="auto"/>
        </w:rPr>
      </w:pPr>
    </w:p>
    <w:p>
      <w:pPr>
        <w:jc w:val="both"/>
        <w:ind w:firstLine="1081"/>
        <w:spacing w:after="0" w:line="256" w:lineRule="auto"/>
        <w:rPr>
          <w:sz w:val="20"/>
          <w:szCs w:val="20"/>
          <w:color w:val="auto"/>
        </w:rPr>
      </w:pPr>
      <w:r>
        <w:rPr>
          <w:rFonts w:ascii="Arial" w:cs="Arial" w:eastAsia="Arial" w:hAnsi="Arial"/>
          <w:sz w:val="17"/>
          <w:szCs w:val="17"/>
          <w:color w:val="auto"/>
        </w:rPr>
        <w:t>This Assignment and Assumption Agreement, ("</w:t>
      </w:r>
      <w:r>
        <w:rPr>
          <w:rFonts w:ascii="Arial" w:cs="Arial" w:eastAsia="Arial" w:hAnsi="Arial"/>
          <w:sz w:val="17"/>
          <w:szCs w:val="17"/>
          <w:b w:val="1"/>
          <w:bCs w:val="1"/>
          <w:color w:val="auto"/>
        </w:rPr>
        <w:t>Assignment Agreement</w:t>
      </w:r>
      <w:r>
        <w:rPr>
          <w:rFonts w:ascii="Arial" w:cs="Arial" w:eastAsia="Arial" w:hAnsi="Arial"/>
          <w:sz w:val="17"/>
          <w:szCs w:val="17"/>
          <w:color w:val="auto"/>
        </w:rPr>
        <w:t>"), dated effective as of August 17, 2020 (“Effective Date”), is between Left Gate Property Holding LLC, a Texas limited liability company d/b/a Texas Direct Auto or Vroom, with its principal place of business located at 1375 Broadway, 11th Floor, New York, NY 10018 (“</w:t>
      </w:r>
      <w:r>
        <w:rPr>
          <w:rFonts w:ascii="Arial" w:cs="Arial" w:eastAsia="Arial" w:hAnsi="Arial"/>
          <w:sz w:val="17"/>
          <w:szCs w:val="17"/>
          <w:b w:val="1"/>
          <w:bCs w:val="1"/>
          <w:color w:val="auto"/>
        </w:rPr>
        <w:t>Vroom</w:t>
      </w:r>
      <w:r>
        <w:rPr>
          <w:rFonts w:ascii="Arial" w:cs="Arial" w:eastAsia="Arial" w:hAnsi="Arial"/>
          <w:sz w:val="17"/>
          <w:szCs w:val="17"/>
          <w:color w:val="auto"/>
        </w:rPr>
        <w:t>”), Rock Connections LLC, a Michigan limited liability company, having an office at 1900 St. Antoine Street, Detroit, Michigan 48226 ("</w:t>
      </w:r>
      <w:r>
        <w:rPr>
          <w:rFonts w:ascii="Arial" w:cs="Arial" w:eastAsia="Arial" w:hAnsi="Arial"/>
          <w:sz w:val="17"/>
          <w:szCs w:val="17"/>
          <w:b w:val="1"/>
          <w:bCs w:val="1"/>
          <w:color w:val="auto"/>
        </w:rPr>
        <w:t>Assignor</w:t>
      </w:r>
      <w:r>
        <w:rPr>
          <w:rFonts w:ascii="Arial" w:cs="Arial" w:eastAsia="Arial" w:hAnsi="Arial"/>
          <w:sz w:val="17"/>
          <w:szCs w:val="17"/>
          <w:color w:val="auto"/>
        </w:rPr>
        <w:t>") and Rocket Auto LLC, a Michigan limited liability company, having an office at 1900 St. Antoine Street, Detroit, Michigan 48226 ("</w:t>
      </w:r>
      <w:r>
        <w:rPr>
          <w:rFonts w:ascii="Arial" w:cs="Arial" w:eastAsia="Arial" w:hAnsi="Arial"/>
          <w:sz w:val="17"/>
          <w:szCs w:val="17"/>
          <w:b w:val="1"/>
          <w:bCs w:val="1"/>
          <w:color w:val="auto"/>
        </w:rPr>
        <w:t>Assignee</w:t>
      </w:r>
      <w:r>
        <w:rPr>
          <w:rFonts w:ascii="Arial" w:cs="Arial" w:eastAsia="Arial" w:hAnsi="Arial"/>
          <w:sz w:val="17"/>
          <w:szCs w:val="17"/>
          <w:color w:val="auto"/>
        </w:rPr>
        <w:t>").</w:t>
      </w:r>
    </w:p>
    <w:p>
      <w:pPr>
        <w:spacing w:after="0" w:line="150" w:lineRule="exact"/>
        <w:rPr>
          <w:sz w:val="20"/>
          <w:szCs w:val="20"/>
          <w:color w:val="auto"/>
        </w:rPr>
      </w:pPr>
    </w:p>
    <w:p>
      <w:pPr>
        <w:jc w:val="both"/>
        <w:ind w:firstLine="1081"/>
        <w:spacing w:after="0" w:line="300" w:lineRule="auto"/>
        <w:rPr>
          <w:sz w:val="20"/>
          <w:szCs w:val="20"/>
          <w:color w:val="auto"/>
        </w:rPr>
      </w:pPr>
      <w:r>
        <w:rPr>
          <w:rFonts w:ascii="Arial" w:cs="Arial" w:eastAsia="Arial" w:hAnsi="Arial"/>
          <w:sz w:val="17"/>
          <w:szCs w:val="17"/>
          <w:color w:val="auto"/>
        </w:rPr>
        <w:t>WHEREAS, Assignor and Vroom have entered into a Customer Experience Management Agreement, dated April 17, 2020,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for Assignor to provide contact center services for retail car sales (“</w:t>
      </w:r>
      <w:r>
        <w:rPr>
          <w:rFonts w:ascii="Arial" w:cs="Arial" w:eastAsia="Arial" w:hAnsi="Arial"/>
          <w:sz w:val="17"/>
          <w:szCs w:val="17"/>
          <w:b w:val="1"/>
          <w:bCs w:val="1"/>
          <w:color w:val="auto"/>
        </w:rPr>
        <w:t>Services</w:t>
      </w:r>
      <w:r>
        <w:rPr>
          <w:rFonts w:ascii="Arial" w:cs="Arial" w:eastAsia="Arial" w:hAnsi="Arial"/>
          <w:sz w:val="17"/>
          <w:szCs w:val="17"/>
          <w:color w:val="auto"/>
        </w:rPr>
        <w:t>”) to Vroom;</w:t>
      </w:r>
    </w:p>
    <w:p>
      <w:pPr>
        <w:spacing w:after="0" w:line="11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WHEREAS, Assignor and Assignee are both wholly owned subsidiaries of Rocket Companies, Inc.; and</w:t>
      </w:r>
    </w:p>
    <w:p>
      <w:pPr>
        <w:spacing w:after="0" w:line="210" w:lineRule="exact"/>
        <w:rPr>
          <w:sz w:val="20"/>
          <w:szCs w:val="20"/>
          <w:color w:val="auto"/>
        </w:rPr>
      </w:pPr>
    </w:p>
    <w:p>
      <w:pPr>
        <w:jc w:val="both"/>
        <w:ind w:firstLine="1081"/>
        <w:spacing w:after="0" w:line="290" w:lineRule="auto"/>
        <w:rPr>
          <w:sz w:val="20"/>
          <w:szCs w:val="20"/>
          <w:color w:val="auto"/>
        </w:rPr>
      </w:pPr>
      <w:r>
        <w:rPr>
          <w:rFonts w:ascii="Arial" w:cs="Arial" w:eastAsia="Arial" w:hAnsi="Arial"/>
          <w:sz w:val="17"/>
          <w:szCs w:val="17"/>
          <w:color w:val="auto"/>
        </w:rPr>
        <w:t>WHEREAS, Assignor intends to assign all rights, and obligations under the Agreement to Assignee, and Assignee intends to assume all responsibility to provide the Services to Vroom.</w:t>
      </w:r>
    </w:p>
    <w:p>
      <w:pPr>
        <w:spacing w:after="0" w:line="129" w:lineRule="exact"/>
        <w:rPr>
          <w:sz w:val="20"/>
          <w:szCs w:val="20"/>
          <w:color w:val="auto"/>
        </w:rPr>
      </w:pPr>
    </w:p>
    <w:p>
      <w:pPr>
        <w:jc w:val="both"/>
        <w:ind w:firstLine="1081"/>
        <w:spacing w:after="0" w:line="290" w:lineRule="auto"/>
        <w:rPr>
          <w:sz w:val="20"/>
          <w:szCs w:val="20"/>
          <w:color w:val="auto"/>
        </w:rPr>
      </w:pPr>
      <w:r>
        <w:rPr>
          <w:rFonts w:ascii="Arial" w:cs="Arial" w:eastAsia="Arial" w:hAnsi="Arial"/>
          <w:sz w:val="17"/>
          <w:szCs w:val="17"/>
          <w:color w:val="auto"/>
        </w:rPr>
        <w:t>NOW, THEREFORE, the parties hereto, in consideration of the premises, the covenants herein set forth, and intending to be legally bound, agree as follows:</w:t>
      </w:r>
    </w:p>
    <w:p>
      <w:pPr>
        <w:spacing w:after="0" w:line="129" w:lineRule="exact"/>
        <w:rPr>
          <w:sz w:val="20"/>
          <w:szCs w:val="20"/>
          <w:color w:val="auto"/>
        </w:rPr>
      </w:pPr>
    </w:p>
    <w:p>
      <w:pPr>
        <w:jc w:val="both"/>
        <w:ind w:left="920" w:hanging="401"/>
        <w:spacing w:after="0" w:line="257" w:lineRule="auto"/>
        <w:tabs>
          <w:tab w:leader="none" w:pos="9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Assignor hereby assigns all rights, interests and obligations to provide the Services to Assignee on the same terms and conditions set forth in the attached Agreement (see Exhibit A). Assignee hereby assumes all the rights, duties and obligations of Assignor to provide the Services under the Agreement and hereby agrees to pay, perform and discharge, as and when due, all of the duties and obligations of Assignor under the Agreement.</w:t>
      </w:r>
    </w:p>
    <w:p>
      <w:pPr>
        <w:spacing w:after="0" w:line="157" w:lineRule="exact"/>
        <w:rPr>
          <w:rFonts w:ascii="Arial" w:cs="Arial" w:eastAsia="Arial" w:hAnsi="Arial"/>
          <w:sz w:val="17"/>
          <w:szCs w:val="17"/>
          <w:color w:val="auto"/>
        </w:rPr>
      </w:pPr>
    </w:p>
    <w:p>
      <w:pPr>
        <w:ind w:left="920" w:hanging="401"/>
        <w:spacing w:after="0" w:line="290" w:lineRule="auto"/>
        <w:tabs>
          <w:tab w:leader="none" w:pos="9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This Assignment Agreement shall release Assignor from any and all of its responsibilities and obligations under the Agreement from and after the Effective Date.</w:t>
      </w:r>
    </w:p>
    <w:p>
      <w:pPr>
        <w:spacing w:after="0" w:line="129" w:lineRule="exact"/>
        <w:rPr>
          <w:rFonts w:ascii="Arial" w:cs="Arial" w:eastAsia="Arial" w:hAnsi="Arial"/>
          <w:sz w:val="17"/>
          <w:szCs w:val="17"/>
          <w:color w:val="auto"/>
        </w:rPr>
      </w:pPr>
    </w:p>
    <w:p>
      <w:pPr>
        <w:ind w:left="920" w:hanging="401"/>
        <w:spacing w:after="0" w:line="290" w:lineRule="auto"/>
        <w:tabs>
          <w:tab w:leader="none" w:pos="9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Vroom consents to Assignor’ s assignment of all of its rights, interests and obligations to provide the Services under the Agreement and Assignee’s assumption of the same, as set forth in this Assignment Agreement.</w:t>
      </w:r>
    </w:p>
    <w:p>
      <w:pPr>
        <w:spacing w:after="0" w:line="129" w:lineRule="exact"/>
        <w:rPr>
          <w:rFonts w:ascii="Arial" w:cs="Arial" w:eastAsia="Arial" w:hAnsi="Arial"/>
          <w:sz w:val="17"/>
          <w:szCs w:val="17"/>
          <w:color w:val="auto"/>
        </w:rPr>
      </w:pPr>
    </w:p>
    <w:p>
      <w:pPr>
        <w:ind w:left="920" w:hanging="401"/>
        <w:spacing w:after="0" w:line="290" w:lineRule="auto"/>
        <w:tabs>
          <w:tab w:leader="none" w:pos="9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Capitalized terms used in this Assignment Agreement that are not otherwise defined shall have the meanings given to them in the Agreement.</w:t>
      </w:r>
    </w:p>
    <w:p>
      <w:pPr>
        <w:spacing w:after="0" w:line="129" w:lineRule="exact"/>
        <w:rPr>
          <w:rFonts w:ascii="Arial" w:cs="Arial" w:eastAsia="Arial" w:hAnsi="Arial"/>
          <w:sz w:val="17"/>
          <w:szCs w:val="17"/>
          <w:color w:val="auto"/>
        </w:rPr>
      </w:pPr>
    </w:p>
    <w:p>
      <w:pPr>
        <w:ind w:left="920" w:hanging="401"/>
        <w:spacing w:after="0" w:line="290" w:lineRule="auto"/>
        <w:tabs>
          <w:tab w:leader="none" w:pos="9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This Assignment Agreement may be executed by original or electronic signatures and in counterparts, each of which shall be deemed an original, but all of which together shall constitute one and the same agreement.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agree to the above stated terms and witness the due execution hereof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1120140</wp:posOffset>
            </wp:positionV>
            <wp:extent cx="7153275" cy="16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79" w:name="page180"/>
    <w:bookmarkEnd w:id="179"/>
    <w:p>
      <w:pPr>
        <w:ind w:firstLine="864"/>
        <w:spacing w:after="0" w:line="290" w:lineRule="auto"/>
        <w:rPr>
          <w:sz w:val="20"/>
          <w:szCs w:val="20"/>
          <w:color w:val="auto"/>
        </w:rPr>
      </w:pPr>
      <w:r>
        <w:rPr>
          <w:rFonts w:ascii="Arial" w:cs="Arial" w:eastAsia="Arial" w:hAnsi="Arial"/>
          <w:sz w:val="17"/>
          <w:szCs w:val="17"/>
          <w:color w:val="auto"/>
        </w:rPr>
        <w:t>IN WITNESS WHEREOF, the parties have caused their names to be signed hereto by their respective officers thereunto duly authorized as of the date first above written.</w:t>
      </w:r>
    </w:p>
    <w:p>
      <w:pPr>
        <w:spacing w:after="0" w:line="33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LEFT GATE PROPERTY HOLDING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(“VROOM”)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20"/>
        <w:spacing w:after="0"/>
        <w:tabs>
          <w:tab w:leader="none" w:pos="60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u w:val="single" w:color="auto"/>
          <w:color w:val="auto"/>
        </w:rPr>
        <w:t>/s/ Paul Hennessy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Name: Paul Hennessy</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Title: CEO</w:t>
      </w:r>
    </w:p>
    <w:p>
      <w:pPr>
        <w:spacing w:after="0" w:line="397"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ROCK CONNECTIONS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(“ASSIGNOR”)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20"/>
        <w:spacing w:after="0"/>
        <w:tabs>
          <w:tab w:leader="none" w:pos="60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u w:val="single" w:color="auto"/>
          <w:color w:val="auto"/>
        </w:rPr>
        <w:t>/s/ Victor You</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Name: Victor You</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Title: CEO of Rock Connections</w:t>
      </w:r>
    </w:p>
    <w:p>
      <w:pPr>
        <w:spacing w:after="0" w:line="397"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ROCKET AUTO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(“ASSIGNEE”)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20"/>
        <w:spacing w:after="0"/>
        <w:tabs>
          <w:tab w:leader="none" w:pos="60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u w:val="single" w:color="auto"/>
          <w:color w:val="auto"/>
        </w:rPr>
        <w:t>/s/ Victor You</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Name: Victor You</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Title: CEO of Rock Connections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881380</wp:posOffset>
            </wp:positionV>
            <wp:extent cx="7153275"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7"/>
          <w:szCs w:val="17"/>
          <w:b w:val="1"/>
          <w:bCs w:val="1"/>
          <w:color w:val="auto"/>
        </w:rPr>
        <w:t>Exhibit A</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Customer Experience Management Agreement</w:t>
      </w:r>
    </w:p>
    <w:p>
      <w:pPr>
        <w:sectPr>
          <w:pgSz w:w="11900" w:h="16838" w:orient="portrait"/>
          <w:cols w:equalWidth="0" w:num="1">
            <w:col w:w="9019"/>
          </w:cols>
          <w:pgMar w:left="1440" w:top="116" w:right="1440" w:bottom="1440" w:gutter="0" w:footer="0" w:header="0"/>
        </w:sectPr>
      </w:pPr>
    </w:p>
    <w:bookmarkStart w:id="181" w:name="page182"/>
    <w:bookmarkEnd w:id="181"/>
    <w:p>
      <w:pPr>
        <w:jc w:val="right"/>
        <w:spacing w:after="0"/>
        <w:rPr>
          <w:sz w:val="20"/>
          <w:szCs w:val="20"/>
          <w:color w:val="auto"/>
        </w:rPr>
      </w:pPr>
      <w:r>
        <w:rPr>
          <w:rFonts w:ascii="Arial" w:cs="Arial" w:eastAsia="Arial" w:hAnsi="Arial"/>
          <w:sz w:val="17"/>
          <w:szCs w:val="17"/>
          <w:b w:val="1"/>
          <w:bCs w:val="1"/>
          <w:color w:val="auto"/>
        </w:rPr>
        <w:t>Exhibit 21.1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520" w:type="dxa"/>
            <w:vAlign w:val="bottom"/>
            <w:gridSpan w:val="3"/>
          </w:tcPr>
          <w:p>
            <w:pPr>
              <w:ind w:left="1120"/>
              <w:spacing w:after="0"/>
              <w:rPr>
                <w:sz w:val="20"/>
                <w:szCs w:val="20"/>
                <w:color w:val="auto"/>
              </w:rPr>
            </w:pPr>
            <w:r>
              <w:rPr>
                <w:rFonts w:ascii="Arial" w:cs="Arial" w:eastAsia="Arial" w:hAnsi="Arial"/>
                <w:sz w:val="17"/>
                <w:szCs w:val="17"/>
                <w:b w:val="1"/>
                <w:bCs w:val="1"/>
                <w:color w:val="auto"/>
              </w:rPr>
              <w:t>Subsidiaries of Vroom, Inc.</w:t>
            </w:r>
          </w:p>
        </w:tc>
      </w:tr>
      <w:tr>
        <w:trPr>
          <w:trHeight w:val="564"/>
        </w:trPr>
        <w:tc>
          <w:tcPr>
            <w:tcW w:w="3380" w:type="dxa"/>
            <w:vAlign w:val="bottom"/>
            <w:gridSpan w:val="2"/>
          </w:tcPr>
          <w:p>
            <w:pPr>
              <w:spacing w:after="0"/>
              <w:rPr>
                <w:sz w:val="20"/>
                <w:szCs w:val="20"/>
                <w:color w:val="auto"/>
              </w:rPr>
            </w:pPr>
            <w:r>
              <w:rPr>
                <w:rFonts w:ascii="Arial" w:cs="Arial" w:eastAsia="Arial" w:hAnsi="Arial"/>
                <w:sz w:val="17"/>
                <w:szCs w:val="17"/>
                <w:b w:val="1"/>
                <w:bCs w:val="1"/>
                <w:color w:val="auto"/>
              </w:rPr>
              <w:t>Legal Name of Subsidiary</w:t>
            </w:r>
          </w:p>
        </w:tc>
        <w:tc>
          <w:tcPr>
            <w:tcW w:w="6520" w:type="dxa"/>
            <w:vAlign w:val="bottom"/>
            <w:gridSpan w:val="3"/>
          </w:tcPr>
          <w:p>
            <w:pPr>
              <w:ind w:left="4180"/>
              <w:spacing w:after="0"/>
              <w:rPr>
                <w:sz w:val="20"/>
                <w:szCs w:val="20"/>
                <w:color w:val="auto"/>
              </w:rPr>
            </w:pPr>
            <w:r>
              <w:rPr>
                <w:rFonts w:ascii="Arial" w:cs="Arial" w:eastAsia="Arial" w:hAnsi="Arial"/>
                <w:sz w:val="17"/>
                <w:szCs w:val="17"/>
                <w:b w:val="1"/>
                <w:bCs w:val="1"/>
                <w:color w:val="auto"/>
              </w:rPr>
              <w:t>Jurisdiction of Organization</w:t>
            </w:r>
          </w:p>
        </w:tc>
      </w:tr>
      <w:tr>
        <w:trPr>
          <w:trHeight w:val="180"/>
        </w:trPr>
        <w:tc>
          <w:tcPr>
            <w:tcW w:w="214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AAGP, LLC d/b/a Vroom</w:t>
            </w:r>
          </w:p>
        </w:tc>
        <w:tc>
          <w:tcPr>
            <w:tcW w:w="12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32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Texas</w:t>
            </w:r>
          </w:p>
        </w:tc>
        <w:tc>
          <w:tcPr>
            <w:tcW w:w="20" w:type="dxa"/>
            <w:vAlign w:val="bottom"/>
          </w:tcPr>
          <w:p>
            <w:pPr>
              <w:spacing w:after="0"/>
              <w:rPr>
                <w:sz w:val="15"/>
                <w:szCs w:val="15"/>
                <w:color w:val="auto"/>
              </w:rPr>
            </w:pPr>
          </w:p>
        </w:tc>
      </w:tr>
      <w:tr>
        <w:trPr>
          <w:trHeight w:val="196"/>
        </w:trPr>
        <w:tc>
          <w:tcPr>
            <w:tcW w:w="9900" w:type="dxa"/>
            <w:vAlign w:val="bottom"/>
            <w:gridSpan w:val="5"/>
          </w:tcPr>
          <w:p>
            <w:pPr>
              <w:spacing w:after="0"/>
              <w:rPr>
                <w:sz w:val="20"/>
                <w:szCs w:val="20"/>
                <w:color w:val="auto"/>
              </w:rPr>
            </w:pPr>
            <w:r>
              <w:rPr>
                <w:rFonts w:ascii="Arial" w:cs="Arial" w:eastAsia="Arial" w:hAnsi="Arial"/>
                <w:sz w:val="17"/>
                <w:szCs w:val="17"/>
                <w:color w:val="auto"/>
              </w:rPr>
              <w:t>Vroom Automotive, LLC d/b/a Texas Direct Auto and Vroom and f/k/a Left Gate Property Holding, Texas</w:t>
            </w:r>
          </w:p>
        </w:tc>
      </w:tr>
      <w:tr>
        <w:trPr>
          <w:trHeight w:val="196"/>
        </w:trPr>
        <w:tc>
          <w:tcPr>
            <w:tcW w:w="3380" w:type="dxa"/>
            <w:vAlign w:val="bottom"/>
            <w:gridSpan w:val="2"/>
          </w:tcPr>
          <w:p>
            <w:pPr>
              <w:spacing w:after="0"/>
              <w:rPr>
                <w:sz w:val="20"/>
                <w:szCs w:val="20"/>
                <w:color w:val="auto"/>
              </w:rPr>
            </w:pPr>
            <w:r>
              <w:rPr>
                <w:rFonts w:ascii="Arial" w:cs="Arial" w:eastAsia="Arial" w:hAnsi="Arial"/>
                <w:sz w:val="17"/>
                <w:szCs w:val="17"/>
                <w:color w:val="auto"/>
              </w:rPr>
              <w:t>LLC</w:t>
            </w:r>
          </w:p>
        </w:tc>
        <w:tc>
          <w:tcPr>
            <w:tcW w:w="41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380" w:type="dxa"/>
            <w:vAlign w:val="bottom"/>
            <w:gridSpan w:val="2"/>
          </w:tcPr>
          <w:p>
            <w:pPr>
              <w:spacing w:after="0"/>
              <w:rPr>
                <w:sz w:val="20"/>
                <w:szCs w:val="20"/>
                <w:color w:val="auto"/>
              </w:rPr>
            </w:pPr>
            <w:r>
              <w:rPr>
                <w:rFonts w:ascii="Arial" w:cs="Arial" w:eastAsia="Arial" w:hAnsi="Arial"/>
                <w:sz w:val="17"/>
                <w:szCs w:val="17"/>
                <w:color w:val="auto"/>
              </w:rPr>
              <w:t>Nations Drive, LLC</w:t>
            </w:r>
          </w:p>
        </w:tc>
        <w:tc>
          <w:tcPr>
            <w:tcW w:w="6520" w:type="dxa"/>
            <w:vAlign w:val="bottom"/>
            <w:gridSpan w:val="3"/>
          </w:tcPr>
          <w:p>
            <w:pPr>
              <w:ind w:left="4180"/>
              <w:spacing w:after="0"/>
              <w:rPr>
                <w:sz w:val="20"/>
                <w:szCs w:val="20"/>
                <w:color w:val="auto"/>
              </w:rPr>
            </w:pPr>
            <w:r>
              <w:rPr>
                <w:rFonts w:ascii="Arial" w:cs="Arial" w:eastAsia="Arial" w:hAnsi="Arial"/>
                <w:sz w:val="17"/>
                <w:szCs w:val="17"/>
                <w:color w:val="auto"/>
              </w:rPr>
              <w:t>Texas</w:t>
            </w:r>
          </w:p>
        </w:tc>
      </w:tr>
      <w:tr>
        <w:trPr>
          <w:trHeight w:val="196"/>
        </w:trPr>
        <w:tc>
          <w:tcPr>
            <w:tcW w:w="3380" w:type="dxa"/>
            <w:vAlign w:val="bottom"/>
            <w:gridSpan w:val="2"/>
          </w:tcPr>
          <w:p>
            <w:pPr>
              <w:spacing w:after="0"/>
              <w:rPr>
                <w:sz w:val="20"/>
                <w:szCs w:val="20"/>
                <w:color w:val="auto"/>
              </w:rPr>
            </w:pPr>
            <w:r>
              <w:rPr>
                <w:rFonts w:ascii="Arial" w:cs="Arial" w:eastAsia="Arial" w:hAnsi="Arial"/>
                <w:sz w:val="17"/>
                <w:szCs w:val="17"/>
                <w:color w:val="auto"/>
              </w:rPr>
              <w:t>Vroom Logistics, LLC</w:t>
            </w:r>
          </w:p>
        </w:tc>
        <w:tc>
          <w:tcPr>
            <w:tcW w:w="6520" w:type="dxa"/>
            <w:vAlign w:val="bottom"/>
            <w:gridSpan w:val="3"/>
          </w:tcPr>
          <w:p>
            <w:pPr>
              <w:ind w:left="4180"/>
              <w:spacing w:after="0"/>
              <w:rPr>
                <w:sz w:val="20"/>
                <w:szCs w:val="20"/>
                <w:color w:val="auto"/>
              </w:rPr>
            </w:pPr>
            <w:r>
              <w:rPr>
                <w:rFonts w:ascii="Arial" w:cs="Arial" w:eastAsia="Arial" w:hAnsi="Arial"/>
                <w:sz w:val="17"/>
                <w:szCs w:val="17"/>
                <w:color w:val="auto"/>
              </w:rPr>
              <w:t>Delaware</w:t>
            </w:r>
          </w:p>
        </w:tc>
      </w:tr>
      <w:tr>
        <w:trPr>
          <w:trHeight w:val="196"/>
        </w:trPr>
        <w:tc>
          <w:tcPr>
            <w:tcW w:w="3380" w:type="dxa"/>
            <w:vAlign w:val="bottom"/>
            <w:gridSpan w:val="2"/>
          </w:tcPr>
          <w:p>
            <w:pPr>
              <w:spacing w:after="0"/>
              <w:rPr>
                <w:sz w:val="20"/>
                <w:szCs w:val="20"/>
                <w:color w:val="auto"/>
              </w:rPr>
            </w:pPr>
            <w:r>
              <w:rPr>
                <w:rFonts w:ascii="Arial" w:cs="Arial" w:eastAsia="Arial" w:hAnsi="Arial"/>
                <w:sz w:val="17"/>
                <w:szCs w:val="17"/>
                <w:color w:val="auto"/>
              </w:rPr>
              <w:t>CarStory, LLC</w:t>
            </w:r>
          </w:p>
        </w:tc>
        <w:tc>
          <w:tcPr>
            <w:tcW w:w="6520" w:type="dxa"/>
            <w:vAlign w:val="bottom"/>
            <w:gridSpan w:val="3"/>
          </w:tcPr>
          <w:p>
            <w:pPr>
              <w:ind w:left="4180"/>
              <w:spacing w:after="0"/>
              <w:rPr>
                <w:sz w:val="20"/>
                <w:szCs w:val="20"/>
                <w:color w:val="auto"/>
              </w:rPr>
            </w:pPr>
            <w:r>
              <w:rPr>
                <w:rFonts w:ascii="Arial" w:cs="Arial" w:eastAsia="Arial" w:hAnsi="Arial"/>
                <w:sz w:val="17"/>
                <w:szCs w:val="17"/>
                <w:color w:val="auto"/>
              </w:rPr>
              <w:t>Delaware</w:t>
            </w:r>
          </w:p>
        </w:tc>
      </w:tr>
      <w:tr>
        <w:trPr>
          <w:trHeight w:val="196"/>
        </w:trPr>
        <w:tc>
          <w:tcPr>
            <w:tcW w:w="3380" w:type="dxa"/>
            <w:vAlign w:val="bottom"/>
            <w:gridSpan w:val="2"/>
          </w:tcPr>
          <w:p>
            <w:pPr>
              <w:spacing w:after="0"/>
              <w:rPr>
                <w:sz w:val="20"/>
                <w:szCs w:val="20"/>
                <w:color w:val="auto"/>
              </w:rPr>
            </w:pPr>
            <w:r>
              <w:rPr>
                <w:rFonts w:ascii="Arial" w:cs="Arial" w:eastAsia="Arial" w:hAnsi="Arial"/>
                <w:sz w:val="17"/>
                <w:szCs w:val="17"/>
                <w:color w:val="auto"/>
              </w:rPr>
              <w:t>Vast.com, Inc. d/b/a CarStory</w:t>
            </w:r>
          </w:p>
        </w:tc>
        <w:tc>
          <w:tcPr>
            <w:tcW w:w="6520" w:type="dxa"/>
            <w:vAlign w:val="bottom"/>
            <w:gridSpan w:val="3"/>
          </w:tcPr>
          <w:p>
            <w:pPr>
              <w:ind w:left="4180"/>
              <w:spacing w:after="0"/>
              <w:rPr>
                <w:sz w:val="20"/>
                <w:szCs w:val="20"/>
                <w:color w:val="auto"/>
              </w:rPr>
            </w:pPr>
            <w:r>
              <w:rPr>
                <w:rFonts w:ascii="Arial" w:cs="Arial" w:eastAsia="Arial" w:hAnsi="Arial"/>
                <w:sz w:val="17"/>
                <w:szCs w:val="17"/>
                <w:color w:val="auto"/>
              </w:rPr>
              <w:t>California</w:t>
            </w:r>
          </w:p>
        </w:tc>
      </w:tr>
      <w:tr>
        <w:trPr>
          <w:trHeight w:val="236"/>
        </w:trPr>
        <w:tc>
          <w:tcPr>
            <w:tcW w:w="3380" w:type="dxa"/>
            <w:vAlign w:val="bottom"/>
            <w:gridSpan w:val="2"/>
          </w:tcPr>
          <w:p>
            <w:pPr>
              <w:spacing w:after="0"/>
              <w:rPr>
                <w:sz w:val="20"/>
                <w:szCs w:val="20"/>
                <w:color w:val="auto"/>
              </w:rPr>
            </w:pPr>
            <w:r>
              <w:rPr>
                <w:rFonts w:ascii="Arial" w:cs="Arial" w:eastAsia="Arial" w:hAnsi="Arial"/>
                <w:sz w:val="17"/>
                <w:szCs w:val="17"/>
                <w:color w:val="auto"/>
              </w:rPr>
              <w:t>Vast D.O.O.</w:t>
            </w:r>
          </w:p>
        </w:tc>
        <w:tc>
          <w:tcPr>
            <w:tcW w:w="6520" w:type="dxa"/>
            <w:vAlign w:val="bottom"/>
            <w:gridSpan w:val="3"/>
          </w:tcPr>
          <w:p>
            <w:pPr>
              <w:ind w:left="4180"/>
              <w:spacing w:after="0"/>
              <w:rPr>
                <w:sz w:val="20"/>
                <w:szCs w:val="20"/>
                <w:color w:val="auto"/>
              </w:rPr>
            </w:pPr>
            <w:r>
              <w:rPr>
                <w:rFonts w:ascii="Arial" w:cs="Arial" w:eastAsia="Arial" w:hAnsi="Arial"/>
                <w:sz w:val="17"/>
                <w:szCs w:val="17"/>
                <w:color w:val="auto"/>
              </w:rPr>
              <w:t>Serbia</w:t>
            </w:r>
          </w:p>
        </w:tc>
      </w:tr>
    </w:tbl>
    <w:p>
      <w:pPr>
        <w:sectPr>
          <w:pgSz w:w="11900" w:h="16838" w:orient="portrait"/>
          <w:cols w:equalWidth="0" w:num="1">
            <w:col w:w="11240"/>
          </w:cols>
          <w:pgMar w:left="320" w:top="116"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200" w:lineRule="exact"/>
        <w:rPr>
          <w:sz w:val="20"/>
          <w:szCs w:val="20"/>
          <w:color w:val="auto"/>
        </w:rPr>
      </w:pPr>
    </w:p>
    <w:p>
      <w:pPr>
        <w:spacing w:after="0" w:line="219"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color w:val="auto"/>
        </w:rPr>
        <w:t>We hereby consent to the incorporation by reference in the Registration Statement on Form S-8 (No. 333-239093) of Vroom, Inc. of our report dated March 3, 2021 relating to the financial statements, which appears in this Form 10-K.</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March 3, 2021</w:t>
      </w:r>
    </w:p>
    <w:p>
      <w:pPr>
        <w:sectPr>
          <w:pgSz w:w="11900" w:h="16838" w:orient="portrait"/>
          <w:cols w:equalWidth="0" w:num="1">
            <w:col w:w="11240"/>
          </w:cols>
          <w:pgMar w:left="320" w:top="116"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Paul J. Hennessy, certify that:</w:t>
      </w:r>
    </w:p>
    <w:p>
      <w:pPr>
        <w:spacing w:after="0" w:line="223" w:lineRule="exact"/>
        <w:rPr>
          <w:sz w:val="20"/>
          <w:szCs w:val="20"/>
          <w:color w:val="auto"/>
        </w:rPr>
      </w:pPr>
    </w:p>
    <w:p>
      <w:pPr>
        <w:ind w:left="500" w:hanging="495"/>
        <w:spacing w:after="0"/>
        <w:tabs>
          <w:tab w:leader="none" w:pos="5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Vroom, Inc.;</w:t>
      </w:r>
    </w:p>
    <w:p>
      <w:pPr>
        <w:spacing w:after="0" w:line="200" w:lineRule="exact"/>
        <w:rPr>
          <w:rFonts w:ascii="Times New Roman" w:cs="Times New Roman" w:eastAsia="Times New Roman" w:hAnsi="Times New Roman"/>
          <w:sz w:val="17"/>
          <w:szCs w:val="17"/>
          <w:color w:val="auto"/>
        </w:rPr>
      </w:pPr>
    </w:p>
    <w:p>
      <w:pPr>
        <w:spacing w:after="0" w:line="258" w:lineRule="exact"/>
        <w:rPr>
          <w:rFonts w:ascii="Times New Roman" w:cs="Times New Roman" w:eastAsia="Times New Roman" w:hAnsi="Times New Roman"/>
          <w:sz w:val="17"/>
          <w:szCs w:val="17"/>
          <w:color w:val="auto"/>
        </w:rPr>
      </w:pPr>
    </w:p>
    <w:p>
      <w:pPr>
        <w:ind w:left="500" w:right="100" w:hanging="495"/>
        <w:spacing w:after="0" w:line="296" w:lineRule="auto"/>
        <w:tabs>
          <w:tab w:leader="none" w:pos="5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1" w:lineRule="exact"/>
        <w:rPr>
          <w:rFonts w:ascii="Times New Roman" w:cs="Times New Roman" w:eastAsia="Times New Roman" w:hAnsi="Times New Roman"/>
          <w:sz w:val="17"/>
          <w:szCs w:val="17"/>
          <w:color w:val="auto"/>
        </w:rPr>
      </w:pPr>
    </w:p>
    <w:p>
      <w:pPr>
        <w:ind w:left="500" w:right="560" w:hanging="495"/>
        <w:spacing w:after="0" w:line="296" w:lineRule="auto"/>
        <w:tabs>
          <w:tab w:leader="none" w:pos="5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1" w:lineRule="exact"/>
        <w:rPr>
          <w:rFonts w:ascii="Times New Roman" w:cs="Times New Roman" w:eastAsia="Times New Roman" w:hAnsi="Times New Roman"/>
          <w:sz w:val="17"/>
          <w:szCs w:val="17"/>
          <w:color w:val="auto"/>
        </w:rPr>
      </w:pPr>
    </w:p>
    <w:p>
      <w:pPr>
        <w:ind w:left="500" w:right="40" w:hanging="495"/>
        <w:spacing w:after="0" w:line="296" w:lineRule="auto"/>
        <w:tabs>
          <w:tab w:leader="none" w:pos="5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381" w:lineRule="exact"/>
        <w:rPr>
          <w:rFonts w:ascii="Times New Roman" w:cs="Times New Roman" w:eastAsia="Times New Roman" w:hAnsi="Times New Roman"/>
          <w:sz w:val="17"/>
          <w:szCs w:val="17"/>
          <w:color w:val="auto"/>
        </w:rPr>
      </w:pPr>
    </w:p>
    <w:p>
      <w:pPr>
        <w:ind w:left="1000" w:right="340" w:hanging="498"/>
        <w:spacing w:after="0" w:line="276" w:lineRule="auto"/>
        <w:tabs>
          <w:tab w:leader="none" w:pos="100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8" w:lineRule="exact"/>
        <w:rPr>
          <w:rFonts w:ascii="Times New Roman" w:cs="Times New Roman" w:eastAsia="Times New Roman" w:hAnsi="Times New Roman"/>
          <w:sz w:val="17"/>
          <w:szCs w:val="17"/>
          <w:color w:val="auto"/>
        </w:rPr>
      </w:pPr>
    </w:p>
    <w:p>
      <w:pPr>
        <w:jc w:val="both"/>
        <w:ind w:left="1000" w:right="820" w:hanging="498"/>
        <w:spacing w:after="0" w:line="296" w:lineRule="auto"/>
        <w:tabs>
          <w:tab w:leader="none" w:pos="100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1" w:lineRule="exact"/>
        <w:rPr>
          <w:rFonts w:ascii="Times New Roman" w:cs="Times New Roman" w:eastAsia="Times New Roman" w:hAnsi="Times New Roman"/>
          <w:sz w:val="17"/>
          <w:szCs w:val="17"/>
          <w:color w:val="auto"/>
        </w:rPr>
      </w:pPr>
    </w:p>
    <w:p>
      <w:pPr>
        <w:ind w:left="1000" w:right="60" w:hanging="498"/>
        <w:spacing w:after="0" w:line="276" w:lineRule="auto"/>
        <w:tabs>
          <w:tab w:leader="none" w:pos="100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8" w:lineRule="exact"/>
        <w:rPr>
          <w:rFonts w:ascii="Times New Roman" w:cs="Times New Roman" w:eastAsia="Times New Roman" w:hAnsi="Times New Roman"/>
          <w:sz w:val="17"/>
          <w:szCs w:val="17"/>
          <w:color w:val="auto"/>
        </w:rPr>
      </w:pPr>
    </w:p>
    <w:p>
      <w:pPr>
        <w:ind w:left="500" w:right="480" w:hanging="495"/>
        <w:spacing w:after="0" w:line="296" w:lineRule="auto"/>
        <w:tabs>
          <w:tab w:leader="none" w:pos="5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1" w:lineRule="exact"/>
        <w:rPr>
          <w:rFonts w:ascii="Times New Roman" w:cs="Times New Roman" w:eastAsia="Times New Roman" w:hAnsi="Times New Roman"/>
          <w:sz w:val="17"/>
          <w:szCs w:val="17"/>
          <w:color w:val="auto"/>
        </w:rPr>
      </w:pPr>
    </w:p>
    <w:p>
      <w:pPr>
        <w:ind w:left="1000" w:right="260" w:hanging="498"/>
        <w:spacing w:after="0" w:line="296" w:lineRule="auto"/>
        <w:tabs>
          <w:tab w:leader="none" w:pos="100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1" w:lineRule="exact"/>
        <w:rPr>
          <w:rFonts w:ascii="Times New Roman" w:cs="Times New Roman" w:eastAsia="Times New Roman" w:hAnsi="Times New Roman"/>
          <w:sz w:val="17"/>
          <w:szCs w:val="17"/>
          <w:color w:val="auto"/>
        </w:rPr>
      </w:pPr>
    </w:p>
    <w:p>
      <w:pPr>
        <w:ind w:left="1000" w:right="220" w:hanging="498"/>
        <w:spacing w:after="0" w:line="296" w:lineRule="auto"/>
        <w:tabs>
          <w:tab w:leader="none" w:pos="100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Date: March 3, 2021</w:t>
            </w:r>
          </w:p>
        </w:tc>
        <w:tc>
          <w:tcPr>
            <w:tcW w:w="2460" w:type="dxa"/>
            <w:vAlign w:val="bottom"/>
          </w:tcPr>
          <w:p>
            <w:pPr>
              <w:ind w:left="2120"/>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Paul J. Hennessy</w:t>
            </w:r>
          </w:p>
        </w:tc>
      </w:tr>
      <w:tr>
        <w:trPr>
          <w:trHeight w:val="210"/>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Paul J. Hennessy</w:t>
            </w:r>
          </w:p>
        </w:tc>
      </w:tr>
      <w:tr>
        <w:trPr>
          <w:trHeight w:val="207"/>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9"/>
        </w:trPr>
        <w:tc>
          <w:tcPr>
            <w:tcW w:w="3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bl>
    <w:p>
      <w:pPr>
        <w:sectPr>
          <w:pgSz w:w="11900" w:h="16838" w:orient="portrait"/>
          <w:cols w:equalWidth="0" w:num="1">
            <w:col w:w="11240"/>
          </w:cols>
          <w:pgMar w:left="320" w:top="329"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David K. Jones, certify that:</w:t>
      </w:r>
    </w:p>
    <w:p>
      <w:pPr>
        <w:spacing w:after="0" w:line="223" w:lineRule="exact"/>
        <w:rPr>
          <w:sz w:val="20"/>
          <w:szCs w:val="20"/>
          <w:color w:val="auto"/>
        </w:rPr>
      </w:pPr>
    </w:p>
    <w:p>
      <w:pPr>
        <w:ind w:left="500" w:hanging="495"/>
        <w:spacing w:after="0"/>
        <w:tabs>
          <w:tab w:leader="none" w:pos="5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Vroom, Inc.;</w:t>
      </w:r>
    </w:p>
    <w:p>
      <w:pPr>
        <w:spacing w:after="0" w:line="200" w:lineRule="exact"/>
        <w:rPr>
          <w:rFonts w:ascii="Times New Roman" w:cs="Times New Roman" w:eastAsia="Times New Roman" w:hAnsi="Times New Roman"/>
          <w:sz w:val="17"/>
          <w:szCs w:val="17"/>
          <w:color w:val="auto"/>
        </w:rPr>
      </w:pPr>
    </w:p>
    <w:p>
      <w:pPr>
        <w:spacing w:after="0" w:line="232" w:lineRule="exact"/>
        <w:rPr>
          <w:rFonts w:ascii="Times New Roman" w:cs="Times New Roman" w:eastAsia="Times New Roman" w:hAnsi="Times New Roman"/>
          <w:sz w:val="17"/>
          <w:szCs w:val="17"/>
          <w:color w:val="auto"/>
        </w:rPr>
      </w:pPr>
    </w:p>
    <w:p>
      <w:pPr>
        <w:ind w:left="500" w:right="100" w:hanging="495"/>
        <w:spacing w:after="0" w:line="296" w:lineRule="auto"/>
        <w:tabs>
          <w:tab w:leader="none" w:pos="5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5" w:lineRule="exact"/>
        <w:rPr>
          <w:rFonts w:ascii="Times New Roman" w:cs="Times New Roman" w:eastAsia="Times New Roman" w:hAnsi="Times New Roman"/>
          <w:sz w:val="17"/>
          <w:szCs w:val="17"/>
          <w:color w:val="auto"/>
        </w:rPr>
      </w:pPr>
    </w:p>
    <w:p>
      <w:pPr>
        <w:ind w:left="500" w:right="560" w:hanging="495"/>
        <w:spacing w:after="0" w:line="296" w:lineRule="auto"/>
        <w:tabs>
          <w:tab w:leader="none" w:pos="5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5" w:lineRule="exact"/>
        <w:rPr>
          <w:rFonts w:ascii="Times New Roman" w:cs="Times New Roman" w:eastAsia="Times New Roman" w:hAnsi="Times New Roman"/>
          <w:sz w:val="17"/>
          <w:szCs w:val="17"/>
          <w:color w:val="auto"/>
        </w:rPr>
      </w:pPr>
    </w:p>
    <w:p>
      <w:pPr>
        <w:ind w:left="500" w:right="40" w:hanging="495"/>
        <w:spacing w:after="0" w:line="296" w:lineRule="auto"/>
        <w:tabs>
          <w:tab w:leader="none" w:pos="5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355" w:lineRule="exact"/>
        <w:rPr>
          <w:rFonts w:ascii="Times New Roman" w:cs="Times New Roman" w:eastAsia="Times New Roman" w:hAnsi="Times New Roman"/>
          <w:sz w:val="17"/>
          <w:szCs w:val="17"/>
          <w:color w:val="auto"/>
        </w:rPr>
      </w:pPr>
    </w:p>
    <w:p>
      <w:pPr>
        <w:ind w:left="1000" w:right="340" w:hanging="498"/>
        <w:spacing w:after="0" w:line="276" w:lineRule="auto"/>
        <w:tabs>
          <w:tab w:leader="none" w:pos="100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2" w:lineRule="exact"/>
        <w:rPr>
          <w:rFonts w:ascii="Times New Roman" w:cs="Times New Roman" w:eastAsia="Times New Roman" w:hAnsi="Times New Roman"/>
          <w:sz w:val="17"/>
          <w:szCs w:val="17"/>
          <w:color w:val="auto"/>
        </w:rPr>
      </w:pPr>
    </w:p>
    <w:p>
      <w:pPr>
        <w:jc w:val="both"/>
        <w:ind w:left="1000" w:right="820" w:hanging="498"/>
        <w:spacing w:after="0" w:line="296" w:lineRule="auto"/>
        <w:tabs>
          <w:tab w:leader="none" w:pos="100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5" w:lineRule="exact"/>
        <w:rPr>
          <w:rFonts w:ascii="Times New Roman" w:cs="Times New Roman" w:eastAsia="Times New Roman" w:hAnsi="Times New Roman"/>
          <w:sz w:val="17"/>
          <w:szCs w:val="17"/>
          <w:color w:val="auto"/>
        </w:rPr>
      </w:pPr>
    </w:p>
    <w:p>
      <w:pPr>
        <w:ind w:left="1000" w:right="60" w:hanging="498"/>
        <w:spacing w:after="0" w:line="276" w:lineRule="auto"/>
        <w:tabs>
          <w:tab w:leader="none" w:pos="100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2" w:lineRule="exact"/>
        <w:rPr>
          <w:rFonts w:ascii="Times New Roman" w:cs="Times New Roman" w:eastAsia="Times New Roman" w:hAnsi="Times New Roman"/>
          <w:sz w:val="17"/>
          <w:szCs w:val="17"/>
          <w:color w:val="auto"/>
        </w:rPr>
      </w:pPr>
    </w:p>
    <w:p>
      <w:pPr>
        <w:ind w:left="500" w:right="480" w:hanging="495"/>
        <w:spacing w:after="0" w:line="296" w:lineRule="auto"/>
        <w:tabs>
          <w:tab w:leader="none" w:pos="5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5" w:lineRule="exact"/>
        <w:rPr>
          <w:rFonts w:ascii="Times New Roman" w:cs="Times New Roman" w:eastAsia="Times New Roman" w:hAnsi="Times New Roman"/>
          <w:sz w:val="17"/>
          <w:szCs w:val="17"/>
          <w:color w:val="auto"/>
        </w:rPr>
      </w:pPr>
    </w:p>
    <w:p>
      <w:pPr>
        <w:ind w:left="1000" w:right="260" w:hanging="498"/>
        <w:spacing w:after="0" w:line="296" w:lineRule="auto"/>
        <w:tabs>
          <w:tab w:leader="none" w:pos="100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5" w:lineRule="exact"/>
        <w:rPr>
          <w:rFonts w:ascii="Times New Roman" w:cs="Times New Roman" w:eastAsia="Times New Roman" w:hAnsi="Times New Roman"/>
          <w:sz w:val="17"/>
          <w:szCs w:val="17"/>
          <w:color w:val="auto"/>
        </w:rPr>
      </w:pPr>
    </w:p>
    <w:p>
      <w:pPr>
        <w:ind w:left="1000" w:right="220" w:hanging="498"/>
        <w:spacing w:after="0" w:line="296" w:lineRule="auto"/>
        <w:tabs>
          <w:tab w:leader="none" w:pos="100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Date: March 3, 2021</w:t>
            </w:r>
          </w:p>
        </w:tc>
        <w:tc>
          <w:tcPr>
            <w:tcW w:w="2460" w:type="dxa"/>
            <w:vAlign w:val="bottom"/>
          </w:tcPr>
          <w:p>
            <w:pPr>
              <w:ind w:left="2120"/>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David K. Jones</w:t>
            </w:r>
          </w:p>
        </w:tc>
      </w:tr>
      <w:tr>
        <w:trPr>
          <w:trHeight w:val="210"/>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David K. Jones</w:t>
            </w:r>
          </w:p>
        </w:tc>
      </w:tr>
      <w:tr>
        <w:trPr>
          <w:trHeight w:val="207"/>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9"/>
        </w:trPr>
        <w:tc>
          <w:tcPr>
            <w:tcW w:w="3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w:t>
            </w:r>
            <w:r>
              <w:rPr>
                <w:rFonts w:ascii="Times New Roman" w:cs="Times New Roman" w:eastAsia="Times New Roman" w:hAnsi="Times New Roman"/>
                <w:sz w:val="17"/>
                <w:szCs w:val="17"/>
                <w:color w:val="auto"/>
              </w:rPr>
              <w:t>)</w:t>
            </w:r>
          </w:p>
        </w:tc>
      </w:tr>
    </w:tbl>
    <w:p>
      <w:pPr>
        <w:sectPr>
          <w:pgSz w:w="11900" w:h="16838" w:orient="portrait"/>
          <w:cols w:equalWidth="0" w:num="1">
            <w:col w:w="11240"/>
          </w:cols>
          <w:pgMar w:left="320" w:top="329"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5"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auto"/>
        </w:rPr>
        <w:t>In connection with the Annual Report on Form 10-K of Vroom, Inc. (the “Company”) for the period ended December 31, 2020 as filed with the Securities and Exchange Commission on the date hereof (the “Report”), I certify, pursuant to 18 U.S.C. § 1350, as adopted pursuant to § 906 of the Sarbanes-Oxley Act of 2002, that:</w:t>
      </w:r>
    </w:p>
    <w:p>
      <w:pPr>
        <w:spacing w:after="0" w:line="163" w:lineRule="exact"/>
        <w:rPr>
          <w:sz w:val="20"/>
          <w:szCs w:val="20"/>
          <w:color w:val="auto"/>
        </w:rPr>
      </w:pPr>
    </w:p>
    <w:p>
      <w:pPr>
        <w:ind w:left="1000" w:hanging="498"/>
        <w:spacing w:after="0"/>
        <w:tabs>
          <w:tab w:leader="none" w:pos="10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00" w:lineRule="exact"/>
        <w:rPr>
          <w:rFonts w:ascii="Times New Roman" w:cs="Times New Roman" w:eastAsia="Times New Roman" w:hAnsi="Times New Roman"/>
          <w:sz w:val="17"/>
          <w:szCs w:val="17"/>
          <w:color w:val="auto"/>
        </w:rPr>
      </w:pPr>
    </w:p>
    <w:p>
      <w:pPr>
        <w:spacing w:after="0" w:line="258" w:lineRule="exact"/>
        <w:rPr>
          <w:rFonts w:ascii="Times New Roman" w:cs="Times New Roman" w:eastAsia="Times New Roman" w:hAnsi="Times New Roman"/>
          <w:sz w:val="17"/>
          <w:szCs w:val="17"/>
          <w:color w:val="auto"/>
        </w:rPr>
      </w:pPr>
    </w:p>
    <w:p>
      <w:pPr>
        <w:ind w:left="1000" w:hanging="498"/>
        <w:spacing w:after="0"/>
        <w:tabs>
          <w:tab w:leader="none" w:pos="10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Date: March 3, 2021</w:t>
            </w:r>
          </w:p>
        </w:tc>
        <w:tc>
          <w:tcPr>
            <w:tcW w:w="2460" w:type="dxa"/>
            <w:vAlign w:val="bottom"/>
          </w:tcPr>
          <w:p>
            <w:pPr>
              <w:ind w:left="2120"/>
              <w:spacing w:after="0"/>
              <w:rPr>
                <w:sz w:val="20"/>
                <w:szCs w:val="20"/>
                <w:color w:val="auto"/>
              </w:rPr>
            </w:pPr>
            <w:r>
              <w:rPr>
                <w:rFonts w:ascii="Times New Roman" w:cs="Times New Roman" w:eastAsia="Times New Roman" w:hAnsi="Times New Roman"/>
                <w:sz w:val="17"/>
                <w:szCs w:val="17"/>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Paul J. Hennessy</w:t>
            </w:r>
          </w:p>
        </w:tc>
      </w:tr>
      <w:tr>
        <w:trPr>
          <w:trHeight w:val="210"/>
        </w:trPr>
        <w:tc>
          <w:tcPr>
            <w:tcW w:w="35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Paul J. Hennessy</w:t>
            </w:r>
          </w:p>
        </w:tc>
      </w:tr>
      <w:tr>
        <w:trPr>
          <w:trHeight w:val="207"/>
        </w:trPr>
        <w:tc>
          <w:tcPr>
            <w:tcW w:w="35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9"/>
        </w:trPr>
        <w:tc>
          <w:tcPr>
            <w:tcW w:w="35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tc>
      </w:tr>
    </w:tbl>
    <w:p>
      <w:pPr>
        <w:sectPr>
          <w:pgSz w:w="11900" w:h="16838" w:orient="portrait"/>
          <w:cols w:equalWidth="0" w:num="1">
            <w:col w:w="11240"/>
          </w:cols>
          <w:pgMar w:left="320" w:top="538"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5"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auto"/>
        </w:rPr>
        <w:t>In connection with the Annual Report on Form 10-K of Vroom, Inc. (the “Company”) for the period ended December 31, 2020 as filed with the Securities and Exchange Commission on the date hereof (the “Report”), I certify, pursuant to 18 U.S.C. § 1350, as adopted pursuant to § 906 of the Sarbanes-Oxley Act of 2002, that:</w:t>
      </w:r>
    </w:p>
    <w:p>
      <w:pPr>
        <w:spacing w:after="0" w:line="163" w:lineRule="exact"/>
        <w:rPr>
          <w:sz w:val="20"/>
          <w:szCs w:val="20"/>
          <w:color w:val="auto"/>
        </w:rPr>
      </w:pPr>
    </w:p>
    <w:p>
      <w:pPr>
        <w:ind w:left="1000" w:hanging="498"/>
        <w:spacing w:after="0"/>
        <w:tabs>
          <w:tab w:leader="none" w:pos="10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00" w:lineRule="exact"/>
        <w:rPr>
          <w:rFonts w:ascii="Times New Roman" w:cs="Times New Roman" w:eastAsia="Times New Roman" w:hAnsi="Times New Roman"/>
          <w:sz w:val="17"/>
          <w:szCs w:val="17"/>
          <w:color w:val="auto"/>
        </w:rPr>
      </w:pPr>
    </w:p>
    <w:p>
      <w:pPr>
        <w:spacing w:after="0" w:line="258" w:lineRule="exact"/>
        <w:rPr>
          <w:rFonts w:ascii="Times New Roman" w:cs="Times New Roman" w:eastAsia="Times New Roman" w:hAnsi="Times New Roman"/>
          <w:sz w:val="17"/>
          <w:szCs w:val="17"/>
          <w:color w:val="auto"/>
        </w:rPr>
      </w:pPr>
    </w:p>
    <w:p>
      <w:pPr>
        <w:ind w:left="1000" w:hanging="498"/>
        <w:spacing w:after="0"/>
        <w:tabs>
          <w:tab w:leader="none" w:pos="10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Date: March 3, 2021</w:t>
            </w:r>
          </w:p>
        </w:tc>
        <w:tc>
          <w:tcPr>
            <w:tcW w:w="2460" w:type="dxa"/>
            <w:vAlign w:val="bottom"/>
          </w:tcPr>
          <w:p>
            <w:pPr>
              <w:ind w:left="2120"/>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David K. Jones</w:t>
            </w:r>
          </w:p>
        </w:tc>
      </w:tr>
      <w:tr>
        <w:trPr>
          <w:trHeight w:val="210"/>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David K. Jones</w:t>
            </w:r>
          </w:p>
        </w:tc>
      </w:tr>
      <w:tr>
        <w:trPr>
          <w:trHeight w:val="207"/>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9"/>
        </w:trPr>
        <w:tc>
          <w:tcPr>
            <w:tcW w:w="3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3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lvl w:ilvl="1">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1)"/>
      <w:numFmt w:val="lowerRoman"/>
      <w:start w:val="2"/>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1)"/>
      <w:numFmt w:val="decimal"/>
      <w:start w:val="1"/>
    </w:lvl>
  </w:abstractNum>
  <w:abstractNum w:abstractNumId="26">
    <w:nsid w:val="661E3F1E"/>
    <w:multiLevelType w:val="hybridMultilevel"/>
    <w:lvl w:ilvl="0">
      <w:lvlJc w:val="left"/>
      <w:lvlText w:val="(%1)"/>
      <w:numFmt w:val="lowerLetter"/>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1."/>
      <w:numFmt w:val="decimal"/>
      <w:start w:val="1"/>
    </w:lvl>
  </w:abstractNum>
  <w:abstractNum w:abstractNumId="33">
    <w:nsid w:val="11447B73"/>
    <w:multiLevelType w:val="hybridMultilevel"/>
    <w:lvl w:ilvl="0">
      <w:lvlJc w:val="left"/>
      <w:lvlText w:val="%1."/>
      <w:numFmt w:val="decimal"/>
      <w:start w:val="2"/>
    </w:lvl>
  </w:abstractNum>
  <w:abstractNum w:abstractNumId="34">
    <w:nsid w:val="42963E5A"/>
    <w:multiLevelType w:val="hybridMultilevel"/>
    <w:lvl w:ilvl="0">
      <w:lvlJc w:val="left"/>
      <w:lvlText w:val="%1."/>
      <w:numFmt w:val="decimal"/>
      <w:start w:val="9"/>
    </w:lvl>
  </w:abstractNum>
  <w:abstractNum w:abstractNumId="35">
    <w:nsid w:val="A0382C5"/>
    <w:multiLevelType w:val="hybridMultilevel"/>
    <w:lvl w:ilvl="0">
      <w:lvlJc w:val="left"/>
      <w:lvlText w:val="%1."/>
      <w:numFmt w:val="decimal"/>
      <w:start w:val="11"/>
    </w:lvl>
  </w:abstractNum>
  <w:abstractNum w:abstractNumId="36">
    <w:nsid w:val="8F2B15E"/>
    <w:multiLevelType w:val="hybridMultilevel"/>
    <w:lvl w:ilvl="0">
      <w:lvlJc w:val="left"/>
      <w:lvlText w:val="%1."/>
      <w:numFmt w:val="decimal"/>
      <w:start w:val="15"/>
    </w:lvl>
  </w:abstractNum>
  <w:abstractNum w:abstractNumId="37">
    <w:nsid w:val="1A32234B"/>
    <w:multiLevelType w:val="hybridMultilevel"/>
    <w:lvl w:ilvl="0">
      <w:lvlJc w:val="left"/>
      <w:lvlText w:val="%1."/>
      <w:numFmt w:val="decimal"/>
      <w:start w:val="17"/>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1)"/>
      <w:numFmt w:val="lowerRoman"/>
      <w:start w:val="2"/>
    </w:lvl>
    <w:lvl w:ilvl="1">
      <w:lvlJc w:val="left"/>
      <w:lvlText w:val="•"/>
      <w:numFmt w:val="bullet"/>
      <w:start w:val="1"/>
    </w:lvl>
  </w:abstractNum>
  <w:abstractNum w:abstractNumId="40">
    <w:nsid w:val="4962813B"/>
    <w:multiLevelType w:val="hybridMultilevel"/>
    <w:lvl w:ilvl="0">
      <w:lvlJc w:val="left"/>
      <w:lvlText w:val="%1."/>
      <w:numFmt w:val="decimal"/>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1)"/>
      <w:numFmt w:val="decimal"/>
      <w:start w:val="1"/>
    </w:lvl>
  </w:abstractNum>
  <w:abstractNum w:abstractNumId="46">
    <w:nsid w:val="71EA1109"/>
    <w:multiLevelType w:val="hybridMultilevel"/>
    <w:lvl w:ilvl="0">
      <w:lvlJc w:val="left"/>
      <w:lvlText w:val="(%1)"/>
      <w:numFmt w:val="decimal"/>
      <w:start w:val="3"/>
    </w:lvl>
  </w:abstractNum>
  <w:abstractNum w:abstractNumId="47">
    <w:nsid w:val="100F59DC"/>
    <w:multiLevelType w:val="hybridMultilevel"/>
    <w:lvl w:ilvl="0">
      <w:lvlJc w:val="left"/>
      <w:lvlText w:val="%1."/>
      <w:numFmt w:val="decimal"/>
      <w:start w:val="1"/>
    </w:lvl>
  </w:abstractNum>
  <w:abstractNum w:abstractNumId="48">
    <w:nsid w:val="7FB7E0AA"/>
    <w:multiLevelType w:val="hybridMultilevel"/>
    <w:lvl w:ilvl="0">
      <w:lvlJc w:val="left"/>
      <w:lvlText w:val="%1."/>
      <w:numFmt w:val="decimal"/>
      <w:start w:val="7"/>
    </w:lvl>
  </w:abstractNum>
  <w:abstractNum w:abstractNumId="49">
    <w:nsid w:val="6EB5BD4"/>
    <w:multiLevelType w:val="hybridMultilevel"/>
    <w:lvl w:ilvl="0">
      <w:lvlJc w:val="left"/>
      <w:lvlText w:val="%1."/>
      <w:numFmt w:val="decimal"/>
      <w:start w:val="10"/>
    </w:lvl>
  </w:abstractNum>
  <w:abstractNum w:abstractNumId="50">
    <w:nsid w:val="6F6DD9AC"/>
    <w:multiLevelType w:val="hybridMultilevel"/>
    <w:lvl w:ilvl="0">
      <w:lvlJc w:val="left"/>
      <w:lvlText w:val="*"/>
      <w:numFmt w:val="bullet"/>
      <w:start w:val="1"/>
    </w:lvl>
  </w:abstractNum>
  <w:abstractNum w:abstractNumId="51">
    <w:nsid w:val="94211F2"/>
    <w:multiLevelType w:val="hybridMultilevel"/>
    <w:lvl w:ilvl="0">
      <w:lvlJc w:val="left"/>
      <w:lvlText w:val="%1."/>
      <w:numFmt w:val="decimal"/>
      <w:start w:val="1"/>
    </w:lvl>
  </w:abstractNum>
  <w:abstractNum w:abstractNumId="52">
    <w:nsid w:val="885E1B"/>
    <w:multiLevelType w:val="hybridMultilevel"/>
    <w:lvl w:ilvl="0">
      <w:lvlJc w:val="left"/>
      <w:lvlText w:val="☐"/>
      <w:numFmt w:val="bullet"/>
      <w:start w:val="1"/>
    </w:lvl>
    <w:lvl w:ilvl="1">
      <w:lvlJc w:val="left"/>
      <w:lvlText w:val="☒"/>
      <w:numFmt w:val="bullet"/>
      <w:start w:val="1"/>
    </w:lvl>
  </w:abstractNum>
  <w:abstractNum w:abstractNumId="53">
    <w:nsid w:val="76272110"/>
    <w:multiLevelType w:val="hybridMultilevel"/>
    <w:lvl w:ilvl="0">
      <w:lvlJc w:val="left"/>
      <w:lvlText w:val="(%1)"/>
      <w:numFmt w:val="upperLetter"/>
      <w:start w:val="35"/>
    </w:lvl>
  </w:abstractNum>
  <w:abstractNum w:abstractNumId="54">
    <w:nsid w:val="4C04A8AF"/>
    <w:multiLevelType w:val="hybridMultilevel"/>
    <w:lvl w:ilvl="0">
      <w:lvlJc w:val="left"/>
      <w:lvlText w:val="%1."/>
      <w:numFmt w:val="decimal"/>
      <w:start w:val="1"/>
    </w:lvl>
  </w:abstractNum>
  <w:abstractNum w:abstractNumId="55">
    <w:nsid w:val="1716703B"/>
    <w:multiLevelType w:val="hybridMultilevel"/>
    <w:lvl w:ilvl="0">
      <w:lvlJc w:val="left"/>
      <w:lvlText w:val="%1."/>
      <w:numFmt w:val="decimal"/>
      <w:start w:val="2"/>
    </w:lvl>
  </w:abstractNum>
  <w:abstractNum w:abstractNumId="56">
    <w:nsid w:val="14E17E33"/>
    <w:multiLevelType w:val="hybridMultilevel"/>
    <w:lvl w:ilvl="0">
      <w:lvlJc w:val="left"/>
      <w:lvlText w:val="%1."/>
      <w:numFmt w:val="decimal"/>
      <w:start w:val="3"/>
    </w:lvl>
  </w:abstractNum>
  <w:abstractNum w:abstractNumId="57">
    <w:nsid w:val="3222E7CD"/>
    <w:multiLevelType w:val="hybridMultilevel"/>
    <w:lvl w:ilvl="0">
      <w:lvlJc w:val="left"/>
      <w:lvlText w:val="%1."/>
      <w:numFmt w:val="decimal"/>
      <w:start w:val="4"/>
    </w:lvl>
  </w:abstractNum>
  <w:abstractNum w:abstractNumId="58">
    <w:nsid w:val="74DE0EE3"/>
    <w:multiLevelType w:val="hybridMultilevel"/>
    <w:lvl w:ilvl="0">
      <w:lvlJc w:val="left"/>
      <w:lvlText w:val="(%1)"/>
      <w:numFmt w:val="lowerLetter"/>
      <w:start w:val="1"/>
    </w:lvl>
  </w:abstractNum>
  <w:abstractNum w:abstractNumId="59">
    <w:nsid w:val="68EBC550"/>
    <w:multiLevelType w:val="hybridMultilevel"/>
    <w:lvl w:ilvl="0">
      <w:lvlJc w:val="left"/>
      <w:lvlText w:val="(%1)"/>
      <w:numFmt w:val="lowerLetter"/>
      <w:start w:val="2"/>
    </w:lvl>
  </w:abstractNum>
  <w:abstractNum w:abstractNumId="60">
    <w:nsid w:val="2DF6D648"/>
    <w:multiLevelType w:val="hybridMultilevel"/>
    <w:lvl w:ilvl="0">
      <w:lvlJc w:val="left"/>
      <w:lvlText w:val="(%1)"/>
      <w:numFmt w:val="lowerLetter"/>
      <w:start w:val="1"/>
    </w:lvl>
  </w:abstractNum>
  <w:abstractNum w:abstractNumId="61">
    <w:nsid w:val="46B7D447"/>
    <w:multiLevelType w:val="hybridMultilevel"/>
    <w:lvl w:ilvl="0">
      <w:lvlJc w:val="left"/>
      <w:lvlText w:val="%1."/>
      <w:numFmt w:val="decimal"/>
      <w:start w:val="5"/>
    </w:lvl>
  </w:abstractNum>
  <w:abstractNum w:abstractNumId="62">
    <w:nsid w:val="4A2AC315"/>
    <w:multiLevelType w:val="hybridMultilevel"/>
    <w:lvl w:ilvl="0">
      <w:lvlJc w:val="left"/>
      <w:lvlText w:val="(%1)"/>
      <w:numFmt w:val="lowerLetter"/>
      <w:start w:val="1"/>
    </w:lvl>
  </w:abstractNum>
  <w:abstractNum w:abstractNumId="63">
    <w:nsid w:val="39EE015C"/>
    <w:multiLevelType w:val="hybridMultilevel"/>
    <w:lvl w:ilvl="0">
      <w:lvlJc w:val="left"/>
      <w:lvlText w:val="(%1)"/>
      <w:numFmt w:val="lowerLetter"/>
      <w:start w:val="2"/>
    </w:lvl>
  </w:abstractNum>
  <w:abstractNum w:abstractNumId="64">
    <w:nsid w:val="57FC4FBB"/>
    <w:multiLevelType w:val="hybridMultilevel"/>
    <w:lvl w:ilvl="0">
      <w:lvlJc w:val="left"/>
      <w:lvlText w:val="%1"/>
      <w:numFmt w:val="decimal"/>
      <w:start w:val="1"/>
    </w:lvl>
    <w:lvl w:ilvl="1">
      <w:lvlJc w:val="left"/>
      <w:lvlText w:val="(%2)"/>
      <w:numFmt w:val="lowerLetter"/>
      <w:start w:val="3"/>
    </w:lvl>
  </w:abstractNum>
  <w:abstractNum w:abstractNumId="65">
    <w:nsid w:val="CC1016F"/>
    <w:multiLevelType w:val="hybridMultilevel"/>
    <w:lvl w:ilvl="0">
      <w:lvlJc w:val="left"/>
      <w:lvlText w:val="%1."/>
      <w:numFmt w:val="decimal"/>
      <w:start w:val="6"/>
    </w:lvl>
    <w:lvl w:ilvl="1">
      <w:lvlJc w:val="left"/>
      <w:lvlText w:val="%2"/>
      <w:numFmt w:val="lowerLetter"/>
      <w:start w:val="1"/>
    </w:lvl>
  </w:abstractNum>
  <w:abstractNum w:abstractNumId="66">
    <w:nsid w:val="43F18422"/>
    <w:multiLevelType w:val="hybridMultilevel"/>
    <w:lvl w:ilvl="0">
      <w:lvlJc w:val="left"/>
      <w:lvlText w:val="(%1)"/>
      <w:numFmt w:val="lowerLetter"/>
      <w:start w:val="1"/>
    </w:lvl>
  </w:abstractNum>
  <w:abstractNum w:abstractNumId="67">
    <w:nsid w:val="60EF0119"/>
    <w:multiLevelType w:val="hybridMultilevel"/>
    <w:lvl w:ilvl="0">
      <w:lvlJc w:val="left"/>
      <w:lvlText w:val="(%1)"/>
      <w:numFmt w:val="lowerLetter"/>
      <w:start w:val="2"/>
    </w:lvl>
  </w:abstractNum>
  <w:abstractNum w:abstractNumId="68">
    <w:nsid w:val="26F324BA"/>
    <w:multiLevelType w:val="hybridMultilevel"/>
    <w:lvl w:ilvl="0">
      <w:lvlJc w:val="left"/>
      <w:lvlText w:val="%1."/>
      <w:numFmt w:val="decimal"/>
      <w:start w:val="7"/>
    </w:lvl>
  </w:abstractNum>
  <w:abstractNum w:abstractNumId="69">
    <w:nsid w:val="7F01579B"/>
    <w:multiLevelType w:val="hybridMultilevel"/>
    <w:lvl w:ilvl="0">
      <w:lvlJc w:val="left"/>
      <w:lvlText w:val="%1."/>
      <w:numFmt w:val="decimal"/>
      <w:start w:val="8"/>
    </w:lvl>
  </w:abstractNum>
  <w:abstractNum w:abstractNumId="70">
    <w:nsid w:val="49DA307D"/>
    <w:multiLevelType w:val="hybridMultilevel"/>
    <w:lvl w:ilvl="0">
      <w:lvlJc w:val="left"/>
      <w:lvlText w:val="%1."/>
      <w:numFmt w:val="decimal"/>
      <w:start w:val="11"/>
    </w:lvl>
  </w:abstractNum>
  <w:abstractNum w:abstractNumId="71">
    <w:nsid w:val="7055A5F5"/>
    <w:multiLevelType w:val="hybridMultilevel"/>
    <w:lvl w:ilvl="0">
      <w:lvlJc w:val="left"/>
      <w:lvlText w:val="(%1)"/>
      <w:numFmt w:val="lowerLetter"/>
      <w:start w:val="1"/>
    </w:lvl>
  </w:abstractNum>
  <w:abstractNum w:abstractNumId="72">
    <w:nsid w:val="5FB8370B"/>
    <w:multiLevelType w:val="hybridMultilevel"/>
    <w:lvl w:ilvl="0">
      <w:lvlJc w:val="left"/>
      <w:lvlText w:val="%1"/>
      <w:numFmt w:val="lowerLetter"/>
      <w:start w:val="1"/>
    </w:lvl>
    <w:lvl w:ilvl="1">
      <w:lvlJc w:val="left"/>
      <w:lvlText w:val="(%2)"/>
      <w:numFmt w:val="decimal"/>
      <w:start w:val="1"/>
    </w:lvl>
  </w:abstractNum>
  <w:abstractNum w:abstractNumId="73">
    <w:nsid w:val="50801EE1"/>
    <w:multiLevelType w:val="hybridMultilevel"/>
    <w:lvl w:ilvl="0">
      <w:lvlJc w:val="left"/>
      <w:lvlText w:val="(%1)"/>
      <w:numFmt w:val="lowerLetter"/>
      <w:start w:val="2"/>
    </w:lvl>
    <w:lvl w:ilvl="1">
      <w:lvlJc w:val="left"/>
      <w:lvlText w:val="(%2)"/>
      <w:numFmt w:val="decimal"/>
      <w:start w:val="1"/>
    </w:lvl>
  </w:abstractNum>
  <w:abstractNum w:abstractNumId="74">
    <w:nsid w:val="488AC1A"/>
    <w:multiLevelType w:val="hybridMultilevel"/>
    <w:lvl w:ilvl="0">
      <w:lvlJc w:val="left"/>
      <w:lvlText w:val="(%1)"/>
      <w:numFmt w:val="decimal"/>
      <w:start w:val="3"/>
    </w:lvl>
  </w:abstractNum>
  <w:abstractNum w:abstractNumId="75">
    <w:nsid w:val="5FB8011C"/>
    <w:multiLevelType w:val="hybridMultilevel"/>
    <w:lvl w:ilvl="0">
      <w:lvlJc w:val="left"/>
      <w:lvlText w:val="(%1)"/>
      <w:numFmt w:val="lowerLetter"/>
      <w:start w:val="1"/>
    </w:lvl>
  </w:abstractNum>
  <w:abstractNum w:abstractNumId="76">
    <w:nsid w:val="6AA78F7F"/>
    <w:multiLevelType w:val="hybridMultilevel"/>
    <w:lvl w:ilvl="0">
      <w:lvlJc w:val="left"/>
      <w:lvlText w:val="%1."/>
      <w:numFmt w:val="decimal"/>
      <w:start w:val="12"/>
    </w:lvl>
  </w:abstractNum>
  <w:abstractNum w:abstractNumId="77">
    <w:nsid w:val="7672BD23"/>
    <w:multiLevelType w:val="hybridMultilevel"/>
    <w:lvl w:ilvl="0">
      <w:lvlJc w:val="left"/>
      <w:lvlText w:val="%1."/>
      <w:numFmt w:val="decimal"/>
      <w:start w:val="13"/>
    </w:lvl>
  </w:abstractNum>
  <w:abstractNum w:abstractNumId="78">
    <w:nsid w:val="6FC75AF8"/>
    <w:multiLevelType w:val="hybridMultilevel"/>
    <w:lvl w:ilvl="0">
      <w:lvlJc w:val="left"/>
      <w:lvlText w:val="%1."/>
      <w:numFmt w:val="decimal"/>
      <w:start w:val="14"/>
    </w:lvl>
  </w:abstractNum>
  <w:abstractNum w:abstractNumId="79">
    <w:nsid w:val="6A5F7029"/>
    <w:multiLevelType w:val="hybridMultilevel"/>
    <w:lvl w:ilvl="0">
      <w:lvlJc w:val="left"/>
      <w:lvlText w:val="(%1)"/>
      <w:numFmt w:val="lowerLetter"/>
      <w:start w:val="1"/>
    </w:lvl>
  </w:abstractNum>
  <w:abstractNum w:abstractNumId="80">
    <w:nsid w:val="7D5E18F8"/>
    <w:multiLevelType w:val="hybridMultilevel"/>
    <w:lvl w:ilvl="0">
      <w:lvlJc w:val="left"/>
      <w:lvlText w:val="(%1)"/>
      <w:numFmt w:val="lowerLetter"/>
      <w:start w:val="2"/>
    </w:lvl>
  </w:abstractNum>
  <w:abstractNum w:abstractNumId="81">
    <w:nsid w:val="5F3534A4"/>
    <w:multiLevelType w:val="hybridMultilevel"/>
    <w:lvl w:ilvl="0">
      <w:lvlJc w:val="left"/>
      <w:lvlText w:val="%1."/>
      <w:numFmt w:val="decimal"/>
      <w:start w:val="15"/>
    </w:lvl>
  </w:abstractNum>
  <w:abstractNum w:abstractNumId="82">
    <w:nsid w:val="73A1821B"/>
    <w:multiLevelType w:val="hybridMultilevel"/>
    <w:lvl w:ilvl="0">
      <w:lvlJc w:val="left"/>
      <w:lvlText w:val="%1."/>
      <w:numFmt w:val="decimal"/>
      <w:start w:val="16"/>
    </w:lvl>
  </w:abstractNum>
  <w:abstractNum w:abstractNumId="83">
    <w:nsid w:val="7DE67713"/>
    <w:multiLevelType w:val="hybridMultilevel"/>
    <w:lvl w:ilvl="0">
      <w:lvlJc w:val="left"/>
      <w:lvlText w:val="%1."/>
      <w:numFmt w:val="decimal"/>
      <w:start w:val="17"/>
    </w:lvl>
  </w:abstractNum>
  <w:abstractNum w:abstractNumId="84">
    <w:nsid w:val="555C55B5"/>
    <w:multiLevelType w:val="hybridMultilevel"/>
    <w:lvl w:ilvl="0">
      <w:lvlJc w:val="left"/>
      <w:lvlText w:val="%1."/>
      <w:numFmt w:val="decimal"/>
      <w:start w:val="18"/>
    </w:lvl>
  </w:abstractNum>
  <w:abstractNum w:abstractNumId="85">
    <w:nsid w:val="3FA62ACA"/>
    <w:multiLevelType w:val="hybridMultilevel"/>
    <w:lvl w:ilvl="0">
      <w:lvlJc w:val="left"/>
      <w:lvlText w:val="(%1)"/>
      <w:numFmt w:val="lowerLetter"/>
      <w:start w:val="1"/>
    </w:lvl>
  </w:abstractNum>
  <w:abstractNum w:abstractNumId="86">
    <w:nsid w:val="14FCE74E"/>
    <w:multiLevelType w:val="hybridMultilevel"/>
    <w:lvl w:ilvl="0">
      <w:lvlJc w:val="left"/>
      <w:lvlText w:val="(%1)"/>
      <w:numFmt w:val="lowerLetter"/>
      <w:start w:val="1"/>
    </w:lvl>
  </w:abstractNum>
  <w:abstractNum w:abstractNumId="87">
    <w:nsid w:val="6A3DD3E8"/>
    <w:multiLevelType w:val="hybridMultilevel"/>
    <w:lvl w:ilvl="0">
      <w:lvlJc w:val="left"/>
      <w:lvlText w:val="(%1)"/>
      <w:numFmt w:val="lowerLetter"/>
      <w:start w:val="10"/>
    </w:lvl>
    <w:lvl w:ilvl="1">
      <w:lvlJc w:val="left"/>
      <w:lvlText w:val="(%2)"/>
      <w:numFmt w:val="decimal"/>
      <w:start w:val="1"/>
    </w:lvl>
  </w:abstractNum>
  <w:abstractNum w:abstractNumId="88">
    <w:nsid w:val="71C91298"/>
    <w:multiLevelType w:val="hybridMultilevel"/>
    <w:lvl w:ilvl="0">
      <w:lvlJc w:val="left"/>
      <w:lvlText w:val="(%1)"/>
      <w:numFmt w:val="lowerLetter"/>
      <w:start w:val="13"/>
    </w:lvl>
  </w:abstractNum>
  <w:abstractNum w:abstractNumId="89">
    <w:nsid w:val="9DAF632"/>
    <w:multiLevelType w:val="hybridMultilevel"/>
    <w:lvl w:ilvl="0">
      <w:lvlJc w:val="left"/>
      <w:lvlText w:val="(%1)"/>
      <w:numFmt w:val="lowerLetter"/>
      <w:start w:val="18"/>
    </w:lvl>
    <w:lvl w:ilvl="1">
      <w:lvlJc w:val="left"/>
      <w:lvlText w:val="(%2)"/>
      <w:numFmt w:val="decimal"/>
      <w:start w:val="1"/>
    </w:lvl>
  </w:abstractNum>
  <w:abstractNum w:abstractNumId="90">
    <w:nsid w:val="53299938"/>
    <w:multiLevelType w:val="hybridMultilevel"/>
    <w:lvl w:ilvl="0">
      <w:lvlJc w:val="left"/>
      <w:lvlText w:val="(%1)"/>
      <w:numFmt w:val="lowerLetter"/>
      <w:start w:val="26"/>
    </w:lvl>
    <w:lvl w:ilvl="1">
      <w:lvlJc w:val="left"/>
      <w:lvlText w:val="(%2)"/>
      <w:numFmt w:val="decimal"/>
      <w:start w:val="1"/>
    </w:lvl>
  </w:abstractNum>
  <w:abstractNum w:abstractNumId="91">
    <w:nsid w:val="1FBFE8E0"/>
    <w:multiLevelType w:val="hybridMultilevel"/>
    <w:lvl w:ilvl="0">
      <w:lvlJc w:val="left"/>
      <w:lvlText w:val="•"/>
      <w:numFmt w:val="bullet"/>
      <w:start w:val="1"/>
    </w:lvl>
    <w:lvl w:ilvl="1">
      <w:lvlJc w:val="left"/>
      <w:lvlText w:val="(%2)"/>
      <w:numFmt w:val="upperLetter"/>
      <w:start w:val="9"/>
    </w:lvl>
  </w:abstractNum>
  <w:abstractNum w:abstractNumId="92">
    <w:nsid w:val="5092CA79"/>
    <w:multiLevelType w:val="hybridMultilevel"/>
    <w:lvl w:ilvl="0">
      <w:lvlJc w:val="left"/>
      <w:lvlText w:val="(%1)"/>
      <w:numFmt w:val="upperLetter"/>
      <w:start w:val="1"/>
    </w:lvl>
  </w:abstractNum>
  <w:abstractNum w:abstractNumId="93">
    <w:nsid w:val="1D545C4D"/>
    <w:multiLevelType w:val="hybridMultilevel"/>
    <w:lvl w:ilvl="0">
      <w:lvlJc w:val="left"/>
      <w:lvlText w:val="(%1)"/>
      <w:numFmt w:val="lowerRoman"/>
      <w:start w:val="1"/>
    </w:lvl>
  </w:abstractNum>
  <w:abstractNum w:abstractNumId="94">
    <w:nsid w:val="59ADEA3D"/>
    <w:multiLevelType w:val="hybridMultilevel"/>
    <w:lvl w:ilvl="0">
      <w:lvlJc w:val="left"/>
      <w:lvlText w:val="%1"/>
      <w:numFmt w:val="decimal"/>
      <w:start w:val="1"/>
    </w:lvl>
    <w:lvl w:ilvl="1">
      <w:lvlJc w:val="left"/>
      <w:lvlText w:val="%2."/>
      <w:numFmt w:val="decimal"/>
      <w:start w:val="2"/>
    </w:lvl>
  </w:abstractNum>
  <w:abstractNum w:abstractNumId="95">
    <w:nsid w:val="288F1A34"/>
    <w:multiLevelType w:val="hybridMultilevel"/>
    <w:lvl w:ilvl="0">
      <w:lvlJc w:val="left"/>
      <w:lvlText w:val="%1."/>
      <w:numFmt w:val="decimal"/>
      <w:start w:val="3"/>
    </w:lvl>
    <w:lvl w:ilvl="1">
      <w:lvlJc w:val="left"/>
      <w:lvlText w:val="%2"/>
      <w:numFmt w:val="decimal"/>
      <w:start w:val="1"/>
    </w:lvl>
  </w:abstractNum>
  <w:abstractNum w:abstractNumId="96">
    <w:nsid w:val="2A155DBC"/>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abstractNum>
  <w:abstractNum w:abstractNumId="97">
    <w:nsid w:val="1D9F6E5F"/>
    <w:multiLevelType w:val="hybridMultilevel"/>
    <w:lvl w:ilvl="0">
      <w:lvlJc w:val="left"/>
      <w:lvlText w:val="%1"/>
      <w:numFmt w:val="decimal"/>
      <w:start w:val="1"/>
    </w:lvl>
    <w:lvl w:ilvl="1">
      <w:lvlJc w:val="left"/>
      <w:lvlText w:val="%2."/>
      <w:numFmt w:val="decimal"/>
      <w:start w:val="6"/>
    </w:lvl>
    <w:lvl w:ilvl="2">
      <w:lvlJc w:val="left"/>
      <w:lvlText w:val="%3"/>
      <w:numFmt w:val="decimal"/>
      <w:start w:val="1"/>
    </w:lvl>
  </w:abstractNum>
  <w:abstractNum w:abstractNumId="98">
    <w:nsid w:val="97E1B4E"/>
    <w:multiLevelType w:val="hybridMultilevel"/>
    <w:lvl w:ilvl="0">
      <w:lvlJc w:val="left"/>
      <w:lvlText w:val="%1."/>
      <w:numFmt w:val="decimal"/>
      <w:start w:val="8"/>
    </w:lvl>
    <w:lvl w:ilvl="1">
      <w:lvlJc w:val="left"/>
      <w:lvlText w:val="%2"/>
      <w:numFmt w:val="decimal"/>
      <w:start w:val="1"/>
    </w:lvl>
    <w:lvl w:ilvl="2">
      <w:lvlJc w:val="left"/>
      <w:lvlText w:val="%3"/>
      <w:numFmt w:val="decimal"/>
      <w:start w:val="1"/>
    </w:lvl>
  </w:abstractNum>
  <w:abstractNum w:abstractNumId="99">
    <w:nsid w:val="51088277"/>
    <w:multiLevelType w:val="hybridMultilevel"/>
    <w:lvl w:ilvl="0">
      <w:lvlJc w:val="left"/>
      <w:lvlText w:val="%1."/>
      <w:numFmt w:val="decimal"/>
      <w:start w:val="1"/>
    </w:lvl>
  </w:abstractNum>
  <w:abstractNum w:abstractNumId="100">
    <w:nsid w:val="1CA0C5FA"/>
    <w:multiLevelType w:val="hybridMultilevel"/>
    <w:lvl w:ilvl="0">
      <w:lvlJc w:val="left"/>
      <w:lvlText w:val="%1."/>
      <w:numFmt w:val="decimal"/>
      <w:start w:val="4"/>
    </w:lvl>
  </w:abstractNum>
  <w:abstractNum w:abstractNumId="101">
    <w:nsid w:val="53584BCB"/>
    <w:multiLevelType w:val="hybridMultilevel"/>
    <w:lvl w:ilvl="0">
      <w:lvlJc w:val="left"/>
      <w:lvlText w:val="%1"/>
      <w:numFmt w:val="decimal"/>
      <w:start w:val="1"/>
    </w:lvl>
    <w:lvl w:ilvl="1">
      <w:lvlJc w:val="left"/>
      <w:lvlText w:val="%2."/>
      <w:numFmt w:val="decimal"/>
      <w:start w:val="5"/>
    </w:lvl>
    <w:lvl w:ilvl="2">
      <w:lvlJc w:val="left"/>
      <w:lvlText w:val="%3."/>
      <w:numFmt w:val="decimal"/>
      <w:start w:val="6"/>
    </w:lvl>
  </w:abstractNum>
  <w:abstractNum w:abstractNumId="102">
    <w:nsid w:val="415E286C"/>
    <w:multiLevelType w:val="hybridMultilevel"/>
    <w:lvl w:ilvl="0">
      <w:lvlJc w:val="left"/>
      <w:lvlText w:val="%1."/>
      <w:numFmt w:val="decimal"/>
      <w:start w:val="7"/>
    </w:lvl>
    <w:lvl w:ilvl="1">
      <w:lvlJc w:val="left"/>
      <w:lvlText w:val="%2"/>
      <w:numFmt w:val="decimal"/>
      <w:start w:val="1"/>
    </w:lvl>
    <w:lvl w:ilvl="2">
      <w:lvlJc w:val="left"/>
      <w:lvlText w:val="%3"/>
      <w:numFmt w:val="decimal"/>
      <w:start w:val="1"/>
    </w:lvl>
  </w:abstractNum>
  <w:abstractNum w:abstractNumId="103">
    <w:nsid w:val="7C58FD05"/>
    <w:multiLevelType w:val="hybridMultilevel"/>
    <w:lvl w:ilvl="0">
      <w:lvlJc w:val="left"/>
      <w:lvlText w:val="%1."/>
      <w:numFmt w:val="decimal"/>
      <w:start w:val="1"/>
    </w:lvl>
  </w:abstractNum>
  <w:abstractNum w:abstractNumId="104">
    <w:nsid w:val="23D86AAC"/>
    <w:multiLevelType w:val="hybridMultilevel"/>
    <w:lvl w:ilvl="0">
      <w:lvlJc w:val="left"/>
      <w:lvlText w:val="%1."/>
      <w:numFmt w:val="decimal"/>
      <w:start w:val="2"/>
    </w:lvl>
  </w:abstractNum>
  <w:abstractNum w:abstractNumId="105">
    <w:nsid w:val="45E6D486"/>
    <w:multiLevelType w:val="hybridMultilevel"/>
    <w:lvl w:ilvl="0">
      <w:lvlJc w:val="left"/>
      <w:lvlText w:val="%1."/>
      <w:numFmt w:val="decimal"/>
      <w:start w:val="3"/>
    </w:lvl>
  </w:abstractNum>
  <w:abstractNum w:abstractNumId="106">
    <w:nsid w:val="5C10FE21"/>
    <w:multiLevelType w:val="hybridMultilevel"/>
    <w:lvl w:ilvl="0">
      <w:lvlJc w:val="left"/>
      <w:lvlText w:val="%1."/>
      <w:numFmt w:val="lowerLetter"/>
      <w:start w:val="1"/>
    </w:lvl>
    <w:lvl w:ilvl="1">
      <w:lvlJc w:val="left"/>
      <w:lvlText w:val="%2."/>
      <w:numFmt w:val="decimal"/>
      <w:start w:val="4"/>
    </w:lvl>
  </w:abstractNum>
  <w:abstractNum w:abstractNumId="107">
    <w:nsid w:val="E7FFA2B"/>
    <w:multiLevelType w:val="hybridMultilevel"/>
    <w:lvl w:ilvl="0">
      <w:lvlJc w:val="left"/>
      <w:lvlText w:val="%1."/>
      <w:numFmt w:val="decimal"/>
      <w:start w:val="1"/>
    </w:lvl>
  </w:abstractNum>
  <w:abstractNum w:abstractNumId="108">
    <w:nsid w:val="3C5991AA"/>
    <w:multiLevelType w:val="hybridMultilevel"/>
    <w:lvl w:ilvl="0">
      <w:lvlJc w:val="left"/>
      <w:lvlText w:val="%1."/>
      <w:numFmt w:val="decimal"/>
      <w:start w:val="3"/>
    </w:lvl>
  </w:abstractNum>
  <w:abstractNum w:abstractNumId="109">
    <w:nsid w:val="4BD8591A"/>
    <w:multiLevelType w:val="hybridMultilevel"/>
    <w:lvl w:ilvl="0">
      <w:lvlJc w:val="left"/>
      <w:lvlText w:val="•"/>
      <w:numFmt w:val="bullet"/>
      <w:start w:val="1"/>
    </w:lvl>
  </w:abstractNum>
  <w:abstractNum w:abstractNumId="110">
    <w:nsid w:val="78DF6A55"/>
    <w:multiLevelType w:val="hybridMultilevel"/>
    <w:lvl w:ilvl="0">
      <w:lvlJc w:val="left"/>
      <w:lvlText w:val="%1."/>
      <w:numFmt w:val="decimal"/>
      <w:start w:val="4"/>
    </w:lvl>
  </w:abstractNum>
  <w:abstractNum w:abstractNumId="111">
    <w:nsid w:val="39B7AAA2"/>
    <w:multiLevelType w:val="hybridMultilevel"/>
    <w:lvl w:ilvl="0">
      <w:lvlJc w:val="left"/>
      <w:lvlText w:val="%1."/>
      <w:numFmt w:val="decimal"/>
      <w:start w:val="1"/>
    </w:lvl>
  </w:abstractNum>
  <w:abstractNum w:abstractNumId="112">
    <w:nsid w:val="2B0D8DBE"/>
    <w:multiLevelType w:val="hybridMultilevel"/>
    <w:lvl w:ilvl="0">
      <w:lvlJc w:val="left"/>
      <w:lvlText w:val="•"/>
      <w:numFmt w:val="bullet"/>
      <w:start w:val="1"/>
    </w:lvl>
  </w:abstractNum>
  <w:abstractNum w:abstractNumId="113">
    <w:nsid w:val="6C80EC70"/>
    <w:multiLevelType w:val="hybridMultilevel"/>
    <w:lvl w:ilvl="0">
      <w:lvlJc w:val="left"/>
      <w:lvlText w:val="•"/>
      <w:numFmt w:val="bullet"/>
      <w:start w:val="1"/>
    </w:lvl>
  </w:abstractNum>
  <w:abstractNum w:abstractNumId="114">
    <w:nsid w:val="379E21B5"/>
    <w:multiLevelType w:val="hybridMultilevel"/>
    <w:lvl w:ilvl="0">
      <w:lvlJc w:val="left"/>
      <w:lvlText w:val="%1."/>
      <w:numFmt w:val="decimal"/>
      <w:start w:val="5"/>
    </w:lvl>
    <w:lvl w:ilvl="1">
      <w:lvlJc w:val="left"/>
      <w:lvlText w:val="%2."/>
      <w:numFmt w:val="decimal"/>
      <w:start w:val="6"/>
    </w:lvl>
  </w:abstractNum>
  <w:abstractNum w:abstractNumId="115">
    <w:nsid w:val="69E373"/>
    <w:multiLevelType w:val="hybridMultilevel"/>
    <w:lvl w:ilvl="0">
      <w:lvlJc w:val="left"/>
      <w:lvlText w:val="%1."/>
      <w:numFmt w:val="decimal"/>
      <w:start w:val="1"/>
    </w:lvl>
  </w:abstractNum>
  <w:abstractNum w:abstractNumId="116">
    <w:nsid w:val="2C27173B"/>
    <w:multiLevelType w:val="hybridMultilevel"/>
    <w:lvl w:ilvl="0">
      <w:lvlJc w:val="left"/>
      <w:lvlText w:val="%1."/>
      <w:numFmt w:val="decimal"/>
      <w:start w:val="1"/>
    </w:lvl>
    <w:lvl w:ilvl="1">
      <w:lvlJc w:val="left"/>
      <w:lvlText w:val="(%2)"/>
      <w:numFmt w:val="lowerLetter"/>
      <w:start w:val="1"/>
    </w:lvl>
  </w:abstractNum>
  <w:abstractNum w:abstractNumId="117">
    <w:nsid w:val="4C9B0904"/>
    <w:multiLevelType w:val="hybridMultilevel"/>
    <w:lvl w:ilvl="0">
      <w:lvlJc w:val="left"/>
      <w:lvlText w:val="%1."/>
      <w:numFmt w:val="decimal"/>
      <w:start w:val="1"/>
    </w:lvl>
    <w:lvl w:ilvl="1">
      <w:lvlJc w:val="left"/>
      <w:lvlText w:val="(%2)"/>
      <w:numFmt w:val="lowerLetter"/>
      <w:start w:val="1"/>
    </w:lvl>
  </w:abstractNum>
  <w:abstractNum w:abstractNumId="118">
    <w:nsid w:val="6AA7B75C"/>
    <w:multiLevelType w:val="hybridMultilevel"/>
    <w:lvl w:ilvl="0">
      <w:lvlJc w:val="left"/>
      <w:lvlText w:val="(%1)"/>
      <w:numFmt w:val="decimal"/>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png"/><Relationship Id="rId211" Type="http://schemas.openxmlformats.org/officeDocument/2006/relationships/image" Target="media/image176.png"/><Relationship Id="rId212" Type="http://schemas.openxmlformats.org/officeDocument/2006/relationships/image" Target="media/image177.png"/><Relationship Id="rId213" Type="http://schemas.openxmlformats.org/officeDocument/2006/relationships/image" Target="media/image178.png"/><Relationship Id="rId214" Type="http://schemas.openxmlformats.org/officeDocument/2006/relationships/image" Target="media/image179.png"/><Relationship Id="rId215" Type="http://schemas.openxmlformats.org/officeDocument/2006/relationships/image" Target="media/image180.png"/><Relationship Id="rId216" Type="http://schemas.openxmlformats.org/officeDocument/2006/relationships/image" Target="media/image181.png"/><Relationship Id="rId217" Type="http://schemas.openxmlformats.org/officeDocument/2006/relationships/image" Target="media/image182.png"/><Relationship Id="rId218" Type="http://schemas.openxmlformats.org/officeDocument/2006/relationships/image" Target="media/image183.png"/><Relationship Id="rId219" Type="http://schemas.openxmlformats.org/officeDocument/2006/relationships/image" Target="media/image184.png"/><Relationship Id="rId220" Type="http://schemas.openxmlformats.org/officeDocument/2006/relationships/image" Target="media/image185.png"/><Relationship Id="rId221" Type="http://schemas.openxmlformats.org/officeDocument/2006/relationships/image" Target="media/image186.png"/><Relationship Id="rId222" Type="http://schemas.openxmlformats.org/officeDocument/2006/relationships/image" Target="media/image187.png"/><Relationship Id="rId223" Type="http://schemas.openxmlformats.org/officeDocument/2006/relationships/image" Target="media/image188.png"/><Relationship Id="rId224" Type="http://schemas.openxmlformats.org/officeDocument/2006/relationships/image" Target="media/image189.png"/><Relationship Id="rId225" Type="http://schemas.openxmlformats.org/officeDocument/2006/relationships/image" Target="media/image190.png"/><Relationship Id="rId226" Type="http://schemas.openxmlformats.org/officeDocument/2006/relationships/image" Target="media/image191.png"/><Relationship Id="rId227" Type="http://schemas.openxmlformats.org/officeDocument/2006/relationships/image" Target="media/image192.png"/><Relationship Id="rId228" Type="http://schemas.openxmlformats.org/officeDocument/2006/relationships/image" Target="media/image193.png"/><Relationship Id="rId229" Type="http://schemas.openxmlformats.org/officeDocument/2006/relationships/image" Target="media/image194.png"/><Relationship Id="rId230" Type="http://schemas.openxmlformats.org/officeDocument/2006/relationships/image" Target="media/image195.png"/><Relationship Id="rId231" Type="http://schemas.openxmlformats.org/officeDocument/2006/relationships/image" Target="media/image196.png"/><Relationship Id="rId232" Type="http://schemas.openxmlformats.org/officeDocument/2006/relationships/image" Target="media/image197.png"/><Relationship Id="rId233" Type="http://schemas.openxmlformats.org/officeDocument/2006/relationships/image" Target="media/image198.png"/><Relationship Id="rId234" Type="http://schemas.openxmlformats.org/officeDocument/2006/relationships/image" Target="media/image199.png"/><Relationship Id="rId235" Type="http://schemas.openxmlformats.org/officeDocument/2006/relationships/image" Target="media/image200.png"/><Relationship Id="rId236" Type="http://schemas.openxmlformats.org/officeDocument/2006/relationships/image" Target="media/image201.png"/><Relationship Id="rId237" Type="http://schemas.openxmlformats.org/officeDocument/2006/relationships/image" Target="media/image202.png"/><Relationship Id="rId238" Type="http://schemas.openxmlformats.org/officeDocument/2006/relationships/image" Target="media/image203.png"/><Relationship Id="rId239" Type="http://schemas.openxmlformats.org/officeDocument/2006/relationships/image" Target="media/image204.png"/><Relationship Id="rId240" Type="http://schemas.openxmlformats.org/officeDocument/2006/relationships/image" Target="media/image205.png"/><Relationship Id="rId241" Type="http://schemas.openxmlformats.org/officeDocument/2006/relationships/image" Target="media/image206.png"/><Relationship Id="rId242" Type="http://schemas.openxmlformats.org/officeDocument/2006/relationships/image" Target="media/image207.png"/><Relationship Id="rId138" Type="http://schemas.openxmlformats.org/officeDocument/2006/relationships/hyperlink" Target="http://www.sec.gov/Archives/edgar/data/1580864/000156459020039778/vrm-ex31_460.htm" TargetMode="External"/><Relationship Id="rId139" Type="http://schemas.openxmlformats.org/officeDocument/2006/relationships/hyperlink" Target="http://www.sec.gov/Archives/edgar/data/1580864/000156459020039778/vrm-ex32_234.htm" TargetMode="External"/><Relationship Id="rId140" Type="http://schemas.openxmlformats.org/officeDocument/2006/relationships/hyperlink" Target="http://www.sec.gov/Archives/edgar/data/1580864/000119312520157158/d801274dex41.htm" TargetMode="External"/><Relationship Id="rId141" Type="http://schemas.openxmlformats.org/officeDocument/2006/relationships/hyperlink" Target="http://www.sec.gov/Archives/edgar/data/1580864/000119312520145219/d801274dex42.htm" TargetMode="External"/><Relationship Id="rId142" Type="http://schemas.openxmlformats.org/officeDocument/2006/relationships/hyperlink" Target="http://www.sec.gov/Archives/edgar/data/1580864/000119312520145219/d801274dex101.htm" TargetMode="External"/><Relationship Id="rId143" Type="http://schemas.openxmlformats.org/officeDocument/2006/relationships/hyperlink" Target="http://www.sec.gov/Archives/edgar/data/1580864/000156459020039778/vrm-ex103_232.htm" TargetMode="External"/><Relationship Id="rId144" Type="http://schemas.openxmlformats.org/officeDocument/2006/relationships/hyperlink" Target="http://www.sec.gov/Archives/edgar/data/1580864/000156459020039778/vrm-ex104_233.htm" TargetMode="External"/><Relationship Id="rId145" Type="http://schemas.openxmlformats.org/officeDocument/2006/relationships/hyperlink" Target="http://www.sec.gov/Archives/edgar/data/1580864/000119312520145219/d801274dex102.htm" TargetMode="External"/><Relationship Id="rId146" Type="http://schemas.openxmlformats.org/officeDocument/2006/relationships/hyperlink" Target="http://www.sec.gov/Archives/edgar/data/1580864/000119312520157158/d801274dex103.htm" TargetMode="External"/><Relationship Id="rId147" Type="http://schemas.openxmlformats.org/officeDocument/2006/relationships/hyperlink" Target="http://www.sec.gov/Archives/edgar/data/1580864/000156459020039778/vrm-ex102_602.htm" TargetMode="External"/><Relationship Id="rId150" Type="http://schemas.openxmlformats.org/officeDocument/2006/relationships/hyperlink" Target="http://www.sec.gov/Archives/edgar/data/1580864/000119312520157158/d801274dex104.htm" TargetMode="External"/><Relationship Id="rId151" Type="http://schemas.openxmlformats.org/officeDocument/2006/relationships/hyperlink" Target="http://www.sec.gov/Archives/edgar/data/1580864/000119312520157158/d801274dex105.htm" TargetMode="External"/><Relationship Id="rId152" Type="http://schemas.openxmlformats.org/officeDocument/2006/relationships/hyperlink" Target="http://www.sec.gov/Archives/edgar/data/1580864/000119312520157158/d801274dex106.htm" TargetMode="External"/><Relationship Id="rId153" Type="http://schemas.openxmlformats.org/officeDocument/2006/relationships/hyperlink" Target="http://www.sec.gov/Archives/edgar/data/1580864/000119312520157158/d801274dex107.htm" TargetMode="External"/><Relationship Id="rId154" Type="http://schemas.openxmlformats.org/officeDocument/2006/relationships/hyperlink" Target="http://www.sec.gov/Archives/edgar/data/1580864/000119312520157158/d801274dex108.htm" TargetMode="External"/><Relationship Id="rId155" Type="http://schemas.openxmlformats.org/officeDocument/2006/relationships/hyperlink" Target="http://www.sec.gov/Archives/edgar/data/1580864/000119312520157158/d801274dex109.htm" TargetMode="External"/><Relationship Id="rId158" Type="http://schemas.openxmlformats.org/officeDocument/2006/relationships/hyperlink" Target="http://www.sec.gov/Archives/edgar/data/1580864/000119312520145219/d801274dex1010.htm" TargetMode="External"/><Relationship Id="rId159" Type="http://schemas.openxmlformats.org/officeDocument/2006/relationships/hyperlink" Target="http://www.sec.gov/Archives/edgar/data/1580864/000156459020039778/vrm-ex109_603.htm" TargetMode="External"/><Relationship Id="rId160" Type="http://schemas.openxmlformats.org/officeDocument/2006/relationships/hyperlink" Target="http://www.sec.gov/Archives/edgar/data/1580864/000156459020053205/vrm-ex101_619.htm" TargetMode="External"/><Relationship Id="rId161" Type="http://schemas.openxmlformats.org/officeDocument/2006/relationships/hyperlink" Target="http://www.sec.gov/Archives/edgar/data/1580864/000119312520157158/d801274dex1011.htm" TargetMode="External"/><Relationship Id="rId162" Type="http://schemas.openxmlformats.org/officeDocument/2006/relationships/hyperlink" Target="http://www.sec.gov/Archives/edgar/data/1580864/000119312520157158/d801274dex1012.htm" TargetMode="External"/><Relationship Id="rId163" Type="http://schemas.openxmlformats.org/officeDocument/2006/relationships/hyperlink" Target="http://www.sec.gov/Archives/edgar/data/1580864/000119312520157158/d801274dex1013.htm" TargetMode="External"/><Relationship Id="rId164" Type="http://schemas.openxmlformats.org/officeDocument/2006/relationships/hyperlink" Target="http://www.sec.gov/Archives/edgar/data/1580864/000119312520157158/d801274dex1014.htm" TargetMode="External"/><Relationship Id="rId165" Type="http://schemas.openxmlformats.org/officeDocument/2006/relationships/hyperlink" Target="http://www.sec.gov/Archives/edgar/data/1580864/000119312520157158/d801274dex1015.htm" TargetMode="External"/><Relationship Id="rId166" Type="http://schemas.openxmlformats.org/officeDocument/2006/relationships/hyperlink" Target="http://www.sec.gov/Archives/edgar/data/1580864/000119312520241003/d94166dex1018.htm" TargetMode="External"/><Relationship Id="rId167" Type="http://schemas.openxmlformats.org/officeDocument/2006/relationships/hyperlink" Target="http://www.sec.gov/Archives/edgar/data/1580864/000119312520241003/d94166dex1019.htm" TargetMode="External"/><Relationship Id="rId168" Type="http://schemas.openxmlformats.org/officeDocument/2006/relationships/hyperlink" Target="http://www.sec.gov/Archives/edgar/data/0001580864/000119312520241003/d94166dex1020.htm" TargetMode="External"/><Relationship Id="rId171" Type="http://schemas.openxmlformats.org/officeDocument/2006/relationships/hyperlink" Target="http://www.sec.gov/Archives/edgar/data/0001580864/000119312520241003/d94166dex1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2021-03-03T15:35:36Z</dcterms:created>
  <dcterms:modified xsi:type="dcterms:W3CDTF">2021-03-03T15:35:36Z</dcterms:modified>
</cp:coreProperties>
</file>