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30"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60" w:right="339" w:bottom="1440" w:gutter="0" w:footer="0" w:header="0"/>
        </w:sectPr>
      </w:pPr>
    </w:p>
    <w:p>
      <w:pPr>
        <w:spacing w:after="0" w:line="171"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31" w:lineRule="exact"/>
        <w:rPr>
          <w:sz w:val="24"/>
          <w:szCs w:val="24"/>
          <w:color w:val="auto"/>
        </w:rPr>
      </w:pPr>
    </w:p>
    <w:p>
      <w:pPr>
        <w:sectPr>
          <w:pgSz w:w="11900" w:h="16838" w:orient="portrait"/>
          <w:cols w:equalWidth="0" w:num="2">
            <w:col w:w="6300" w:space="700"/>
            <w:col w:w="4240"/>
          </w:cols>
          <w:pgMar w:left="320" w:top="260"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466"/>
        </w:trPr>
        <w:tc>
          <w:tcPr>
            <w:tcW w:w="2500" w:type="dxa"/>
            <w:vAlign w:val="bottom"/>
          </w:tcPr>
          <w:p>
            <w:pPr>
              <w:spacing w:after="0"/>
              <w:rPr>
                <w:sz w:val="24"/>
                <w:szCs w:val="24"/>
                <w:color w:val="auto"/>
              </w:rPr>
            </w:pPr>
          </w:p>
        </w:tc>
        <w:tc>
          <w:tcPr>
            <w:tcW w:w="6760" w:type="dxa"/>
            <w:vAlign w:val="bottom"/>
            <w:gridSpan w:val="3"/>
          </w:tcPr>
          <w:p>
            <w:pPr>
              <w:jc w:val="center"/>
              <w:ind w:right="224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47"/>
        </w:trPr>
        <w:tc>
          <w:tcPr>
            <w:tcW w:w="2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3420" w:type="dxa"/>
            <w:vAlign w:val="bottom"/>
          </w:tcPr>
          <w:p>
            <w:pPr>
              <w:spacing w:after="0"/>
              <w:rPr>
                <w:sz w:val="12"/>
                <w:szCs w:val="12"/>
                <w:color w:val="auto"/>
              </w:rPr>
            </w:pPr>
          </w:p>
        </w:tc>
      </w:tr>
      <w:tr>
        <w:trPr>
          <w:trHeight w:val="319"/>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760" w:type="dxa"/>
            <w:vAlign w:val="bottom"/>
            <w:gridSpan w:val="3"/>
          </w:tcPr>
          <w:p>
            <w:pPr>
              <w:jc w:val="center"/>
              <w:ind w:left="5121"/>
              <w:spacing w:after="0"/>
              <w:rPr>
                <w:sz w:val="20"/>
                <w:szCs w:val="20"/>
                <w:color w:val="auto"/>
              </w:rPr>
            </w:pPr>
            <w:r>
              <w:rPr>
                <w:rFonts w:ascii="Arial" w:cs="Arial" w:eastAsia="Arial" w:hAnsi="Arial"/>
                <w:sz w:val="14"/>
                <w:szCs w:val="14"/>
                <w:b w:val="1"/>
                <w:bCs w:val="1"/>
                <w:color w:val="auto"/>
              </w:rPr>
              <w:t>90-1112566</w:t>
            </w:r>
          </w:p>
        </w:tc>
      </w:tr>
      <w:tr>
        <w:trPr>
          <w:trHeight w:val="242"/>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Identification Number)</w:t>
            </w:r>
          </w:p>
        </w:tc>
      </w:tr>
      <w:tr>
        <w:trPr>
          <w:trHeight w:val="309"/>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1375 Broadway, Floor 11</w:t>
            </w:r>
          </w:p>
        </w:tc>
      </w:tr>
      <w:tr>
        <w:trPr>
          <w:trHeight w:val="176"/>
        </w:trPr>
        <w:tc>
          <w:tcPr>
            <w:tcW w:w="2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New York, New York 10018</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412"/>
        </w:trPr>
        <w:tc>
          <w:tcPr>
            <w:tcW w:w="412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56" w:lineRule="exact"/>
        <w:rPr>
          <w:sz w:val="24"/>
          <w:szCs w:val="24"/>
          <w:color w:val="auto"/>
        </w:rPr>
      </w:pPr>
    </w:p>
    <w:p>
      <w:pPr>
        <w:ind w:right="80" w:firstLine="374"/>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ind w:right="100" w:firstLine="374"/>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ind w:right="220" w:firstLine="374"/>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8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1" w:lineRule="exact"/>
        <w:rPr>
          <w:sz w:val="24"/>
          <w:szCs w:val="24"/>
          <w:color w:val="auto"/>
        </w:rPr>
      </w:pPr>
    </w:p>
    <w:p>
      <w:pPr>
        <w:ind w:right="280" w:firstLine="37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left="380" w:right="17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2021, 136,907,849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60" w:type="dxa"/>
            <w:vAlign w:val="bottom"/>
            <w:gridSpan w:val="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750"/>
        </w:trPr>
        <w:tc>
          <w:tcPr>
            <w:tcW w:w="40" w:type="dxa"/>
            <w:vAlign w:val="bottom"/>
            <w:tcBorders>
              <w:top w:val="single" w:sz="8" w:color="0563C1"/>
            </w:tcBorders>
          </w:tcPr>
          <w:p>
            <w:pPr>
              <w:spacing w:after="0"/>
              <w:rPr>
                <w:sz w:val="24"/>
                <w:szCs w:val="24"/>
                <w:color w:val="auto"/>
              </w:rPr>
            </w:pPr>
          </w:p>
        </w:tc>
        <w:tc>
          <w:tcPr>
            <w:tcW w:w="5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4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6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432"/>
        </w:trPr>
        <w:tc>
          <w:tcPr>
            <w:tcW w:w="40" w:type="dxa"/>
            <w:vAlign w:val="bottom"/>
          </w:tcPr>
          <w:p>
            <w:pPr>
              <w:spacing w:after="0"/>
              <w:rPr>
                <w:sz w:val="24"/>
                <w:szCs w:val="24"/>
                <w:color w:val="auto"/>
              </w:rPr>
            </w:pPr>
          </w:p>
        </w:tc>
        <w:tc>
          <w:tcPr>
            <w:tcW w:w="10480" w:type="dxa"/>
            <w:vAlign w:val="bottom"/>
            <w:gridSpan w:val="23"/>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Part I - Financial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40" w:type="dxa"/>
            <w:vAlign w:val="bottom"/>
            <w:tcBorders>
              <w:right w:val="single" w:sz="8" w:color="0563C1"/>
            </w:tcBorders>
            <w:gridSpan w:val="2"/>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Balance Sheets as of September 30, 2021 and December 31, 2020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Condensed Consolidated Statements of Operations for the Three and Nine Months Ended September 30, 2021</w:t>
              </w:r>
            </w:hyperlink>
          </w:p>
        </w:tc>
        <w:tc>
          <w:tcPr>
            <w:tcW w:w="7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60" w:type="dxa"/>
            <w:vAlign w:val="bottom"/>
            <w:gridSpan w:val="19"/>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and 2020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w w:val="99"/>
              </w:rPr>
            </w:pPr>
            <w:hyperlink w:anchor="page7">
              <w:r>
                <w:rPr>
                  <w:rFonts w:ascii="Arial" w:cs="Arial" w:eastAsia="Arial" w:hAnsi="Arial"/>
                  <w:sz w:val="18"/>
                  <w:szCs w:val="18"/>
                  <w:color w:val="0563C1"/>
                  <w:w w:val="99"/>
                </w:rPr>
                <w:t>Condensed Consolidated Statements of Changes in Redeemable Convertible Preferred Stock and Stockholders'</w:t>
              </w:r>
            </w:hyperlink>
          </w:p>
        </w:tc>
        <w:tc>
          <w:tcPr>
            <w:tcW w:w="7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60" w:type="dxa"/>
            <w:vAlign w:val="bottom"/>
            <w:gridSpan w:val="19"/>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Equity (Deficit) for the Three and Nine Months Ended September 30, 2021 and 2020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Condensed Consolidated Statements of Cash Flows for the Nine Months Ended September 30, 2021 and 2020</w:t>
              </w:r>
            </w:hyperlink>
          </w:p>
        </w:tc>
        <w:tc>
          <w:tcPr>
            <w:tcW w:w="7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1820" w:type="dxa"/>
            <w:vAlign w:val="bottom"/>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60" w:type="dxa"/>
            <w:vAlign w:val="bottom"/>
            <w:gridSpan w:val="19"/>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10">
              <w:r>
                <w:rPr>
                  <w:rFonts w:ascii="Arial" w:cs="Arial" w:eastAsia="Arial" w:hAnsi="Arial"/>
                  <w:sz w:val="18"/>
                  <w:szCs w:val="18"/>
                  <w:color w:val="0563C1"/>
                </w:rPr>
                <w:t>Notes to Condensed 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28">
              <w:r>
                <w:rPr>
                  <w:rFonts w:ascii="Arial" w:cs="Arial" w:eastAsia="Arial" w:hAnsi="Arial"/>
                  <w:sz w:val="18"/>
                  <w:szCs w:val="18"/>
                  <w:color w:val="0563C1"/>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20" w:type="dxa"/>
            <w:vAlign w:val="bottom"/>
            <w:gridSpan w:val="2"/>
            <w:shd w:val="clear" w:color="auto" w:fill="0563C1"/>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6">
              <w:r>
                <w:rPr>
                  <w:rFonts w:ascii="Arial" w:cs="Arial" w:eastAsia="Arial" w:hAnsi="Arial"/>
                  <w:sz w:val="18"/>
                  <w:szCs w:val="18"/>
                  <w:color w:val="0563C1"/>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1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4.</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7">
              <w:r>
                <w:rPr>
                  <w:rFonts w:ascii="Arial" w:cs="Arial" w:eastAsia="Arial" w:hAnsi="Arial"/>
                  <w:sz w:val="18"/>
                  <w:szCs w:val="18"/>
                  <w:color w:val="0563C1"/>
                </w:rPr>
                <w:t>Controls and Procedures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tcBorders>
              <w:left w:val="single" w:sz="8" w:color="0563C1"/>
            </w:tcBorders>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0480" w:type="dxa"/>
            <w:vAlign w:val="bottom"/>
            <w:gridSpan w:val="23"/>
          </w:tcPr>
          <w:p>
            <w:pPr>
              <w:spacing w:after="0"/>
              <w:rPr>
                <w:rFonts w:ascii="Arial" w:cs="Arial" w:eastAsia="Arial" w:hAnsi="Arial"/>
                <w:sz w:val="18"/>
                <w:szCs w:val="18"/>
                <w:color w:val="0563C1"/>
              </w:rPr>
            </w:pPr>
            <w:hyperlink w:anchor="page59">
              <w:r>
                <w:rPr>
                  <w:rFonts w:ascii="Arial" w:cs="Arial" w:eastAsia="Arial" w:hAnsi="Arial"/>
                  <w:sz w:val="18"/>
                  <w:szCs w:val="18"/>
                  <w:color w:val="0563C1"/>
                </w:rPr>
                <w:t>Part II -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2"/>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9">
              <w:r>
                <w:rPr>
                  <w:rFonts w:ascii="Arial" w:cs="Arial" w:eastAsia="Arial" w:hAnsi="Arial"/>
                  <w:sz w:val="18"/>
                  <w:szCs w:val="18"/>
                  <w:color w:val="0563C1"/>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Item 1A.</w:t>
            </w:r>
          </w:p>
        </w:tc>
        <w:tc>
          <w:tcPr>
            <w:tcW w:w="840" w:type="dxa"/>
            <w:vAlign w:val="bottom"/>
            <w:gridSpan w:val="2"/>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59">
              <w:r>
                <w:rPr>
                  <w:rFonts w:ascii="Arial" w:cs="Arial" w:eastAsia="Arial" w:hAnsi="Arial"/>
                  <w:sz w:val="18"/>
                  <w:szCs w:val="18"/>
                  <w:color w:val="0563C1"/>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3">
              <w:r>
                <w:rPr>
                  <w:rFonts w:ascii="Arial" w:cs="Arial" w:eastAsia="Arial" w:hAnsi="Arial"/>
                  <w:sz w:val="18"/>
                  <w:szCs w:val="18"/>
                  <w:color w:val="0563C1"/>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2300" w:type="dxa"/>
            <w:vAlign w:val="bottom"/>
            <w:gridSpan w:val="3"/>
            <w:shd w:val="clear" w:color="auto" w:fill="0563C1"/>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3">
              <w:r>
                <w:rPr>
                  <w:rFonts w:ascii="Arial" w:cs="Arial" w:eastAsia="Arial" w:hAnsi="Arial"/>
                  <w:sz w:val="18"/>
                  <w:szCs w:val="18"/>
                  <w:color w:val="0563C1"/>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620" w:type="dxa"/>
            <w:vAlign w:val="bottom"/>
            <w:tcBorders>
              <w:left w:val="single" w:sz="8" w:color="0563C1"/>
            </w:tcBorders>
            <w:shd w:val="clear" w:color="auto" w:fill="0563C1"/>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4.</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Mine Safety Disclosures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70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5.</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4">
              <w:r>
                <w:rPr>
                  <w:rFonts w:ascii="Arial" w:cs="Arial" w:eastAsia="Arial" w:hAnsi="Arial"/>
                  <w:sz w:val="18"/>
                  <w:szCs w:val="18"/>
                  <w:color w:val="0563C1"/>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6.</w:t>
            </w:r>
          </w:p>
        </w:tc>
        <w:tc>
          <w:tcPr>
            <w:tcW w:w="960" w:type="dxa"/>
            <w:vAlign w:val="bottom"/>
            <w:gridSpan w:val="3"/>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5">
              <w:r>
                <w:rPr>
                  <w:rFonts w:ascii="Arial" w:cs="Arial" w:eastAsia="Arial" w:hAnsi="Arial"/>
                  <w:sz w:val="18"/>
                  <w:szCs w:val="18"/>
                  <w:color w:val="0563C1"/>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60" w:type="dxa"/>
            <w:vAlign w:val="bottom"/>
            <w:gridSpan w:val="19"/>
          </w:tcPr>
          <w:p>
            <w:pPr>
              <w:spacing w:after="0"/>
              <w:rPr>
                <w:rFonts w:ascii="Arial" w:cs="Arial" w:eastAsia="Arial" w:hAnsi="Arial"/>
                <w:sz w:val="18"/>
                <w:szCs w:val="18"/>
                <w:color w:val="0563C1"/>
              </w:rPr>
            </w:pPr>
            <w:hyperlink w:anchor="page67">
              <w:r>
                <w:rPr>
                  <w:rFonts w:ascii="Arial" w:cs="Arial" w:eastAsia="Arial" w:hAnsi="Arial"/>
                  <w:sz w:val="18"/>
                  <w:szCs w:val="18"/>
                  <w:color w:val="0563C1"/>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70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0563C1"/>
            </w:tcBorders>
            <w:gridSpan w:val="4"/>
          </w:tcPr>
          <w:p>
            <w:pPr>
              <w:spacing w:after="0"/>
              <w:rPr>
                <w:sz w:val="24"/>
                <w:szCs w:val="24"/>
                <w:color w:val="auto"/>
              </w:rPr>
            </w:pPr>
          </w:p>
        </w:tc>
        <w:tc>
          <w:tcPr>
            <w:tcW w:w="3780" w:type="dxa"/>
            <w:vAlign w:val="bottom"/>
            <w:gridSpan w:val="8"/>
          </w:tcPr>
          <w:p>
            <w:pPr>
              <w:jc w:val="right"/>
              <w:ind w:right="4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ind w:right="20" w:firstLine="761"/>
        <w:spacing w:after="0" w:line="270"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17"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 regarding, among other things:</w:t>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impact of the COVID-19 pandemic;</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a history of losses and we may not achieve or maintain profitability in the future;</w:t>
      </w:r>
    </w:p>
    <w:p>
      <w:pPr>
        <w:spacing w:after="0" w:line="158"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211" w:lineRule="exact"/>
        <w:rPr>
          <w:sz w:val="20"/>
          <w:szCs w:val="20"/>
          <w:color w:val="auto"/>
        </w:rPr>
      </w:pPr>
    </w:p>
    <w:p>
      <w:pPr>
        <w:ind w:left="1080" w:right="340"/>
        <w:spacing w:after="0" w:line="308" w:lineRule="auto"/>
        <w:rPr>
          <w:sz w:val="20"/>
          <w:szCs w:val="20"/>
          <w:color w:val="auto"/>
        </w:rPr>
      </w:pPr>
      <w:r>
        <w:rPr>
          <w:rFonts w:ascii="Arial" w:cs="Arial" w:eastAsia="Arial" w:hAnsi="Arial"/>
          <w:sz w:val="17"/>
          <w:szCs w:val="17"/>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a limited operating history and are still building out our foundational systems;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recent, rapid growth may not be indicative of our future growth;</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we continue to grow rapidly, we may not be able to manage our growth effectively;</w:t>
      </w:r>
    </w:p>
    <w:p>
      <w:pPr>
        <w:spacing w:after="0" w:line="252" w:lineRule="exact"/>
        <w:rPr>
          <w:sz w:val="20"/>
          <w:szCs w:val="20"/>
          <w:color w:val="auto"/>
        </w:rPr>
      </w:pPr>
    </w:p>
    <w:p>
      <w:pPr>
        <w:jc w:val="both"/>
        <w:ind w:left="1080" w:right="40"/>
        <w:spacing w:after="0" w:line="271" w:lineRule="auto"/>
        <w:rPr>
          <w:sz w:val="20"/>
          <w:szCs w:val="20"/>
          <w:color w:val="auto"/>
        </w:rPr>
      </w:pPr>
      <w:r>
        <w:rPr>
          <w:rFonts w:ascii="Arial" w:cs="Arial" w:eastAsia="Arial" w:hAnsi="Arial"/>
          <w:sz w:val="18"/>
          <w:szCs w:val="18"/>
          <w:color w:val="auto"/>
        </w:rPr>
        <w:t>we may not complete the proposed acquisition of United Auto Credit Corporation ("UACC") within the anticipated time frame or at all, be able to successfully integrate the UACC business into our business, or realize the anticipated benefits of the proposed acquisition of UACC or those benefits could take longer than anticipated;</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business is subject to certain risks related to the operation of Texas Direct Auto;</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rely on third-party vendors for key components of our business, which exposes us to increased risks;</w:t>
      </w:r>
    </w:p>
    <w:p>
      <w:pPr>
        <w:spacing w:after="0" w:line="158" w:lineRule="exact"/>
        <w:rPr>
          <w:sz w:val="20"/>
          <w:szCs w:val="20"/>
          <w:color w:val="auto"/>
        </w:rPr>
      </w:pPr>
    </w:p>
    <w:p>
      <w:pPr>
        <w:ind w:left="1080" w:right="140"/>
        <w:spacing w:after="0" w:line="308" w:lineRule="auto"/>
        <w:rPr>
          <w:sz w:val="20"/>
          <w:szCs w:val="20"/>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92"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if the quality of our customer experience, our reputation or our brand were negatively affected, our business, sales and results of operations could be materially and adversely affected;</w:t>
      </w:r>
    </w:p>
    <w:p>
      <w:pPr>
        <w:spacing w:after="0" w:line="116" w:lineRule="exact"/>
        <w:rPr>
          <w:sz w:val="20"/>
          <w:szCs w:val="20"/>
          <w:color w:val="auto"/>
        </w:rPr>
      </w:pPr>
    </w:p>
    <w:p>
      <w:pPr>
        <w:ind w:left="1080" w:right="260"/>
        <w:spacing w:after="0" w:line="308" w:lineRule="auto"/>
        <w:rPr>
          <w:sz w:val="20"/>
          <w:szCs w:val="20"/>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92" w:lineRule="exact"/>
        <w:rPr>
          <w:sz w:val="20"/>
          <w:szCs w:val="20"/>
          <w:color w:val="auto"/>
        </w:rPr>
      </w:pPr>
    </w:p>
    <w:p>
      <w:pPr>
        <w:ind w:left="1080"/>
        <w:spacing w:after="0" w:line="308" w:lineRule="auto"/>
        <w:rPr>
          <w:sz w:val="20"/>
          <w:szCs w:val="20"/>
          <w:color w:val="auto"/>
        </w:rPr>
      </w:pPr>
      <w:r>
        <w:rPr>
          <w:rFonts w:ascii="Arial" w:cs="Arial" w:eastAsia="Arial" w:hAnsi="Arial"/>
          <w:sz w:val="17"/>
          <w:szCs w:val="17"/>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080" w:right="160"/>
        <w:spacing w:after="0" w:line="271" w:lineRule="auto"/>
        <w:rPr>
          <w:sz w:val="20"/>
          <w:szCs w:val="20"/>
          <w:color w:val="auto"/>
        </w:rPr>
      </w:pPr>
      <w:r>
        <w:rPr>
          <w:rFonts w:ascii="Arial" w:cs="Arial" w:eastAsia="Arial" w:hAnsi="Arial"/>
          <w:sz w:val="18"/>
          <w:szCs w:val="18"/>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22" w:lineRule="exact"/>
        <w:rPr>
          <w:sz w:val="20"/>
          <w:szCs w:val="20"/>
          <w:color w:val="auto"/>
        </w:rPr>
      </w:pPr>
    </w:p>
    <w:p>
      <w:pPr>
        <w:ind w:left="1080"/>
        <w:spacing w:after="0" w:line="271" w:lineRule="auto"/>
        <w:rPr>
          <w:sz w:val="20"/>
          <w:szCs w:val="20"/>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217"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211" w:lineRule="exact"/>
        <w:rPr>
          <w:sz w:val="20"/>
          <w:szCs w:val="20"/>
          <w:color w:val="auto"/>
        </w:rPr>
      </w:pPr>
    </w:p>
    <w:p>
      <w:pPr>
        <w:ind w:left="1080" w:right="940"/>
        <w:spacing w:after="0" w:line="308" w:lineRule="auto"/>
        <w:rPr>
          <w:sz w:val="20"/>
          <w:szCs w:val="20"/>
          <w:color w:val="auto"/>
        </w:rPr>
      </w:pPr>
      <w:r>
        <w:rPr>
          <w:rFonts w:ascii="Arial" w:cs="Arial" w:eastAsia="Arial" w:hAnsi="Arial"/>
          <w:sz w:val="17"/>
          <w:szCs w:val="17"/>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87" w:lineRule="exact"/>
        <w:rPr>
          <w:sz w:val="20"/>
          <w:szCs w:val="20"/>
          <w:color w:val="auto"/>
        </w:rPr>
      </w:pPr>
    </w:p>
    <w:p>
      <w:pPr>
        <w:ind w:left="1080" w:right="180"/>
        <w:spacing w:after="0" w:line="271" w:lineRule="auto"/>
        <w:rPr>
          <w:sz w:val="20"/>
          <w:szCs w:val="20"/>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actual operating results may differ significantly from our guidance</w:t>
      </w:r>
    </w:p>
    <w:p>
      <w:pPr>
        <w:spacing w:after="0" w:line="239" w:lineRule="exact"/>
        <w:rPr>
          <w:sz w:val="20"/>
          <w:szCs w:val="20"/>
          <w:color w:val="auto"/>
        </w:rPr>
      </w:pPr>
    </w:p>
    <w:p>
      <w:pPr>
        <w:ind w:right="120" w:firstLine="761"/>
        <w:spacing w:after="0" w:line="268"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8" w:lineRule="exact"/>
        <w:rPr>
          <w:sz w:val="20"/>
          <w:szCs w:val="20"/>
          <w:color w:val="auto"/>
        </w:rPr>
      </w:pPr>
    </w:p>
    <w:p>
      <w:pPr>
        <w:ind w:right="120" w:firstLine="761"/>
        <w:spacing w:after="0" w:line="267"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260"/>
              <w:spacing w:after="0"/>
              <w:rPr>
                <w:sz w:val="20"/>
                <w:szCs w:val="20"/>
                <w:color w:val="auto"/>
              </w:rPr>
            </w:pPr>
            <w:r>
              <w:rPr>
                <w:rFonts w:ascii="Arial" w:cs="Arial" w:eastAsia="Arial" w:hAnsi="Arial"/>
                <w:sz w:val="14"/>
                <w:szCs w:val="14"/>
                <w:b w:val="1"/>
                <w:bCs w:val="1"/>
                <w:color w:val="auto"/>
              </w:rPr>
              <w:t>As of</w:t>
            </w:r>
          </w:p>
        </w:tc>
      </w:tr>
      <w:tr>
        <w:trPr>
          <w:trHeight w:val="208"/>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2020</w:t>
            </w:r>
          </w:p>
        </w:tc>
      </w:tr>
      <w:tr>
        <w:trPr>
          <w:trHeight w:val="22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1,326,543</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1,056,213</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69,574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33,826</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$4,937 and $2,803, respectively</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89,900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60,576</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601,753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423,647</w:t>
            </w:r>
          </w:p>
        </w:tc>
      </w:tr>
      <w:tr>
        <w:trPr>
          <w:trHeight w:val="23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62,390</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23,617</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2,150,160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1,597,879</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30,559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15,092</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29,762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34</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158,817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78,172</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16,994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17,137</w:t>
            </w:r>
          </w:p>
        </w:tc>
      </w:tr>
      <w:tr>
        <w:trPr>
          <w:trHeight w:val="23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23,251</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15,742</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2,409,543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1,724,056</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59,522</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32,925</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104,694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59,405</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441,473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329,231</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64,087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24,822</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6,872</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6,052</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66,904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30,275</w:t>
            </w:r>
          </w:p>
        </w:tc>
      </w:tr>
      <w:tr>
        <w:trPr>
          <w:trHeight w:val="230"/>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743,552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482,710</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24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609,811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11,325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12,093</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4,204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2,151</w:t>
            </w:r>
          </w:p>
        </w:tc>
      </w:tr>
      <w:tr>
        <w:trPr>
          <w:trHeight w:val="22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1,368,892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496,954</w:t>
            </w:r>
          </w:p>
        </w:tc>
      </w:tr>
      <w:tr>
        <w:trPr>
          <w:trHeight w:val="220"/>
        </w:trPr>
        <w:tc>
          <w:tcPr>
            <w:tcW w:w="75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Common stock, $0.001 par value; 500,000,000 shares authorized as of September 30, 2021 and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6"/>
                <w:szCs w:val="16"/>
                <w:color w:val="auto"/>
              </w:rPr>
              <w:t>December 31, 2020; 136,897,954 and 134,043,969 shares issued and outstanding as of September</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7520" w:type="dxa"/>
            <w:vAlign w:val="bottom"/>
          </w:tcPr>
          <w:p>
            <w:pPr>
              <w:ind w:left="20"/>
              <w:spacing w:after="0"/>
              <w:rPr>
                <w:sz w:val="20"/>
                <w:szCs w:val="20"/>
                <w:color w:val="auto"/>
              </w:rPr>
            </w:pPr>
            <w:r>
              <w:rPr>
                <w:rFonts w:ascii="Arial" w:cs="Arial" w:eastAsia="Arial" w:hAnsi="Arial"/>
                <w:sz w:val="16"/>
                <w:szCs w:val="16"/>
                <w:color w:val="auto"/>
              </w:rPr>
              <w:t>30, 2021 and December 31, 2020, respectively</w:t>
            </w: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132</w:t>
            </w:r>
          </w:p>
        </w:tc>
      </w:tr>
      <w:tr>
        <w:trPr>
          <w:trHeight w:val="239"/>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2,059,505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2,004,841</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(1,018,989 )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(777,871 )</w:t>
            </w:r>
          </w:p>
        </w:tc>
      </w:tr>
      <w:tr>
        <w:trPr>
          <w:trHeight w:val="22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1,040,651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1,227,102</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2,409,543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1,724,056</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-4299585</wp:posOffset>
            </wp:positionV>
            <wp:extent cx="94615" cy="15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1511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-3416935</wp:posOffset>
            </wp:positionV>
            <wp:extent cx="94615" cy="17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17716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-1325245</wp:posOffset>
            </wp:positionV>
            <wp:extent cx="94615"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511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-176530</wp:posOffset>
            </wp:positionV>
            <wp:extent cx="94615" cy="17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7716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735,716</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249,518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1,798,155</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754,380</w:t>
            </w:r>
          </w:p>
        </w:tc>
        <w:tc>
          <w:tcPr>
            <w:tcW w:w="0" w:type="dxa"/>
            <w:vAlign w:val="bottom"/>
          </w:tcPr>
          <w:p>
            <w:pPr>
              <w:spacing w:after="0"/>
              <w:rPr>
                <w:sz w:val="1"/>
                <w:szCs w:val="1"/>
                <w:color w:val="auto"/>
              </w:rPr>
            </w:pP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131,306</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63,972</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377,438</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170,469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26,544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64,422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25,979</w:t>
            </w:r>
          </w:p>
        </w:tc>
        <w:tc>
          <w:tcPr>
            <w:tcW w:w="0" w:type="dxa"/>
            <w:vAlign w:val="bottom"/>
          </w:tcPr>
          <w:p>
            <w:pPr>
              <w:spacing w:after="0"/>
              <w:rPr>
                <w:sz w:val="1"/>
                <w:szCs w:val="1"/>
                <w:color w:val="auto"/>
              </w:rPr>
            </w:pPr>
          </w:p>
        </w:tc>
      </w:tr>
      <w:tr>
        <w:trPr>
          <w:trHeight w:val="23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3,190</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9,749</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896,756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323,005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2,249,764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951,871</w:t>
            </w:r>
          </w:p>
        </w:tc>
        <w:tc>
          <w:tcPr>
            <w:tcW w:w="0" w:type="dxa"/>
            <w:vAlign w:val="bottom"/>
          </w:tcPr>
          <w:p>
            <w:pPr>
              <w:spacing w:after="0"/>
              <w:rPr>
                <w:sz w:val="1"/>
                <w:szCs w:val="1"/>
                <w:color w:val="auto"/>
              </w:rPr>
            </w:pPr>
          </w:p>
        </w:tc>
      </w:tr>
      <w:tr>
        <w:trPr>
          <w:trHeight w:val="23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838,667</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297,560</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2,092,371</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900,432</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Total gross profit</w:t>
            </w: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58,089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157,393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51,439</w:t>
            </w:r>
          </w:p>
        </w:tc>
        <w:tc>
          <w:tcPr>
            <w:tcW w:w="0" w:type="dxa"/>
            <w:vAlign w:val="bottom"/>
          </w:tcPr>
          <w:p>
            <w:pPr>
              <w:spacing w:after="0"/>
              <w:rPr>
                <w:sz w:val="1"/>
                <w:szCs w:val="1"/>
                <w:color w:val="auto"/>
              </w:rPr>
            </w:pP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148,718</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61,127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381,482</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167,418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9,276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(94,005 )</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(36,873 )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(233,365 )</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(119,218 )</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7,028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6,382</w:t>
            </w:r>
          </w:p>
        </w:tc>
        <w:tc>
          <w:tcPr>
            <w:tcW w:w="0" w:type="dxa"/>
            <w:vAlign w:val="bottom"/>
          </w:tcPr>
          <w:p>
            <w:pPr>
              <w:spacing w:after="0"/>
              <w:rPr>
                <w:sz w:val="1"/>
                <w:szCs w:val="1"/>
                <w:color w:val="auto"/>
              </w:rPr>
            </w:pPr>
          </w:p>
        </w:tc>
      </w:tr>
      <w:tr>
        <w:trPr>
          <w:trHeight w:val="23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(2,930 )</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(7,288 )</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(3,960 )</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Revaluation of preferred stock warrant</w:t>
            </w: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3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(98,093 )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(37,817 )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(240,739 )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(141,999 )</w:t>
            </w:r>
          </w:p>
        </w:tc>
        <w:tc>
          <w:tcPr>
            <w:tcW w:w="0" w:type="dxa"/>
            <w:vAlign w:val="bottom"/>
          </w:tcPr>
          <w:p>
            <w:pPr>
              <w:spacing w:after="0"/>
              <w:rPr>
                <w:sz w:val="1"/>
                <w:szCs w:val="1"/>
                <w:color w:val="auto"/>
              </w:rPr>
            </w:pPr>
          </w:p>
        </w:tc>
      </w:tr>
      <w:tr>
        <w:trPr>
          <w:trHeight w:val="23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(98,122 )</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(37,850 )</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(241,118 )</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(142,137 )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attributable to common stockholders, basic and</w:t>
            </w:r>
          </w:p>
        </w:tc>
        <w:tc>
          <w:tcPr>
            <w:tcW w:w="2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(0.72 )</w:t>
            </w:r>
          </w:p>
        </w:tc>
        <w:tc>
          <w:tcPr>
            <w:tcW w:w="52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(0.31 )</w:t>
            </w:r>
          </w:p>
        </w:tc>
        <w:tc>
          <w:tcPr>
            <w:tcW w:w="3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(1.77 )</w:t>
            </w:r>
          </w:p>
        </w:tc>
        <w:tc>
          <w:tcPr>
            <w:tcW w:w="52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520" w:type="dxa"/>
            <w:vAlign w:val="bottom"/>
            <w:gridSpan w:val="2"/>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520" w:type="dxa"/>
            <w:vAlign w:val="bottom"/>
            <w:gridSpan w:val="2"/>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number of shares outstanding used to compute</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w:t>
            </w:r>
          </w:p>
        </w:tc>
        <w:tc>
          <w:tcPr>
            <w:tcW w:w="260" w:type="dxa"/>
            <w:vAlign w:val="bottom"/>
          </w:tcPr>
          <w:p>
            <w:pPr>
              <w:spacing w:after="0"/>
              <w:rPr>
                <w:sz w:val="17"/>
                <w:szCs w:val="17"/>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6"/>
                <w:szCs w:val="16"/>
                <w:color w:val="auto"/>
              </w:rPr>
              <w:t>136,766,015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121,123,472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ind w:right="40"/>
              <w:spacing w:after="0"/>
              <w:rPr>
                <w:sz w:val="20"/>
                <w:szCs w:val="20"/>
                <w:color w:val="auto"/>
              </w:rPr>
            </w:pPr>
            <w:r>
              <w:rPr>
                <w:rFonts w:ascii="Arial" w:cs="Arial" w:eastAsia="Arial" w:hAnsi="Arial"/>
                <w:sz w:val="16"/>
                <w:szCs w:val="16"/>
                <w:color w:val="auto"/>
              </w:rPr>
              <w:t>136,256,901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53,731,475</w:t>
            </w:r>
          </w:p>
        </w:tc>
        <w:tc>
          <w:tcPr>
            <w:tcW w:w="0" w:type="dxa"/>
            <w:vAlign w:val="bottom"/>
          </w:tcPr>
          <w:p>
            <w:pPr>
              <w:spacing w:after="0"/>
              <w:rPr>
                <w:sz w:val="1"/>
                <w:szCs w:val="1"/>
                <w:color w:val="auto"/>
              </w:rPr>
            </w:pPr>
          </w:p>
        </w:tc>
      </w:tr>
      <w:tr>
        <w:trPr>
          <w:trHeight w:val="182"/>
        </w:trPr>
        <w:tc>
          <w:tcPr>
            <w:tcW w:w="5320" w:type="dxa"/>
            <w:vAlign w:val="bottom"/>
          </w:tcPr>
          <w:p>
            <w:pPr>
              <w:ind w:left="20"/>
              <w:spacing w:after="0" w:line="181" w:lineRule="exact"/>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-2636520</wp:posOffset>
            </wp:positionV>
            <wp:extent cx="76835"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-2636520</wp:posOffset>
            </wp:positionV>
            <wp:extent cx="68580"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-2636520</wp:posOffset>
            </wp:positionV>
            <wp:extent cx="6858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-2336800</wp:posOffset>
            </wp:positionV>
            <wp:extent cx="76835"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-2336800</wp:posOffset>
            </wp:positionV>
            <wp:extent cx="68580"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-2336800</wp:posOffset>
            </wp:positionV>
            <wp:extent cx="6858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-1153795</wp:posOffset>
            </wp:positionV>
            <wp:extent cx="76835"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-1153795</wp:posOffset>
            </wp:positionV>
            <wp:extent cx="6858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-1153795</wp:posOffset>
            </wp:positionV>
            <wp:extent cx="68580"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-853440</wp:posOffset>
            </wp:positionV>
            <wp:extent cx="76835" cy="177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7716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-853440</wp:posOffset>
            </wp:positionV>
            <wp:extent cx="68580" cy="177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716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-853440</wp:posOffset>
            </wp:positionV>
            <wp:extent cx="68580" cy="177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716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-407670</wp:posOffset>
            </wp:positionV>
            <wp:extent cx="76835" cy="408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408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-407670</wp:posOffset>
            </wp:positionV>
            <wp:extent cx="68580" cy="408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4083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-407670</wp:posOffset>
            </wp:positionV>
            <wp:extent cx="68580" cy="408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40830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3060" w:type="dxa"/>
        <w:tblCellMar>
          <w:top w:w="0" w:type="dxa"/>
          <w:left w:w="0" w:type="dxa"/>
          <w:bottom w:w="0" w:type="dxa"/>
          <w:right w:w="0" w:type="dxa"/>
        </w:tblCellMar>
      </w:tblPr>
      <w:tr>
        <w:trPr>
          <w:trHeight w:val="167"/>
        </w:trPr>
        <w:tc>
          <w:tcPr>
            <w:tcW w:w="2200" w:type="dxa"/>
            <w:vAlign w:val="bottom"/>
            <w:tcBorders>
              <w:right w:val="single" w:sz="8" w:color="auto"/>
            </w:tcBorders>
            <w:gridSpan w:val="2"/>
          </w:tcPr>
          <w:p>
            <w:pPr>
              <w:jc w:val="center"/>
              <w:ind w:right="348"/>
              <w:spacing w:after="0"/>
              <w:rPr>
                <w:sz w:val="20"/>
                <w:szCs w:val="20"/>
                <w:color w:val="auto"/>
              </w:rPr>
            </w:pPr>
            <w:r>
              <w:rPr>
                <w:rFonts w:ascii="Arial" w:cs="Arial" w:eastAsia="Arial" w:hAnsi="Arial"/>
                <w:sz w:val="13"/>
                <w:szCs w:val="13"/>
                <w:b w:val="1"/>
                <w:bCs w:val="1"/>
                <w:color w:val="auto"/>
                <w:w w:val="96"/>
              </w:rPr>
              <w:t>Redeemable Convertible</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260" w:type="dxa"/>
            <w:vAlign w:val="bottom"/>
          </w:tcPr>
          <w:p>
            <w:pPr>
              <w:spacing w:after="0"/>
              <w:rPr>
                <w:sz w:val="14"/>
                <w:szCs w:val="14"/>
                <w:color w:val="auto"/>
              </w:rPr>
            </w:pPr>
          </w:p>
        </w:tc>
        <w:tc>
          <w:tcPr>
            <w:tcW w:w="1040" w:type="dxa"/>
            <w:vAlign w:val="bottom"/>
          </w:tcPr>
          <w:p>
            <w:pPr>
              <w:jc w:val="center"/>
              <w:ind w:left="134"/>
              <w:spacing w:after="0"/>
              <w:rPr>
                <w:sz w:val="20"/>
                <w:szCs w:val="20"/>
                <w:color w:val="auto"/>
              </w:rPr>
            </w:pPr>
            <w:r>
              <w:rPr>
                <w:rFonts w:ascii="Arial" w:cs="Arial" w:eastAsia="Arial" w:hAnsi="Arial"/>
                <w:sz w:val="13"/>
                <w:szCs w:val="13"/>
                <w:b w:val="1"/>
                <w:bCs w:val="1"/>
                <w:color w:val="auto"/>
                <w:w w:val="89"/>
              </w:rPr>
              <w:t>Total</w:t>
            </w:r>
          </w:p>
        </w:tc>
      </w:tr>
      <w:tr>
        <w:trPr>
          <w:trHeight w:val="184"/>
        </w:trPr>
        <w:tc>
          <w:tcPr>
            <w:tcW w:w="2200" w:type="dxa"/>
            <w:vAlign w:val="bottom"/>
            <w:tcBorders>
              <w:right w:val="single" w:sz="8" w:color="auto"/>
            </w:tcBorders>
            <w:gridSpan w:val="2"/>
          </w:tcPr>
          <w:p>
            <w:pPr>
              <w:jc w:val="center"/>
              <w:ind w:right="388"/>
              <w:spacing w:after="0"/>
              <w:rPr>
                <w:sz w:val="20"/>
                <w:szCs w:val="20"/>
                <w:color w:val="auto"/>
              </w:rPr>
            </w:pPr>
            <w:r>
              <w:rPr>
                <w:rFonts w:ascii="Arial" w:cs="Arial" w:eastAsia="Arial" w:hAnsi="Arial"/>
                <w:sz w:val="13"/>
                <w:szCs w:val="13"/>
                <w:b w:val="1"/>
                <w:bCs w:val="1"/>
                <w:color w:val="auto"/>
                <w:w w:val="97"/>
              </w:rPr>
              <w:t>Preferred Stock</w:t>
            </w:r>
          </w:p>
        </w:tc>
        <w:tc>
          <w:tcPr>
            <w:tcW w:w="2320" w:type="dxa"/>
            <w:vAlign w:val="bottom"/>
            <w:gridSpan w:val="2"/>
          </w:tcPr>
          <w:p>
            <w:pPr>
              <w:ind w:left="700"/>
              <w:spacing w:after="0"/>
              <w:rPr>
                <w:sz w:val="20"/>
                <w:szCs w:val="20"/>
                <w:color w:val="auto"/>
              </w:rPr>
            </w:pPr>
            <w:r>
              <w:rPr>
                <w:rFonts w:ascii="Arial" w:cs="Arial" w:eastAsia="Arial" w:hAnsi="Arial"/>
                <w:sz w:val="13"/>
                <w:szCs w:val="13"/>
                <w:b w:val="1"/>
                <w:bCs w:val="1"/>
                <w:color w:val="auto"/>
              </w:rPr>
              <w:t>Common Stock</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040" w:type="dxa"/>
            <w:vAlign w:val="bottom"/>
          </w:tcPr>
          <w:p>
            <w:pPr>
              <w:jc w:val="center"/>
              <w:ind w:left="134"/>
              <w:spacing w:after="0"/>
              <w:rPr>
                <w:sz w:val="20"/>
                <w:szCs w:val="20"/>
                <w:color w:val="auto"/>
              </w:rPr>
            </w:pPr>
            <w:r>
              <w:rPr>
                <w:rFonts w:ascii="Arial" w:cs="Arial" w:eastAsia="Arial" w:hAnsi="Arial"/>
                <w:sz w:val="13"/>
                <w:szCs w:val="13"/>
                <w:b w:val="1"/>
                <w:bCs w:val="1"/>
                <w:color w:val="auto"/>
                <w:w w:val="97"/>
              </w:rPr>
              <w:t>Stockholders’</w:t>
            </w:r>
          </w:p>
        </w:tc>
      </w:tr>
      <w:tr>
        <w:trPr>
          <w:trHeight w:val="190"/>
        </w:trPr>
        <w:tc>
          <w:tcPr>
            <w:tcW w:w="86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040" w:type="dxa"/>
            <w:vAlign w:val="bottom"/>
          </w:tcPr>
          <w:p>
            <w:pPr>
              <w:jc w:val="center"/>
              <w:ind w:left="94"/>
              <w:spacing w:after="0"/>
              <w:rPr>
                <w:sz w:val="20"/>
                <w:szCs w:val="20"/>
                <w:color w:val="auto"/>
              </w:rPr>
            </w:pPr>
            <w:r>
              <w:rPr>
                <w:rFonts w:ascii="Arial" w:cs="Arial" w:eastAsia="Arial" w:hAnsi="Arial"/>
                <w:sz w:val="14"/>
                <w:szCs w:val="14"/>
                <w:b w:val="1"/>
                <w:bCs w:val="1"/>
                <w:color w:val="auto"/>
              </w:rPr>
              <w:t>Deficit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-132715</wp:posOffset>
            </wp:positionV>
            <wp:extent cx="5357495" cy="433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57495" cy="433070"/>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83,568,628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874,332</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Issuance of Series H redeemable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convertible preferred stock, net of</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1,964,766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26,714</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March 31,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85,533,394</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901,046</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8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Conversion of redeemable convertible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preferred stock to common stock</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(85,533,394 )</w:t>
            </w:r>
          </w:p>
        </w:tc>
        <w:tc>
          <w:tcPr>
            <w:tcW w:w="28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(901,046 )</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Conversion of redeemable convertible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preferred stock warrant to common stock</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warrant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Issuance of common stock in IPO, net of</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offering costs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Exercise of common stock warrants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00" w:type="dxa"/>
            <w:vAlign w:val="bottom"/>
          </w:tcPr>
          <w:p>
            <w:pPr>
              <w:ind w:left="20"/>
              <w:spacing w:after="0"/>
              <w:rPr>
                <w:sz w:val="20"/>
                <w:szCs w:val="20"/>
                <w:color w:val="auto"/>
              </w:rPr>
            </w:pPr>
            <w:r>
              <w:rPr>
                <w:rFonts w:ascii="Arial" w:cs="Arial" w:eastAsia="Arial" w:hAnsi="Arial"/>
                <w:sz w:val="14"/>
                <w:szCs w:val="14"/>
                <w:color w:val="auto"/>
              </w:rPr>
              <w:t>Common stock shares withheld to satisfy</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employee tax withholding obligations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Issuance of common stock in follow-on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public offering, net of offering costs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4"/>
                <w:szCs w:val="14"/>
                <w:color w:val="auto"/>
              </w:rPr>
              <w:t>Common stock shares withheld to satisfy</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employee tax withholding obligations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September 30,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-4217035</wp:posOffset>
            </wp:positionV>
            <wp:extent cx="1371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jc w:val="right"/>
              <w:spacing w:after="0"/>
              <w:rPr>
                <w:sz w:val="20"/>
                <w:szCs w:val="20"/>
                <w:color w:val="auto"/>
              </w:rPr>
            </w:pPr>
            <w:r>
              <w:rPr>
                <w:rFonts w:ascii="Arial" w:cs="Arial" w:eastAsia="Arial" w:hAnsi="Arial"/>
                <w:sz w:val="14"/>
                <w:szCs w:val="14"/>
                <w:color w:val="auto"/>
              </w:rPr>
              <w:t>8,650,922</w:t>
            </w:r>
          </w:p>
        </w:tc>
        <w:tc>
          <w:tcPr>
            <w:tcW w:w="20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(573,860 )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(573,852 )</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600</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15"/>
                <w:szCs w:val="15"/>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2,774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7"/>
                <w:szCs w:val="17"/>
                <w:color w:val="auto"/>
              </w:rPr>
            </w:pPr>
          </w:p>
        </w:tc>
      </w:tr>
      <w:tr>
        <w:trPr>
          <w:trHeight w:val="203"/>
        </w:trPr>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(200,000 )</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(606 )</w:t>
            </w:r>
          </w:p>
        </w:tc>
        <w:tc>
          <w:tcPr>
            <w:tcW w:w="2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(1,212 )</w:t>
            </w:r>
          </w:p>
        </w:tc>
        <w:tc>
          <w:tcPr>
            <w:tcW w:w="2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(1,818 )</w:t>
            </w:r>
          </w:p>
        </w:tc>
      </w:tr>
      <w:tr>
        <w:trPr>
          <w:trHeight w:val="55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8"/>
        </w:trPr>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(41,059 )</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(41,059 )</w:t>
            </w: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jc w:val="right"/>
              <w:spacing w:after="0"/>
              <w:rPr>
                <w:sz w:val="20"/>
                <w:szCs w:val="20"/>
                <w:color w:val="auto"/>
              </w:rPr>
            </w:pPr>
            <w:r>
              <w:rPr>
                <w:rFonts w:ascii="Arial" w:cs="Arial" w:eastAsia="Arial" w:hAnsi="Arial"/>
                <w:sz w:val="14"/>
                <w:szCs w:val="14"/>
                <w:color w:val="auto"/>
              </w:rPr>
              <w:t>8,453,696</w:t>
            </w:r>
          </w:p>
        </w:tc>
        <w:tc>
          <w:tcPr>
            <w:tcW w:w="20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(616,131 )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(616,123 )</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20" w:type="dxa"/>
            <w:vAlign w:val="bottom"/>
          </w:tcPr>
          <w:p>
            <w:pPr>
              <w:jc w:val="right"/>
              <w:spacing w:after="0"/>
              <w:rPr>
                <w:sz w:val="20"/>
                <w:szCs w:val="20"/>
                <w:color w:val="auto"/>
              </w:rPr>
            </w:pPr>
            <w:r>
              <w:rPr>
                <w:rFonts w:ascii="Arial" w:cs="Arial" w:eastAsia="Arial" w:hAnsi="Arial"/>
                <w:sz w:val="14"/>
                <w:szCs w:val="14"/>
                <w:color w:val="auto"/>
              </w:rPr>
              <w:t>183,870</w:t>
            </w:r>
          </w:p>
        </w:tc>
        <w:tc>
          <w:tcPr>
            <w:tcW w:w="20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2,127</w:t>
            </w:r>
          </w:p>
        </w:tc>
        <w:tc>
          <w:tcPr>
            <w:tcW w:w="2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2,127</w:t>
            </w:r>
          </w:p>
        </w:tc>
        <w:tc>
          <w:tcPr>
            <w:tcW w:w="60" w:type="dxa"/>
            <w:vAlign w:val="bottom"/>
          </w:tcPr>
          <w:p>
            <w:pPr>
              <w:spacing w:after="0"/>
              <w:rPr>
                <w:sz w:val="15"/>
                <w:szCs w:val="15"/>
                <w:color w:val="auto"/>
              </w:rPr>
            </w:pPr>
          </w:p>
        </w:tc>
      </w:tr>
      <w:tr>
        <w:trPr>
          <w:trHeight w:val="378"/>
        </w:trPr>
        <w:tc>
          <w:tcPr>
            <w:tcW w:w="1020" w:type="dxa"/>
            <w:vAlign w:val="bottom"/>
          </w:tcPr>
          <w:p>
            <w:pPr>
              <w:jc w:val="right"/>
              <w:spacing w:after="0"/>
              <w:rPr>
                <w:sz w:val="20"/>
                <w:szCs w:val="20"/>
                <w:color w:val="auto"/>
              </w:rPr>
            </w:pPr>
            <w:r>
              <w:rPr>
                <w:rFonts w:ascii="Arial" w:cs="Arial" w:eastAsia="Arial" w:hAnsi="Arial"/>
                <w:sz w:val="14"/>
                <w:szCs w:val="14"/>
                <w:color w:val="auto"/>
              </w:rPr>
              <w:t>85,533,394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900,960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901,046</w:t>
            </w:r>
          </w:p>
        </w:tc>
        <w:tc>
          <w:tcPr>
            <w:tcW w:w="60" w:type="dxa"/>
            <w:vAlign w:val="bottom"/>
          </w:tcPr>
          <w:p>
            <w:pPr>
              <w:spacing w:after="0"/>
              <w:rPr>
                <w:sz w:val="24"/>
                <w:szCs w:val="24"/>
                <w:color w:val="auto"/>
              </w:rPr>
            </w:pPr>
          </w:p>
        </w:tc>
      </w:tr>
      <w:tr>
        <w:trPr>
          <w:trHeight w:val="55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21,873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21,873</w:t>
            </w:r>
          </w:p>
        </w:tc>
        <w:tc>
          <w:tcPr>
            <w:tcW w:w="60" w:type="dxa"/>
            <w:vAlign w:val="bottom"/>
          </w:tcPr>
          <w:p>
            <w:pPr>
              <w:spacing w:after="0"/>
              <w:rPr>
                <w:sz w:val="24"/>
                <w:szCs w:val="24"/>
                <w:color w:val="auto"/>
              </w:rPr>
            </w:pPr>
          </w:p>
        </w:tc>
      </w:tr>
      <w:tr>
        <w:trPr>
          <w:trHeight w:val="378"/>
        </w:trPr>
        <w:tc>
          <w:tcPr>
            <w:tcW w:w="1020" w:type="dxa"/>
            <w:vAlign w:val="bottom"/>
          </w:tcPr>
          <w:p>
            <w:pPr>
              <w:jc w:val="right"/>
              <w:spacing w:after="0"/>
              <w:rPr>
                <w:sz w:val="20"/>
                <w:szCs w:val="20"/>
                <w:color w:val="auto"/>
              </w:rPr>
            </w:pPr>
            <w:r>
              <w:rPr>
                <w:rFonts w:ascii="Arial" w:cs="Arial" w:eastAsia="Arial" w:hAnsi="Arial"/>
                <w:sz w:val="14"/>
                <w:szCs w:val="14"/>
                <w:color w:val="auto"/>
              </w:rPr>
              <w:t>24,437,500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496,486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496,510</w:t>
            </w:r>
          </w:p>
        </w:tc>
        <w:tc>
          <w:tcPr>
            <w:tcW w:w="60" w:type="dxa"/>
            <w:vAlign w:val="bottom"/>
          </w:tcPr>
          <w:p>
            <w:pPr>
              <w:spacing w:after="0"/>
              <w:rPr>
                <w:sz w:val="24"/>
                <w:szCs w:val="24"/>
                <w:color w:val="auto"/>
              </w:rPr>
            </w:pPr>
          </w:p>
        </w:tc>
      </w:tr>
      <w:tr>
        <w:trPr>
          <w:trHeight w:val="20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4,100</w:t>
            </w:r>
          </w:p>
        </w:tc>
        <w:tc>
          <w:tcPr>
            <w:tcW w:w="60" w:type="dxa"/>
            <w:vAlign w:val="bottom"/>
          </w:tcPr>
          <w:p>
            <w:pPr>
              <w:spacing w:after="0"/>
              <w:rPr>
                <w:sz w:val="17"/>
                <w:szCs w:val="17"/>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636,112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133,334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378"/>
        </w:trPr>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(41,818 )</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(878 )</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(878 )</w:t>
            </w:r>
          </w:p>
        </w:tc>
      </w:tr>
      <w:tr>
        <w:trPr>
          <w:trHeight w:val="208"/>
        </w:trPr>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(63,228 )</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(63,228 )</w:t>
            </w: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jc w:val="right"/>
              <w:spacing w:after="0"/>
              <w:rPr>
                <w:sz w:val="20"/>
                <w:szCs w:val="20"/>
                <w:color w:val="auto"/>
              </w:rPr>
            </w:pPr>
            <w:r>
              <w:rPr>
                <w:rFonts w:ascii="Arial" w:cs="Arial" w:eastAsia="Arial" w:hAnsi="Arial"/>
                <w:sz w:val="14"/>
                <w:szCs w:val="14"/>
                <w:color w:val="auto"/>
              </w:rPr>
              <w:t>119,336,588</w:t>
            </w:r>
          </w:p>
        </w:tc>
        <w:tc>
          <w:tcPr>
            <w:tcW w:w="20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1,424,675</w:t>
            </w:r>
          </w:p>
        </w:tc>
        <w:tc>
          <w:tcPr>
            <w:tcW w:w="2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(679,359 )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745,435</w:t>
            </w:r>
          </w:p>
        </w:tc>
        <w:tc>
          <w:tcPr>
            <w:tcW w:w="60" w:type="dxa"/>
            <w:vAlign w:val="bottom"/>
          </w:tcPr>
          <w:p>
            <w:pPr>
              <w:spacing w:after="0"/>
              <w:rPr>
                <w:sz w:val="17"/>
                <w:szCs w:val="17"/>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2"/>
        </w:trPr>
        <w:tc>
          <w:tcPr>
            <w:tcW w:w="1020" w:type="dxa"/>
            <w:vAlign w:val="bottom"/>
          </w:tcPr>
          <w:p>
            <w:pPr>
              <w:jc w:val="right"/>
              <w:spacing w:after="0"/>
              <w:rPr>
                <w:sz w:val="20"/>
                <w:szCs w:val="20"/>
                <w:color w:val="auto"/>
              </w:rPr>
            </w:pPr>
            <w:r>
              <w:rPr>
                <w:rFonts w:ascii="Arial" w:cs="Arial" w:eastAsia="Arial" w:hAnsi="Arial"/>
                <w:sz w:val="14"/>
                <w:szCs w:val="14"/>
                <w:color w:val="auto"/>
              </w:rPr>
              <w:t>10,800,000</w:t>
            </w:r>
          </w:p>
        </w:tc>
        <w:tc>
          <w:tcPr>
            <w:tcW w:w="20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567,941</w:t>
            </w:r>
          </w:p>
        </w:tc>
        <w:tc>
          <w:tcPr>
            <w:tcW w:w="2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567,952</w:t>
            </w:r>
          </w:p>
        </w:tc>
        <w:tc>
          <w:tcPr>
            <w:tcW w:w="60" w:type="dxa"/>
            <w:vAlign w:val="bottom"/>
          </w:tcPr>
          <w:p>
            <w:pPr>
              <w:spacing w:after="0"/>
              <w:rPr>
                <w:sz w:val="24"/>
                <w:szCs w:val="24"/>
                <w:color w:val="auto"/>
              </w:rPr>
            </w:pPr>
          </w:p>
        </w:tc>
      </w:tr>
      <w:tr>
        <w:trPr>
          <w:trHeight w:val="20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4,230</w:t>
            </w:r>
          </w:p>
        </w:tc>
        <w:tc>
          <w:tcPr>
            <w:tcW w:w="60" w:type="dxa"/>
            <w:vAlign w:val="bottom"/>
          </w:tcPr>
          <w:p>
            <w:pPr>
              <w:spacing w:after="0"/>
              <w:rPr>
                <w:sz w:val="17"/>
                <w:szCs w:val="17"/>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w:t>
            </w:r>
          </w:p>
        </w:tc>
        <w:tc>
          <w:tcPr>
            <w:tcW w:w="60" w:type="dxa"/>
            <w:vAlign w:val="bottom"/>
          </w:tcPr>
          <w:p>
            <w:pPr>
              <w:spacing w:after="0"/>
              <w:rPr>
                <w:sz w:val="17"/>
                <w:szCs w:val="17"/>
                <w:color w:val="auto"/>
              </w:rPr>
            </w:pPr>
          </w:p>
        </w:tc>
      </w:tr>
      <w:tr>
        <w:trPr>
          <w:trHeight w:val="203"/>
        </w:trPr>
        <w:tc>
          <w:tcPr>
            <w:tcW w:w="1020" w:type="dxa"/>
            <w:vAlign w:val="bottom"/>
          </w:tcPr>
          <w:p>
            <w:pPr>
              <w:jc w:val="right"/>
              <w:spacing w:after="0"/>
              <w:rPr>
                <w:sz w:val="20"/>
                <w:szCs w:val="20"/>
                <w:color w:val="auto"/>
              </w:rPr>
            </w:pPr>
            <w:r>
              <w:rPr>
                <w:rFonts w:ascii="Arial" w:cs="Arial" w:eastAsia="Arial" w:hAnsi="Arial"/>
                <w:sz w:val="14"/>
                <w:szCs w:val="14"/>
                <w:color w:val="auto"/>
              </w:rPr>
              <w:t>104,000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378"/>
        </w:trPr>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(41,097 )</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(2,037 )</w:t>
            </w:r>
          </w:p>
        </w:tc>
        <w:tc>
          <w:tcPr>
            <w:tcW w:w="2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(2,037 )</w:t>
            </w:r>
          </w:p>
        </w:tc>
      </w:tr>
      <w:tr>
        <w:trPr>
          <w:trHeight w:val="208"/>
        </w:trPr>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(37,850 )</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(37,850 )</w:t>
            </w: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jc w:val="right"/>
              <w:spacing w:after="0"/>
              <w:rPr>
                <w:sz w:val="20"/>
                <w:szCs w:val="20"/>
                <w:color w:val="auto"/>
              </w:rPr>
            </w:pPr>
            <w:r>
              <w:rPr>
                <w:rFonts w:ascii="Arial" w:cs="Arial" w:eastAsia="Arial" w:hAnsi="Arial"/>
                <w:sz w:val="14"/>
                <w:szCs w:val="14"/>
                <w:color w:val="auto"/>
              </w:rPr>
              <w:t>130,230,591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1,994,929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(717,209 )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1,277,850</w:t>
            </w:r>
          </w:p>
        </w:tc>
        <w:tc>
          <w:tcPr>
            <w:tcW w:w="60" w:type="dxa"/>
            <w:vAlign w:val="bottom"/>
          </w:tcPr>
          <w:p>
            <w:pPr>
              <w:spacing w:after="0"/>
              <w:rPr>
                <w:sz w:val="17"/>
                <w:szCs w:val="17"/>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-4062730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-3805555</wp:posOffset>
            </wp:positionV>
            <wp:extent cx="7132320" cy="1011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-2442210</wp:posOffset>
            </wp:positionV>
            <wp:extent cx="7132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-2073910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-1816735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-1460500</wp:posOffset>
            </wp:positionV>
            <wp:extent cx="7132320" cy="544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4419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-788035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-530860</wp:posOffset>
            </wp:positionV>
            <wp:extent cx="7132320" cy="544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44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
            <w:col w:w="5920"/>
          </w:cols>
          <w:pgMar w:left="320" w:top="152" w:right="359"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(Continued on following page)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20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Redeemable Convertible</w:t>
            </w: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r>
      <w:tr>
        <w:trPr>
          <w:trHeight w:val="202"/>
        </w:trPr>
        <w:tc>
          <w:tcPr>
            <w:tcW w:w="2800" w:type="dxa"/>
            <w:vAlign w:val="bottom"/>
          </w:tcPr>
          <w:p>
            <w:pPr>
              <w:spacing w:after="0"/>
              <w:rPr>
                <w:sz w:val="17"/>
                <w:szCs w:val="17"/>
                <w:color w:val="auto"/>
              </w:rPr>
            </w:pPr>
          </w:p>
        </w:tc>
        <w:tc>
          <w:tcPr>
            <w:tcW w:w="20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Stockholders’</w:t>
            </w:r>
          </w:p>
        </w:tc>
      </w:tr>
      <w:tr>
        <w:trPr>
          <w:trHeight w:val="196"/>
        </w:trPr>
        <w:tc>
          <w:tcPr>
            <w:tcW w:w="2800" w:type="dxa"/>
            <w:vAlign w:val="bottom"/>
          </w:tcPr>
          <w:p>
            <w:pPr>
              <w:spacing w:after="0"/>
              <w:rPr>
                <w:sz w:val="17"/>
                <w:szCs w:val="17"/>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7"/>
                <w:szCs w:val="17"/>
                <w:color w:val="auto"/>
              </w:rPr>
            </w:pPr>
          </w:p>
        </w:tc>
      </w:tr>
      <w:tr>
        <w:trPr>
          <w:trHeight w:val="23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FF0FC"/>
            </w:tcBorders>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134,043,969</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2,004,841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(777,871 )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1,227,102</w:t>
            </w:r>
          </w:p>
        </w:tc>
        <w:tc>
          <w:tcPr>
            <w:tcW w:w="80" w:type="dxa"/>
            <w:vAlign w:val="bottom"/>
            <w:shd w:val="clear" w:color="auto" w:fill="CFF0FC"/>
          </w:tcPr>
          <w:p>
            <w:pPr>
              <w:spacing w:after="0"/>
              <w:rPr>
                <w:sz w:val="20"/>
                <w:szCs w:val="20"/>
                <w:color w:val="auto"/>
              </w:rPr>
            </w:pPr>
          </w:p>
        </w:tc>
      </w:tr>
      <w:tr>
        <w:trPr>
          <w:trHeight w:val="177"/>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Issuance of common stock for CarStory</w:t>
            </w: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CFF0FC"/>
              <w:right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182"/>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acquisition</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1,072,117</w:t>
            </w:r>
          </w:p>
        </w:tc>
        <w:tc>
          <w:tcPr>
            <w:tcW w:w="2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39,029</w:t>
            </w:r>
          </w:p>
        </w:tc>
        <w:tc>
          <w:tcPr>
            <w:tcW w:w="2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39,030</w:t>
            </w:r>
          </w:p>
        </w:tc>
        <w:tc>
          <w:tcPr>
            <w:tcW w:w="80" w:type="dxa"/>
            <w:vAlign w:val="bottom"/>
          </w:tcPr>
          <w:p>
            <w:pPr>
              <w:spacing w:after="0"/>
              <w:rPr>
                <w:sz w:val="15"/>
                <w:szCs w:val="15"/>
                <w:color w:val="auto"/>
              </w:rPr>
            </w:pPr>
          </w:p>
        </w:tc>
      </w:tr>
      <w:tr>
        <w:trPr>
          <w:trHeight w:val="197"/>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Fair value of unvested stock options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8"/>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assumed in CarStory acquisition</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80" w:type="dxa"/>
            <w:vAlign w:val="bottom"/>
            <w:shd w:val="clear" w:color="auto" w:fill="CFF0FC"/>
          </w:tcPr>
          <w:p>
            <w:pPr>
              <w:spacing w:after="0"/>
              <w:rPr>
                <w:sz w:val="16"/>
                <w:szCs w:val="16"/>
                <w:color w:val="auto"/>
              </w:rPr>
            </w:pPr>
          </w:p>
        </w:tc>
      </w:tr>
      <w:tr>
        <w:trPr>
          <w:trHeight w:val="196"/>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2,820</w:t>
            </w:r>
          </w:p>
        </w:tc>
        <w:tc>
          <w:tcPr>
            <w:tcW w:w="80" w:type="dxa"/>
            <w:vAlign w:val="bottom"/>
          </w:tcPr>
          <w:p>
            <w:pPr>
              <w:spacing w:after="0"/>
              <w:rPr>
                <w:sz w:val="17"/>
                <w:szCs w:val="17"/>
                <w:color w:val="auto"/>
              </w:rPr>
            </w:pPr>
          </w:p>
        </w:tc>
      </w:tr>
      <w:tr>
        <w:trPr>
          <w:trHeight w:val="209"/>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687,336</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2,821</w:t>
            </w:r>
          </w:p>
        </w:tc>
        <w:tc>
          <w:tcPr>
            <w:tcW w:w="80" w:type="dxa"/>
            <w:vAlign w:val="bottom"/>
            <w:shd w:val="clear" w:color="auto" w:fill="CFF0FC"/>
          </w:tcPr>
          <w:p>
            <w:pPr>
              <w:spacing w:after="0"/>
              <w:rPr>
                <w:sz w:val="18"/>
                <w:szCs w:val="18"/>
                <w:color w:val="auto"/>
              </w:rPr>
            </w:pPr>
          </w:p>
        </w:tc>
      </w:tr>
      <w:tr>
        <w:trPr>
          <w:trHeight w:val="203"/>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499,879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(77,189 )</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(77,189 )</w:t>
            </w:r>
          </w:p>
        </w:tc>
      </w:tr>
      <w:tr>
        <w:trPr>
          <w:trHeight w:val="20"/>
        </w:trPr>
        <w:tc>
          <w:tcPr>
            <w:tcW w:w="28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136,303,301</w:t>
            </w:r>
          </w:p>
        </w:tc>
        <w:tc>
          <w:tcPr>
            <w:tcW w:w="2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4"/>
              </w:rPr>
              <w:t>134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2,050,527</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(855,060 )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1,195,601</w:t>
            </w:r>
          </w:p>
        </w:tc>
        <w:tc>
          <w:tcPr>
            <w:tcW w:w="80" w:type="dxa"/>
            <w:vAlign w:val="bottom"/>
          </w:tcPr>
          <w:p>
            <w:pPr>
              <w:spacing w:after="0"/>
              <w:rPr>
                <w:sz w:val="17"/>
                <w:szCs w:val="17"/>
                <w:color w:val="auto"/>
              </w:rPr>
            </w:pPr>
          </w:p>
        </w:tc>
      </w:tr>
      <w:tr>
        <w:trPr>
          <w:trHeight w:val="20"/>
        </w:trPr>
        <w:tc>
          <w:tcPr>
            <w:tcW w:w="2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5,392</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5,392</w:t>
            </w:r>
          </w:p>
        </w:tc>
        <w:tc>
          <w:tcPr>
            <w:tcW w:w="80" w:type="dxa"/>
            <w:vAlign w:val="bottom"/>
            <w:shd w:val="clear" w:color="auto" w:fill="CFF0FC"/>
          </w:tcPr>
          <w:p>
            <w:pPr>
              <w:spacing w:after="0"/>
              <w:rPr>
                <w:sz w:val="16"/>
                <w:szCs w:val="16"/>
                <w:color w:val="auto"/>
              </w:rPr>
            </w:pPr>
          </w:p>
        </w:tc>
      </w:tr>
      <w:tr>
        <w:trPr>
          <w:trHeight w:val="197"/>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395,491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1,560</w:t>
            </w:r>
          </w:p>
        </w:tc>
        <w:tc>
          <w:tcPr>
            <w:tcW w:w="80" w:type="dxa"/>
            <w:vAlign w:val="bottom"/>
          </w:tcPr>
          <w:p>
            <w:pPr>
              <w:spacing w:after="0"/>
              <w:rPr>
                <w:sz w:val="17"/>
                <w:szCs w:val="17"/>
                <w:color w:val="auto"/>
              </w:rPr>
            </w:pPr>
          </w:p>
        </w:tc>
      </w:tr>
      <w:tr>
        <w:trPr>
          <w:trHeight w:val="208"/>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18,555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(65,807 )</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(65,807 )</w:t>
            </w:r>
          </w:p>
        </w:tc>
      </w:tr>
      <w:tr>
        <w:trPr>
          <w:trHeight w:val="20"/>
        </w:trPr>
        <w:tc>
          <w:tcPr>
            <w:tcW w:w="2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FF0FC"/>
            </w:tcBorders>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136,717,347</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2,057,479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(920,867 )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1,136,746</w:t>
            </w:r>
          </w:p>
        </w:tc>
        <w:tc>
          <w:tcPr>
            <w:tcW w:w="80" w:type="dxa"/>
            <w:vAlign w:val="bottom"/>
            <w:shd w:val="clear" w:color="auto" w:fill="CFF0FC"/>
          </w:tcPr>
          <w:p>
            <w:pPr>
              <w:spacing w:after="0"/>
              <w:rPr>
                <w:sz w:val="20"/>
                <w:szCs w:val="20"/>
                <w:color w:val="auto"/>
              </w:rPr>
            </w:pPr>
          </w:p>
        </w:tc>
      </w:tr>
      <w:tr>
        <w:trPr>
          <w:trHeight w:val="183"/>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Borders>
              <w:top w:val="single" w:sz="8" w:color="CFF0FC"/>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top w:val="single" w:sz="8" w:color="CFF0FC"/>
              <w:right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top w:val="single" w:sz="8" w:color="CFF0FC"/>
            </w:tcBorders>
          </w:tcPr>
          <w:p>
            <w:pPr>
              <w:spacing w:after="0"/>
              <w:rPr>
                <w:sz w:val="15"/>
                <w:szCs w:val="15"/>
                <w:color w:val="auto"/>
              </w:rPr>
            </w:pPr>
          </w:p>
        </w:tc>
      </w:tr>
      <w:tr>
        <w:trPr>
          <w:trHeight w:val="208"/>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164,631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FF0FC"/>
          </w:tcPr>
          <w:p>
            <w:pPr>
              <w:spacing w:after="0"/>
              <w:rPr>
                <w:sz w:val="18"/>
                <w:szCs w:val="18"/>
                <w:color w:val="auto"/>
              </w:rPr>
            </w:pPr>
          </w:p>
        </w:tc>
      </w:tr>
      <w:tr>
        <w:trPr>
          <w:trHeight w:val="197"/>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21,649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Common stock shares cancelled to</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5"/>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satisfy working capital adjustment related</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3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 the CarStory acquisition</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80" w:type="dxa"/>
            <w:vAlign w:val="bottom"/>
            <w:tcBorders>
              <w:right w:val="single" w:sz="8" w:color="auto"/>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(5,673 )</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(219 )</w:t>
            </w: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(219 )</w:t>
            </w: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(98,122 )</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(98,122 )</w:t>
            </w:r>
          </w:p>
        </w:tc>
      </w:tr>
      <w:tr>
        <w:trPr>
          <w:trHeight w:val="20"/>
        </w:trPr>
        <w:tc>
          <w:tcPr>
            <w:tcW w:w="2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September 30, 2021</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136,897,954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2,059,505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(1,018,989 )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1,040,651</w:t>
            </w:r>
          </w:p>
        </w:tc>
        <w:tc>
          <w:tcPr>
            <w:tcW w:w="80" w:type="dxa"/>
            <w:vAlign w:val="bottom"/>
            <w:shd w:val="clear" w:color="auto" w:fill="CFF0FC"/>
          </w:tcPr>
          <w:p>
            <w:pPr>
              <w:spacing w:after="0"/>
              <w:rPr>
                <w:sz w:val="18"/>
                <w:szCs w:val="18"/>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-3166745</wp:posOffset>
            </wp:positionV>
            <wp:extent cx="4714875" cy="544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4875" cy="54419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-2009140</wp:posOffset>
            </wp:positionV>
            <wp:extent cx="4714875" cy="316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14875" cy="31686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-1332230</wp:posOffset>
            </wp:positionV>
            <wp:extent cx="4714875" cy="432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4875" cy="43243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-303530</wp:posOffset>
            </wp:positionV>
            <wp:extent cx="4714875" cy="316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14875" cy="31686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r>
      <w:tr>
        <w:trPr>
          <w:trHeight w:val="202"/>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(241,118 )</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(142,137 )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9,497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3,255</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1,784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656</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9,754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8,930</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5,625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2,917</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Revaluation of preferred stock warrant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20,470</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4,874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1,331</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(32,936 )</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(4,297 )</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(183,731 )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(96,582 )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(39,356 )</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(6,639 )</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(7,390 )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(2,246 )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26,144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10,478</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43,512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15,679</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39,227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(24 )</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38,655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5,335</w:t>
            </w:r>
          </w:p>
        </w:tc>
      </w:tr>
      <w:tr>
        <w:trPr>
          <w:trHeight w:val="202"/>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(325,459 )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(182,874 )</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(18,786 )</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(5,057 )</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(75,875 )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2"/>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(94,661 )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(5,057 )</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vehicle floorplan</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1,901,457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842,865</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Repayments of vehicle floorplan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(1,789,215 )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(767,359 )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vehicle floorplan upfront commitment fees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(1,125 )</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 paid for convertible senior notes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(16,129 )</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21,694</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common stock</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(1,818 )</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Common stock shares withheld to satisfy employee tax withholding obligations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(2,915 )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common stock in connection with IPO, net of underwriting discount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504,023</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color w:val="auto"/>
              </w:rPr>
              <w:t>Payments of costs related to IPO</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(6,791 )</w:t>
            </w:r>
          </w:p>
        </w:tc>
      </w:tr>
      <w:tr>
        <w:trPr>
          <w:trHeight w:val="197"/>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common stock in connection with follow-on public offering, net of underwriting</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18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w:t>
            </w:r>
          </w:p>
        </w:tc>
        <w:tc>
          <w:tcPr>
            <w:tcW w:w="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569,471</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Payments of costs related to follow-on public offering</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(196 )</w:t>
            </w:r>
          </w:p>
        </w:tc>
      </w:tr>
      <w:tr>
        <w:trPr>
          <w:trHeight w:val="208"/>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5,085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w:t>
            </w: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(315 )</w:t>
            </w:r>
          </w:p>
        </w:tc>
      </w:tr>
      <w:tr>
        <w:trPr>
          <w:trHeight w:val="196"/>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726,198</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1,157,667</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306,078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969,736</w:t>
            </w:r>
          </w:p>
        </w:tc>
      </w:tr>
      <w:tr>
        <w:trPr>
          <w:trHeight w:val="203"/>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1,090,039</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219,587</w:t>
            </w:r>
          </w:p>
        </w:tc>
      </w:tr>
      <w:tr>
        <w:trPr>
          <w:trHeight w:val="196"/>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1,396,117</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1,189,323</w:t>
            </w: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03"/>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197"/>
        </w:trPr>
        <w:tc>
          <w:tcPr>
            <w:tcW w:w="74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11,116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5,340</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10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329</w:t>
            </w:r>
          </w:p>
        </w:tc>
        <w:tc>
          <w:tcPr>
            <w:tcW w:w="5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163</w:t>
            </w:r>
          </w:p>
        </w:tc>
      </w:tr>
      <w:tr>
        <w:trPr>
          <w:trHeight w:val="183"/>
        </w:trPr>
        <w:tc>
          <w:tcPr>
            <w:tcW w:w="742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Costs related to follow-on public offering included in accrued expenses and accounts payable</w:t>
            </w:r>
          </w:p>
        </w:tc>
        <w:tc>
          <w:tcPr>
            <w:tcW w:w="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1,323</w:t>
            </w: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Issuance of common stock for CarStory acquisition</w:t>
            </w: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39,030</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Common stock shares cancelled to satisfy working capital adjustment related to the CarStory acquisition</w:t>
            </w: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(219 )</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Fair value of unvested stock options assumed for acquisition of business</w:t>
            </w: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Conversion of redeemable convertible preferred stock warrant to common stock warrant</w:t>
            </w: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21,873</w:t>
            </w: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Issuance of common stock as upfront payment to nonemployee</w:t>
            </w: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2,127</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Accrued property and equipment expenditures</w:t>
            </w: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1,652</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-2242185</wp:posOffset>
            </wp:positionV>
            <wp:extent cx="102870" cy="133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3398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-1976755</wp:posOffset>
            </wp:positionV>
            <wp:extent cx="10287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6002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-1233805</wp:posOffset>
            </wp:positionV>
            <wp:extent cx="10287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10287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-642620</wp:posOffset>
            </wp:positionV>
            <wp:extent cx="10287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wp:posOffset>
            </wp:positionV>
            <wp:extent cx="10287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02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52"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74"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211"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Inc.(d/b/a CarStory).</w:t>
      </w:r>
    </w:p>
    <w:p>
      <w:pPr>
        <w:spacing w:after="0" w:line="220"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The Company is currently organized into three reportable segments: Ecommerce, Wholesale, and TDA. The Ecommerce reportable segment represents retail sales of used vehicles through the Company’s ecommerce platform and fees earned on sales of value-added products associated with those vehicles sales. The Wholesale reportable segment represents sales of used vehicles through wholesale channels. The TDA reportable segment represents retail sales of used vehicles from TDA and fees earned on sales of value-added products associated with those vehicles sales.</w:t>
      </w:r>
    </w:p>
    <w:p>
      <w:pPr>
        <w:spacing w:after="0" w:line="221"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61" w:lineRule="exact"/>
        <w:rPr>
          <w:sz w:val="20"/>
          <w:szCs w:val="20"/>
          <w:color w:val="auto"/>
        </w:rPr>
      </w:pPr>
    </w:p>
    <w:p>
      <w:pPr>
        <w:ind w:right="80" w:firstLine="761"/>
        <w:spacing w:after="0" w:line="254"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$22.00 per share, including 3,187,500 shares sold pursuant to exercise by the underwriters of their option to purchase additional shares.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received proceeds of $504.0 million from the IPO, net of the underwriting discount and before deducting offering expenses of $7.5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In addition, in accordance with their terms, all shares of the Company’s outstanding redeemable convertible preferred stock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automatically converted into common stock upon the closing of the IPO.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47" w:lineRule="exact"/>
        <w:rPr>
          <w:sz w:val="20"/>
          <w:szCs w:val="20"/>
          <w:color w:val="auto"/>
        </w:rPr>
      </w:pPr>
    </w:p>
    <w:p>
      <w:pPr>
        <w:ind w:firstLine="761"/>
        <w:spacing w:after="0" w:line="256" w:lineRule="auto"/>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764"/>
        <w:spacing w:after="0" w:line="252"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2020.</w:t>
      </w:r>
    </w:p>
    <w:p>
      <w:pPr>
        <w:spacing w:after="0" w:line="207" w:lineRule="exact"/>
        <w:rPr>
          <w:sz w:val="20"/>
          <w:szCs w:val="20"/>
          <w:color w:val="auto"/>
        </w:rPr>
      </w:pPr>
    </w:p>
    <w:p>
      <w:pPr>
        <w:ind w:firstLine="764"/>
        <w:spacing w:after="0" w:line="252"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2021 and its results of operations for the three and nine months ended September 30, 2021 and 2020. The results for the three and nine months ended September 30, 2021 are not necessarily indicative of the results expected for the current fiscal year or any other future periods. Certain prior year amounts have been reclassified to conform to the current year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61" w:lineRule="exact"/>
        <w:rPr>
          <w:sz w:val="20"/>
          <w:szCs w:val="20"/>
          <w:color w:val="auto"/>
        </w:rPr>
      </w:pPr>
    </w:p>
    <w:p>
      <w:pPr>
        <w:ind w:right="740" w:firstLine="749"/>
        <w:spacing w:after="0" w:line="261" w:lineRule="auto"/>
        <w:rPr>
          <w:sz w:val="20"/>
          <w:szCs w:val="20"/>
          <w:color w:val="auto"/>
        </w:rPr>
      </w:pPr>
      <w:r>
        <w:rPr>
          <w:rFonts w:ascii="Arial" w:cs="Arial" w:eastAsia="Arial" w:hAnsi="Arial"/>
          <w:sz w:val="18"/>
          <w:szCs w:val="18"/>
          <w:color w:val="auto"/>
        </w:rPr>
        <w:t>The accompanying condensed consolidated financial statements include the accounts of Vroom, Inc. and its wholly owned subsidiaries. All intercompany accounts and transactions have been eliminated in consolidation.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0"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33" w:lineRule="exact"/>
        <w:rPr>
          <w:sz w:val="20"/>
          <w:szCs w:val="20"/>
          <w:color w:val="auto"/>
        </w:rPr>
      </w:pPr>
    </w:p>
    <w:p>
      <w:pPr>
        <w:ind w:right="120" w:firstLine="761"/>
        <w:spacing w:after="0" w:line="253"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3" w:lineRule="exact"/>
        <w:rPr>
          <w:sz w:val="20"/>
          <w:szCs w:val="20"/>
          <w:color w:val="auto"/>
        </w:rPr>
      </w:pPr>
    </w:p>
    <w:p>
      <w:pPr>
        <w:ind w:right="20" w:firstLine="761"/>
        <w:spacing w:after="0" w:line="261" w:lineRule="auto"/>
        <w:rPr>
          <w:sz w:val="20"/>
          <w:szCs w:val="20"/>
          <w:color w:val="auto"/>
        </w:rPr>
      </w:pPr>
      <w:r>
        <w:rPr>
          <w:rFonts w:ascii="Arial" w:cs="Arial" w:eastAsia="Arial" w:hAnsi="Arial"/>
          <w:sz w:val="18"/>
          <w:szCs w:val="18"/>
          <w:color w:val="auto"/>
        </w:rPr>
        <w:t>The Company did not have any other comprehensive income or loss for the three and nine months ended September 30, 2021 and 2020. Accordingly, net loss and comprehensive loss are the same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3" w:lineRule="exact"/>
        <w:rPr>
          <w:sz w:val="20"/>
          <w:szCs w:val="20"/>
          <w:color w:val="auto"/>
        </w:rPr>
      </w:pPr>
    </w:p>
    <w:p>
      <w:pPr>
        <w:ind w:right="200" w:firstLine="761"/>
        <w:spacing w:after="0" w:line="254" w:lineRule="auto"/>
        <w:rPr>
          <w:sz w:val="20"/>
          <w:szCs w:val="20"/>
          <w:color w:val="auto"/>
        </w:rPr>
      </w:pPr>
      <w:r>
        <w:rPr>
          <w:rFonts w:ascii="Arial" w:cs="Arial" w:eastAsia="Arial" w:hAnsi="Arial"/>
          <w:sz w:val="18"/>
          <w:szCs w:val="18"/>
          <w:color w:val="auto"/>
        </w:rPr>
        <w:t>Restricted cash includes cash deposits required under letter of credit agreements as explained in Note 11 – Commitments and Contingencies and cash deposits required under the Company’s 2020 Vehicle Floorplan Facility as explained in Note 9 – Vehicle Floorplan Facilities. Additionally, as of September 30, 2021, restricted cash also includes $25.0 million of cash deposits required under a cash collateral agreement with one of the Company's preferred lenders.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66" w:lineRule="exact"/>
        <w:rPr>
          <w:sz w:val="20"/>
          <w:szCs w:val="20"/>
          <w:color w:val="auto"/>
        </w:rPr>
      </w:pPr>
    </w:p>
    <w:p>
      <w:pPr>
        <w:ind w:right="180" w:firstLine="761"/>
        <w:spacing w:after="0" w:line="269"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$35.2 million and $15.3 million for the three months ended September 30, 2021 and 2020, respectively, and $88.3 million and $44.8 million for the nine months ended September 30, 2021 and 2020,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80"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$22.7 million and $8.5 million for the three months ended September 30, 2021 and 2020, respectively, and $58.0 million and $19.8 million for the nine months ended September 30, 2021 and 2020,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80" w:lineRule="exact"/>
        <w:rPr>
          <w:sz w:val="20"/>
          <w:szCs w:val="20"/>
          <w:color w:val="auto"/>
        </w:rPr>
      </w:pPr>
    </w:p>
    <w:p>
      <w:pPr>
        <w:ind w:right="180" w:firstLine="761"/>
        <w:spacing w:after="0" w:line="268"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260"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For the three and nine months ended September 30, 2021 and 2020, no customer represented 10% or more of the Company’s revenues and no customer represented more than 10% of the Company’s accounts receivable as of September 30, 2021 and December 31,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ind w:firstLine="761"/>
        <w:spacing w:after="0" w:line="269" w:lineRule="auto"/>
        <w:rPr>
          <w:sz w:val="20"/>
          <w:szCs w:val="20"/>
          <w:color w:val="auto"/>
        </w:rPr>
      </w:pPr>
      <w:r>
        <w:rPr>
          <w:rFonts w:ascii="Arial" w:cs="Arial" w:eastAsia="Arial" w:hAnsi="Arial"/>
          <w:sz w:val="18"/>
          <w:szCs w:val="18"/>
          <w:color w:val="auto"/>
        </w:rPr>
        <w:t>The Company has had negative cash flows and losses from operations since inception and expects to incur additional losses in the future. The Company closed its IPO on June 11, 2020 in which it received proceeds of $504.0 million, net of the underwriting discount and before deducting offering expenses of $7.5 million. Additionally, the Company closed its follow-on public offering on September 15, 2020 in which it received proceeds of $569.5 million, net of the underwriting discount and before deducting offering expenses of $1.5 million.</w:t>
      </w:r>
    </w:p>
    <w:p>
      <w:pPr>
        <w:spacing w:after="0" w:line="220"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Refer to Note 10 – Long-term Debt for further discussion.</w:t>
      </w:r>
    </w:p>
    <w:p>
      <w:pPr>
        <w:spacing w:after="0" w:line="224"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As further discussed in Note 9 – Vehicle Floorplan Facilities, the Company entered into a new facility in March 2020 which increased the borrowing capacity to $450.0 million. In October 2020, the Vehicle Floorplan Facility was amended to extend the maturity date to September 2022.</w:t>
      </w: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80" w:lineRule="exact"/>
        <w:rPr>
          <w:sz w:val="20"/>
          <w:szCs w:val="20"/>
          <w:color w:val="auto"/>
        </w:rPr>
      </w:pPr>
    </w:p>
    <w:p>
      <w:pPr>
        <w:ind w:right="80" w:firstLine="761"/>
        <w:spacing w:after="0" w:line="267"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lists its used vehicle inventory for sale on the Rocket Auto platform, but all sales of the Company’s inventory are conducted through the Company’s platform.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w:t>
      </w:r>
    </w:p>
    <w:p>
      <w:pPr>
        <w:spacing w:after="0" w:line="2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i w:val="1"/>
          <w:iCs w:val="1"/>
          <w:color w:val="auto"/>
        </w:rPr>
        <w:t>– 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62" w:lineRule="exact"/>
        <w:rPr>
          <w:sz w:val="20"/>
          <w:szCs w:val="20"/>
          <w:color w:val="auto"/>
        </w:rPr>
      </w:pPr>
    </w:p>
    <w:p>
      <w:pPr>
        <w:jc w:val="both"/>
        <w:ind w:right="80" w:firstLine="749"/>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condensed consolidated financial statements and related disclosures.</w:t>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 xml:space="preserve"> – </w:t>
      </w:r>
      <w:r>
        <w:rPr>
          <w:rFonts w:ascii="Arial" w:cs="Arial" w:eastAsia="Arial" w:hAnsi="Arial"/>
          <w:sz w:val="17"/>
          <w:szCs w:val="17"/>
          <w:i w:val="1"/>
          <w:iCs w:val="1"/>
          <w:color w:val="auto"/>
        </w:rPr>
        <w:t>Debt with Conversion and Other Options (Subtopic 470-20) and Derivatives</w:t>
      </w:r>
    </w:p>
    <w:p>
      <w:pPr>
        <w:spacing w:after="0" w:line="7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i w:val="1"/>
          <w:iCs w:val="1"/>
          <w:color w:val="auto"/>
        </w:rPr>
        <w:t xml:space="preserve">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Entity’s Own Equity (Subtopic 815-40): Accounting for Convertible Instruments and Contracts in an Entity’s Own Equity</w:t>
      </w:r>
      <w:r>
        <w:rPr>
          <w:rFonts w:ascii="Arial" w:cs="Arial" w:eastAsia="Arial" w:hAnsi="Arial"/>
          <w:sz w:val="18"/>
          <w:szCs w:val="18"/>
          <w:color w:val="auto"/>
        </w:rPr>
        <w:t>, which simplifies the issuer’s accounting for convertible debt instruments and amended certain guidance related to the computation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convertible instruments and contracts in an entity’s own equity. The Company early adopted the new guidance effective January 1, 2021. There was no impact on the date of adoption. During the three months ended June 30, 2021, the Company issued convertible notes. Refer to Note 10 – Long-term Debt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56" w:lineRule="exact"/>
        <w:rPr>
          <w:sz w:val="20"/>
          <w:szCs w:val="20"/>
          <w:color w:val="auto"/>
        </w:rPr>
      </w:pPr>
    </w:p>
    <w:p>
      <w:pPr>
        <w:ind w:right="40" w:firstLine="749"/>
        <w:spacing w:after="0" w:line="274"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Company is currently evaluating the impact that the adoption of this guidance will have on its consolidated financial statements and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74" w:lineRule="exact"/>
        <w:rPr>
          <w:sz w:val="20"/>
          <w:szCs w:val="20"/>
          <w:color w:val="auto"/>
        </w:rPr>
      </w:pPr>
    </w:p>
    <w:p>
      <w:pPr>
        <w:ind w:right="640" w:firstLine="761"/>
        <w:spacing w:after="0" w:line="266"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w:t>
      </w: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 may collect sales taxes and other taxes from customers on behalf of governmental authorities at the time of sale as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These taxes are accounted for on a net basis and are not included in revenues or cost of sales.</w:t>
      </w:r>
    </w:p>
    <w:p>
      <w:pPr>
        <w:spacing w:after="0" w:line="252" w:lineRule="exact"/>
        <w:rPr>
          <w:sz w:val="20"/>
          <w:szCs w:val="20"/>
          <w:color w:val="auto"/>
        </w:rPr>
      </w:pPr>
    </w:p>
    <w:p>
      <w:pPr>
        <w:ind w:right="500" w:firstLine="761"/>
        <w:spacing w:after="0" w:line="277"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74" w:lineRule="exact"/>
        <w:rPr>
          <w:sz w:val="20"/>
          <w:szCs w:val="20"/>
          <w:color w:val="auto"/>
        </w:rPr>
      </w:pPr>
    </w:p>
    <w:p>
      <w:pPr>
        <w:ind w:right="120" w:firstLine="761"/>
        <w:spacing w:after="0" w:line="267"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223"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at the TDA retail location of used vehicles are recorded as “Deferred revenue” within the condensed consolidated balance sheets.</w:t>
      </w:r>
    </w:p>
    <w:p>
      <w:pPr>
        <w:spacing w:after="0" w:line="217"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74"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74" w:lineRule="exact"/>
        <w:rPr>
          <w:sz w:val="20"/>
          <w:szCs w:val="20"/>
          <w:color w:val="auto"/>
        </w:rPr>
      </w:pPr>
    </w:p>
    <w:p>
      <w:pPr>
        <w:ind w:right="80" w:firstLine="761"/>
        <w:spacing w:after="0" w:line="288" w:lineRule="auto"/>
        <w:rPr>
          <w:sz w:val="20"/>
          <w:szCs w:val="20"/>
          <w:color w:val="auto"/>
        </w:rPr>
      </w:pPr>
      <w:r>
        <w:rPr>
          <w:rFonts w:ascii="Arial" w:cs="Arial" w:eastAsia="Arial" w:hAnsi="Arial"/>
          <w:sz w:val="17"/>
          <w:szCs w:val="17"/>
          <w:color w:val="auto"/>
        </w:rPr>
        <w:t>The Company’s product revenue consists of fees earned on selling value-added products, such as vehicle service contracts, guaranteed asset protection (“GAP”) and tire and wheel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4" w:lineRule="exact"/>
        <w:rPr>
          <w:sz w:val="20"/>
          <w:szCs w:val="20"/>
          <w:color w:val="auto"/>
        </w:rPr>
      </w:pPr>
    </w:p>
    <w:p>
      <w:pPr>
        <w:ind w:right="340" w:firstLine="764"/>
        <w:spacing w:after="0" w:line="26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p>
      <w:pPr>
        <w:ind w:right="20" w:firstLine="764"/>
        <w:spacing w:after="0" w:line="268"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September 30, 2021 and December 31, 2020, the Company’s reserve for chargebacks was $8.1 million and $3.8 million, respectively, of which $3.9 million and $1.7 million, respectively, are included within “Accrued expenses” and $4.2 million and $2.1 million, respectively, are included in “Other long-term liabilities.”</w:t>
      </w:r>
    </w:p>
    <w:p>
      <w:pPr>
        <w:spacing w:after="0" w:line="218" w:lineRule="exact"/>
        <w:rPr>
          <w:sz w:val="20"/>
          <w:szCs w:val="20"/>
          <w:color w:val="auto"/>
        </w:rPr>
      </w:pPr>
    </w:p>
    <w:p>
      <w:pPr>
        <w:ind w:right="20" w:firstLine="761"/>
        <w:spacing w:after="0" w:line="267"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September 30, 2021 and December 31, 2020, the Company recognized $18.0 million and $11.5 million, respectively, related to cumulative profit-sharing payments to which it expects to be entitled, of which $0.9 million and $0.8 million, respectively, are included within “Prepaid expenses and other current assets” and $17.1 million and $10.7 million, respectively, are included within “Other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74"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Other revenue consists of labor and parts revenue earned by the Company for vehicle repair services at TDA and, commencing in the first quarter of 2021, revenue from CarStory.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74" w:lineRule="exact"/>
        <w:rPr>
          <w:sz w:val="20"/>
          <w:szCs w:val="20"/>
          <w:color w:val="auto"/>
        </w:rPr>
      </w:pPr>
    </w:p>
    <w:p>
      <w:pPr>
        <w:ind w:right="60" w:firstLine="749"/>
        <w:spacing w:after="0" w:line="287"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53" w:lineRule="exact"/>
        <w:rPr>
          <w:sz w:val="20"/>
          <w:szCs w:val="20"/>
          <w:color w:val="auto"/>
        </w:rPr>
      </w:pPr>
    </w:p>
    <w:p>
      <w:pPr>
        <w:ind w:firstLine="749"/>
        <w:spacing w:after="0" w:line="268"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The Company expects CarStory to continue to offer its digital retailing services to dealers, automotive financial services companies and others in the automotive industry. The financial results of CarStory were included in the condensed consolidated financial statements from the date of acquisition. The transaction costs associated with its acquisition were not material for the nine months ended September 30, 2021. Pro forma results of operations have not been presented as the effect of this acquisition was not material to the condensed consolidated financial statements.</w:t>
      </w:r>
    </w:p>
    <w:p>
      <w:pPr>
        <w:spacing w:after="0" w:line="205"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92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920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76,740</w:t>
            </w:r>
          </w:p>
        </w:tc>
      </w:tr>
      <w:tr>
        <w:trPr>
          <w:trHeight w:val="257"/>
        </w:trPr>
        <w:tc>
          <w:tcPr>
            <w:tcW w:w="9200" w:type="dxa"/>
            <w:vAlign w:val="bottom"/>
          </w:tcPr>
          <w:p>
            <w:pPr>
              <w:ind w:left="80"/>
              <w:spacing w:after="0" w:line="257" w:lineRule="exact"/>
              <w:rPr>
                <w:sz w:val="20"/>
                <w:szCs w:val="20"/>
                <w:color w:val="auto"/>
              </w:rPr>
            </w:pPr>
            <w:r>
              <w:rPr>
                <w:rFonts w:ascii="Arial" w:cs="Arial" w:eastAsia="Arial" w:hAnsi="Arial"/>
                <w:sz w:val="18"/>
                <w:szCs w:val="18"/>
                <w:color w:val="auto"/>
              </w:rPr>
              <w:t xml:space="preserve">Common stock issued </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38,811</w:t>
            </w:r>
          </w:p>
        </w:tc>
      </w:tr>
      <w:tr>
        <w:trPr>
          <w:trHeight w:val="256"/>
        </w:trPr>
        <w:tc>
          <w:tcPr>
            <w:tcW w:w="9200" w:type="dxa"/>
            <w:vAlign w:val="bottom"/>
            <w:tcBorders>
              <w:bottom w:val="single" w:sz="8" w:color="CFF0FC"/>
            </w:tcBorders>
            <w:shd w:val="clear" w:color="auto" w:fill="CFF0FC"/>
          </w:tcPr>
          <w:p>
            <w:pPr>
              <w:ind w:left="80"/>
              <w:spacing w:after="0" w:line="257" w:lineRule="exact"/>
              <w:rPr>
                <w:sz w:val="20"/>
                <w:szCs w:val="20"/>
                <w:color w:val="auto"/>
              </w:rPr>
            </w:pPr>
            <w:r>
              <w:rPr>
                <w:rFonts w:ascii="Arial" w:cs="Arial" w:eastAsia="Arial" w:hAnsi="Arial"/>
                <w:sz w:val="18"/>
                <w:szCs w:val="18"/>
                <w:color w:val="auto"/>
              </w:rPr>
              <w:t xml:space="preserve">Fair value of unvested stock options assumed </w:t>
            </w:r>
            <w:r>
              <w:rPr>
                <w:rFonts w:ascii="Arial" w:cs="Arial" w:eastAsia="Arial" w:hAnsi="Arial"/>
                <w:sz w:val="24"/>
                <w:szCs w:val="24"/>
                <w:color w:val="auto"/>
                <w:vertAlign w:val="superscript"/>
              </w:rPr>
              <w:t>(2)</w:t>
            </w:r>
          </w:p>
        </w:tc>
        <w:tc>
          <w:tcPr>
            <w:tcW w:w="38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1,017</w:t>
            </w:r>
          </w:p>
        </w:tc>
      </w:tr>
      <w:tr>
        <w:trPr>
          <w:trHeight w:val="243"/>
        </w:trPr>
        <w:tc>
          <w:tcPr>
            <w:tcW w:w="9200" w:type="dxa"/>
            <w:vAlign w:val="bottom"/>
          </w:tcPr>
          <w:p>
            <w:pPr>
              <w:ind w:left="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116,568</w:t>
            </w:r>
          </w:p>
        </w:tc>
      </w:tr>
      <w:tr>
        <w:trPr>
          <w:trHeight w:val="20"/>
        </w:trPr>
        <w:tc>
          <w:tcPr>
            <w:tcW w:w="9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700" w:right="660" w:hanging="318"/>
        <w:spacing w:after="0" w:line="267" w:lineRule="auto"/>
        <w:tabs>
          <w:tab w:leader="none" w:pos="7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The fair value of common stock was determined based on the closing market price on the date of acquisition discounted for a lack of marketability of 10.0% to account for the 180 day lock up period.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ind w:left="700" w:right="140" w:hanging="318"/>
        <w:spacing w:after="0" w:line="278" w:lineRule="auto"/>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20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which were finalized in the three months ended September 30,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9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865</w:t>
            </w:r>
          </w:p>
        </w:tc>
      </w:tr>
      <w:tr>
        <w:trPr>
          <w:trHeight w:val="250"/>
        </w:trPr>
        <w:tc>
          <w:tcPr>
            <w:tcW w:w="9340" w:type="dxa"/>
            <w:vAlign w:val="bottom"/>
          </w:tcPr>
          <w:p>
            <w:pPr>
              <w:ind w:left="60"/>
              <w:spacing w:after="0"/>
              <w:rPr>
                <w:sz w:val="20"/>
                <w:szCs w:val="20"/>
                <w:color w:val="auto"/>
              </w:rPr>
            </w:pPr>
            <w:r>
              <w:rPr>
                <w:rFonts w:ascii="Arial" w:cs="Arial" w:eastAsia="Arial" w:hAnsi="Arial"/>
                <w:sz w:val="18"/>
                <w:szCs w:val="18"/>
                <w:color w:val="auto"/>
              </w:rPr>
              <w:t>Accounts receivable, prepaid expenses and other current assets</w:t>
            </w:r>
          </w:p>
        </w:tc>
        <w:tc>
          <w:tcPr>
            <w:tcW w:w="3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1,330</w:t>
            </w:r>
          </w:p>
        </w:tc>
      </w:tr>
      <w:tr>
        <w:trPr>
          <w:trHeight w:val="263"/>
        </w:trPr>
        <w:tc>
          <w:tcPr>
            <w:tcW w:w="9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Property and equipment and other assets</w:t>
            </w:r>
          </w:p>
        </w:tc>
        <w:tc>
          <w:tcPr>
            <w:tcW w:w="3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371</w:t>
            </w:r>
          </w:p>
        </w:tc>
      </w:tr>
      <w:tr>
        <w:trPr>
          <w:trHeight w:val="250"/>
        </w:trPr>
        <w:tc>
          <w:tcPr>
            <w:tcW w:w="9340" w:type="dxa"/>
            <w:vAlign w:val="bottom"/>
          </w:tcPr>
          <w:p>
            <w:pPr>
              <w:ind w:left="8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34,300</w:t>
            </w:r>
          </w:p>
        </w:tc>
      </w:tr>
      <w:tr>
        <w:trPr>
          <w:trHeight w:val="263"/>
        </w:trPr>
        <w:tc>
          <w:tcPr>
            <w:tcW w:w="9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80,645</w:t>
            </w:r>
          </w:p>
        </w:tc>
      </w:tr>
      <w:tr>
        <w:trPr>
          <w:trHeight w:val="250"/>
        </w:trPr>
        <w:tc>
          <w:tcPr>
            <w:tcW w:w="93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(943 )</w:t>
            </w:r>
          </w:p>
        </w:tc>
      </w:tr>
      <w:tr>
        <w:trPr>
          <w:trHeight w:val="290"/>
        </w:trPr>
        <w:tc>
          <w:tcPr>
            <w:tcW w:w="9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116,568</w:t>
            </w:r>
          </w:p>
        </w:tc>
      </w:tr>
    </w:tbl>
    <w:p>
      <w:pPr>
        <w:spacing w:after="0" w:line="323" w:lineRule="exact"/>
        <w:rPr>
          <w:sz w:val="20"/>
          <w:szCs w:val="20"/>
          <w:color w:val="auto"/>
        </w:rPr>
      </w:pPr>
    </w:p>
    <w:p>
      <w:pPr>
        <w:ind w:right="20" w:firstLine="749"/>
        <w:spacing w:after="0" w:line="26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reportable segment.</w:t>
      </w:r>
    </w:p>
    <w:p>
      <w:pPr>
        <w:spacing w:after="0" w:line="206"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r>
      <w:tr>
        <w:trPr>
          <w:trHeight w:val="196"/>
        </w:trPr>
        <w:tc>
          <w:tcPr>
            <w:tcW w:w="7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Life</w:t>
            </w:r>
          </w:p>
        </w:tc>
      </w:tr>
      <w:tr>
        <w:trPr>
          <w:trHeight w:val="256"/>
        </w:trPr>
        <w:tc>
          <w:tcPr>
            <w:tcW w:w="782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25,700</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50"/>
        </w:trPr>
        <w:tc>
          <w:tcPr>
            <w:tcW w:w="7820" w:type="dxa"/>
            <w:vAlign w:val="bottom"/>
          </w:tcPr>
          <w:p>
            <w:pPr>
              <w:ind w:left="6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5,200</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57"/>
        </w:trPr>
        <w:tc>
          <w:tcPr>
            <w:tcW w:w="7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3,400</w:t>
            </w:r>
          </w:p>
        </w:tc>
        <w:tc>
          <w:tcPr>
            <w:tcW w:w="1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8</w:t>
            </w:r>
          </w:p>
        </w:tc>
      </w:tr>
      <w:tr>
        <w:trPr>
          <w:trHeight w:val="250"/>
        </w:trPr>
        <w:tc>
          <w:tcPr>
            <w:tcW w:w="7820" w:type="dxa"/>
            <w:vAlign w:val="bottom"/>
          </w:tcPr>
          <w:p>
            <w:pPr>
              <w:ind w:left="60"/>
              <w:spacing w:after="0"/>
              <w:rPr>
                <w:sz w:val="20"/>
                <w:szCs w:val="20"/>
                <w:color w:val="auto"/>
              </w:rPr>
            </w:pPr>
            <w:r>
              <w:rPr>
                <w:rFonts w:ascii="Arial" w:cs="Arial" w:eastAsia="Arial" w:hAnsi="Arial"/>
                <w:sz w:val="18"/>
                <w:szCs w:val="18"/>
                <w:color w:val="auto"/>
              </w:rPr>
              <w:t>Total intangible assets subject to amortization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34,300</w:t>
            </w:r>
          </w:p>
        </w:tc>
        <w:tc>
          <w:tcPr>
            <w:tcW w:w="1680" w:type="dxa"/>
            <w:vAlign w:val="bottom"/>
          </w:tcPr>
          <w:p>
            <w:pPr>
              <w:spacing w:after="0"/>
              <w:rPr>
                <w:sz w:val="21"/>
                <w:szCs w:val="21"/>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-193675</wp:posOffset>
            </wp:positionV>
            <wp:extent cx="10718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71880" cy="5715"/>
                    </a:xfrm>
                    <a:prstGeom prst="rect">
                      <a:avLst/>
                    </a:prstGeom>
                    <a:noFill/>
                  </pic:spPr>
                </pic:pic>
              </a:graphicData>
            </a:graphic>
          </wp:anchor>
        </w:drawing>
      </w:r>
    </w:p>
    <w:p>
      <w:pPr>
        <w:spacing w:after="0" w:line="290"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97" w:lineRule="exact"/>
        <w:rPr>
          <w:sz w:val="20"/>
          <w:szCs w:val="20"/>
          <w:color w:val="auto"/>
        </w:rPr>
      </w:pPr>
    </w:p>
    <w:p>
      <w:pPr>
        <w:ind w:right="160" w:firstLine="749"/>
        <w:spacing w:after="0" w:line="26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(DCF) method under the income approach. Under this approach, the Company estimates future cash flows and discounts these cash flows at a rate of return that reflects the Company’s relative risk. The allocation of the total consideration transferred to the assets acquired, including intangible assets and goodwill, as well as the liabilities assumed is final as of September 30, 2021.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2020</w:t>
            </w:r>
          </w:p>
        </w:tc>
      </w:tr>
      <w:tr>
        <w:trPr>
          <w:trHeight w:val="25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599,466</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421,458</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2,287</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2,189</w:t>
            </w:r>
          </w:p>
        </w:tc>
      </w:tr>
      <w:tr>
        <w:trPr>
          <w:trHeight w:val="290"/>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601,753</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423,647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120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840" w:firstLine="749"/>
        <w:spacing w:after="0" w:line="308" w:lineRule="auto"/>
        <w:rPr>
          <w:sz w:val="20"/>
          <w:szCs w:val="20"/>
          <w:color w:val="auto"/>
        </w:rPr>
      </w:pPr>
      <w:r>
        <w:rPr>
          <w:rFonts w:ascii="Arial" w:cs="Arial" w:eastAsia="Arial" w:hAnsi="Arial"/>
          <w:sz w:val="18"/>
          <w:szCs w:val="18"/>
          <w:color w:val="auto"/>
        </w:rPr>
        <w:t>As of September 30, 2021 and December 31, 2020, “Inventory” includes an adjustment of $18.5 million and $12.9 million, respectively, to record the balances at the lower of cost or net realizable value.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5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1,012</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1,061</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1,746</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Company vehicles</w:t>
            </w:r>
          </w:p>
        </w:tc>
        <w:tc>
          <w:tcPr>
            <w:tcW w:w="300" w:type="dxa"/>
            <w:vAlign w:val="bottom"/>
            <w:shd w:val="clear" w:color="auto" w:fill="CFF0FC"/>
          </w:tcPr>
          <w:p>
            <w:pPr>
              <w:spacing w:after="0"/>
              <w:rPr>
                <w:sz w:val="22"/>
                <w:szCs w:val="22"/>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17,843</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5,002</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7,161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7,068</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FF0FC"/>
          </w:tcPr>
          <w:p>
            <w:pPr>
              <w:spacing w:after="0"/>
              <w:rPr>
                <w:sz w:val="22"/>
                <w:szCs w:val="22"/>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16,032</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10,552</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4,674</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2,997</w:t>
            </w:r>
          </w:p>
        </w:tc>
      </w:tr>
      <w:tr>
        <w:trPr>
          <w:trHeight w:val="257"/>
        </w:trPr>
        <w:tc>
          <w:tcPr>
            <w:tcW w:w="70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48,815</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28,426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(18,256 )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(13,334 )</w:t>
            </w:r>
          </w:p>
        </w:tc>
      </w:tr>
      <w:tr>
        <w:trPr>
          <w:trHeight w:val="290"/>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30,559</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1117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63" w:lineRule="exact"/>
        <w:rPr>
          <w:sz w:val="20"/>
          <w:szCs w:val="20"/>
          <w:color w:val="auto"/>
        </w:rPr>
      </w:pPr>
    </w:p>
    <w:p>
      <w:pPr>
        <w:ind w:firstLine="749"/>
        <w:spacing w:after="0" w:line="268" w:lineRule="auto"/>
        <w:rPr>
          <w:sz w:val="20"/>
          <w:szCs w:val="20"/>
          <w:color w:val="auto"/>
        </w:rPr>
      </w:pPr>
      <w:r>
        <w:rPr>
          <w:rFonts w:ascii="Arial" w:cs="Arial" w:eastAsia="Arial" w:hAnsi="Arial"/>
          <w:sz w:val="18"/>
          <w:szCs w:val="18"/>
          <w:color w:val="auto"/>
        </w:rPr>
        <w:t>Depreciation and amortization expense was $1.9 million and $1.1 million for the three months ended September 30, 2021 and 2020, respectively, and $4.9 million and $2.8 million for the nine months ended September 30, 2021 and 2020, respectively. Depreciation and amortization expense included within “Cost of sales” in the condensed consolidated statements of operations was $0.1 million and $0.2 million for the three and nine months ended September 30, 2021, respectively. Depreciation and amortization expense included within "Cost of sales" was immaterial for the three and nine months ended September 30, 2020.</w:t>
      </w:r>
    </w:p>
    <w:p>
      <w:pPr>
        <w:spacing w:after="0" w:line="208" w:lineRule="exact"/>
        <w:rPr>
          <w:sz w:val="20"/>
          <w:szCs w:val="20"/>
          <w:color w:val="auto"/>
        </w:rPr>
      </w:pPr>
    </w:p>
    <w:p>
      <w:pPr>
        <w:ind w:right="20" w:firstLine="749"/>
        <w:spacing w:after="0" w:line="268"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$5.8 million and $1.9 million as of September 30, 2021, respectively, and $3.6 million and $1.0 million as of December 31, 2020, respectively, and were included within “Other assets” in the condensed consolidated balance sheets. Amortization expense of $0.4 million and $0.2 million was included within “Selling, general and administrative expenses” in the condensed statements of operations for the three months ended September 30, 2021 and 2020, respectively, and $0.9 million and $0.5 million for the nine months ended September 30,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activity in the carrying value of goodwill by reportable segment for the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Wholesale</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TDA</w:t>
            </w:r>
          </w:p>
        </w:tc>
        <w:tc>
          <w:tcPr>
            <w:tcW w:w="6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Total</w:t>
            </w:r>
          </w:p>
        </w:tc>
      </w:tr>
      <w:tr>
        <w:trPr>
          <w:trHeight w:val="28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1380" w:type="dxa"/>
            <w:vAlign w:val="bottom"/>
            <w:gridSpan w:val="2"/>
            <w:shd w:val="clear" w:color="auto" w:fill="CFF0FC"/>
          </w:tcPr>
          <w:p>
            <w:pPr>
              <w:jc w:val="right"/>
              <w:ind w:right="9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3"/>
              </w:rPr>
              <w:t>1,720</w:t>
            </w:r>
          </w:p>
        </w:tc>
        <w:tc>
          <w:tcPr>
            <w:tcW w:w="126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78,172</w:t>
            </w:r>
          </w:p>
        </w:tc>
      </w:tr>
      <w:tr>
        <w:trPr>
          <w:trHeight w:val="277"/>
        </w:trPr>
        <w:tc>
          <w:tcPr>
            <w:tcW w:w="3740" w:type="dxa"/>
            <w:vAlign w:val="bottom"/>
          </w:tcPr>
          <w:p>
            <w:pPr>
              <w:ind w:left="20"/>
              <w:spacing w:after="0"/>
              <w:rPr>
                <w:sz w:val="20"/>
                <w:szCs w:val="20"/>
                <w:color w:val="auto"/>
              </w:rPr>
            </w:pPr>
            <w:r>
              <w:rPr>
                <w:rFonts w:ascii="Arial" w:cs="Arial" w:eastAsia="Arial" w:hAnsi="Arial"/>
                <w:sz w:val="18"/>
                <w:szCs w:val="18"/>
                <w:color w:val="auto"/>
              </w:rPr>
              <w:t>Change in carrying amount</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31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3"/>
              </w:rPr>
              <w:t>1,720</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78,172</w:t>
            </w:r>
          </w:p>
        </w:tc>
      </w:tr>
      <w:tr>
        <w:trPr>
          <w:trHeight w:val="26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b w:val="1"/>
                <w:bCs w:val="1"/>
                <w:color w:val="auto"/>
              </w:rPr>
              <w:t>72,231</w:t>
            </w:r>
          </w:p>
        </w:tc>
        <w:tc>
          <w:tcPr>
            <w:tcW w:w="1380" w:type="dxa"/>
            <w:vAlign w:val="bottom"/>
            <w:gridSpan w:val="2"/>
          </w:tcPr>
          <w:p>
            <w:pPr>
              <w:jc w:val="right"/>
              <w:ind w:right="9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1,720</w:t>
            </w:r>
          </w:p>
        </w:tc>
        <w:tc>
          <w:tcPr>
            <w:tcW w:w="126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78,172</w:t>
            </w:r>
          </w:p>
        </w:tc>
      </w:tr>
      <w:tr>
        <w:trPr>
          <w:trHeight w:val="284"/>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80,645</w:t>
            </w:r>
          </w:p>
        </w:tc>
        <w:tc>
          <w:tcPr>
            <w:tcW w:w="2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80,645</w:t>
            </w:r>
          </w:p>
        </w:tc>
      </w:tr>
      <w:tr>
        <w:trPr>
          <w:trHeight w:val="277"/>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b w:val="1"/>
                <w:bCs w:val="1"/>
                <w:color w:val="auto"/>
              </w:rPr>
              <w:t>152,876</w:t>
            </w:r>
          </w:p>
        </w:tc>
        <w:tc>
          <w:tcPr>
            <w:tcW w:w="1380" w:type="dxa"/>
            <w:vAlign w:val="bottom"/>
            <w:gridSpan w:val="2"/>
          </w:tcPr>
          <w:p>
            <w:pPr>
              <w:jc w:val="right"/>
              <w:ind w:right="9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1,720</w:t>
            </w:r>
          </w:p>
        </w:tc>
        <w:tc>
          <w:tcPr>
            <w:tcW w:w="126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158,817</w:t>
            </w:r>
          </w:p>
        </w:tc>
      </w:tr>
      <w:tr>
        <w:trPr>
          <w:trHeight w:val="20"/>
        </w:trPr>
        <w:tc>
          <w:tcPr>
            <w:tcW w:w="3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-599440</wp:posOffset>
            </wp:positionV>
            <wp:extent cx="255460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54605" cy="20574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-210820</wp:posOffset>
            </wp:positionV>
            <wp:extent cx="120015" cy="211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2114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-210820</wp:posOffset>
            </wp:positionV>
            <wp:extent cx="120015" cy="2114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2114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-210820</wp:posOffset>
            </wp:positionV>
            <wp:extent cx="111125" cy="211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211455"/>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nine months ended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ectPr>
          <w:pgSz w:w="11900" w:h="16838" w:orient="portrait"/>
          <w:cols w:equalWidth="0" w:num="1">
            <w:col w:w="11240"/>
          </w:cols>
          <w:pgMar w:left="320" w:top="152" w:right="33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Intangibles assets,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r>
      <w:tr>
        <w:trPr>
          <w:trHeight w:val="25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25,700</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5,240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40</w:t>
            </w:r>
          </w:p>
        </w:tc>
      </w:tr>
      <w:tr>
        <w:trPr>
          <w:trHeight w:val="263"/>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252</w:t>
            </w:r>
          </w:p>
        </w:tc>
      </w:tr>
      <w:tr>
        <w:trPr>
          <w:trHeight w:val="257"/>
        </w:trPr>
        <w:tc>
          <w:tcPr>
            <w:tcW w:w="70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34,592</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292</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(4,830 )</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(258 )</w:t>
            </w:r>
          </w:p>
        </w:tc>
      </w:tr>
      <w:tr>
        <w:trPr>
          <w:trHeight w:val="290"/>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29,762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4 – Acquisition for more information related to the acquisition that occurred in the nine months ended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9"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Amortization expense for intangible assets was $1.6 million and $0.1 million for the three months ended September 30, 2021 and 2020, respectively, and $4.6 million and $0.4 million for the nine months ended September 30, 2021 and 2020, respectively.</w:t>
      </w:r>
    </w:p>
    <w:p>
      <w:pPr>
        <w:spacing w:after="0" w:line="197" w:lineRule="exact"/>
        <w:rPr>
          <w:sz w:val="20"/>
          <w:szCs w:val="20"/>
          <w:color w:val="auto"/>
        </w:rPr>
      </w:pPr>
    </w:p>
    <w:p>
      <w:pPr>
        <w:ind w:right="860" w:firstLine="761"/>
        <w:spacing w:after="0" w:line="277" w:lineRule="auto"/>
        <w:rPr>
          <w:sz w:val="20"/>
          <w:szCs w:val="20"/>
          <w:color w:val="auto"/>
        </w:rPr>
      </w:pPr>
      <w:r>
        <w:rPr>
          <w:rFonts w:ascii="Arial" w:cs="Arial" w:eastAsia="Arial" w:hAnsi="Arial"/>
          <w:sz w:val="18"/>
          <w:szCs w:val="18"/>
          <w:color w:val="auto"/>
        </w:rPr>
        <w:t>The estimated amortization expense for intangible assets subsequent to September 30, 2021 consists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remainder of 2021</w:t>
            </w:r>
          </w:p>
        </w:tc>
        <w:tc>
          <w:tcPr>
            <w:tcW w:w="30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1,555</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6,220</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6,215</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6,215</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6,215</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3,342</w:t>
            </w:r>
          </w:p>
        </w:tc>
      </w:tr>
      <w:tr>
        <w:trPr>
          <w:trHeight w:val="290"/>
        </w:trPr>
        <w:tc>
          <w:tcPr>
            <w:tcW w:w="70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7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29,762</w:t>
            </w:r>
          </w:p>
        </w:tc>
      </w:tr>
      <w:tr>
        <w:trPr>
          <w:trHeight w:val="446"/>
        </w:trPr>
        <w:tc>
          <w:tcPr>
            <w:tcW w:w="70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0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338"/>
        </w:trPr>
        <w:tc>
          <w:tcPr>
            <w:tcW w:w="7000" w:type="dxa"/>
            <w:vAlign w:val="bottom"/>
          </w:tcPr>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6"/>
        </w:trPr>
        <w:tc>
          <w:tcPr>
            <w:tcW w:w="7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2020</w:t>
            </w:r>
          </w:p>
        </w:tc>
      </w:tr>
      <w:tr>
        <w:trPr>
          <w:trHeight w:val="25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14,200</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9,106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Vehicle related expenses</w:t>
            </w:r>
          </w:p>
        </w:tc>
        <w:tc>
          <w:tcPr>
            <w:tcW w:w="30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29,492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13,062</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taxes</w:t>
            </w:r>
          </w:p>
        </w:tc>
        <w:tc>
          <w:tcPr>
            <w:tcW w:w="30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32,121</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15,443</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12,657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5,749</w:t>
            </w:r>
          </w:p>
        </w:tc>
      </w:tr>
      <w:tr>
        <w:trPr>
          <w:trHeight w:val="263"/>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30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6,722</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4,890</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9,502</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11,155</w:t>
            </w:r>
          </w:p>
        </w:tc>
      </w:tr>
      <w:tr>
        <w:trPr>
          <w:trHeight w:val="290"/>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104,694</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r>
      <w:tr>
        <w:trPr>
          <w:trHeight w:val="25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29,659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25,086</w:t>
            </w: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30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37,081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5,058</w:t>
            </w:r>
          </w:p>
        </w:tc>
      </w:tr>
      <w:tr>
        <w:trPr>
          <w:trHeight w:val="257"/>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131</w:t>
            </w: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66,904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30,275</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-193675</wp:posOffset>
            </wp:positionV>
            <wp:extent cx="1200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ectPr>
          <w:pgSz w:w="11900" w:h="16838" w:orient="portrait"/>
          <w:cols w:equalWidth="0" w:num="1">
            <w:col w:w="11240"/>
          </w:cols>
          <w:pgMar w:left="320" w:top="152" w:right="339" w:bottom="738"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738" w:gutter="0" w:footer="0" w:header="0"/>
          <w:type w:val="continuous"/>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Vehicle Floorplan Facilities</w:t>
      </w:r>
    </w:p>
    <w:p>
      <w:pPr>
        <w:spacing w:after="0" w:line="12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October 2020, the Company entered into a new vehicle floorplan facility with Ally Bank and Ally Financial (the “2020 Vehicle Floorplan Facility”). The 2020 Vehicle Floorplan Facility provides a committed credit line of up to $450.0 million which is scheduled to expire on September 30, 2022. The amount of credit available is determined on a monthly basis based on a calculation that considers average outstanding borrowings and vehicle units paid off by the Company within the immediately preceding three-month period. As of September 30, 2021, the borrowing capacity of the 2020 Vehicle Floorplan Facility was $450.0 million, of which $8.5 million was unutilized.</w:t>
      </w:r>
    </w:p>
    <w:p>
      <w:pPr>
        <w:spacing w:after="0" w:line="202"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outstanding borrowings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 Cash deposits required under the Company’s 2020 Vehicle Floorplan Facility of $42.7 million and $31.6 million are classified as “Restricted cash” within the condensed consolidated balance sheets as of September 30, 2021 and December 31, 2020, respectively.</w:t>
      </w:r>
    </w:p>
    <w:p>
      <w:pPr>
        <w:spacing w:after="0" w:line="207"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As of September 30, 2021 and December 31, 2020, outstanding borrowings on the 2020 Vehicle Floorplan Facility were $441.5 million and $329.2 million, respectively.</w:t>
      </w:r>
    </w:p>
    <w:p>
      <w:pPr>
        <w:spacing w:after="0" w:line="197" w:lineRule="exact"/>
        <w:rPr>
          <w:sz w:val="20"/>
          <w:szCs w:val="20"/>
          <w:color w:val="auto"/>
        </w:rPr>
      </w:pPr>
    </w:p>
    <w:p>
      <w:pPr>
        <w:ind w:right="340" w:firstLine="764"/>
        <w:spacing w:after="0" w:line="238" w:lineRule="auto"/>
        <w:rPr>
          <w:sz w:val="20"/>
          <w:szCs w:val="20"/>
          <w:color w:val="auto"/>
        </w:rPr>
      </w:pPr>
      <w:r>
        <w:rPr>
          <w:rFonts w:ascii="Arial" w:cs="Arial" w:eastAsia="Arial" w:hAnsi="Arial"/>
          <w:sz w:val="18"/>
          <w:szCs w:val="18"/>
          <w:color w:val="auto"/>
        </w:rPr>
        <w:t>Interest expense incurred by the Company for the 2020 Vehicle Floorplan Facility was $5.0 million and $2.0 million for the three months ended September 30, 2021 and 2020, respectively, and $12.4 million and $5.7 million for the nine months ended September 30, 2021 and 2020, respectively, which are recorded within “Interest expense” in the condensed consolidated statements of operations. The weighted average interest rate on the vehicle floorplan borrowings was 4.34% and 4.39% as of September 30, 2021 and December 31, 2020, respectively.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the Company was in compliance with all covenants related to the 2020 Vehicle Floorplan Facility.</w:t>
      </w:r>
    </w:p>
    <w:p>
      <w:pPr>
        <w:spacing w:after="0" w:line="252" w:lineRule="exact"/>
        <w:rPr>
          <w:sz w:val="20"/>
          <w:szCs w:val="20"/>
          <w:color w:val="auto"/>
        </w:rPr>
      </w:pPr>
    </w:p>
    <w:p>
      <w:pPr>
        <w:ind w:right="40" w:firstLine="749"/>
        <w:spacing w:after="0" w:line="268" w:lineRule="auto"/>
        <w:rPr>
          <w:sz w:val="20"/>
          <w:szCs w:val="20"/>
          <w:color w:val="auto"/>
        </w:rPr>
      </w:pPr>
      <w:r>
        <w:rPr>
          <w:rFonts w:ascii="Arial" w:cs="Arial" w:eastAsia="Arial" w:hAnsi="Arial"/>
          <w:sz w:val="18"/>
          <w:szCs w:val="18"/>
          <w:color w:val="auto"/>
        </w:rPr>
        <w:t>In connection with the 2020 Vehicle Floorplan Facility, the Company entered into credit balance agreements with Ally Bank and Ally Financial that permit the Company to deposit cash with the bank for the purpose of reducing the amount of interest payable for borrowings. Interest credits earned by the Company were $2.9 million and $1.2 million for the three months ended September 30, 2021 and 2020, respectively, and $7.1 million and $3.6 million for the nine months ended September 30, 2021 and 2020, respectively, which are recorded within “Interest income” in the condensed consolidated statements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Senior Notes</w:t>
      </w:r>
    </w:p>
    <w:p>
      <w:pPr>
        <w:spacing w:after="0" w:line="315"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260" w:lineRule="exact"/>
        <w:rPr>
          <w:sz w:val="20"/>
          <w:szCs w:val="20"/>
          <w:color w:val="auto"/>
        </w:rPr>
      </w:pPr>
    </w:p>
    <w:p>
      <w:pPr>
        <w:ind w:right="140" w:firstLine="749"/>
        <w:spacing w:after="0" w:line="269"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60" w:lineRule="exact"/>
        <w:rPr>
          <w:sz w:val="20"/>
          <w:szCs w:val="20"/>
          <w:color w:val="auto"/>
        </w:rPr>
      </w:pPr>
    </w:p>
    <w:p>
      <w:pPr>
        <w:ind w:right="80" w:firstLine="749"/>
        <w:spacing w:after="0" w:line="266"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p>
      <w:pPr>
        <w:ind w:left="700"/>
        <w:spacing w:after="0" w:line="269" w:lineRule="auto"/>
        <w:rPr>
          <w:sz w:val="20"/>
          <w:szCs w:val="20"/>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98" w:lineRule="exact"/>
        <w:rPr>
          <w:sz w:val="20"/>
          <w:szCs w:val="20"/>
          <w:color w:val="auto"/>
        </w:rPr>
      </w:pPr>
    </w:p>
    <w:p>
      <w:pPr>
        <w:jc w:val="both"/>
        <w:ind w:left="700" w:right="220"/>
        <w:spacing w:after="0" w:line="271" w:lineRule="auto"/>
        <w:rPr>
          <w:sz w:val="20"/>
          <w:szCs w:val="20"/>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the Company calls any or all of the Notes for redemption; or</w:t>
      </w:r>
    </w:p>
    <w:p>
      <w:pPr>
        <w:spacing w:after="0" w:line="131" w:lineRule="exact"/>
        <w:rPr>
          <w:sz w:val="20"/>
          <w:szCs w:val="20"/>
          <w:color w:val="auto"/>
        </w:rPr>
      </w:pPr>
    </w:p>
    <w:p>
      <w:pPr>
        <w:ind w:left="700" w:right="800"/>
        <w:spacing w:after="0" w:line="277" w:lineRule="auto"/>
        <w:rPr>
          <w:sz w:val="20"/>
          <w:szCs w:val="20"/>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51"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51"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60" w:lineRule="exact"/>
        <w:rPr>
          <w:sz w:val="20"/>
          <w:szCs w:val="20"/>
          <w:color w:val="auto"/>
        </w:rPr>
      </w:pPr>
    </w:p>
    <w:p>
      <w:pPr>
        <w:ind w:right="60" w:firstLine="374"/>
        <w:spacing w:after="0" w:line="268"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and nine months ended September 30, 2021, the conditions allowing holders of the Notes to convert were not met.</w:t>
      </w:r>
    </w:p>
    <w:p>
      <w:pPr>
        <w:spacing w:after="0" w:line="260" w:lineRule="exact"/>
        <w:rPr>
          <w:sz w:val="20"/>
          <w:szCs w:val="20"/>
          <w:color w:val="auto"/>
        </w:rPr>
      </w:pPr>
    </w:p>
    <w:p>
      <w:pPr>
        <w:ind w:right="120" w:firstLine="374"/>
        <w:spacing w:after="0" w:line="269"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September 30, 2021, the unamortized debt discount and debt issuance costs was $15.2 million and the net carrying value was $609.8 million. The total estimated fair value of the Notes as of September 30, 2021 was approximately $504.1 million. The fair value was determined using commonly employed valuation methodologies applying observable market inputs and is classified within Level 2 of the fair value hierarchy.</w:t>
      </w:r>
    </w:p>
    <w:p>
      <w:pPr>
        <w:spacing w:after="0" w:line="260" w:lineRule="exact"/>
        <w:rPr>
          <w:sz w:val="20"/>
          <w:szCs w:val="20"/>
          <w:color w:val="auto"/>
        </w:rPr>
      </w:pPr>
    </w:p>
    <w:p>
      <w:pPr>
        <w:jc w:val="both"/>
        <w:ind w:right="220" w:firstLine="374"/>
        <w:spacing w:after="0" w:line="271"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and nine months ended September 30, 2021 was $2.0 million and $2.3 million, respectively. The effective interest rate of the Notes is 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ind w:right="80" w:firstLine="761"/>
        <w:spacing w:after="0" w:line="26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89" w:lineRule="exact"/>
        <w:rPr>
          <w:sz w:val="20"/>
          <w:szCs w:val="20"/>
          <w:color w:val="auto"/>
        </w:rPr>
      </w:pPr>
    </w:p>
    <w:p>
      <w:pPr>
        <w:ind w:firstLine="764"/>
        <w:spacing w:after="0" w:line="267"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consolidated case is in preliminary stages, and the Company anticipates filing a motion to dismiss all claims.</w:t>
      </w:r>
    </w:p>
    <w:p>
      <w:pPr>
        <w:spacing w:after="0" w:line="98" w:lineRule="exact"/>
        <w:rPr>
          <w:sz w:val="20"/>
          <w:szCs w:val="20"/>
          <w:color w:val="auto"/>
        </w:rPr>
      </w:pPr>
    </w:p>
    <w:p>
      <w:pPr>
        <w:ind w:right="60" w:firstLine="761"/>
        <w:spacing w:after="0" w:line="268" w:lineRule="auto"/>
        <w:rPr>
          <w:sz w:val="20"/>
          <w:szCs w:val="20"/>
          <w:color w:val="auto"/>
        </w:rPr>
      </w:pPr>
      <w:r>
        <w:rPr>
          <w:rFonts w:ascii="Arial" w:cs="Arial" w:eastAsia="Arial" w:hAnsi="Arial"/>
          <w:sz w:val="18"/>
          <w:szCs w:val="18"/>
          <w:color w:val="auto"/>
        </w:rPr>
        <w:t>In August 2021, one of the Company’s stockholders filed a derivative lawsuit on behalf of the Company in the U.S. District Court for the Southern District of New York against certain of the Company’s officers and directors, and nominally against the Company, alleging a violation of the federal securities laws and breach of fiduciary duty to the Company based on the same general course of conduct alleged in In re: Vroom, Inc. Securities Litigation. This lawsuit is captioned Rainey v. Hennessy et al., Case No. 21-cv-6933. The Court deemed this case “related” to In re: Vroom, Inc. Securities Litigation and stayed all proceedings pending final resolution of In re: Vroom, Inc. Securities Litigation.</w:t>
      </w:r>
    </w:p>
    <w:p>
      <w:pPr>
        <w:spacing w:after="0" w:line="98" w:lineRule="exact"/>
        <w:rPr>
          <w:sz w:val="20"/>
          <w:szCs w:val="20"/>
          <w:color w:val="auto"/>
        </w:rPr>
      </w:pPr>
    </w:p>
    <w:p>
      <w:pPr>
        <w:ind w:right="60" w:firstLine="761"/>
        <w:spacing w:after="0" w:line="268" w:lineRule="auto"/>
        <w:rPr>
          <w:sz w:val="20"/>
          <w:szCs w:val="20"/>
          <w:color w:val="auto"/>
        </w:rPr>
      </w:pPr>
      <w:r>
        <w:rPr>
          <w:rFonts w:ascii="Arial" w:cs="Arial" w:eastAsia="Arial" w:hAnsi="Arial"/>
          <w:sz w:val="18"/>
          <w:szCs w:val="18"/>
          <w:color w:val="auto"/>
        </w:rPr>
        <w:t>On November 8, 2021, a similar purported shareholder derivative lawsuit captioned Salli v. Hennessy et al., Case No. 1:21-cv-09237, was filed against the Company (as a nominal defendant only) and certain of our directors and officers in the U.S. District Court for the Southern District of New York, alleging breach of fiduciary duty, related violations of Delaware law, and breaches of various provisions of the Exchange Act. The lawsuit is based on the same general course of conduct alleged in In re: Vroom, Inc. Securities Litigation and Rainey. The plaintiff in Salli marked that case as “related” to Rainey.</w:t>
      </w:r>
    </w:p>
    <w:p>
      <w:pPr>
        <w:spacing w:after="0" w:line="100" w:lineRule="exact"/>
        <w:rPr>
          <w:sz w:val="20"/>
          <w:szCs w:val="20"/>
          <w:color w:val="auto"/>
        </w:rPr>
      </w:pPr>
    </w:p>
    <w:p>
      <w:pPr>
        <w:ind w:right="220" w:firstLine="764"/>
        <w:spacing w:after="0" w:line="269" w:lineRule="auto"/>
        <w:rPr>
          <w:sz w:val="20"/>
          <w:szCs w:val="20"/>
          <w:color w:val="auto"/>
        </w:rPr>
      </w:pPr>
      <w:r>
        <w:rPr>
          <w:rFonts w:ascii="Arial" w:cs="Arial" w:eastAsia="Arial" w:hAnsi="Arial"/>
          <w:sz w:val="18"/>
          <w:szCs w:val="18"/>
          <w:color w:val="auto"/>
        </w:rPr>
        <w:t>The Company believes these lawsuits are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80"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The Company obtained stand-by letters of credit to satisfy conditions under three lease agreements. The Company was required to maintain a cash deposit of $1.8 million and $2.2 million with the financial institution that issued the stand-by letters of credit, which is classified as “Restricted cash” within the condensed consolidated balance sheets as of September 30, 2021 and December 31, 2020,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3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Redeemable Convertible Preferred Stock and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74"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On January 8, 2020, the Company issued and sold an aggregate of 1,964,766 shares of Series H Preferred Stock in exchange for gross proceeds of $26.7 million. The proceeds were used for general corporate purposes and business development.</w:t>
      </w:r>
    </w:p>
    <w:p>
      <w:pPr>
        <w:spacing w:after="0" w:line="211" w:lineRule="exact"/>
        <w:rPr>
          <w:sz w:val="20"/>
          <w:szCs w:val="20"/>
          <w:color w:val="auto"/>
        </w:rPr>
      </w:pPr>
    </w:p>
    <w:p>
      <w:pPr>
        <w:ind w:right="140" w:firstLine="761"/>
        <w:spacing w:after="0" w:line="269" w:lineRule="auto"/>
        <w:rPr>
          <w:sz w:val="20"/>
          <w:szCs w:val="20"/>
          <w:color w:val="auto"/>
        </w:rPr>
      </w:pPr>
      <w:r>
        <w:rPr>
          <w:rFonts w:ascii="Arial" w:cs="Arial" w:eastAsia="Arial" w:hAnsi="Arial"/>
          <w:sz w:val="18"/>
          <w:szCs w:val="18"/>
          <w:color w:val="auto"/>
        </w:rPr>
        <w:t>Immediately upon closing of the IPO, the Company’s outstanding shares of preferred stock were automatically converted into an aggregate of 85,533,394 shares of the Company’s common stock. On June 11, 2020, the Company amended its certificate of incorporation to authorize the issuance of up to 10,000,000 shares of Preferred Stock. As of September 30, 2021, there was no preferred stock issued or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74" w:lineRule="exact"/>
        <w:rPr>
          <w:sz w:val="20"/>
          <w:szCs w:val="20"/>
          <w:color w:val="auto"/>
        </w:rPr>
      </w:pPr>
    </w:p>
    <w:p>
      <w:pPr>
        <w:jc w:val="both"/>
        <w:ind w:right="320" w:firstLine="761"/>
        <w:spacing w:after="0" w:line="269"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4" w:lineRule="exact"/>
        <w:rPr>
          <w:sz w:val="20"/>
          <w:szCs w:val="20"/>
          <w:color w:val="auto"/>
        </w:rPr>
      </w:pPr>
    </w:p>
    <w:p>
      <w:pPr>
        <w:ind w:right="160" w:firstLine="761"/>
        <w:spacing w:after="0" w:line="268" w:lineRule="auto"/>
        <w:rPr>
          <w:sz w:val="20"/>
          <w:szCs w:val="20"/>
          <w:color w:val="auto"/>
        </w:rPr>
      </w:pPr>
      <w:r>
        <w:rPr>
          <w:rFonts w:ascii="Arial" w:cs="Arial" w:eastAsia="Arial" w:hAnsi="Arial"/>
          <w:sz w:val="18"/>
          <w:szCs w:val="18"/>
          <w:color w:val="auto"/>
        </w:rPr>
        <w:t>In connection with the offering of shares of Series B Preferred Stock in November 2014,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on a cashless basis by the holder which resulted in the net issuance of 155,862 shares of the Company’s common stock.</w:t>
      </w:r>
    </w:p>
    <w:p>
      <w:pPr>
        <w:spacing w:after="0" w:line="221" w:lineRule="exact"/>
        <w:rPr>
          <w:sz w:val="20"/>
          <w:szCs w:val="20"/>
          <w:color w:val="auto"/>
        </w:rPr>
      </w:pPr>
    </w:p>
    <w:p>
      <w:pPr>
        <w:ind w:firstLine="761"/>
        <w:spacing w:after="0" w:line="274" w:lineRule="auto"/>
        <w:rPr>
          <w:sz w:val="20"/>
          <w:szCs w:val="20"/>
          <w:color w:val="auto"/>
        </w:rPr>
      </w:pPr>
      <w:r>
        <w:rPr>
          <w:rFonts w:ascii="Arial" w:cs="Arial" w:eastAsia="Arial" w:hAnsi="Arial"/>
          <w:sz w:val="18"/>
          <w:szCs w:val="18"/>
          <w:color w:val="auto"/>
        </w:rPr>
        <w:t>In August 2017, the Company issued a warrant (the “Series F Preferred Stock Warrant”) which entitled the holder to purchase up to 589,970 shares of the Company’s Series F Preferred Stock, or common stock upon conversion of the Company’s preferred stock into common stock, with an exercise price of $8.53 per share. The holders exercised the warrant on June 23, 2020 on a cashless basis,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53" w:lineRule="exact"/>
        <w:rPr>
          <w:sz w:val="20"/>
          <w:szCs w:val="20"/>
          <w:color w:val="auto"/>
        </w:rPr>
      </w:pPr>
    </w:p>
    <w:p>
      <w:pPr>
        <w:ind w:right="120" w:firstLine="761"/>
        <w:spacing w:after="0" w:line="273"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3,019,108 shares of the Company’s common stock, (ii) up to the number of shares representing a 4% annual increase on the first day of each year beginning on January 1, 2022 and ending on January 1, 2030,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As of September 30, 2021, there were 2,597,249 shares available for future issuance under the 2020 Plan.</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0" w:lineRule="exact"/>
        <w:rPr>
          <w:sz w:val="20"/>
          <w:szCs w:val="20"/>
          <w:color w:val="auto"/>
        </w:rPr>
      </w:pPr>
    </w:p>
    <w:p>
      <w:pPr>
        <w:ind w:right="180" w:firstLine="761"/>
        <w:spacing w:after="0" w:line="269" w:lineRule="auto"/>
        <w:rPr>
          <w:sz w:val="20"/>
          <w:szCs w:val="20"/>
          <w:color w:val="auto"/>
        </w:rPr>
      </w:pPr>
      <w:r>
        <w:rPr>
          <w:rFonts w:ascii="Arial" w:cs="Arial" w:eastAsia="Arial" w:hAnsi="Arial"/>
          <w:sz w:val="18"/>
          <w:szCs w:val="18"/>
          <w:color w:val="auto"/>
        </w:rPr>
        <w:t>The Company recognized $0.5 million of stock-based compensation expense related to stock options for the three months ended September 30, 2021 and 2020, and $1.7 million for the nine months ended September 30, 2021 and 2020. As of September 30, 2021 and December 31, 2020, the Company had $3.2 million and $3.5 million, respectively, of unrecognized stock-based compensation expense that is expected to be recognized over a weighted-average period of 1.9 years and 2.2 years,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39"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recognized $1.0 million and $3.7 million of stock-based compensation expense related to RSUs for the three months ended September 30, 2021 and 2020, respectively, and $8.0 million and $7.0 million for the nine months ended September 30, 2021 and 2020, respectively. As of September 30, 2021 and December 31, 2020, the Company had $25.7 million and $15.4 million, respectively, of unrecognized stock-based compensation expense that is expected to be recognized over a weighted-average period of 2.2 years and 1.8 years,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180" w:lineRule="exact"/>
        <w:rPr>
          <w:sz w:val="20"/>
          <w:szCs w:val="20"/>
          <w:color w:val="auto"/>
        </w:rPr>
      </w:pPr>
    </w:p>
    <w:p>
      <w:pPr>
        <w:ind w:right="20" w:firstLine="761"/>
        <w:spacing w:after="0" w:line="268"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31" w:lineRule="exact"/>
        <w:rPr>
          <w:sz w:val="20"/>
          <w:szCs w:val="20"/>
          <w:color w:val="auto"/>
        </w:rPr>
      </w:pPr>
    </w:p>
    <w:p>
      <w:pPr>
        <w:jc w:val="both"/>
        <w:ind w:left="760" w:right="140"/>
        <w:spacing w:after="0" w:line="271"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74" w:lineRule="exact"/>
        <w:rPr>
          <w:sz w:val="20"/>
          <w:szCs w:val="20"/>
          <w:color w:val="auto"/>
        </w:rPr>
      </w:pPr>
    </w:p>
    <w:p>
      <w:pPr>
        <w:ind w:right="920" w:firstLine="761"/>
        <w:spacing w:after="0" w:line="277"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As of September 30, 2021</w:t>
            </w: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872,742</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872,742</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129,980</w:t>
            </w:r>
          </w:p>
        </w:tc>
        <w:tc>
          <w:tcPr>
            <w:tcW w:w="1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129,980</w:t>
            </w:r>
          </w:p>
        </w:tc>
      </w:tr>
      <w:tr>
        <w:trPr>
          <w:trHeight w:val="29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872,742</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129,980</w:t>
            </w: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1,002,722</w:t>
            </w:r>
          </w:p>
        </w:tc>
      </w:tr>
      <w:tr>
        <w:trPr>
          <w:trHeight w:val="440"/>
        </w:trPr>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As of December 31, 2020</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814,681</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814,681</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814,681</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814,681</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-1148080</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-1130935</wp:posOffset>
            </wp:positionV>
            <wp:extent cx="93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-1148080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-1130935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-1130935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-193675</wp:posOffset>
            </wp:positionV>
            <wp:extent cx="939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-193675</wp:posOffset>
            </wp:positionV>
            <wp:extent cx="857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-193675</wp:posOffset>
            </wp:positionV>
            <wp:extent cx="857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25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Money Market Funds</w:t>
      </w:r>
      <w:r>
        <w:rPr>
          <w:rFonts w:ascii="Arial" w:cs="Arial" w:eastAsia="Arial" w:hAnsi="Arial"/>
          <w:sz w:val="18"/>
          <w:szCs w:val="18"/>
          <w:color w:val="auto"/>
        </w:rPr>
        <w:t>: Money market funds primarily consist of investments in highly liquid U.S. treasury securities,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are classified as Level 1. The Company determines the fair value of cash equivalents based on quoted prices in active markets.</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and is classified as Level 2. Commercial paper is issued at a discount to face value and is priced to reflect prevailing market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0" w:lineRule="exact"/>
        <w:rPr>
          <w:sz w:val="20"/>
          <w:szCs w:val="20"/>
          <w:color w:val="auto"/>
        </w:rPr>
      </w:pPr>
    </w:p>
    <w:p>
      <w:pPr>
        <w:ind w:right="60" w:firstLine="749"/>
        <w:spacing w:after="0" w:line="285"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 duration and variable interest rate that approximates prevailing interest rates as of each reporting period. Refer to Note 10 – Long-term debt for further discussion related to the fair value of the Company's convertible debt issuance.</w:t>
      </w:r>
    </w:p>
    <w:p>
      <w:pPr>
        <w:spacing w:after="0" w:line="245"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Assets and liabilities acquired as part of a business combination are recorded at fair value on a nonrecurring basis. Refer to Note 4 – Acquisition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53"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The Company has three reportable segments: Ecommerce, Wholesale, and TDA.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September 30, 2021 and December 31, 2020, long-lived assets were predominantly located in the United States.</w:t>
      </w:r>
    </w:p>
    <w:p>
      <w:pPr>
        <w:spacing w:after="0" w:line="205" w:lineRule="exact"/>
        <w:rPr>
          <w:sz w:val="20"/>
          <w:szCs w:val="20"/>
          <w:color w:val="auto"/>
        </w:rPr>
      </w:pPr>
    </w:p>
    <w:p>
      <w:pPr>
        <w:ind w:right="20" w:firstLine="761"/>
        <w:spacing w:after="0" w:line="266"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Wholesale reportable segment represents sales of used vehicles through wholesale channels. The TDA reportable segment represents retail sales of used vehicles from TDA and fees earned on sales of value-added products associated with those vehicle sales. Revenues within the “All Other” category consist of the CarStory business and vehicle repair services at TDA.</w:t>
      </w: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segments are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7"/>
          </w:tcPr>
          <w:p>
            <w:pPr>
              <w:jc w:val="center"/>
              <w:ind w:right="216"/>
              <w:spacing w:after="0"/>
              <w:rPr>
                <w:sz w:val="20"/>
                <w:szCs w:val="20"/>
                <w:color w:val="auto"/>
              </w:rPr>
            </w:pPr>
            <w:r>
              <w:rPr>
                <w:rFonts w:ascii="Arial" w:cs="Arial" w:eastAsia="Arial" w:hAnsi="Arial"/>
                <w:sz w:val="14"/>
                <w:szCs w:val="14"/>
                <w:b w:val="1"/>
                <w:bCs w:val="1"/>
                <w:color w:val="auto"/>
              </w:rPr>
              <w:t>Three Months Ended September 30, 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5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701,678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131,306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60,582</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3,190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896,756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50,383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2,103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3,805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1,798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58,089</w:t>
            </w:r>
          </w:p>
        </w:tc>
      </w:tr>
      <w:tr>
        <w:trPr>
          <w:trHeight w:val="493"/>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center"/>
              <w:ind w:right="216"/>
              <w:spacing w:after="0"/>
              <w:rPr>
                <w:sz w:val="20"/>
                <w:szCs w:val="20"/>
                <w:color w:val="auto"/>
              </w:rPr>
            </w:pPr>
            <w:r>
              <w:rPr>
                <w:rFonts w:ascii="Arial" w:cs="Arial" w:eastAsia="Arial" w:hAnsi="Arial"/>
                <w:sz w:val="14"/>
                <w:szCs w:val="14"/>
                <w:b w:val="1"/>
                <w:bCs w:val="1"/>
                <w:color w:val="auto"/>
              </w:rPr>
              <w:t>Three Months Ended September 30,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2"/>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line="202" w:lineRule="exact"/>
              <w:rPr>
                <w:sz w:val="20"/>
                <w:szCs w:val="20"/>
                <w:color w:val="auto"/>
              </w:rPr>
            </w:pPr>
            <w:r>
              <w:rPr>
                <w:rFonts w:ascii="Arial" w:cs="Arial" w:eastAsia="Arial" w:hAnsi="Arial"/>
                <w:sz w:val="14"/>
                <w:szCs w:val="14"/>
                <w:b w:val="1"/>
                <w:bCs w:val="1"/>
                <w:color w:val="auto"/>
                <w:w w:val="96"/>
              </w:rPr>
              <w:t xml:space="preserve">All Other </w:t>
            </w:r>
            <w:r>
              <w:rPr>
                <w:rFonts w:ascii="Arial" w:cs="Arial" w:eastAsia="Arial" w:hAnsi="Arial"/>
                <w:sz w:val="19"/>
                <w:szCs w:val="19"/>
                <w:b w:val="1"/>
                <w:bCs w:val="1"/>
                <w:color w:val="auto"/>
                <w:w w:val="96"/>
                <w:vertAlign w:val="superscript"/>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221,761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63,972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36,955</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317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323,005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19,304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3,343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25,445</w:t>
            </w:r>
          </w:p>
        </w:tc>
      </w:tr>
      <w:tr>
        <w:trPr>
          <w:trHeight w:val="493"/>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center"/>
              <w:ind w:right="216"/>
              <w:spacing w:after="0"/>
              <w:rPr>
                <w:sz w:val="20"/>
                <w:szCs w:val="20"/>
                <w:color w:val="auto"/>
              </w:rPr>
            </w:pPr>
            <w:r>
              <w:rPr>
                <w:rFonts w:ascii="Arial" w:cs="Arial" w:eastAsia="Arial" w:hAnsi="Arial"/>
                <w:sz w:val="14"/>
                <w:szCs w:val="14"/>
                <w:b w:val="1"/>
                <w:bCs w:val="1"/>
                <w:color w:val="auto"/>
              </w:rPr>
              <w:t>Nine Months Ended September 30, 2021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5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1,703,649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377,438</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158,928</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9,749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2,249,764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131,859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10,337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5,454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157,393</w:t>
            </w:r>
          </w:p>
        </w:tc>
      </w:tr>
      <w:tr>
        <w:trPr>
          <w:trHeight w:val="493"/>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center"/>
              <w:ind w:right="216"/>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2"/>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Ecommerce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TDA</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line="202" w:lineRule="exact"/>
              <w:rPr>
                <w:sz w:val="20"/>
                <w:szCs w:val="20"/>
                <w:color w:val="auto"/>
              </w:rPr>
            </w:pPr>
            <w:r>
              <w:rPr>
                <w:rFonts w:ascii="Arial" w:cs="Arial" w:eastAsia="Arial" w:hAnsi="Arial"/>
                <w:sz w:val="14"/>
                <w:szCs w:val="14"/>
                <w:b w:val="1"/>
                <w:bCs w:val="1"/>
                <w:color w:val="auto"/>
                <w:w w:val="96"/>
              </w:rPr>
              <w:t xml:space="preserve">All Other </w:t>
            </w:r>
            <w:r>
              <w:rPr>
                <w:rFonts w:ascii="Arial" w:cs="Arial" w:eastAsia="Arial" w:hAnsi="Arial"/>
                <w:sz w:val="19"/>
                <w:szCs w:val="19"/>
                <w:b w:val="1"/>
                <w:bCs w:val="1"/>
                <w:color w:val="auto"/>
                <w:w w:val="96"/>
                <w:vertAlign w:val="superscript"/>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630,501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170,469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149,858</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1,043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951,871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40,789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1,506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8,799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345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51,439</w:t>
            </w:r>
          </w:p>
        </w:tc>
      </w:tr>
    </w:tbl>
    <w:p>
      <w:pPr>
        <w:spacing w:after="0" w:line="126" w:lineRule="exact"/>
        <w:rPr>
          <w:sz w:val="20"/>
          <w:szCs w:val="20"/>
          <w:color w:val="auto"/>
        </w:rPr>
      </w:pPr>
    </w:p>
    <w:p>
      <w:pPr>
        <w:ind w:left="1080" w:right="140" w:hanging="330"/>
        <w:spacing w:after="0" w:line="219" w:lineRule="auto"/>
        <w:tabs>
          <w:tab w:leader="none" w:pos="108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Company reclassified other revenue and other gross profit related to the vehicle repair service at TDA from the TDA reportable segment to the ”All Other” category to conform to current year presentation.</w:t>
      </w:r>
    </w:p>
    <w:p>
      <w:pPr>
        <w:spacing w:after="0" w:line="229" w:lineRule="exact"/>
        <w:rPr>
          <w:sz w:val="20"/>
          <w:szCs w:val="20"/>
          <w:color w:val="auto"/>
        </w:rPr>
      </w:pPr>
    </w:p>
    <w:p>
      <w:pPr>
        <w:ind w:right="380" w:firstLine="764"/>
        <w:spacing w:after="0" w:line="277" w:lineRule="auto"/>
        <w:rPr>
          <w:sz w:val="20"/>
          <w:szCs w:val="20"/>
          <w:color w:val="auto"/>
        </w:rPr>
      </w:pPr>
      <w:r>
        <w:rPr>
          <w:rFonts w:ascii="Arial" w:cs="Arial" w:eastAsia="Arial" w:hAnsi="Arial"/>
          <w:sz w:val="18"/>
          <w:szCs w:val="18"/>
          <w:color w:val="auto"/>
        </w:rPr>
        <w:t>Reconciliations of total reportable segment revenue and gross profit to consolidated total revenue and consolidated loss before provision for income taxes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5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893,566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322,688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2,240,015</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950,828</w:t>
            </w:r>
          </w:p>
        </w:tc>
      </w:tr>
      <w:tr>
        <w:trPr>
          <w:trHeight w:val="257"/>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9,749</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1,043</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896,756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323,005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2,249,764</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951,871</w:t>
            </w:r>
          </w:p>
        </w:tc>
      </w:tr>
      <w:tr>
        <w:trPr>
          <w:trHeight w:val="20"/>
        </w:trPr>
        <w:tc>
          <w:tcPr>
            <w:tcW w:w="4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loss before provision for</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52"/>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56,291</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25,322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151,939</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51,094</w:t>
            </w:r>
          </w:p>
        </w:tc>
      </w:tr>
      <w:tr>
        <w:trPr>
          <w:trHeight w:val="26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345</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148,718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61,127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381,482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167,418</w:t>
            </w:r>
          </w:p>
        </w:tc>
      </w:tr>
      <w:tr>
        <w:trPr>
          <w:trHeight w:val="26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3,376</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3,239</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7,028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2,259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14,720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6,382</w:t>
            </w:r>
          </w:p>
        </w:tc>
      </w:tr>
      <w:tr>
        <w:trPr>
          <w:trHeight w:val="26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(2,930 )</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(1,289 )</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(7,288 )</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(3,960 )</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Revaluation of preferred stock warrant</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20,470</w:t>
            </w:r>
          </w:p>
        </w:tc>
      </w:tr>
      <w:tr>
        <w:trPr>
          <w:trHeight w:val="257"/>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(111 )</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loss before provision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(98,093 )</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(37,817 )</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(240,739 )</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(141,999 )</w:t>
            </w:r>
          </w:p>
        </w:tc>
      </w:tr>
      <w:tr>
        <w:trPr>
          <w:trHeight w:val="20"/>
        </w:trPr>
        <w:tc>
          <w:tcPr>
            <w:tcW w:w="4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-2002155</wp:posOffset>
            </wp:positionV>
            <wp:extent cx="768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-2002155</wp:posOffset>
            </wp:positionV>
            <wp:extent cx="8572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-2002155</wp:posOffset>
            </wp:positionV>
            <wp:extent cx="768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-193675</wp:posOffset>
            </wp:positionV>
            <wp:extent cx="768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-193675</wp:posOffset>
            </wp:positionV>
            <wp:extent cx="857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-193675</wp:posOffset>
            </wp:positionV>
            <wp:extent cx="768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382" w:lineRule="exact"/>
        <w:rPr>
          <w:sz w:val="20"/>
          <w:szCs w:val="20"/>
          <w:color w:val="auto"/>
        </w:rPr>
      </w:pPr>
    </w:p>
    <w:p>
      <w:pPr>
        <w:ind w:right="20" w:firstLine="761"/>
        <w:spacing w:after="0" w:line="268"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218" w:lineRule="exact"/>
        <w:rPr>
          <w:sz w:val="20"/>
          <w:szCs w:val="20"/>
          <w:color w:val="auto"/>
        </w:rPr>
      </w:pPr>
    </w:p>
    <w:p>
      <w:pPr>
        <w:ind w:right="740" w:firstLine="761"/>
        <w:spacing w:after="0" w:line="341" w:lineRule="auto"/>
        <w:rPr>
          <w:sz w:val="20"/>
          <w:szCs w:val="20"/>
          <w:color w:val="auto"/>
        </w:rPr>
      </w:pPr>
      <w:r>
        <w:rPr>
          <w:rFonts w:ascii="Arial" w:cs="Arial" w:eastAsia="Arial" w:hAnsi="Arial"/>
          <w:sz w:val="17"/>
          <w:szCs w:val="17"/>
          <w:color w:val="auto"/>
        </w:rPr>
        <w:t>The Company’s effective tax rate for the three months ended September 30, 2021 and 2020 was (0.03)% and (0.09)%, respectively. The effective tax rate for the nine months ended September 30, 2021 and 2020 was (0.16)% and (0.10)%, respectively.</w:t>
      </w:r>
    </w:p>
    <w:p>
      <w:pPr>
        <w:spacing w:after="0" w:line="214" w:lineRule="exact"/>
        <w:rPr>
          <w:sz w:val="20"/>
          <w:szCs w:val="20"/>
          <w:color w:val="auto"/>
        </w:rPr>
      </w:pPr>
    </w:p>
    <w:p>
      <w:pPr>
        <w:ind w:right="20" w:firstLine="764"/>
        <w:spacing w:after="0" w:line="277"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251" w:lineRule="exact"/>
        <w:rPr>
          <w:sz w:val="20"/>
          <w:szCs w:val="20"/>
          <w:color w:val="auto"/>
        </w:rPr>
      </w:pPr>
    </w:p>
    <w:p>
      <w:pPr>
        <w:ind w:right="60" w:firstLine="764"/>
        <w:spacing w:after="0" w:line="268" w:lineRule="auto"/>
        <w:rPr>
          <w:sz w:val="20"/>
          <w:szCs w:val="20"/>
          <w:color w:val="auto"/>
        </w:rPr>
      </w:pPr>
      <w:r>
        <w:rPr>
          <w:rFonts w:ascii="Arial" w:cs="Arial" w:eastAsia="Arial" w:hAnsi="Arial"/>
          <w:sz w:val="18"/>
          <w:szCs w:val="18"/>
          <w:color w:val="auto"/>
        </w:rPr>
        <w:t>Under Sections 382 and 383 of the Internal Revenue Code of 1986, as amended, if a corporation undergoes an “ownership change,” the corporation’s ability to use its pre-change net operating loss carryforwards and other pre-change tax attributes, such as foreign tax and research tax credits, to offset its post-change income and taxes may be limited. An “ownership change” generally occurs if there is a cumulative change exceeding 50 percentage points over a rolling-three-year period in ownership by “5% shareholders”. Similar rules may apply under state tax laws</w:t>
      </w:r>
    </w:p>
    <w:p>
      <w:pPr>
        <w:spacing w:after="0" w:line="208" w:lineRule="exact"/>
        <w:rPr>
          <w:sz w:val="20"/>
          <w:szCs w:val="20"/>
          <w:color w:val="auto"/>
        </w:rPr>
      </w:pPr>
    </w:p>
    <w:p>
      <w:pPr>
        <w:ind w:right="20" w:firstLine="761"/>
        <w:spacing w:after="0" w:line="269" w:lineRule="auto"/>
        <w:rPr>
          <w:sz w:val="20"/>
          <w:szCs w:val="20"/>
          <w:color w:val="auto"/>
        </w:rPr>
      </w:pPr>
      <w:r>
        <w:rPr>
          <w:rFonts w:ascii="Arial" w:cs="Arial" w:eastAsia="Arial" w:hAnsi="Arial"/>
          <w:sz w:val="18"/>
          <w:szCs w:val="18"/>
          <w:color w:val="auto"/>
        </w:rPr>
        <w:t>The Company experienced an ownership change in April 2021 and as a result, the utilization of the Company’s net operating loss, capital loss and U.S. credit carryforwards to offset taxable income are subject to an annual limitation, pursuant to Internal Revenue Code (IRC) Sections 382 and 383. The Company is currently evaluating the impact of the limitation on its ability to utilize tax attributes in the future. The Company currently has a full valuation allowance against all its tax attributes.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September 30, 2021 and December 31, 2020.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(98,122 )</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(142,137 )</w:t>
            </w:r>
          </w:p>
        </w:tc>
        <w:tc>
          <w:tcPr>
            <w:tcW w:w="0" w:type="dxa"/>
            <w:vAlign w:val="bottom"/>
          </w:tcPr>
          <w:p>
            <w:pPr>
              <w:spacing w:after="0"/>
              <w:rPr>
                <w:sz w:val="1"/>
                <w:szCs w:val="1"/>
                <w:color w:val="auto"/>
              </w:rPr>
            </w:pPr>
          </w:p>
        </w:tc>
      </w:tr>
      <w:tr>
        <w:trPr>
          <w:trHeight w:val="243"/>
        </w:trPr>
        <w:tc>
          <w:tcPr>
            <w:tcW w:w="5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compute net loss per share attributable to common</w:t>
            </w:r>
          </w:p>
        </w:tc>
        <w:tc>
          <w:tcPr>
            <w:tcW w:w="220" w:type="dxa"/>
            <w:vAlign w:val="bottom"/>
          </w:tcPr>
          <w:p>
            <w:pPr>
              <w:spacing w:after="0"/>
              <w:rPr>
                <w:sz w:val="19"/>
                <w:szCs w:val="19"/>
                <w:color w:val="auto"/>
              </w:rPr>
            </w:pPr>
          </w:p>
        </w:tc>
        <w:tc>
          <w:tcPr>
            <w:tcW w:w="1240" w:type="dxa"/>
            <w:vAlign w:val="bottom"/>
            <w:vMerge w:val="restart"/>
          </w:tcPr>
          <w:p>
            <w:pPr>
              <w:jc w:val="right"/>
              <w:ind w:right="38"/>
              <w:spacing w:after="0"/>
              <w:rPr>
                <w:sz w:val="20"/>
                <w:szCs w:val="20"/>
                <w:color w:val="auto"/>
              </w:rPr>
            </w:pPr>
            <w:r>
              <w:rPr>
                <w:rFonts w:ascii="Arial" w:cs="Arial" w:eastAsia="Arial" w:hAnsi="Arial"/>
                <w:sz w:val="18"/>
                <w:szCs w:val="18"/>
                <w:color w:val="auto"/>
              </w:rPr>
              <w:t>136,766,015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8"/>
                <w:szCs w:val="18"/>
                <w:color w:val="auto"/>
              </w:rPr>
              <w:t>121,123,472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8"/>
                <w:szCs w:val="18"/>
                <w:color w:val="auto"/>
              </w:rPr>
              <w:t>136,256,901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53,731,475</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(0.72 )</w:t>
            </w:r>
          </w:p>
        </w:tc>
        <w:tc>
          <w:tcPr>
            <w:tcW w:w="3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(0.31 )</w:t>
            </w:r>
          </w:p>
        </w:tc>
        <w:tc>
          <w:tcPr>
            <w:tcW w:w="3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52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20" w:type="dxa"/>
            <w:vAlign w:val="bottom"/>
            <w:vMerge w:val="continue"/>
            <w:shd w:val="clear" w:color="auto" w:fill="CFF0FC"/>
          </w:tcPr>
          <w:p>
            <w:pPr>
              <w:spacing w:after="0"/>
              <w:rPr>
                <w:sz w:val="21"/>
                <w:szCs w:val="21"/>
                <w:color w:val="auto"/>
              </w:rPr>
            </w:pPr>
          </w:p>
        </w:tc>
        <w:tc>
          <w:tcPr>
            <w:tcW w:w="1240" w:type="dxa"/>
            <w:vAlign w:val="bottom"/>
            <w:vMerge w:val="continue"/>
            <w:shd w:val="clear" w:color="auto" w:fill="CFF0FC"/>
          </w:tcPr>
          <w:p>
            <w:pPr>
              <w:spacing w:after="0"/>
              <w:rPr>
                <w:sz w:val="21"/>
                <w:szCs w:val="21"/>
                <w:color w:val="auto"/>
              </w:rPr>
            </w:pPr>
          </w:p>
        </w:tc>
        <w:tc>
          <w:tcPr>
            <w:tcW w:w="340" w:type="dxa"/>
            <w:vAlign w:val="bottom"/>
            <w:gridSpan w:val="2"/>
            <w:vMerge w:val="continue"/>
            <w:shd w:val="clear" w:color="auto" w:fill="CFF0FC"/>
          </w:tcPr>
          <w:p>
            <w:pPr>
              <w:spacing w:after="0"/>
              <w:rPr>
                <w:sz w:val="21"/>
                <w:szCs w:val="21"/>
                <w:color w:val="auto"/>
              </w:rPr>
            </w:pPr>
          </w:p>
        </w:tc>
        <w:tc>
          <w:tcPr>
            <w:tcW w:w="1220" w:type="dxa"/>
            <w:vAlign w:val="bottom"/>
            <w:vMerge w:val="continue"/>
            <w:shd w:val="clear" w:color="auto" w:fill="CFF0FC"/>
          </w:tcPr>
          <w:p>
            <w:pPr>
              <w:spacing w:after="0"/>
              <w:rPr>
                <w:sz w:val="21"/>
                <w:szCs w:val="21"/>
                <w:color w:val="auto"/>
              </w:rPr>
            </w:pPr>
          </w:p>
        </w:tc>
        <w:tc>
          <w:tcPr>
            <w:tcW w:w="380" w:type="dxa"/>
            <w:vAlign w:val="bottom"/>
            <w:gridSpan w:val="2"/>
            <w:vMerge w:val="continue"/>
            <w:shd w:val="clear" w:color="auto" w:fill="CFF0FC"/>
          </w:tcPr>
          <w:p>
            <w:pPr>
              <w:spacing w:after="0"/>
              <w:rPr>
                <w:sz w:val="21"/>
                <w:szCs w:val="21"/>
                <w:color w:val="auto"/>
              </w:rPr>
            </w:pPr>
          </w:p>
        </w:tc>
        <w:tc>
          <w:tcPr>
            <w:tcW w:w="1260" w:type="dxa"/>
            <w:vAlign w:val="bottom"/>
            <w:vMerge w:val="continue"/>
            <w:shd w:val="clear" w:color="auto" w:fill="CFF0FC"/>
          </w:tcPr>
          <w:p>
            <w:pPr>
              <w:spacing w:after="0"/>
              <w:rPr>
                <w:sz w:val="21"/>
                <w:szCs w:val="21"/>
                <w:color w:val="auto"/>
              </w:rPr>
            </w:pPr>
          </w:p>
        </w:tc>
        <w:tc>
          <w:tcPr>
            <w:tcW w:w="520" w:type="dxa"/>
            <w:vAlign w:val="bottom"/>
            <w:gridSpan w:val="2"/>
            <w:vMerge w:val="continue"/>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50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-1144905</wp:posOffset>
            </wp:positionV>
            <wp:extent cx="774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-1144905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-1144905</wp:posOffset>
            </wp:positionV>
            <wp:extent cx="77470" cy="459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45974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-401955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-384810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-401955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-384810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-401955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-384810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p>
      <w:pPr>
        <w:ind w:right="100" w:firstLine="764"/>
        <w:spacing w:after="0" w:line="27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28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As of September 30,</w:t>
            </w:r>
          </w:p>
        </w:tc>
        <w:tc>
          <w:tcPr>
            <w:tcW w:w="1320" w:type="dxa"/>
            <w:vAlign w:val="bottom"/>
            <w:tcBorders>
              <w:bottom w:val="single" w:sz="8" w:color="auto"/>
            </w:tcBorders>
          </w:tcPr>
          <w:p>
            <w:pPr>
              <w:spacing w:after="0"/>
              <w:rPr>
                <w:sz w:val="17"/>
                <w:szCs w:val="17"/>
                <w:color w:val="auto"/>
              </w:rPr>
            </w:pPr>
          </w:p>
        </w:tc>
      </w:tr>
      <w:tr>
        <w:trPr>
          <w:trHeight w:val="196"/>
        </w:trPr>
        <w:tc>
          <w:tcPr>
            <w:tcW w:w="7060" w:type="dxa"/>
            <w:vAlign w:val="bottom"/>
          </w:tcPr>
          <w:p>
            <w:pPr>
              <w:spacing w:after="0"/>
              <w:rPr>
                <w:sz w:val="17"/>
                <w:szCs w:val="17"/>
                <w:color w:val="auto"/>
              </w:rPr>
            </w:pPr>
          </w:p>
        </w:tc>
        <w:tc>
          <w:tcPr>
            <w:tcW w:w="202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5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2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11,158,722</w:t>
            </w: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020" w:type="dxa"/>
            <w:vAlign w:val="bottom"/>
          </w:tcPr>
          <w:p>
            <w:pPr>
              <w:jc w:val="right"/>
              <w:ind w:right="55"/>
              <w:spacing w:after="0"/>
              <w:rPr>
                <w:sz w:val="20"/>
                <w:szCs w:val="20"/>
                <w:color w:val="auto"/>
              </w:rPr>
            </w:pPr>
            <w:r>
              <w:rPr>
                <w:rFonts w:ascii="Arial" w:cs="Arial" w:eastAsia="Arial" w:hAnsi="Arial"/>
                <w:sz w:val="18"/>
                <w:szCs w:val="18"/>
                <w:color w:val="auto"/>
              </w:rPr>
              <w:t>4,380,838</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6,251,226</w:t>
            </w:r>
          </w:p>
        </w:tc>
      </w:tr>
      <w:tr>
        <w:trPr>
          <w:trHeight w:val="26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2860" w:type="dxa"/>
            <w:vAlign w:val="bottom"/>
            <w:gridSpan w:val="3"/>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3,249,382</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1,924,161</w:t>
            </w: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1,838,170</w:t>
            </w:r>
          </w:p>
        </w:tc>
      </w:tr>
      <w:tr>
        <w:trPr>
          <w:trHeight w:val="290"/>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17,463,721</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11,338,778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53" w:lineRule="exact"/>
        <w:rPr>
          <w:sz w:val="20"/>
          <w:szCs w:val="20"/>
          <w:color w:val="auto"/>
        </w:rPr>
      </w:pPr>
    </w:p>
    <w:p>
      <w:pPr>
        <w:ind w:right="140" w:firstLine="761"/>
        <w:spacing w:after="0" w:line="268"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 ended December 31, 2020, payments of the annual fees were waived. In May 2020, the MSA was terminated.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53" w:lineRule="exact"/>
        <w:rPr>
          <w:sz w:val="20"/>
          <w:szCs w:val="20"/>
          <w:color w:val="auto"/>
        </w:rPr>
      </w:pPr>
    </w:p>
    <w:p>
      <w:pPr>
        <w:ind w:right="100" w:firstLine="749"/>
        <w:spacing w:after="0" w:line="268" w:lineRule="auto"/>
        <w:rPr>
          <w:sz w:val="20"/>
          <w:szCs w:val="20"/>
          <w:color w:val="auto"/>
        </w:rPr>
      </w:pPr>
      <w:r>
        <w:rPr>
          <w:rFonts w:ascii="Arial" w:cs="Arial" w:eastAsia="Arial" w:hAnsi="Arial"/>
          <w:sz w:val="18"/>
          <w:szCs w:val="18"/>
          <w:color w:val="auto"/>
        </w:rPr>
        <w:t>In January 2019, the Company entered into a vendor agreement (“Vendor Agreement”) with AutoNation, Inc. (“AutoNation”), an affiliate of Auto Holdings, Inc., then a holder of more than 5% of the Company’s outstanding capital stock, pursuant to which AutoNation agreed to provide certain reconditioning and repair services for vehicles owned by the Company. Amounts due under the Vendor Agreement for parts supplied and services performed by AutoNation became due and payable as they accrued. The Vendor Agreement was terminated in February 2020.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53" w:lineRule="exact"/>
        <w:rPr>
          <w:sz w:val="20"/>
          <w:szCs w:val="20"/>
          <w:color w:val="auto"/>
        </w:rPr>
      </w:pPr>
    </w:p>
    <w:p>
      <w:pPr>
        <w:ind w:right="400" w:firstLine="761"/>
        <w:spacing w:after="0" w:line="269" w:lineRule="auto"/>
        <w:rPr>
          <w:sz w:val="20"/>
          <w:szCs w:val="20"/>
          <w:color w:val="auto"/>
        </w:rPr>
      </w:pPr>
      <w:r>
        <w:rPr>
          <w:rFonts w:ascii="Arial" w:cs="Arial" w:eastAsia="Arial" w:hAnsi="Arial"/>
          <w:sz w:val="18"/>
          <w:szCs w:val="18"/>
          <w:color w:val="auto"/>
        </w:rPr>
        <w:t>On October 11, 2021, the Company entered into a definitive agreement to acquire 100% of Unitas Holdings Corp., the parent corporation of United Auto Credit Corporation ("UACC"), a leader in automotive finance. Following the acquisition, UACC will become an indirect wholly-owned subsidiary of Vroom. This acquisition is expected to accelerate Vroom’s objective to establish captive financing capabilities. UACC will also remain committed to maintaining and expanding its network of dealership customers.</w:t>
      </w:r>
    </w:p>
    <w:p>
      <w:pPr>
        <w:spacing w:after="0" w:line="98" w:lineRule="exact"/>
        <w:rPr>
          <w:sz w:val="20"/>
          <w:szCs w:val="20"/>
          <w:color w:val="auto"/>
        </w:rPr>
      </w:pPr>
    </w:p>
    <w:p>
      <w:pPr>
        <w:jc w:val="both"/>
        <w:ind w:right="120" w:firstLine="761"/>
        <w:spacing w:after="0" w:line="281" w:lineRule="auto"/>
        <w:rPr>
          <w:sz w:val="20"/>
          <w:szCs w:val="20"/>
          <w:color w:val="auto"/>
        </w:rPr>
      </w:pPr>
      <w:r>
        <w:rPr>
          <w:rFonts w:ascii="Arial" w:cs="Arial" w:eastAsia="Arial" w:hAnsi="Arial"/>
          <w:sz w:val="18"/>
          <w:szCs w:val="18"/>
          <w:color w:val="auto"/>
        </w:rPr>
        <w:t>The purchase price will be approximately $300.0 million, subject to certain customary purchase price adjustments, and will be paid using cash on hand. The transaction is expected to close either late in the fourth quarter of 2021 or early in the first quarter of 2022, subject to receipt of required regulatory approvals and satisfaction of customary closing conditions.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2020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315"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251" w:lineRule="exact"/>
        <w:rPr>
          <w:sz w:val="20"/>
          <w:szCs w:val="20"/>
          <w:color w:val="auto"/>
        </w:rPr>
      </w:pPr>
    </w:p>
    <w:p>
      <w:pPr>
        <w:ind w:right="420" w:firstLine="761"/>
        <w:spacing w:after="0" w:line="271"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235" w:lineRule="exact"/>
        <w:rPr>
          <w:sz w:val="20"/>
          <w:szCs w:val="20"/>
          <w:color w:val="auto"/>
        </w:rPr>
      </w:pPr>
    </w:p>
    <w:p>
      <w:pPr>
        <w:ind w:left="980"/>
        <w:spacing w:after="0" w:line="273" w:lineRule="auto"/>
        <w:rPr>
          <w:sz w:val="20"/>
          <w:szCs w:val="20"/>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234" w:lineRule="exact"/>
        <w:rPr>
          <w:sz w:val="20"/>
          <w:szCs w:val="20"/>
          <w:color w:val="auto"/>
        </w:rPr>
      </w:pPr>
    </w:p>
    <w:p>
      <w:pPr>
        <w:ind w:left="980" w:right="20"/>
        <w:spacing w:after="0" w:line="272" w:lineRule="auto"/>
        <w:rPr>
          <w:sz w:val="20"/>
          <w:szCs w:val="20"/>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have expanded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234" w:lineRule="exact"/>
        <w:rPr>
          <w:sz w:val="20"/>
          <w:szCs w:val="20"/>
          <w:color w:val="auto"/>
        </w:rPr>
      </w:pPr>
    </w:p>
    <w:p>
      <w:pPr>
        <w:ind w:left="980" w:right="120"/>
        <w:spacing w:after="0" w:line="273"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56" w:lineRule="exact"/>
        <w:rPr>
          <w:sz w:val="20"/>
          <w:szCs w:val="20"/>
          <w:color w:val="auto"/>
        </w:rPr>
      </w:pPr>
    </w:p>
    <w:p>
      <w:pPr>
        <w:ind w:right="100" w:firstLine="761"/>
        <w:spacing w:after="0" w:line="266" w:lineRule="auto"/>
        <w:rPr>
          <w:sz w:val="20"/>
          <w:szCs w:val="20"/>
          <w:color w:val="auto"/>
        </w:rPr>
      </w:pPr>
      <w:r>
        <w:rPr>
          <w:rFonts w:ascii="Arial" w:cs="Arial" w:eastAsia="Arial" w:hAnsi="Arial"/>
          <w:sz w:val="18"/>
          <w:szCs w:val="18"/>
          <w:color w:val="auto"/>
        </w:rPr>
        <w:t>Based on data from Cox Automotive, there were an estimated 37.2 million used vehicle transactions in 2020. The U.S. used automotive market is also highly fragmented, with over 42,000 dealers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Model</w:t>
      </w:r>
    </w:p>
    <w:p>
      <w:pPr>
        <w:spacing w:after="0" w:line="315" w:lineRule="exact"/>
        <w:rPr>
          <w:sz w:val="20"/>
          <w:szCs w:val="20"/>
          <w:color w:val="auto"/>
        </w:rPr>
      </w:pPr>
    </w:p>
    <w:p>
      <w:pPr>
        <w:ind w:right="60" w:firstLine="761"/>
        <w:spacing w:after="0" w:line="268" w:lineRule="auto"/>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a licensed dealer. As the largest segment in our business, Ecommerce revenue grew 216.4% from the three months ended September 30, 2020 to the three months ended September 30, 2021 and 170.2% from the nine months ended September 30, 2020 to the nine months ended September 30, 2021, and we expect Ecommerce to continue to outgrow our other segments as it is the core focus of our growth strategy.</w:t>
      </w:r>
    </w:p>
    <w:p>
      <w:pPr>
        <w:spacing w:after="0" w:line="262" w:lineRule="exact"/>
        <w:rPr>
          <w:sz w:val="20"/>
          <w:szCs w:val="20"/>
          <w:color w:val="auto"/>
        </w:rPr>
      </w:pPr>
    </w:p>
    <w:p>
      <w:pPr>
        <w:jc w:val="both"/>
        <w:ind w:right="180" w:firstLine="761"/>
        <w:spacing w:after="0" w:line="271"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257" w:lineRule="exact"/>
        <w:rPr>
          <w:sz w:val="20"/>
          <w:szCs w:val="20"/>
          <w:color w:val="auto"/>
        </w:rPr>
      </w:pPr>
    </w:p>
    <w:p>
      <w:pPr>
        <w:jc w:val="both"/>
        <w:ind w:right="280" w:firstLine="761"/>
        <w:spacing w:after="0" w:line="271" w:lineRule="auto"/>
        <w:rPr>
          <w:sz w:val="20"/>
          <w:szCs w:val="20"/>
          <w:color w:val="auto"/>
        </w:rPr>
      </w:pPr>
      <w:r>
        <w:rPr>
          <w:rFonts w:ascii="Arial" w:cs="Arial" w:eastAsia="Arial" w:hAnsi="Arial"/>
          <w:sz w:val="18"/>
          <w:szCs w:val="18"/>
          <w:color w:val="auto"/>
        </w:rPr>
        <w:t>Our Ecommerce, Wholesale and TDA segments represented 78.2%, 14.6%, and 6.8%, respectively, of our total revenue for the three months ended September 30, 2021 and represented 75.7%, 16.8%, and 7.1%, respectively, of our total revenue for the nine months ended September 30, 2021.</w:t>
      </w:r>
    </w:p>
    <w:p>
      <w:pPr>
        <w:spacing w:after="0" w:line="257" w:lineRule="exact"/>
        <w:rPr>
          <w:sz w:val="20"/>
          <w:szCs w:val="20"/>
          <w:color w:val="auto"/>
        </w:rPr>
      </w:pPr>
    </w:p>
    <w:p>
      <w:pPr>
        <w:ind w:right="120" w:firstLine="761"/>
        <w:spacing w:after="0" w:line="287" w:lineRule="auto"/>
        <w:rPr>
          <w:sz w:val="20"/>
          <w:szCs w:val="20"/>
          <w:color w:val="auto"/>
        </w:rPr>
      </w:pPr>
      <w:r>
        <w:rPr>
          <w:rFonts w:ascii="Arial" w:cs="Arial" w:eastAsia="Arial" w:hAnsi="Arial"/>
          <w:sz w:val="17"/>
          <w:szCs w:val="17"/>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finance and protection products sold as part of a vehicle sale. Because we are paid fees on the value-added products we sell, our gross profit on such products is equal to the revenue we generate. See “—Key Operating and Financial Metrics.”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314960</wp:posOffset>
            </wp:positionV>
            <wp:extent cx="5271770" cy="2374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717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761"/>
        <w:spacing w:after="0" w:line="266"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Currently, we generate additional revenue streams without directly underwriting vehicle financing or protection products; however, our planned acquisition of United Auto Credit Corporation ("UACC") will establish captive financing capabilities and a platform that brings with it non-prime financing expertise, as well as extensive application processing, underwriting, securitization, and servicing capabilities. As we scale, we expect to benefit from efficiencies and operating leverage across our business, including our marketing and technology investments, and our inventory procurement, logistics, reconditioning and sales processes.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315" w:lineRule="exact"/>
        <w:rPr>
          <w:sz w:val="20"/>
          <w:szCs w:val="20"/>
          <w:color w:val="auto"/>
        </w:rPr>
      </w:pPr>
    </w:p>
    <w:p>
      <w:pPr>
        <w:ind w:firstLine="764"/>
        <w:spacing w:after="0" w:line="267" w:lineRule="auto"/>
        <w:rPr>
          <w:sz w:val="20"/>
          <w:szCs w:val="20"/>
          <w:color w:val="auto"/>
        </w:rPr>
      </w:pPr>
      <w:r>
        <w:rPr>
          <w:rFonts w:ascii="Arial" w:cs="Arial" w:eastAsia="Arial" w:hAnsi="Arial"/>
          <w:sz w:val="18"/>
          <w:szCs w:val="18"/>
          <w:color w:val="auto"/>
        </w:rPr>
        <w:t>We source our vehicle inventory from a variety of channels, including consumers, auctions,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which we believe has been enhanced by the acquisition of CarStory and integration of its advanced data analytics. As we scale, we expect to continue to leverage the data at our disposal to optimize and enhance the volume and selection of vehicles in our inventory and, in turn, drive revenue growth and profitability. We are also exploring and testing third-party inventory strategies, which offers the possibility of expanding our sourcing channels through third-party sellers while offering us attractive revenue models in an asset light, debt free structure. See “— Other Key Factors and Trends Affecting our Operating Results—Ability to utilize data science to drive revenue growth by cost effectively increasing the volume and selection of vehicles in our inventory.”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315" w:lineRule="exact"/>
        <w:rPr>
          <w:sz w:val="20"/>
          <w:szCs w:val="20"/>
          <w:color w:val="auto"/>
        </w:rPr>
      </w:pPr>
    </w:p>
    <w:p>
      <w:pPr>
        <w:ind w:firstLine="761"/>
        <w:spacing w:after="0" w:line="267"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and we intend to continue to expand our network of third-party and Vroom owned VRCs. Utilizing this hybrid approach, we have increased our total reconditioning capacity to approximately 3,200 units per week as of September 30, 2021, with approximately three-fourths from our 29 third-party VRCs. As we are increasing the number of vehicles in our inventory and expanding our reconditioning capacity, we expect that reconditioning costs and inbound shipping costs per unit will continue to decrease as we benefit from economies of scale and operating leverage in reconditioning costs. See “—Other Key Factors and Trends Affecting our Operating Results—Ability to expand and optimize our reconditioning capacity to satisfy increasing demand.”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74" w:lineRule="exact"/>
        <w:rPr>
          <w:sz w:val="20"/>
          <w:szCs w:val="20"/>
          <w:color w:val="auto"/>
        </w:rPr>
      </w:pPr>
    </w:p>
    <w:p>
      <w:pPr>
        <w:ind w:right="40" w:firstLine="761"/>
        <w:spacing w:after="0" w:line="266"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Since the start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have been accelerating our strategy to optimize our hybrid approach by expanding our proprietary logistics network. Initially we prioritized investment in our last mile delivery operations where we can have the greatest impact on the customer experience. We also have invested in short-haul vehicles to make regional deliveries from our last mile hubs, and are investing in line-haul vehicles for hub-to-hub shipments. Consistent with our hybrid approach, as we scale our business, we continue to strategically combine the operation of our expanded proprietary fleet with the use of third-party carriers, which we expect will enable us to both accommodate our growth and provide the highest level of customer service. See “—Other Key Factors and Trends Affecting our Operating Results—Ability to expand and develop our logistics network.”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315" w:lineRule="exact"/>
        <w:rPr>
          <w:sz w:val="20"/>
          <w:szCs w:val="20"/>
          <w:color w:val="auto"/>
        </w:rPr>
      </w:pPr>
    </w:p>
    <w:p>
      <w:pPr>
        <w:ind w:right="20" w:firstLine="761"/>
        <w:spacing w:after="0" w:line="26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We entered into a definitive agreement to acquire UACC, which we expect to accelerate our strategic objective to establish captive financing capabilities to support sales growth, improve unit economics and create long-term value for our shareholders. See “—Other Key Factors and Trends Affecting our Operating Results—Ability to increase and better monetize value-added products.”</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Segments</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271" w:lineRule="exact"/>
        <w:rPr>
          <w:sz w:val="20"/>
          <w:szCs w:val="20"/>
          <w:color w:val="auto"/>
        </w:rPr>
      </w:pPr>
    </w:p>
    <w:p>
      <w:pPr>
        <w:ind w:left="980" w:right="260"/>
        <w:spacing w:after="0" w:line="284" w:lineRule="auto"/>
        <w:rPr>
          <w:sz w:val="20"/>
          <w:szCs w:val="20"/>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(78.2% and 75.7% of total revenue for the three and nine months ended September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Ecommerce segment represents retail sales of used vehicles through our ecommerce platform and fees earned on sales of value-added products associated with those vehicle sales.</w:t>
      </w:r>
    </w:p>
    <w:p>
      <w:pPr>
        <w:spacing w:after="0" w:line="224" w:lineRule="exact"/>
        <w:rPr>
          <w:sz w:val="20"/>
          <w:szCs w:val="20"/>
          <w:color w:val="auto"/>
        </w:rPr>
      </w:pPr>
    </w:p>
    <w:p>
      <w:pPr>
        <w:ind w:left="980" w:right="380"/>
        <w:spacing w:after="0" w:line="303" w:lineRule="auto"/>
        <w:rPr>
          <w:sz w:val="20"/>
          <w:szCs w:val="20"/>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(14.6% and 16.8% of total revenue for the three and nine months ended September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segment represents sales of used vehicles through wholesale channels.</w:t>
      </w:r>
    </w:p>
    <w:p>
      <w:pPr>
        <w:spacing w:after="0" w:line="206" w:lineRule="exact"/>
        <w:rPr>
          <w:sz w:val="20"/>
          <w:szCs w:val="20"/>
          <w:color w:val="auto"/>
        </w:rPr>
      </w:pPr>
    </w:p>
    <w:p>
      <w:pPr>
        <w:ind w:left="980" w:right="260"/>
        <w:spacing w:after="0" w:line="284" w:lineRule="auto"/>
        <w:rPr>
          <w:sz w:val="20"/>
          <w:szCs w:val="20"/>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(6.8% and 7.1% of total revenue for the three and nine months ended September 30, 2021, respectively): The TDA</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from TDA and fees earned on sales of value-added products associated with those vehicle sales.</w:t>
      </w:r>
    </w:p>
    <w:p>
      <w:pPr>
        <w:spacing w:after="0" w:line="246"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and nine months ended September 30,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96"/>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r>
      <w:tr>
        <w:trPr>
          <w:trHeight w:val="202"/>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9"/>
                <w:szCs w:val="19"/>
                <w:b w:val="1"/>
                <w:bCs w:val="1"/>
                <w:color w:val="auto"/>
                <w:vertAlign w:val="superscript"/>
              </w:rPr>
              <w:t>(1)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9"/>
                <w:szCs w:val="19"/>
                <w:b w:val="1"/>
                <w:bCs w:val="1"/>
                <w:color w:val="auto"/>
                <w:vertAlign w:val="superscript"/>
              </w:rPr>
              <w:t>(1)</w:t>
            </w:r>
          </w:p>
        </w:tc>
        <w:tc>
          <w:tcPr>
            <w:tcW w:w="80" w:type="dxa"/>
            <w:vAlign w:val="bottom"/>
          </w:tcPr>
          <w:p>
            <w:pPr>
              <w:spacing w:after="0"/>
              <w:rPr>
                <w:sz w:val="17"/>
                <w:szCs w:val="17"/>
                <w:color w:val="auto"/>
              </w:rPr>
            </w:pPr>
          </w:p>
        </w:tc>
      </w:tr>
      <w:tr>
        <w:trPr>
          <w:trHeight w:val="230"/>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0"/>
                <w:szCs w:val="20"/>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701,678</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221,761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1,703,649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630,501</w:t>
            </w: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131,306</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63,972</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377,438</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170,469</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TDA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36,955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149,858</w:t>
            </w:r>
          </w:p>
        </w:tc>
        <w:tc>
          <w:tcPr>
            <w:tcW w:w="80" w:type="dxa"/>
            <w:vAlign w:val="bottom"/>
          </w:tcPr>
          <w:p>
            <w:pPr>
              <w:spacing w:after="0"/>
              <w:rPr>
                <w:sz w:val="21"/>
                <w:szCs w:val="21"/>
                <w:color w:val="auto"/>
              </w:rPr>
            </w:pPr>
          </w:p>
        </w:tc>
      </w:tr>
      <w:tr>
        <w:trPr>
          <w:trHeight w:val="25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9,749</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896,756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323,005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2,249,764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951,871</w:t>
            </w:r>
          </w:p>
        </w:tc>
        <w:tc>
          <w:tcPr>
            <w:tcW w:w="8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50,383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19,304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131,859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40,789</w:t>
            </w:r>
          </w:p>
        </w:tc>
        <w:tc>
          <w:tcPr>
            <w:tcW w:w="80" w:type="dxa"/>
            <w:vAlign w:val="bottom"/>
          </w:tcPr>
          <w:p>
            <w:pPr>
              <w:spacing w:after="0"/>
              <w:rPr>
                <w:sz w:val="21"/>
                <w:szCs w:val="21"/>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10,337</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TDA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8,799</w:t>
            </w:r>
          </w:p>
        </w:tc>
        <w:tc>
          <w:tcPr>
            <w:tcW w:w="80" w:type="dxa"/>
            <w:vAlign w:val="bottom"/>
          </w:tcPr>
          <w:p>
            <w:pPr>
              <w:spacing w:after="0"/>
              <w:rPr>
                <w:sz w:val="21"/>
                <w:szCs w:val="21"/>
                <w:color w:val="auto"/>
              </w:rPr>
            </w:pPr>
          </w:p>
        </w:tc>
      </w:tr>
      <w:tr>
        <w:trPr>
          <w:trHeight w:val="25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58,089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25,445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157,393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-1205230</wp:posOffset>
            </wp:positionV>
            <wp:extent cx="1200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-1205230</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-1205230</wp:posOffset>
            </wp:positionV>
            <wp:extent cx="137160" cy="1943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9431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-1205230</wp:posOffset>
            </wp:positionV>
            <wp:extent cx="137160" cy="1943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9431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-193675</wp:posOffset>
            </wp:positionV>
            <wp:extent cx="1200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-193675</wp:posOffset>
            </wp:positionV>
            <wp:extent cx="137160" cy="194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9431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137160" cy="1943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94310"/>
                    </a:xfrm>
                    <a:prstGeom prst="rect">
                      <a:avLst/>
                    </a:prstGeom>
                    <a:noFill/>
                  </pic:spPr>
                </pic:pic>
              </a:graphicData>
            </a:graphic>
          </wp:anchor>
        </w:drawing>
      </w:r>
    </w:p>
    <w:p>
      <w:pPr>
        <w:spacing w:after="0" w:line="255" w:lineRule="exact"/>
        <w:rPr>
          <w:sz w:val="20"/>
          <w:szCs w:val="20"/>
          <w:color w:val="auto"/>
        </w:rPr>
      </w:pPr>
    </w:p>
    <w:p>
      <w:pPr>
        <w:ind w:left="700" w:right="460" w:hanging="318"/>
        <w:spacing w:after="0" w:line="267" w:lineRule="auto"/>
        <w:tabs>
          <w:tab w:leader="none" w:pos="7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reclassified other revenue and other gross profit related to the vehicle repair service at TDA from the TDA reportable segment to the “All Other” category to conform to current year presentation.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74" w:lineRule="exact"/>
        <w:rPr>
          <w:sz w:val="20"/>
          <w:szCs w:val="20"/>
          <w:color w:val="auto"/>
        </w:rPr>
      </w:pPr>
    </w:p>
    <w:p>
      <w:pPr>
        <w:ind w:right="260" w:firstLine="761"/>
        <w:spacing w:after="0" w:line="268"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259"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19,683</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8,823</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53,455</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23,466</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1,315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1,360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865</w:t>
            </w: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1,245</w:t>
            </w:r>
          </w:p>
        </w:tc>
        <w:tc>
          <w:tcPr>
            <w:tcW w:w="1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1,107</w:t>
            </w:r>
          </w:p>
        </w:tc>
        <w:tc>
          <w:tcPr>
            <w:tcW w:w="1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873</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2,560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2,188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2,467</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1,738</w:t>
            </w: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monthly unique visitors</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2,236,168</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928,277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1,845,302</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958,397</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Listed vehicles</w:t>
            </w:r>
          </w:p>
        </w:tc>
        <w:tc>
          <w:tcPr>
            <w:tcW w:w="2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16,997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12,302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16,997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12,302</w:t>
            </w: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average days to sale</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-681990</wp:posOffset>
            </wp:positionV>
            <wp:extent cx="85725" cy="1943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9431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-681990</wp:posOffset>
            </wp:positionV>
            <wp:extent cx="85725" cy="1943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9431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-681990</wp:posOffset>
            </wp:positionV>
            <wp:extent cx="76835" cy="1943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9431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74"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As we continue to expand our ecommerce business, we expect that ecommerce units sold will continue to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through wholesale channels.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315" w:lineRule="exact"/>
        <w:rPr>
          <w:sz w:val="20"/>
          <w:szCs w:val="20"/>
          <w:color w:val="auto"/>
        </w:rPr>
      </w:pPr>
    </w:p>
    <w:p>
      <w:pPr>
        <w:ind w:right="40" w:firstLine="761"/>
        <w:spacing w:after="0" w:line="266"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315" w:lineRule="exact"/>
        <w:rPr>
          <w:sz w:val="20"/>
          <w:szCs w:val="20"/>
          <w:color w:val="auto"/>
        </w:rPr>
      </w:pPr>
    </w:p>
    <w:p>
      <w:pPr>
        <w:ind w:right="60" w:firstLine="761"/>
        <w:spacing w:after="0" w:line="268"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value-added products. We plan to continue to introduce initiatives to increase the attachment rates of value-added products and expand our offerings of value-added products which will grow our Product GPPU. We also entered into a definitive agreement to acquire UACC, which we expect to accelerate our strategic objective to establish captive financing capabilities to support sales growth, improve unit economics and create long-term value for our shareholders.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315" w:lineRule="exact"/>
        <w:rPr>
          <w:sz w:val="20"/>
          <w:szCs w:val="20"/>
          <w:color w:val="auto"/>
        </w:rPr>
      </w:pPr>
    </w:p>
    <w:p>
      <w:pPr>
        <w:ind w:right="460" w:firstLine="761"/>
        <w:spacing w:after="0" w:line="277"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74" w:lineRule="exact"/>
        <w:rPr>
          <w:sz w:val="20"/>
          <w:szCs w:val="20"/>
          <w:color w:val="auto"/>
        </w:rPr>
      </w:pPr>
    </w:p>
    <w:p>
      <w:pPr>
        <w:ind w:right="180" w:firstLine="761"/>
        <w:spacing w:after="0" w:line="26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21" w:lineRule="exact"/>
        <w:rPr>
          <w:sz w:val="20"/>
          <w:szCs w:val="20"/>
          <w:color w:val="auto"/>
        </w:rPr>
      </w:pPr>
    </w:p>
    <w:p>
      <w:pPr>
        <w:ind w:firstLine="761"/>
        <w:spacing w:after="0" w:line="269"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315" w:lineRule="exact"/>
        <w:rPr>
          <w:sz w:val="20"/>
          <w:szCs w:val="20"/>
          <w:color w:val="auto"/>
        </w:rPr>
      </w:pPr>
    </w:p>
    <w:p>
      <w:pPr>
        <w:ind w:right="160" w:firstLine="761"/>
        <w:spacing w:after="0" w:line="269"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315"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315" w:lineRule="exact"/>
        <w:rPr>
          <w:sz w:val="20"/>
          <w:szCs w:val="20"/>
          <w:color w:val="auto"/>
        </w:rPr>
      </w:pPr>
    </w:p>
    <w:p>
      <w:pPr>
        <w:ind w:firstLine="761"/>
        <w:spacing w:after="0" w:line="267"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223" w:lineRule="exact"/>
        <w:rPr>
          <w:sz w:val="20"/>
          <w:szCs w:val="20"/>
          <w:color w:val="auto"/>
        </w:rPr>
      </w:pPr>
    </w:p>
    <w:p>
      <w:pPr>
        <w:ind w:right="60" w:firstLine="761"/>
        <w:spacing w:after="0" w:line="268" w:lineRule="auto"/>
        <w:rPr>
          <w:sz w:val="20"/>
          <w:szCs w:val="20"/>
          <w:color w:val="auto"/>
        </w:rPr>
      </w:pPr>
      <w:r>
        <w:rPr>
          <w:rFonts w:ascii="Arial" w:cs="Arial" w:eastAsia="Arial" w:hAnsi="Arial"/>
          <w:sz w:val="18"/>
          <w:szCs w:val="18"/>
          <w:color w:val="auto"/>
        </w:rPr>
        <w:t>EBITDA, Adjusted EBITDA, Adjusted loss from operations, Non-GAAP net loss, Non-GAAP net loss per share and Non-GAAP net loss per share, as adjusted are supplemental performance measures that our management uses to assess our operating performance and the operating leverage in our business. Because EBITDA, Adjusted EBITDA, Adjusted loss from operations, Non-GAAP net loss, Non-GAAP net loss per share and Non-GAAP net loss per share, as adjusted facilitate internal comparisons of our historical operating performance on a more consistent basis, we use these measures for business planning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315" w:lineRule="exact"/>
        <w:rPr>
          <w:sz w:val="20"/>
          <w:szCs w:val="20"/>
          <w:color w:val="auto"/>
        </w:rPr>
      </w:pPr>
    </w:p>
    <w:p>
      <w:pPr>
        <w:ind w:right="80" w:firstLine="761"/>
        <w:spacing w:after="0" w:line="268"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the one-time, IPO related non-cash revaluation of a preferred stock warrant, and costs related to our acquisition of UACC. The following table presents a reconciliation of EBITDA and Adjusted EBITDA to net loss, which is the most directly comparable U.S. GAAP measure: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37"/>
        </w:trPr>
        <w:tc>
          <w:tcPr>
            <w:tcW w:w="5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r>
      <w:tr>
        <w:trPr>
          <w:trHeight w:val="262"/>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(98,122 )</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(142,137 )</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7,028</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2,259</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14,720</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6,382</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(2,930 )</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(3,960 )</w:t>
            </w: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138</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3,469</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3,255</w:t>
            </w:r>
          </w:p>
        </w:tc>
      </w:tr>
      <w:tr>
        <w:trPr>
          <w:trHeight w:val="29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8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(90,526 )</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(35,651 )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(223,810 )</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(136,322 )</w:t>
            </w:r>
          </w:p>
        </w:tc>
      </w:tr>
      <w:tr>
        <w:trPr>
          <w:trHeight w:val="230"/>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One-time IPO related acceleration of non-cash stock-based</w:t>
            </w:r>
          </w:p>
        </w:tc>
        <w:tc>
          <w:tcPr>
            <w:tcW w:w="5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1,262</w:t>
            </w:r>
          </w:p>
        </w:tc>
      </w:tr>
      <w:tr>
        <w:trPr>
          <w:trHeight w:val="263"/>
        </w:trPr>
        <w:tc>
          <w:tcPr>
            <w:tcW w:w="59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One-time IPO related non-cash revaluation of preferred stock warrant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20,470</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3,412</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5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(87,114 )</w:t>
            </w:r>
          </w:p>
        </w:tc>
        <w:tc>
          <w:tcPr>
            <w:tcW w:w="1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(35,651 )</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(220,398 )</w:t>
            </w:r>
          </w:p>
        </w:tc>
        <w:tc>
          <w:tcPr>
            <w:tcW w:w="1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(114,590 )</w:t>
            </w:r>
          </w:p>
        </w:tc>
      </w:tr>
      <w:tr>
        <w:trPr>
          <w:trHeight w:val="446"/>
        </w:trPr>
        <w:tc>
          <w:tcPr>
            <w:tcW w:w="5140" w:type="dxa"/>
            <w:vAlign w:val="bottom"/>
          </w:tcPr>
          <w:p>
            <w:pPr>
              <w:spacing w:after="0"/>
              <w:rPr>
                <w:sz w:val="24"/>
                <w:szCs w:val="24"/>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-1233805</wp:posOffset>
            </wp:positionV>
            <wp:extent cx="1894205" cy="3346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94205" cy="3346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-401955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-385445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-401955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-385445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-401955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315" w:lineRule="exact"/>
        <w:rPr>
          <w:sz w:val="20"/>
          <w:szCs w:val="20"/>
          <w:color w:val="auto"/>
        </w:rPr>
      </w:pPr>
    </w:p>
    <w:p>
      <w:pPr>
        <w:jc w:val="both"/>
        <w:ind w:right="180" w:firstLine="761"/>
        <w:spacing w:after="0" w:line="271" w:lineRule="auto"/>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and costs related to our acquisition of UACC. The following table presents a reconciliation of Adjusted loss from operations to loss from operations, which is the most directly comparable U.S. GAAP measure:</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center"/>
              <w:ind w:right="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center"/>
              <w:ind w:right="29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9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(94,005 )</w:t>
            </w:r>
          </w:p>
        </w:tc>
        <w:tc>
          <w:tcPr>
            <w:tcW w:w="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(36,873 )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(233,365 )</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(119,218 )</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 One-time IPO related acceleration of non-cash stock based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2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1,262</w:t>
            </w: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 Acquisition related costs</w:t>
            </w: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3,412</w:t>
            </w:r>
          </w:p>
        </w:tc>
        <w:tc>
          <w:tcPr>
            <w:tcW w:w="1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3,412</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Adjusted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(90,593 )</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(36,873 )</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(229,953 )</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(117,956 )</w:t>
            </w: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-193675</wp:posOffset>
            </wp:positionV>
            <wp:extent cx="8572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857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-193675</wp:posOffset>
            </wp:positionV>
            <wp:extent cx="768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220" w:lineRule="exact"/>
        <w:rPr>
          <w:sz w:val="20"/>
          <w:szCs w:val="20"/>
          <w:color w:val="auto"/>
        </w:rPr>
      </w:pPr>
    </w:p>
    <w:p>
      <w:pPr>
        <w:ind w:right="100" w:firstLine="749"/>
        <w:spacing w:after="0" w:line="268"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the one-time, IPO related non-cash revaluation of a preferred stock warrant and costs related to our acquisition of UACC.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gridSpan w:val="8"/>
          </w:tcPr>
          <w:p>
            <w:pPr>
              <w:ind w:left="8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(98,122 )</w:t>
            </w:r>
          </w:p>
        </w:tc>
        <w:tc>
          <w:tcPr>
            <w:tcW w:w="14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(37,850 )</w:t>
            </w:r>
          </w:p>
        </w:tc>
        <w:tc>
          <w:tcPr>
            <w:tcW w:w="12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12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(142,137 )</w:t>
            </w:r>
          </w:p>
        </w:tc>
        <w:tc>
          <w:tcPr>
            <w:tcW w:w="0" w:type="dxa"/>
            <w:vAlign w:val="bottom"/>
          </w:tcPr>
          <w:p>
            <w:pPr>
              <w:spacing w:after="0"/>
              <w:rPr>
                <w:sz w:val="1"/>
                <w:szCs w:val="1"/>
                <w:color w:val="auto"/>
              </w:rPr>
            </w:pPr>
          </w:p>
        </w:tc>
      </w:tr>
      <w:tr>
        <w:trPr>
          <w:trHeight w:val="256"/>
        </w:trPr>
        <w:tc>
          <w:tcPr>
            <w:tcW w:w="53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(98,122 )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(37,850 )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(241,118 )</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(142,137 )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One-time IPO related acceleration of non-cash stock</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compensation</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Add: One-time IPO related non-cash revaluation of preferred</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stock warrant</w:t>
            </w:r>
          </w:p>
        </w:tc>
        <w:tc>
          <w:tcPr>
            <w:tcW w:w="22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 Acquisition related costs</w:t>
            </w:r>
          </w:p>
        </w:tc>
        <w:tc>
          <w:tcPr>
            <w:tcW w:w="2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3,412</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3,412</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(94,710 )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(37,850 )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(237,706 )</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(120,405 )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 used to</w:t>
            </w:r>
          </w:p>
        </w:tc>
        <w:tc>
          <w:tcPr>
            <w:tcW w:w="220" w:type="dxa"/>
            <w:vAlign w:val="bottom"/>
          </w:tcPr>
          <w:p>
            <w:pPr>
              <w:spacing w:after="0"/>
              <w:rPr>
                <w:sz w:val="21"/>
                <w:szCs w:val="21"/>
                <w:color w:val="auto"/>
              </w:rPr>
            </w:pP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136,766,015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121,123,472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136,256,901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53,731,475</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compute net loss per share, basic and diluted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(0.72 )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(0.31 )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Impact of one-time IPO related acceleration of non-cash stock</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compensation</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Impact of one-time IPO related non-cash revaluation of</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preferred stock warrant</w:t>
            </w:r>
          </w:p>
        </w:tc>
        <w:tc>
          <w:tcPr>
            <w:tcW w:w="22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57"/>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Impact of acquisition related costs</w:t>
            </w:r>
          </w:p>
        </w:tc>
        <w:tc>
          <w:tcPr>
            <w:tcW w:w="2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00" w:type="dxa"/>
            <w:vAlign w:val="bottom"/>
          </w:tcPr>
          <w:p>
            <w:pPr>
              <w:ind w:left="20"/>
              <w:spacing w:after="0"/>
              <w:rPr>
                <w:sz w:val="20"/>
                <w:szCs w:val="20"/>
                <w:color w:val="auto"/>
              </w:rPr>
            </w:pPr>
            <w:r>
              <w:rPr>
                <w:rFonts w:ascii="Arial" w:cs="Arial" w:eastAsia="Arial" w:hAnsi="Arial"/>
                <w:sz w:val="18"/>
                <w:szCs w:val="18"/>
                <w:color w:val="auto"/>
              </w:rPr>
              <w:t>Non-GAAP net loss per share,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(0.70 )</w:t>
            </w: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(0.31 )</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00" w:type="dxa"/>
            <w:vAlign w:val="bottom"/>
            <w:tcBorders>
              <w:bottom w:val="single" w:sz="8" w:color="CFF0FC"/>
            </w:tcBorders>
            <w:shd w:val="clear" w:color="auto" w:fill="CFF0FC"/>
          </w:tcPr>
          <w:p>
            <w:pPr>
              <w:ind w:left="20"/>
              <w:spacing w:after="0" w:line="237" w:lineRule="exact"/>
              <w:rPr>
                <w:sz w:val="20"/>
                <w:szCs w:val="20"/>
                <w:color w:val="auto"/>
              </w:rPr>
            </w:pPr>
            <w:r>
              <w:rPr>
                <w:rFonts w:ascii="Arial" w:cs="Arial" w:eastAsia="Arial" w:hAnsi="Arial"/>
                <w:sz w:val="18"/>
                <w:szCs w:val="18"/>
                <w:color w:val="auto"/>
              </w:rPr>
              <w:t>Non-GAAP net loss per share, as adjusted, basic and diluted</w:t>
            </w:r>
            <w:r>
              <w:rPr>
                <w:rFonts w:ascii="Arial" w:cs="Arial" w:eastAsia="Arial" w:hAnsi="Arial"/>
                <w:sz w:val="24"/>
                <w:szCs w:val="24"/>
                <w:color w:val="auto"/>
                <w:vertAlign w:val="superscript"/>
              </w:rPr>
              <w:t>(a)</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(0.70 )</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-2182495</wp:posOffset>
            </wp:positionV>
            <wp:extent cx="857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-2182495</wp:posOffset>
            </wp:positionV>
            <wp:extent cx="774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-2182495</wp:posOffset>
            </wp:positionV>
            <wp:extent cx="774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-382270</wp:posOffset>
            </wp:positionV>
            <wp:extent cx="857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-382270</wp:posOffset>
            </wp:positionV>
            <wp:extent cx="7747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-382270</wp:posOffset>
            </wp:positionV>
            <wp:extent cx="774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6" w:lineRule="exact"/>
        <w:rPr>
          <w:sz w:val="20"/>
          <w:szCs w:val="20"/>
          <w:color w:val="auto"/>
        </w:rPr>
      </w:pPr>
    </w:p>
    <w:p>
      <w:pPr>
        <w:ind w:right="360" w:firstLine="749"/>
        <w:spacing w:after="0" w:line="212" w:lineRule="auto"/>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vertAlign w:val="superscript"/>
        </w:rPr>
        <w:t>)</w:t>
      </w:r>
      <w:r>
        <w:rPr>
          <w:rFonts w:ascii="Arial" w:cs="Arial" w:eastAsia="Arial" w:hAnsi="Arial"/>
          <w:sz w:val="14"/>
          <w:szCs w:val="14"/>
          <w:color w:val="auto"/>
        </w:rPr>
        <w:t>Non-GAAP net loss per share, as adjusted has been computed to give effect to, as of the beginning of each period presented, (i) the shares of common stock issued in connection with our IPO, (ii) the automatic conversion of all outstanding shares of redeemable convertible preferred stock into</w:t>
      </w:r>
    </w:p>
    <w:p>
      <w:pPr>
        <w:sectPr>
          <w:pgSz w:w="11900" w:h="16838" w:orient="portrait"/>
          <w:cols w:equalWidth="0" w:num="1">
            <w:col w:w="11240"/>
          </w:cols>
          <w:pgMar w:left="320" w:top="152" w:right="339" w:bottom="1440" w:gutter="0" w:footer="0" w:header="0"/>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65"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color w:val="auto"/>
        </w:rPr>
        <w:t>shares of common stock that occurred upon the consummation of our IPO and (iii) the shares of common stock issued in connection with our follow-on public offering. The computation of Non-GAAP net loss per share, as adjusted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709"/>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709"/>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4"/>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0" w:type="dxa"/>
            <w:vAlign w:val="bottom"/>
            <w:gridSpan w:val="8"/>
          </w:tcPr>
          <w:p>
            <w:pPr>
              <w:ind w:left="820"/>
              <w:spacing w:after="0"/>
              <w:rPr>
                <w:sz w:val="20"/>
                <w:szCs w:val="20"/>
                <w:color w:val="auto"/>
              </w:rPr>
            </w:pPr>
            <w:r>
              <w:rPr>
                <w:rFonts w:ascii="Arial" w:cs="Arial" w:eastAsia="Arial" w:hAnsi="Arial"/>
                <w:sz w:val="13"/>
                <w:szCs w:val="13"/>
                <w:b w:val="1"/>
                <w:bCs w:val="1"/>
                <w:color w:val="auto"/>
                <w:w w:val="97"/>
              </w:rPr>
              <w:t>(in thousands, except share and per share amounts)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Non-GAAP net loss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(94,710 )</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(37,850 )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(237,706 )</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(120,405 )</w:t>
            </w: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Arial" w:cs="Arial" w:eastAsia="Arial" w:hAnsi="Arial"/>
                <w:sz w:val="14"/>
                <w:szCs w:val="14"/>
                <w:color w:val="auto"/>
              </w:rPr>
              <w:t>Non-GAAP net loss, as adjusted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(94,710 )</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(37,850 )</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(237,706 )</w:t>
            </w:r>
          </w:p>
        </w:tc>
        <w:tc>
          <w:tcPr>
            <w:tcW w:w="1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(120,405 )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740" w:type="dxa"/>
            <w:vAlign w:val="bottom"/>
          </w:tcPr>
          <w:p>
            <w:pPr>
              <w:ind w:left="20"/>
              <w:spacing w:after="0"/>
              <w:rPr>
                <w:sz w:val="20"/>
                <w:szCs w:val="20"/>
                <w:color w:val="auto"/>
              </w:rPr>
            </w:pPr>
            <w:r>
              <w:rPr>
                <w:rFonts w:ascii="Arial" w:cs="Arial" w:eastAsia="Arial" w:hAnsi="Arial"/>
                <w:sz w:val="14"/>
                <w:szCs w:val="14"/>
                <w:color w:val="auto"/>
              </w:rPr>
              <w:t>Weighted-average number of shares outstanding used to compute net loss per share,</w:t>
            </w:r>
          </w:p>
        </w:tc>
        <w:tc>
          <w:tcPr>
            <w:tcW w:w="240" w:type="dxa"/>
            <w:vAlign w:val="bottom"/>
          </w:tcPr>
          <w:p>
            <w:pPr>
              <w:spacing w:after="0"/>
              <w:rPr>
                <w:sz w:val="16"/>
                <w:szCs w:val="16"/>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color w:val="auto"/>
              </w:rPr>
              <w:t>136,766,015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121,123,472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4"/>
                <w:szCs w:val="14"/>
                <w:color w:val="auto"/>
              </w:rPr>
              <w:t>136,256,901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53,731,475</w:t>
            </w:r>
          </w:p>
        </w:tc>
        <w:tc>
          <w:tcPr>
            <w:tcW w:w="0" w:type="dxa"/>
            <w:vAlign w:val="bottom"/>
          </w:tcPr>
          <w:p>
            <w:pPr>
              <w:spacing w:after="0"/>
              <w:rPr>
                <w:sz w:val="1"/>
                <w:szCs w:val="1"/>
                <w:color w:val="auto"/>
              </w:rPr>
            </w:pPr>
          </w:p>
        </w:tc>
      </w:tr>
      <w:tr>
        <w:trPr>
          <w:trHeight w:val="147"/>
        </w:trPr>
        <w:tc>
          <w:tcPr>
            <w:tcW w:w="5740" w:type="dxa"/>
            <w:vAlign w:val="bottom"/>
          </w:tcPr>
          <w:p>
            <w:pPr>
              <w:ind w:left="20"/>
              <w:spacing w:after="0" w:line="147"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 unweighted adjustment for common stock issued in connection with IPO</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24,437,500</w:t>
            </w:r>
          </w:p>
        </w:tc>
        <w:tc>
          <w:tcPr>
            <w:tcW w:w="0" w:type="dxa"/>
            <w:vAlign w:val="bottom"/>
          </w:tcPr>
          <w:p>
            <w:pPr>
              <w:spacing w:after="0"/>
              <w:rPr>
                <w:sz w:val="1"/>
                <w:szCs w:val="1"/>
                <w:color w:val="auto"/>
              </w:rPr>
            </w:pPr>
          </w:p>
        </w:tc>
      </w:tr>
      <w:tr>
        <w:trPr>
          <w:trHeight w:val="190"/>
        </w:trPr>
        <w:tc>
          <w:tcPr>
            <w:tcW w:w="5740" w:type="dxa"/>
            <w:vAlign w:val="bottom"/>
          </w:tcPr>
          <w:p>
            <w:pPr>
              <w:ind w:left="20"/>
              <w:spacing w:after="0"/>
              <w:rPr>
                <w:sz w:val="20"/>
                <w:szCs w:val="20"/>
                <w:color w:val="auto"/>
              </w:rPr>
            </w:pPr>
            <w:r>
              <w:rPr>
                <w:rFonts w:ascii="Arial" w:cs="Arial" w:eastAsia="Arial" w:hAnsi="Arial"/>
                <w:sz w:val="14"/>
                <w:szCs w:val="14"/>
                <w:color w:val="auto"/>
              </w:rPr>
              <w:t>Add: unweighted adjustment for conversion of redeemable convertible preferred stock</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740" w:type="dxa"/>
            <w:vAlign w:val="bottom"/>
          </w:tcPr>
          <w:p>
            <w:pPr>
              <w:ind w:left="20"/>
              <w:spacing w:after="0"/>
              <w:rPr>
                <w:sz w:val="20"/>
                <w:szCs w:val="20"/>
                <w:color w:val="auto"/>
              </w:rPr>
            </w:pPr>
            <w:r>
              <w:rPr>
                <w:rFonts w:ascii="Arial" w:cs="Arial" w:eastAsia="Arial" w:hAnsi="Arial"/>
                <w:sz w:val="14"/>
                <w:szCs w:val="14"/>
                <w:color w:val="auto"/>
              </w:rPr>
              <w:t>in connection with IPO</w:t>
            </w:r>
          </w:p>
        </w:tc>
        <w:tc>
          <w:tcPr>
            <w:tcW w:w="24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85,533,394</w:t>
            </w:r>
          </w:p>
        </w:tc>
        <w:tc>
          <w:tcPr>
            <w:tcW w:w="0" w:type="dxa"/>
            <w:vAlign w:val="bottom"/>
          </w:tcPr>
          <w:p>
            <w:pPr>
              <w:spacing w:after="0"/>
              <w:rPr>
                <w:sz w:val="1"/>
                <w:szCs w:val="1"/>
                <w:color w:val="auto"/>
              </w:rPr>
            </w:pPr>
          </w:p>
        </w:tc>
      </w:tr>
      <w:tr>
        <w:trPr>
          <w:trHeight w:val="197"/>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 unweighted adjustment for common stock issued in connection with follow-on</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public offering</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10,800,000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10,800,000</w:t>
            </w:r>
          </w:p>
        </w:tc>
        <w:tc>
          <w:tcPr>
            <w:tcW w:w="0" w:type="dxa"/>
            <w:vAlign w:val="bottom"/>
          </w:tcPr>
          <w:p>
            <w:pPr>
              <w:spacing w:after="0"/>
              <w:rPr>
                <w:sz w:val="1"/>
                <w:szCs w:val="1"/>
                <w:color w:val="auto"/>
              </w:rPr>
            </w:pPr>
          </w:p>
        </w:tc>
      </w:tr>
      <w:tr>
        <w:trPr>
          <w:trHeight w:val="190"/>
        </w:trPr>
        <w:tc>
          <w:tcPr>
            <w:tcW w:w="5740" w:type="dxa"/>
            <w:vAlign w:val="bottom"/>
          </w:tcPr>
          <w:p>
            <w:pPr>
              <w:ind w:left="20"/>
              <w:spacing w:after="0"/>
              <w:rPr>
                <w:sz w:val="20"/>
                <w:szCs w:val="20"/>
                <w:color w:val="auto"/>
              </w:rPr>
            </w:pPr>
            <w:r>
              <w:rPr>
                <w:rFonts w:ascii="Arial" w:cs="Arial" w:eastAsia="Arial" w:hAnsi="Arial"/>
                <w:sz w:val="14"/>
                <w:szCs w:val="14"/>
                <w:color w:val="auto"/>
              </w:rPr>
              <w:t>Less: Adjustment for the impact of the above items already included in weighted-</w:t>
            </w:r>
          </w:p>
        </w:tc>
        <w:tc>
          <w:tcPr>
            <w:tcW w:w="240" w:type="dxa"/>
            <w:vAlign w:val="bottom"/>
          </w:tcPr>
          <w:p>
            <w:pPr>
              <w:spacing w:after="0"/>
              <w:rPr>
                <w:sz w:val="16"/>
                <w:szCs w:val="16"/>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(1,760,869 )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(44,897,573 )</w:t>
            </w:r>
          </w:p>
        </w:tc>
        <w:tc>
          <w:tcPr>
            <w:tcW w:w="0" w:type="dxa"/>
            <w:vAlign w:val="bottom"/>
          </w:tcPr>
          <w:p>
            <w:pPr>
              <w:spacing w:after="0"/>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4"/>
                <w:szCs w:val="14"/>
                <w:color w:val="auto"/>
              </w:rPr>
              <w:t>average number of shares outstanding for the periods presented</w:t>
            </w: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number of shares outstanding used to compute net loss per share,</w:t>
            </w:r>
          </w:p>
        </w:tc>
        <w:tc>
          <w:tcPr>
            <w:tcW w:w="2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ind w:right="11"/>
              <w:spacing w:after="0"/>
              <w:rPr>
                <w:sz w:val="20"/>
                <w:szCs w:val="20"/>
                <w:color w:val="auto"/>
              </w:rPr>
            </w:pPr>
            <w:r>
              <w:rPr>
                <w:rFonts w:ascii="Arial" w:cs="Arial" w:eastAsia="Arial" w:hAnsi="Arial"/>
                <w:sz w:val="14"/>
                <w:szCs w:val="14"/>
                <w:color w:val="auto"/>
              </w:rPr>
              <w:t>136,766,015</w:t>
            </w:r>
          </w:p>
        </w:tc>
        <w:tc>
          <w:tcPr>
            <w:tcW w:w="1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vMerge w:val="restart"/>
            <w:shd w:val="clear" w:color="auto" w:fill="CFF0FC"/>
          </w:tcPr>
          <w:p>
            <w:pPr>
              <w:jc w:val="right"/>
              <w:ind w:right="29"/>
              <w:spacing w:after="0"/>
              <w:rPr>
                <w:sz w:val="20"/>
                <w:szCs w:val="20"/>
                <w:color w:val="auto"/>
              </w:rPr>
            </w:pPr>
            <w:r>
              <w:rPr>
                <w:rFonts w:ascii="Arial" w:cs="Arial" w:eastAsia="Arial" w:hAnsi="Arial"/>
                <w:sz w:val="14"/>
                <w:szCs w:val="14"/>
                <w:color w:val="auto"/>
              </w:rPr>
              <w:t>130,162,603</w:t>
            </w:r>
          </w:p>
        </w:tc>
        <w:tc>
          <w:tcPr>
            <w:tcW w:w="1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4"/>
                <w:szCs w:val="14"/>
                <w:color w:val="auto"/>
              </w:rPr>
              <w:t>136,256,901</w:t>
            </w:r>
          </w:p>
        </w:tc>
        <w:tc>
          <w:tcPr>
            <w:tcW w:w="1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vMerge w:val="restart"/>
            <w:shd w:val="clear" w:color="auto" w:fill="CFF0FC"/>
          </w:tcPr>
          <w:p>
            <w:pPr>
              <w:jc w:val="right"/>
              <w:ind w:right="29"/>
              <w:spacing w:after="0"/>
              <w:rPr>
                <w:sz w:val="20"/>
                <w:szCs w:val="20"/>
                <w:color w:val="auto"/>
              </w:rPr>
            </w:pPr>
            <w:r>
              <w:rPr>
                <w:rFonts w:ascii="Arial" w:cs="Arial" w:eastAsia="Arial" w:hAnsi="Arial"/>
                <w:sz w:val="14"/>
                <w:szCs w:val="14"/>
                <w:color w:val="auto"/>
              </w:rPr>
              <w:t>129,604,796</w:t>
            </w:r>
          </w:p>
        </w:tc>
        <w:tc>
          <w:tcPr>
            <w:tcW w:w="0" w:type="dxa"/>
            <w:vAlign w:val="bottom"/>
          </w:tcPr>
          <w:p>
            <w:pPr>
              <w:spacing w:after="0"/>
              <w:rPr>
                <w:sz w:val="1"/>
                <w:szCs w:val="1"/>
                <w:color w:val="auto"/>
              </w:rPr>
            </w:pPr>
          </w:p>
        </w:tc>
      </w:tr>
      <w:tr>
        <w:trPr>
          <w:trHeight w:val="187"/>
        </w:trPr>
        <w:tc>
          <w:tcPr>
            <w:tcW w:w="5740" w:type="dxa"/>
            <w:vAlign w:val="bottom"/>
            <w:tcBorders>
              <w:bottom w:val="single" w:sz="8" w:color="CFF0FC"/>
            </w:tcBorders>
            <w:shd w:val="clear" w:color="auto" w:fill="CFF0FC"/>
          </w:tcPr>
          <w:p>
            <w:pPr>
              <w:ind w:left="20"/>
              <w:spacing w:after="0" w:line="147" w:lineRule="exact"/>
              <w:rPr>
                <w:sz w:val="20"/>
                <w:szCs w:val="20"/>
                <w:color w:val="auto"/>
              </w:rPr>
            </w:pPr>
            <w:r>
              <w:rPr>
                <w:rFonts w:ascii="Arial" w:cs="Arial" w:eastAsia="Arial" w:hAnsi="Arial"/>
                <w:sz w:val="14"/>
                <w:szCs w:val="14"/>
                <w:color w:val="auto"/>
              </w:rPr>
              <w:t>as adjusted, basic and diluted</w:t>
            </w:r>
          </w:p>
        </w:tc>
        <w:tc>
          <w:tcPr>
            <w:tcW w:w="2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Non-GAAP net loss per share, as adjusted, basic and diluted</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(0.70 )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-1899285</wp:posOffset>
            </wp:positionV>
            <wp:extent cx="857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-1899285</wp:posOffset>
            </wp:positionV>
            <wp:extent cx="857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-1899285</wp:posOffset>
            </wp:positionV>
            <wp:extent cx="857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-307975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-290830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-307975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-290830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-307975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-290830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Definitive Agreement to Acquire UACC</w:t>
      </w:r>
    </w:p>
    <w:p>
      <w:pPr>
        <w:spacing w:after="0" w:line="274" w:lineRule="exact"/>
        <w:rPr>
          <w:sz w:val="20"/>
          <w:szCs w:val="20"/>
          <w:color w:val="auto"/>
        </w:rPr>
      </w:pPr>
    </w:p>
    <w:p>
      <w:pPr>
        <w:ind w:right="20" w:firstLine="761"/>
        <w:spacing w:after="0" w:line="286" w:lineRule="auto"/>
        <w:rPr>
          <w:sz w:val="20"/>
          <w:szCs w:val="20"/>
          <w:color w:val="auto"/>
        </w:rPr>
      </w:pPr>
      <w:r>
        <w:rPr>
          <w:rFonts w:ascii="Arial" w:cs="Arial" w:eastAsia="Arial" w:hAnsi="Arial"/>
          <w:sz w:val="17"/>
          <w:szCs w:val="17"/>
          <w:color w:val="auto"/>
        </w:rPr>
        <w:t>On October 11, 2021, we entered into a definitive agreement to acquire 100% of Unitas Holdings Corp., the parent corporation of UACC, a leader in automotive finance. Following the acquisition, UACC will become an indirect wholly-owned subsidiary of Vroom and will continue to operate under the UACC name. This acquisition is expected to accelerate our strategic objective to establish captive financing capabilities to support sales growth, improve unit economics and create long-term value for our shareholders. The UACC platform brings with it non-prime financing expertise, as well as extensive application processing, underwriting, securitization, and servicing capabilities. UACC will join our existing lineup of lenders available through our ecommerce platform as we work to integrate UACC’s services and develop our captive financing operation. UACC also will remain committed to maintaining and expanding its network of dealership customers.</w:t>
      </w:r>
    </w:p>
    <w:p>
      <w:pPr>
        <w:spacing w:after="0" w:line="205" w:lineRule="exact"/>
        <w:rPr>
          <w:sz w:val="20"/>
          <w:szCs w:val="20"/>
          <w:color w:val="auto"/>
        </w:rPr>
      </w:pPr>
    </w:p>
    <w:p>
      <w:pPr>
        <w:ind w:right="20" w:firstLine="761"/>
        <w:spacing w:after="0" w:line="271" w:lineRule="auto"/>
        <w:rPr>
          <w:sz w:val="20"/>
          <w:szCs w:val="20"/>
          <w:color w:val="auto"/>
        </w:rPr>
      </w:pPr>
      <w:r>
        <w:rPr>
          <w:rFonts w:ascii="Arial" w:cs="Arial" w:eastAsia="Arial" w:hAnsi="Arial"/>
          <w:sz w:val="18"/>
          <w:szCs w:val="18"/>
          <w:color w:val="auto"/>
        </w:rPr>
        <w:t>The purchase price is approximately $300.0 million, subject to certain customary purchase price adjustments, and will be paid using our cash on hand. The transaction is expected to close either late in the fourth quarter of 2021 or early in the first quarter of 2022, subject to receipt of required regulatory approvals and satisfaction of customary closing conditions.</w:t>
      </w:r>
    </w:p>
    <w:p>
      <w:pPr>
        <w:spacing w:after="0" w:line="217" w:lineRule="exact"/>
        <w:rPr>
          <w:sz w:val="20"/>
          <w:szCs w:val="20"/>
          <w:color w:val="auto"/>
        </w:rPr>
      </w:pPr>
    </w:p>
    <w:p>
      <w:pPr>
        <w:ind w:right="120" w:firstLine="761"/>
        <w:spacing w:after="0" w:line="274" w:lineRule="auto"/>
        <w:rPr>
          <w:sz w:val="20"/>
          <w:szCs w:val="20"/>
          <w:color w:val="auto"/>
        </w:rPr>
      </w:pPr>
      <w:r>
        <w:rPr>
          <w:rFonts w:ascii="Arial" w:cs="Arial" w:eastAsia="Arial" w:hAnsi="Arial"/>
          <w:sz w:val="18"/>
          <w:szCs w:val="18"/>
          <w:color w:val="auto"/>
        </w:rPr>
        <w:t>We believe that, over time, the UACC platform will unlock the benefits of our captive finance strategy and enable us to increase ecommerce unit sales, expand our penetration into non-prime sales, accelerate total revenue growth, enhance aggregate gross profit and GPPU, and leverage our fixed cost base. In addition, utilizing UACC’s securitization expertise, we expect all loans originated by UACC post-closing to be funded through existing warehouse lines and sold via forward flow arrangements and off-balance sheet securitization transactions. This originate-to-sell strategy is designed to achieve the benefits of a captive financing operation while maintaining an asset-light funding strategy.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315" w:lineRule="exact"/>
        <w:rPr>
          <w:sz w:val="20"/>
          <w:szCs w:val="20"/>
          <w:color w:val="auto"/>
        </w:rPr>
      </w:pPr>
    </w:p>
    <w:p>
      <w:pPr>
        <w:ind w:right="420" w:firstLine="761"/>
        <w:spacing w:after="0" w:line="269"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and now exceeds pre-pandemic levels. This recovery has been bolstered by the introduction of COVID-19 vaccines nationwide.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right="20" w:firstLine="761"/>
        <w:spacing w:after="0" w:line="267" w:lineRule="auto"/>
        <w:rPr>
          <w:sz w:val="20"/>
          <w:szCs w:val="20"/>
          <w:color w:val="auto"/>
        </w:rPr>
      </w:pPr>
      <w:r>
        <w:rPr>
          <w:rFonts w:ascii="Arial" w:cs="Arial" w:eastAsia="Arial" w:hAnsi="Arial"/>
          <w:sz w:val="18"/>
          <w:szCs w:val="18"/>
          <w:color w:val="auto"/>
        </w:rPr>
        <w:t>We believe the COVID-19 pandemic has reinforced our business model. However, the future impact of the COVID-19 pandemic on our operational and financial performance is currently uncertain and will depend on many factors outside our control, including the severity and duration of the COVID-19 pandemic and the effectiveness of actions taken to contain the spread of COVID-19 or treat its impact. We have begun modifying our policies and practice regarding in-person work and intend to begin re-opening additional offices and instituting return-to-office policies on a modified basis for some employees who have been working remotely throughout the pandemic.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 We will continue to monitor and assess the impact of the COVID-19 pandemic on our business and our results of operations and financial condition as the pandemic continues to evolve. See Part II, Item 1A of this Quarterly Report on Form 10-Q under the heading “Risk Factors” for more information.</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74" w:lineRule="exact"/>
        <w:rPr>
          <w:sz w:val="20"/>
          <w:szCs w:val="20"/>
          <w:color w:val="auto"/>
        </w:rPr>
      </w:pPr>
    </w:p>
    <w:p>
      <w:pPr>
        <w:ind w:right="320" w:firstLine="761"/>
        <w:spacing w:after="0" w:line="277"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29"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Ability to utilize data science to drive revenue growth by cost effectively increasing the volume and selection of vehicles in our inventory</w:t>
      </w:r>
    </w:p>
    <w:p>
      <w:pPr>
        <w:spacing w:after="0" w:line="228"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217" w:lineRule="exact"/>
        <w:rPr>
          <w:sz w:val="20"/>
          <w:szCs w:val="20"/>
          <w:color w:val="auto"/>
        </w:rPr>
      </w:pPr>
    </w:p>
    <w:p>
      <w:pPr>
        <w:ind w:firstLine="761"/>
        <w:spacing w:after="0" w:line="267"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generate predictive data analytics that fine-tune our supply and sourcing models. We believe the acquisition of CarStory has enhanced our predictive market data capabilities. As we continue to invest in our operational efficiency and data analytics, we expect that we will continue to cost effectively increase the volume and optimize the selection of our ecommerce inventory. Our data analytics are complex models that incorporate numerous assumptions and predictions about consumer and industry dynamics. As with all predictions, the output of our data analytics is subject to inherent uncertainty and reflects judgment and expertise when providing data-driven decisions based on those analytics.</w:t>
      </w:r>
    </w:p>
    <w:p>
      <w:pPr>
        <w:spacing w:after="0" w:line="240"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228" w:lineRule="exact"/>
        <w:rPr>
          <w:sz w:val="20"/>
          <w:szCs w:val="20"/>
          <w:color w:val="auto"/>
        </w:rPr>
      </w:pPr>
    </w:p>
    <w:p>
      <w:pPr>
        <w:ind w:right="220" w:firstLine="761"/>
        <w:spacing w:after="0" w:line="266"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Our ability to continue to benefit from this trend will be an important driver of our future performance.</w:t>
      </w: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significantly increased over time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315" w:lineRule="exact"/>
        <w:rPr>
          <w:sz w:val="20"/>
          <w:szCs w:val="20"/>
          <w:color w:val="auto"/>
        </w:rPr>
      </w:pPr>
    </w:p>
    <w:p>
      <w:pPr>
        <w:ind w:right="260" w:firstLine="761"/>
        <w:spacing w:after="0" w:line="269"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260" w:lineRule="exact"/>
        <w:rPr>
          <w:sz w:val="20"/>
          <w:szCs w:val="20"/>
          <w:color w:val="auto"/>
        </w:rPr>
      </w:pPr>
    </w:p>
    <w:p>
      <w:pPr>
        <w:ind w:right="120" w:firstLine="764"/>
        <w:spacing w:after="0" w:line="268" w:lineRule="auto"/>
        <w:rPr>
          <w:sz w:val="20"/>
          <w:szCs w:val="20"/>
          <w:color w:val="auto"/>
        </w:rPr>
      </w:pPr>
      <w:r>
        <w:rPr>
          <w:rFonts w:ascii="Arial" w:cs="Arial" w:eastAsia="Arial" w:hAnsi="Arial"/>
          <w:sz w:val="18"/>
          <w:szCs w:val="18"/>
          <w:color w:val="auto"/>
        </w:rPr>
        <w:t>Data analytics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analytics, including the advanced data capabilities from our acquisition of CarStory, to provide an automated pricing platform that delivers real time, market-driven appraisals, and continually experiments and tests in order to further refine our approach to enhance the customer experience and drive increased vehicle purchases.</w:t>
      </w:r>
    </w:p>
    <w:p>
      <w:pPr>
        <w:spacing w:after="0" w:line="259" w:lineRule="exact"/>
        <w:rPr>
          <w:sz w:val="20"/>
          <w:szCs w:val="20"/>
          <w:color w:val="auto"/>
        </w:rPr>
      </w:pPr>
    </w:p>
    <w:p>
      <w:pPr>
        <w:ind w:right="100" w:firstLine="764"/>
        <w:spacing w:after="0" w:line="267"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service and sales support to respond to increased demand. Our ongoing investment in our sales and sales support operations includes investments in people, processes and technology. We are continuing to invest in (1) people, to mitigate bottlenecks; (2) in our processes, to remove friction and increase transaction flow; and (3) in technology, to automate and improve our customer experience and drive conversion and consumer sourcing. We have continued to expand our sales and sales support team and expect to continue expanding these capabilities commensurate with our expected sales growth and consumer sourcing expectations throughout the remainder of 2021. As we continue to invest in our brand and improve the customer experience, we expect that we will attract more visitors, improve conversion, drive greater sales and increase the percentage of vehicles sourced from consumers.</w:t>
      </w:r>
    </w:p>
    <w:p>
      <w:pPr>
        <w:spacing w:after="0" w:line="223" w:lineRule="exact"/>
        <w:rPr>
          <w:sz w:val="20"/>
          <w:szCs w:val="20"/>
          <w:color w:val="auto"/>
        </w:rPr>
      </w:pPr>
    </w:p>
    <w:p>
      <w:pPr>
        <w:ind w:right="100" w:firstLine="814"/>
        <w:spacing w:after="0" w:line="268" w:lineRule="auto"/>
        <w:rPr>
          <w:sz w:val="20"/>
          <w:szCs w:val="20"/>
          <w:color w:val="auto"/>
        </w:rPr>
      </w:pPr>
      <w:r>
        <w:rPr>
          <w:rFonts w:ascii="Arial" w:cs="Arial" w:eastAsia="Arial" w:hAnsi="Arial"/>
          <w:sz w:val="18"/>
          <w:szCs w:val="18"/>
          <w:color w:val="auto"/>
        </w:rPr>
        <w:t>Total Ecommerce transactions, defined as ecommerce vehicle purchases directly from consumers, including both trade-ins and straight buys, plus ecommerce units sold, increased over 190% in the third quarter of 2021 as compared to 2020. Total Ecommerce transactions represented approximately 24,500, 34,000, and 38,000 for the first, second and third quarter of 2021, respectively, compared to 10,000, 8,000, and 13,000 for the first, second, and third quarter of 2020, respectively. The increase was primarily driven by the increase in the percentage of vehicles sourced from consumers, amplified marketing campaigns, and expanded reconditioning capacity.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315" w:lineRule="exact"/>
        <w:rPr>
          <w:sz w:val="20"/>
          <w:szCs w:val="20"/>
          <w:color w:val="auto"/>
        </w:rPr>
      </w:pPr>
    </w:p>
    <w:p>
      <w:pPr>
        <w:ind w:firstLine="761"/>
        <w:spacing w:after="0" w:line="26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months ended September 30, 2021, vehicles sourced from consumers represent approximately 81% of our retail inventory sold. For the nine months ended September 30, 2021, vehicles sourced from consumers and auctions represent approximately 67% and 23% of our retail inventory sold,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 Throughout 2021, we have experienced unprecedented market conditions, caused in part by the shortage of microchips and delays in new car manufacturing, which increased demand for used vehicles, putting downward pressure on supply and upward pressure on used vehicle pricing, and making consumer sourcing even more favorable. We also expect that our increased ability to inspect consumer sourced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vehicles and make real time adjustments to acquisition pricing as a result of our scaling proprietary logistics operation will provide improvements to our overall wholesale gross profit per unit over time.</w:t>
      </w:r>
    </w:p>
    <w:p>
      <w:pPr>
        <w:spacing w:after="0" w:line="251" w:lineRule="exact"/>
        <w:rPr>
          <w:sz w:val="20"/>
          <w:szCs w:val="20"/>
          <w:color w:val="auto"/>
        </w:rPr>
      </w:pPr>
    </w:p>
    <w:p>
      <w:pPr>
        <w:ind w:right="540" w:firstLine="761"/>
        <w:spacing w:after="0" w:line="276" w:lineRule="auto"/>
        <w:rPr>
          <w:sz w:val="20"/>
          <w:szCs w:val="20"/>
          <w:color w:val="auto"/>
        </w:rPr>
      </w:pPr>
      <w:r>
        <w:rPr>
          <w:rFonts w:ascii="Arial" w:cs="Arial" w:eastAsia="Arial" w:hAnsi="Arial"/>
          <w:sz w:val="18"/>
          <w:szCs w:val="18"/>
          <w:color w:val="auto"/>
        </w:rPr>
        <w:t>In order to continue to source vehicles directly from consumers, we continue to expand our national marketing efforts that are focused on our Sell Us Your Car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proposition.</w:t>
      </w:r>
    </w:p>
    <w:p>
      <w:pPr>
        <w:spacing w:after="0" w:line="174"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We are also exploring and testing third-party inventory strategies, which offers the possibility of expanding our sourcing channels through third-party sellers while offering us attractive revenue models in an asset light, debt free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315" w:lineRule="exact"/>
        <w:rPr>
          <w:sz w:val="20"/>
          <w:szCs w:val="20"/>
          <w:color w:val="auto"/>
        </w:rPr>
      </w:pPr>
    </w:p>
    <w:p>
      <w:pPr>
        <w:jc w:val="both"/>
        <w:ind w:right="100" w:firstLine="761"/>
        <w:spacing w:after="0" w:line="269"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continue to expand and optimize our reconditioning capacity to satisfy increasing customer demand. We employ a hybrid approach that combines the use of our Vroom VRC and third-party VRCs to best meet our reconditioning needs.</w:t>
      </w:r>
    </w:p>
    <w:p>
      <w:pPr>
        <w:spacing w:after="0" w:line="260" w:lineRule="exact"/>
        <w:rPr>
          <w:sz w:val="20"/>
          <w:szCs w:val="20"/>
          <w:color w:val="auto"/>
        </w:rPr>
      </w:pPr>
    </w:p>
    <w:p>
      <w:pPr>
        <w:ind w:right="120" w:firstLine="761"/>
        <w:spacing w:after="0" w:line="267" w:lineRule="auto"/>
        <w:rPr>
          <w:sz w:val="20"/>
          <w:szCs w:val="20"/>
          <w:color w:val="auto"/>
        </w:rPr>
      </w:pPr>
      <w:r>
        <w:rPr>
          <w:rFonts w:ascii="Arial" w:cs="Arial" w:eastAsia="Arial" w:hAnsi="Arial"/>
          <w:sz w:val="18"/>
          <w:szCs w:val="18"/>
          <w:color w:val="auto"/>
        </w:rPr>
        <w:t>As we continue to grow our business, we intend to continue to increase reconditioning capacity and operational efficiency through third-party VRC locations and additional Vroom VRCs. Our use of third-party VRCs to recondition vehicles allows us to avoid additional capital expenditures, quickly increase capacity, maintain greater operational flexibility and broaden our geographic footprint to drive lower logistics costs. However, we are currently experiencing reconditioning and logistics constraints due to labor shortages and elevated demand at third-party supply chain partners, which negatively affects our cost structure and throughput. Proprietary VRCs enable us to have increased control over our reconditioning operations, increase capacity as we scale, and introduce additional operating efficiencies. Consistent with our hybrid model, as we scale, we will seek to optimize the combination of strategic, geographically dispersed, proprietary and third-party VRCs.</w:t>
      </w:r>
    </w:p>
    <w:p>
      <w:pPr>
        <w:spacing w:after="0" w:line="264" w:lineRule="exact"/>
        <w:rPr>
          <w:sz w:val="20"/>
          <w:szCs w:val="20"/>
          <w:color w:val="auto"/>
        </w:rPr>
      </w:pPr>
    </w:p>
    <w:p>
      <w:pPr>
        <w:ind w:right="140" w:firstLine="761"/>
        <w:spacing w:after="0" w:line="268" w:lineRule="auto"/>
        <w:rPr>
          <w:sz w:val="20"/>
          <w:szCs w:val="20"/>
          <w:color w:val="auto"/>
        </w:rPr>
      </w:pPr>
      <w:r>
        <w:rPr>
          <w:rFonts w:ascii="Arial" w:cs="Arial" w:eastAsia="Arial" w:hAnsi="Arial"/>
          <w:sz w:val="18"/>
          <w:szCs w:val="18"/>
          <w:color w:val="auto"/>
        </w:rPr>
        <w:t>We have continued to expand our third-party VRC operations and, as of September 30, 2021, have a total of 29 third-party VRCs throughout the U.S. We leverage our data analytics and deep industry experience to strategically select VRC locations where we believe there is the highest supply and demand for our vehicles. We expect that the continued increase in reconditioning capacity and investment in technology will lower our reconditioning costs per unit and drive greater operational efficiency, higher gross profit per unit and improved unit economics over time.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315" w:lineRule="exact"/>
        <w:rPr>
          <w:sz w:val="20"/>
          <w:szCs w:val="20"/>
          <w:color w:val="auto"/>
        </w:rPr>
      </w:pPr>
    </w:p>
    <w:p>
      <w:pPr>
        <w:ind w:firstLine="761"/>
        <w:spacing w:after="0" w:line="266" w:lineRule="auto"/>
        <w:rPr>
          <w:sz w:val="20"/>
          <w:szCs w:val="20"/>
          <w:color w:val="auto"/>
        </w:rPr>
      </w:pPr>
      <w:r>
        <w:rPr>
          <w:rFonts w:ascii="Arial" w:cs="Arial" w:eastAsia="Arial" w:hAnsi="Arial"/>
          <w:sz w:val="18"/>
          <w:szCs w:val="18"/>
          <w:color w:val="auto"/>
        </w:rPr>
        <w:t>We primarily use third-party carriers and have optimized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Our VRCs also serve as pooling points to aggregate acquired vehicles and we are using certain VRCs as hubs for staging vehicles for last mile delivery to customers, which we expect to provide an improved experience for customers. As of September 30, 2021, we had 30 hubs and we delivered 41% of our ecommerce units sold with our proprietary last mile service during the third quarter of 2021. Recently, as a result of the continued prevalence of the COVID-19 pandemic, we have experienced a reduced supply of carriers combined with increased demand for carriers from competitors, resulting in increased shipping prices and delays. In response to these disruptions, and to further enhance the quality of our logistics operations and our customer experience, we are accelerating our strategy to optimize our hybrid approach by expanding our proprietary logistics network. Currently, we are prioritizing investment in our last mile delivery operations where we can have the greatest impact on the customer experience. We also have invested in short-haul vehicles to make regional deliveries from our last mile hubs, and are investing in line-haul vehicles for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we continue to strategically combine the operation of our expanded proprietary fleet with the use of third-party carriers, which we expect will enable us to both accommodate our growth and provide the highest level of customer service. Over time,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our business scales, we expect that optimizing our logistics network through this hybrid approach will result in improved unit economics, increased profitability and an enhanced customer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315" w:lineRule="exact"/>
        <w:rPr>
          <w:sz w:val="20"/>
          <w:szCs w:val="20"/>
          <w:color w:val="auto"/>
        </w:rPr>
      </w:pPr>
    </w:p>
    <w:p>
      <w:pPr>
        <w:ind w:right="60" w:firstLine="761"/>
        <w:spacing w:after="0" w:line="267"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We have entered into strategic partnerships with lenders such as Chase, Ally,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 to the revenue we generate on such sales. As a result, such sales help drive total gross profit per unit. As we scale our business, we intend to increase the breadth and variety of value-added products offered to customers and improve attachment rates to our vehicle sales. We have also entered into a definitive agreement to acquire UACC, which we expect to accelerate our strategic objective to establish captive financing capabilities to support sales growth, improve unit economics and create long-term value for our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315" w:lineRule="exact"/>
        <w:rPr>
          <w:sz w:val="20"/>
          <w:szCs w:val="20"/>
          <w:color w:val="auto"/>
        </w:rPr>
      </w:pPr>
    </w:p>
    <w:p>
      <w:pPr>
        <w:ind w:firstLine="761"/>
        <w:spacing w:after="0" w:line="267"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Given the current strong market demand for used vehicles and our rapid growth, our gross profit per unit has not been in line with these macro trends in the most recent historical periods.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311"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257" w:lineRule="exact"/>
        <w:rPr>
          <w:sz w:val="20"/>
          <w:szCs w:val="20"/>
          <w:color w:val="auto"/>
        </w:rPr>
      </w:pPr>
    </w:p>
    <w:p>
      <w:pPr>
        <w:ind w:right="200" w:firstLine="761"/>
        <w:spacing w:after="0" w:line="277"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251"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211"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As a data-driven company, we acquire inventory based upon demand predicted by our data analytics. Our ASP increased significantly during the third quarter of 2021 primarily due to market appreciation, and we expect ASP to fluctuate in the short-term as a result of market conditions, however, our long-term strategy continues to move us towards lower-priced inventory, which we expect will result in a lower ASP.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311" w:lineRule="exact"/>
        <w:rPr>
          <w:sz w:val="20"/>
          <w:szCs w:val="20"/>
          <w:color w:val="auto"/>
        </w:rPr>
      </w:pPr>
    </w:p>
    <w:p>
      <w:pPr>
        <w:ind w:right="80" w:firstLine="761"/>
        <w:spacing w:after="0" w:line="268"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311"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vehicle service contracts, GAP protection and tire and wheel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60"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217" w:lineRule="exact"/>
        <w:rPr>
          <w:sz w:val="20"/>
          <w:szCs w:val="20"/>
          <w:color w:val="auto"/>
        </w:rPr>
      </w:pPr>
    </w:p>
    <w:p>
      <w:pPr>
        <w:ind w:right="220" w:firstLine="761"/>
        <w:spacing w:after="0" w:line="277"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11"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Other revenue consists of labor and parts revenue earned by us for vehicle repair services at TDA and, commencing in the first quarter of 2021, revenue from CarStory.</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Quarterly Report on Form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315" w:lineRule="exact"/>
        <w:rPr>
          <w:sz w:val="20"/>
          <w:szCs w:val="20"/>
          <w:color w:val="auto"/>
        </w:rPr>
      </w:pPr>
    </w:p>
    <w:p>
      <w:pPr>
        <w:ind w:right="160" w:firstLine="761"/>
        <w:spacing w:after="0" w:line="268"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15" w:lineRule="exact"/>
        <w:rPr>
          <w:sz w:val="20"/>
          <w:szCs w:val="20"/>
          <w:color w:val="auto"/>
        </w:rPr>
      </w:pPr>
    </w:p>
    <w:p>
      <w:pPr>
        <w:ind w:right="460" w:firstLine="761"/>
        <w:spacing w:after="0" w:line="271"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We expect that our SG&amp;A expenses will increase in the future as we expand our operations, including our proprietary logistics operations, integrate and invest in UACC, hire additional employees and continue to increase our marketing spend. We have continued to expand our sales and sales support team, processes and technology and expect to continue to expand these capabilities commensurate with our expected sales growth throughout the remainder of 2021. We also will continue to incur increased expenses associated with being a public company, including costs of accounting, audit, legal, consulting, regulatory and tax-related services associated with maintaining compliance with SEC and Nasdaq requirements, director and officer insurance costs, and investor and public relations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315" w:lineRule="exact"/>
        <w:rPr>
          <w:sz w:val="20"/>
          <w:szCs w:val="20"/>
          <w:color w:val="auto"/>
        </w:rPr>
      </w:pPr>
    </w:p>
    <w:p>
      <w:pPr>
        <w:ind w:right="260" w:firstLine="761"/>
        <w:spacing w:after="0" w:line="26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company vehicles; amortization related to intangible assets in acquired businesses; and capitalized internal use software costs incurred in the development of our platform and website applications. Depreciation expense related to our Vroom VRC and the portion of deprecation expense for our proprietary logistics vehicles related to inbound transportation is included in cost of sales in the condensed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315" w:lineRule="exact"/>
        <w:rPr>
          <w:sz w:val="20"/>
          <w:szCs w:val="20"/>
          <w:color w:val="auto"/>
        </w:rPr>
      </w:pPr>
    </w:p>
    <w:p>
      <w:pPr>
        <w:ind w:right="80" w:firstLine="761"/>
        <w:spacing w:after="0" w:line="271" w:lineRule="auto"/>
        <w:rPr>
          <w:sz w:val="20"/>
          <w:szCs w:val="20"/>
          <w:color w:val="auto"/>
        </w:rPr>
      </w:pPr>
      <w:r>
        <w:rPr>
          <w:rFonts w:ascii="Arial" w:cs="Arial" w:eastAsia="Arial" w:hAnsi="Arial"/>
          <w:sz w:val="18"/>
          <w:szCs w:val="18"/>
          <w:color w:val="auto"/>
        </w:rPr>
        <w:t>Our interest expense includes interest expense related to our vehicle floorplan facility with Ally Bank and Ally Financial (the “2020 Vehicle Floorplan Facility”), as discussed below, which is used to finance our inventory as well as interest expense on our Convertible Senior Notes.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15" w:lineRule="exact"/>
        <w:rPr>
          <w:sz w:val="20"/>
          <w:szCs w:val="20"/>
          <w:color w:val="auto"/>
        </w:rPr>
      </w:pPr>
    </w:p>
    <w:p>
      <w:pPr>
        <w:ind w:right="220" w:firstLine="761"/>
        <w:spacing w:after="0" w:line="277"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6"/>
        </w:trPr>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196"/>
        </w:trPr>
        <w:tc>
          <w:tcPr>
            <w:tcW w:w="3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r>
      <w:tr>
        <w:trPr>
          <w:trHeight w:val="398"/>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735,716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249,518</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194.9 %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1,798,155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754,380</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138.4 %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vehicle</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131,306</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63,972</w:t>
            </w:r>
          </w:p>
        </w:tc>
        <w:tc>
          <w:tcPr>
            <w:tcW w:w="120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105.3 %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377,438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170,469</w:t>
            </w:r>
          </w:p>
        </w:tc>
        <w:tc>
          <w:tcPr>
            <w:tcW w:w="114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121.4 %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26,544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9,198</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188.6 %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25,979</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148.0 %</w:t>
            </w:r>
          </w:p>
        </w:tc>
      </w:tr>
      <w:tr>
        <w:trPr>
          <w:trHeight w:val="25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906.3 %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1,043</w:t>
            </w:r>
          </w:p>
        </w:tc>
        <w:tc>
          <w:tcPr>
            <w:tcW w:w="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834.7 %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896,756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323,005</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177.6 %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2,249,764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951,871</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136.4 %</w:t>
            </w:r>
          </w:p>
        </w:tc>
      </w:tr>
      <w:tr>
        <w:trPr>
          <w:trHeight w:val="25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838,667</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297,560</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181.8 %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2,092,371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900,432</w:t>
            </w:r>
          </w:p>
        </w:tc>
        <w:tc>
          <w:tcPr>
            <w:tcW w:w="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132.4 %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58,089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25,445</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128.3 %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157,393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51,439</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206.0 %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148,718</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61,127</w:t>
            </w:r>
          </w:p>
        </w:tc>
        <w:tc>
          <w:tcPr>
            <w:tcW w:w="120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143.3 %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381,482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167,418</w:t>
            </w:r>
          </w:p>
        </w:tc>
        <w:tc>
          <w:tcPr>
            <w:tcW w:w="114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127.9 %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3,376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183.5 %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3,239</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186.4 %</w:t>
            </w:r>
          </w:p>
        </w:tc>
      </w:tr>
      <w:tr>
        <w:trPr>
          <w:trHeight w:val="25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(94,005 )</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(36,873 )</w:t>
            </w:r>
          </w:p>
        </w:tc>
        <w:tc>
          <w:tcPr>
            <w:tcW w:w="120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154.9 %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(233,365 )</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(119,218 )</w:t>
            </w:r>
          </w:p>
        </w:tc>
        <w:tc>
          <w:tcPr>
            <w:tcW w:w="114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95.7 %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7,028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2,259</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211.1 %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6,382</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130.6 %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(2,930 )</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(1,289 )</w:t>
            </w:r>
          </w:p>
        </w:tc>
        <w:tc>
          <w:tcPr>
            <w:tcW w:w="120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127.3 %</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(7,288 )</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(3,960 )</w:t>
            </w:r>
          </w:p>
        </w:tc>
        <w:tc>
          <w:tcPr>
            <w:tcW w:w="114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84.0 %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Revaluation of stock warrant</w:t>
            </w: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20,470</w:t>
            </w:r>
          </w:p>
        </w:tc>
        <w:tc>
          <w:tcPr>
            <w:tcW w:w="1140" w:type="dxa"/>
            <w:vAlign w:val="bottom"/>
            <w:gridSpan w:val="2"/>
          </w:tcPr>
          <w:p>
            <w:pPr>
              <w:jc w:val="right"/>
              <w:ind w:right="33"/>
              <w:spacing w:after="0"/>
              <w:rPr>
                <w:sz w:val="20"/>
                <w:szCs w:val="20"/>
                <w:color w:val="auto"/>
              </w:rPr>
            </w:pPr>
            <w:r>
              <w:rPr>
                <w:rFonts w:ascii="Arial" w:cs="Arial" w:eastAsia="Arial" w:hAnsi="Arial"/>
                <w:sz w:val="18"/>
                <w:szCs w:val="18"/>
                <w:color w:val="auto"/>
              </w:rPr>
              <w:t>(100.0 )%</w:t>
            </w:r>
          </w:p>
        </w:tc>
      </w:tr>
      <w:tr>
        <w:trPr>
          <w:trHeight w:val="25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(61.5 )%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(47.7 )%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(98,093 )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(37,817 )</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159.4 %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(240,739 )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(141,999 )</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69.5 %</w:t>
            </w:r>
          </w:p>
        </w:tc>
      </w:tr>
      <w:tr>
        <w:trPr>
          <w:trHeight w:val="25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174.6 %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(98,122 )</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(37,850 )</w:t>
            </w:r>
          </w:p>
        </w:tc>
        <w:tc>
          <w:tcPr>
            <w:tcW w:w="1200" w:type="dxa"/>
            <w:vAlign w:val="bottom"/>
            <w:gridSpan w:val="2"/>
          </w:tcPr>
          <w:p>
            <w:pPr>
              <w:jc w:val="right"/>
              <w:ind w:right="93"/>
              <w:spacing w:after="0"/>
              <w:rPr>
                <w:sz w:val="20"/>
                <w:szCs w:val="20"/>
                <w:color w:val="auto"/>
              </w:rPr>
            </w:pPr>
            <w:r>
              <w:rPr>
                <w:rFonts w:ascii="Arial" w:cs="Arial" w:eastAsia="Arial" w:hAnsi="Arial"/>
                <w:sz w:val="18"/>
                <w:szCs w:val="18"/>
                <w:color w:val="auto"/>
              </w:rPr>
              <w:t>159.2 %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(241,118 )</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(142,137 )</w:t>
            </w:r>
          </w:p>
        </w:tc>
        <w:tc>
          <w:tcPr>
            <w:tcW w:w="1140" w:type="dxa"/>
            <w:vAlign w:val="bottom"/>
            <w:gridSpan w:val="2"/>
          </w:tcPr>
          <w:p>
            <w:pPr>
              <w:jc w:val="right"/>
              <w:ind w:right="93"/>
              <w:spacing w:after="0"/>
              <w:rPr>
                <w:sz w:val="20"/>
                <w:szCs w:val="20"/>
                <w:color w:val="auto"/>
              </w:rPr>
            </w:pPr>
            <w:r>
              <w:rPr>
                <w:rFonts w:ascii="Arial" w:cs="Arial" w:eastAsia="Arial" w:hAnsi="Arial"/>
                <w:sz w:val="18"/>
                <w:szCs w:val="18"/>
                <w:color w:val="auto"/>
              </w:rPr>
              <w:t>69.6 %</w:t>
            </w:r>
          </w:p>
        </w:tc>
      </w:tr>
      <w:tr>
        <w:trPr>
          <w:trHeight w:val="20"/>
        </w:trPr>
        <w:tc>
          <w:tcPr>
            <w:tcW w:w="3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-2182495</wp:posOffset>
            </wp:positionV>
            <wp:extent cx="68580" cy="168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-2182495</wp:posOffset>
            </wp:positionV>
            <wp:extent cx="68580" cy="168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-2182495</wp:posOffset>
            </wp:positionV>
            <wp:extent cx="68580" cy="168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-2182495</wp:posOffset>
            </wp:positionV>
            <wp:extent cx="60325" cy="168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6827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-2182495</wp:posOffset>
            </wp:positionV>
            <wp:extent cx="59690" cy="168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16827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-1847850</wp:posOffset>
            </wp:positionV>
            <wp:extent cx="68580" cy="168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-1847850</wp:posOffset>
            </wp:positionV>
            <wp:extent cx="68580" cy="168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-1847850</wp:posOffset>
            </wp:positionV>
            <wp:extent cx="68580" cy="168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-1847850</wp:posOffset>
            </wp:positionV>
            <wp:extent cx="60325" cy="168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16827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-1847850</wp:posOffset>
            </wp:positionV>
            <wp:extent cx="59690" cy="168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16827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-527685</wp:posOffset>
            </wp:positionV>
            <wp:extent cx="68580" cy="168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-527685</wp:posOffset>
            </wp:positionV>
            <wp:extent cx="68580" cy="168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-527685</wp:posOffset>
            </wp:positionV>
            <wp:extent cx="68580" cy="168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-527685</wp:posOffset>
            </wp:positionV>
            <wp:extent cx="60325" cy="168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16827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-527685</wp:posOffset>
            </wp:positionV>
            <wp:extent cx="59690" cy="168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16827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-193675</wp:posOffset>
            </wp:positionV>
            <wp:extent cx="68580" cy="1943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9431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-193675</wp:posOffset>
            </wp:positionV>
            <wp:extent cx="68580" cy="1943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9431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-193675</wp:posOffset>
            </wp:positionV>
            <wp:extent cx="68580" cy="1943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9431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-193675</wp:posOffset>
            </wp:positionV>
            <wp:extent cx="60325" cy="1943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19431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-193675</wp:posOffset>
            </wp:positionV>
            <wp:extent cx="59690" cy="1943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194310"/>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09" w:lineRule="exact"/>
        <w:rPr>
          <w:sz w:val="20"/>
          <w:szCs w:val="20"/>
          <w:color w:val="auto"/>
        </w:rPr>
      </w:pPr>
    </w:p>
    <w:p>
      <w:pPr>
        <w:ind w:left="980" w:right="260"/>
        <w:spacing w:after="0" w:line="284" w:lineRule="auto"/>
        <w:rPr>
          <w:sz w:val="20"/>
          <w:szCs w:val="20"/>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(78.2% and 75.7% of total revenue for the three and nine months ended September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Ecommerce segment represents retail sales of used vehicles through our ecommerce platform and fees earned on sales of value-added products associated with those vehicle sales.</w:t>
      </w:r>
    </w:p>
    <w:p>
      <w:pPr>
        <w:spacing w:after="0" w:line="62" w:lineRule="exact"/>
        <w:rPr>
          <w:sz w:val="20"/>
          <w:szCs w:val="20"/>
          <w:color w:val="auto"/>
        </w:rPr>
      </w:pPr>
    </w:p>
    <w:p>
      <w:pPr>
        <w:ind w:left="980" w:right="380"/>
        <w:spacing w:after="0" w:line="303" w:lineRule="auto"/>
        <w:rPr>
          <w:sz w:val="20"/>
          <w:szCs w:val="20"/>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(14.6% and 16.8% of total revenue for the three and nine months ended September 30, 2021,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segment represents sales of used vehicles through wholesale channels.</w:t>
      </w:r>
    </w:p>
    <w:p>
      <w:pPr>
        <w:spacing w:after="0" w:line="44" w:lineRule="exact"/>
        <w:rPr>
          <w:sz w:val="20"/>
          <w:szCs w:val="20"/>
          <w:color w:val="auto"/>
        </w:rPr>
      </w:pPr>
    </w:p>
    <w:p>
      <w:pPr>
        <w:ind w:left="980" w:right="260"/>
        <w:spacing w:after="0" w:line="284" w:lineRule="auto"/>
        <w:rPr>
          <w:sz w:val="20"/>
          <w:szCs w:val="20"/>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(6.8% and 7.1% of total revenue for the three and nine months ended September 30, 2021, respectively): The TDA</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from TDA and fees earned on sales of value-added products associated with those vehicle sales.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5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(in thousands, except unit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data and average days to sale)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19,683</w:t>
            </w: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10,860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123.1 %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677,170</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213,943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463,227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216.5 %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24,508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16,690</w:t>
            </w:r>
          </w:p>
        </w:tc>
        <w:tc>
          <w:tcPr>
            <w:tcW w:w="1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213.5 %</w:t>
            </w:r>
          </w:p>
        </w:tc>
      </w:tr>
      <w:tr>
        <w:trPr>
          <w:trHeight w:val="29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ecommerce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701,678</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221,761</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479,917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216.4 %</w:t>
            </w:r>
          </w:p>
        </w:tc>
      </w:tr>
      <w:tr>
        <w:trPr>
          <w:trHeight w:val="237"/>
        </w:trPr>
        <w:tc>
          <w:tcPr>
            <w:tcW w:w="5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Ecommerce gross profit: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gross profit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25,875</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11,486</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14,389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125.3 %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24,508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16,690</w:t>
            </w:r>
          </w:p>
        </w:tc>
        <w:tc>
          <w:tcPr>
            <w:tcW w:w="1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213.5 %</w:t>
            </w:r>
          </w:p>
        </w:tc>
      </w:tr>
      <w:tr>
        <w:trPr>
          <w:trHeight w:val="29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ecommerce gross profit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50,383</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31,079</w:t>
            </w: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161.0 %</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34,404</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24,248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41.9 %</w:t>
            </w: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ecommerce unit:</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1,315</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1,302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5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359</w:t>
            </w:r>
          </w:p>
        </w:tc>
        <w:tc>
          <w:tcPr>
            <w:tcW w:w="14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average days to sale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-1722120</wp:posOffset>
            </wp:positionV>
            <wp:extent cx="192024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2024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-1036320</wp:posOffset>
            </wp:positionV>
            <wp:extent cx="192024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2024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-356235</wp:posOffset>
            </wp:positionV>
            <wp:extent cx="77470" cy="1943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19431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-356235</wp:posOffset>
            </wp:positionV>
            <wp:extent cx="77470" cy="1943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19431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-356235</wp:posOffset>
            </wp:positionV>
            <wp:extent cx="77470" cy="1943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9431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74" w:lineRule="exact"/>
        <w:rPr>
          <w:sz w:val="20"/>
          <w:szCs w:val="20"/>
          <w:color w:val="auto"/>
        </w:rPr>
      </w:pPr>
    </w:p>
    <w:p>
      <w:pPr>
        <w:ind w:right="140" w:firstLine="761"/>
        <w:spacing w:after="0" w:line="267" w:lineRule="auto"/>
        <w:rPr>
          <w:sz w:val="20"/>
          <w:szCs w:val="20"/>
          <w:color w:val="auto"/>
        </w:rPr>
      </w:pPr>
      <w:r>
        <w:rPr>
          <w:rFonts w:ascii="Arial" w:cs="Arial" w:eastAsia="Arial" w:hAnsi="Arial"/>
          <w:sz w:val="18"/>
          <w:szCs w:val="18"/>
          <w:color w:val="auto"/>
        </w:rPr>
        <w:t>Ecommerce units sold increased 10,860, or 123.1%, from 8,823 for the three months ended September 30, 2020 to 19,683 for the three months ended September 30, 2021. This increase was attributable to higher inventory levels, strong national brand recognition driven by our national advertising campaign and increased marketing spend, and increased demand due to growing consumer acceptance of our business model. The increase was also attributable to strong market demand generally for used vehicles, caused in part by the shortage of microchips and delays in new car manufacturing. Average monthly unique visitors to our website grew from 928,277 for the three months ended September 30, 2020 to 2,236,168 for the three months ended September 30, 2021, representing year over year growth of 140.9%. We expect ecommerce units sold to continue to grow in the future as we increase our inventory selection and marketing efforts as well as improve conversion.</w:t>
      </w:r>
    </w:p>
    <w:p>
      <w:pPr>
        <w:spacing w:after="0" w:line="223" w:lineRule="exact"/>
        <w:rPr>
          <w:sz w:val="20"/>
          <w:szCs w:val="20"/>
          <w:color w:val="auto"/>
        </w:rPr>
      </w:pPr>
    </w:p>
    <w:p>
      <w:pPr>
        <w:ind w:right="80" w:firstLine="761"/>
        <w:spacing w:after="0" w:line="269" w:lineRule="auto"/>
        <w:rPr>
          <w:sz w:val="20"/>
          <w:szCs w:val="20"/>
          <w:color w:val="auto"/>
        </w:rPr>
      </w:pPr>
      <w:r>
        <w:rPr>
          <w:rFonts w:ascii="Arial" w:cs="Arial" w:eastAsia="Arial" w:hAnsi="Arial"/>
          <w:sz w:val="18"/>
          <w:szCs w:val="18"/>
          <w:color w:val="auto"/>
        </w:rPr>
        <w:t>Ecommerce average days to sale increased from 52 days for the three months ended September 30, 2020 to 68 days for the three months ended September 30, 2021. In the third quarter of 2020, ecommerce average days to sale was positively impacted by a significant reduction of our aged inventory during the initial phase of the COVID-19 pandemic. As a result, the average number of days to sale for the newly acquired inventory decreased during the third quarter of 2020.</w:t>
      </w:r>
    </w:p>
    <w:p>
      <w:pPr>
        <w:sectPr>
          <w:pgSz w:w="11900" w:h="16838" w:orient="portrait"/>
          <w:cols w:equalWidth="0" w:num="1">
            <w:col w:w="11240"/>
          </w:cols>
          <w:pgMar w:left="320" w:top="152" w:right="3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315" w:lineRule="exact"/>
        <w:rPr>
          <w:sz w:val="20"/>
          <w:szCs w:val="20"/>
          <w:color w:val="auto"/>
        </w:rPr>
      </w:pPr>
    </w:p>
    <w:p>
      <w:pPr>
        <w:ind w:right="100" w:firstLine="761"/>
        <w:spacing w:after="0" w:line="268" w:lineRule="auto"/>
        <w:rPr>
          <w:sz w:val="20"/>
          <w:szCs w:val="20"/>
          <w:color w:val="auto"/>
        </w:rPr>
      </w:pPr>
      <w:r>
        <w:rPr>
          <w:rFonts w:ascii="Arial" w:cs="Arial" w:eastAsia="Arial" w:hAnsi="Arial"/>
          <w:sz w:val="18"/>
          <w:szCs w:val="18"/>
          <w:color w:val="auto"/>
        </w:rPr>
        <w:t>Ecommerce vehicle revenue increased $463.3 million, or 216.5%, from $213.9 million for the three months ended September 30, 2020 to $677.2 million for the three months ended September 30, 2021. The increase in ecommerce vehicle revenue was primarily attributable to the 10,860 increase in ecommerce units sold, which increased vehicle revenue by $263.4 million, as well as a higher ASP per unit, which increased from $24,248 for the three months ended September 30, 2020 to $34,404 for the three months ended September 30, 2021, and increased vehicle revenue by $199.9 million. The increase in ASP per unit was primarily attributable to market appreciation. Although we expect ASP to fluctuate in the short-term as a result of market conditions, our long-term strategy continues to move us toward lower-priced inventory, which we expect will result in a lower ASP.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74" w:lineRule="exact"/>
        <w:rPr>
          <w:sz w:val="20"/>
          <w:szCs w:val="20"/>
          <w:color w:val="auto"/>
        </w:rPr>
      </w:pPr>
    </w:p>
    <w:p>
      <w:pPr>
        <w:ind w:right="20" w:firstLine="761"/>
        <w:spacing w:after="0" w:line="268" w:lineRule="auto"/>
        <w:rPr>
          <w:sz w:val="20"/>
          <w:szCs w:val="20"/>
          <w:color w:val="auto"/>
        </w:rPr>
      </w:pPr>
      <w:r>
        <w:rPr>
          <w:rFonts w:ascii="Arial" w:cs="Arial" w:eastAsia="Arial" w:hAnsi="Arial"/>
          <w:sz w:val="18"/>
          <w:szCs w:val="18"/>
          <w:color w:val="auto"/>
        </w:rPr>
        <w:t>Ecommerce product revenue increased $16.7 million, or 213.5%, from $7.8 million for the three months ended September 30, 2020 to $24.5 million for the three months ended September 30, 2021. The increase in ecommerce product revenue was primarily attributable to the 10,860 increase in ecommerce units sold, which increased product revenue by $9.6 million as well as an increase in product revenue per unit of $359, which increased product revenue by $7.1 million. Product revenue per unit increased from $886 for the three months ended September 30, 2020 to $1,245 for the three months ended September 30, 2021, primarily due to higher attachment rates and an increase in the average loan size as a result of higher ASP. We expect ecommerce product revenue will continue to grow driven by increases in ecommerce units sold, introduction of new value added products, and increased attachment rates.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315"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Ecommerce vehicle gross profit increased $14.4 million, or 125.3%, from $11.5 million for the three months ended September 30, 2020 to $25.9 million for the three months ended September 30, 2021. The increase in vehicle gross profit was primarily attributable the 10,860 increase in ecommerce units sold, which increased vehicle gross profit by $14.1 million. Vehicle gross profit per unit increased slightly from $1,302 for the three months ended September 30, 2020 to $1,315 for the three months ended September 30, 2021, primarily driven by improvements in reconditioning costs, partially offset by lower sales margins (sales price less purchase price of vehicles sold) as a result of higher purchase prices of vehicle acquisitions.</w:t>
      </w:r>
    </w:p>
    <w:p>
      <w:pPr>
        <w:spacing w:after="0" w:line="260"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As we continue to mature our infrastructure, increase and optimize our network of VRCs, and optimize our logistics operations, we expect ecommerce vehicle gross profit per unit to increase in the future driven by optimizing our acquisition strategy and reducing costs in logistics and reconditioning.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315" w:lineRule="exact"/>
        <w:rPr>
          <w:sz w:val="20"/>
          <w:szCs w:val="20"/>
          <w:color w:val="auto"/>
        </w:rPr>
      </w:pPr>
    </w:p>
    <w:p>
      <w:pPr>
        <w:ind w:right="200" w:firstLine="761"/>
        <w:spacing w:after="0" w:line="268" w:lineRule="auto"/>
        <w:rPr>
          <w:sz w:val="20"/>
          <w:szCs w:val="20"/>
          <w:color w:val="auto"/>
        </w:rPr>
      </w:pPr>
      <w:r>
        <w:rPr>
          <w:rFonts w:ascii="Arial" w:cs="Arial" w:eastAsia="Arial" w:hAnsi="Arial"/>
          <w:sz w:val="18"/>
          <w:szCs w:val="18"/>
          <w:color w:val="auto"/>
        </w:rPr>
        <w:t>Ecommerce product gross profit increased $16.7 million, or 213.5%, from $7.8 million for the three months ended September 30, 2020 to $24.5 million for the three months ended September 30, 2021. The increase in ecommerce product gross profit was primarily attributable to the 10,860 increase in ecommerce units sold which increased product gross profit by $9.6 million, as well as an increase in product gross profit per unit of $359, which increased product gross profit by $7.1 million. Product gross profit per unit increased from $886 for the three months ended September 30, 2020 to $1,245 for the three months ended September 30, 2021, primarily due to higher attachment rates and an increase in the average loan size as a result of higher ASP. We expect ecommerce product gross profit will continue to grow driven by increases in ecommerce units sold, introduction of new value added products, and increased attachment rates.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7"/>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398"/>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(in thousands, except unit data)</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units sold</w:t>
            </w: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6,166</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131,306</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63,972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105.3%</w:t>
            </w: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profit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13,453</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10,375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profit per unit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315" w:lineRule="exact"/>
        <w:rPr>
          <w:sz w:val="20"/>
          <w:szCs w:val="20"/>
          <w:color w:val="auto"/>
        </w:rPr>
      </w:pPr>
    </w:p>
    <w:p>
      <w:pPr>
        <w:jc w:val="both"/>
        <w:ind w:right="40" w:firstLine="761"/>
        <w:spacing w:after="0" w:line="271" w:lineRule="auto"/>
        <w:rPr>
          <w:sz w:val="20"/>
          <w:szCs w:val="20"/>
          <w:color w:val="auto"/>
        </w:rPr>
      </w:pPr>
      <w:r>
        <w:rPr>
          <w:rFonts w:ascii="Arial" w:cs="Arial" w:eastAsia="Arial" w:hAnsi="Arial"/>
          <w:sz w:val="18"/>
          <w:szCs w:val="18"/>
          <w:color w:val="auto"/>
        </w:rPr>
        <w:t>Wholesale units sold increased 3,594, or 58.3%, from 6,166 for the three months ended September 30, 2020 to 9,760 for the three months ended September 30, 2021, primarily driven by an increase in wholesale units purchased from consumers, a higher number of trade-in vehicles associated with the increase in the number of ecommerce units sold and strong wholesale market demand for used vehicles.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Wholesale revenue increased $67.3 million, or 105.3%, from $64.0 million for the three months ended September 30, 2020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$131.3 million for the three months ended September 30, 2021. The increase was primarily attributable to the 3,594 increase in wholesale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sold, which increased wholesale revenue by $37.3 million as well as a higher ASP per wholesale unit, which increased from $10,375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September 30, 2020 to $13,453 for the three months ended September 30, 2021 and increased wholesale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$30.0 million. The increase in ASP per unit was primarily attributable to market appreciation.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w:t>
      </w:r>
    </w:p>
    <w:p>
      <w:pPr>
        <w:spacing w:after="0" w:line="315"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Wholesale gross profit decreased $1.2 million, or 37.1%, from $3.3 million for the three months ended September 30, 2020 to $2.1 million for the three months ended September 30, 2021. The decrease was primarily attributable to a $327 decrease in wholesale gross profit per unit, which decreased gross profit by $3.1 million, partially offset by the 3,594 increase in wholesale units sold, which increased gross profit by $1.9 million. Gross profit per unit decreased from $542 for the three months ended September 30, 2020 to $215 for the three months ended September 30, 2021 as a result of sales margin compression due to unfavorable wholesale price movements, which declined during the first half of the third quarter of 2021.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rPr>
              <w:t>September 30,</w:t>
            </w: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w w:val="87"/>
              </w:rPr>
              <w:t xml:space="preserve">2020 </w:t>
            </w:r>
            <w:r>
              <w:rPr>
                <w:rFonts w:ascii="Arial" w:cs="Arial" w:eastAsia="Arial" w:hAnsi="Arial"/>
                <w:sz w:val="19"/>
                <w:szCs w:val="19"/>
                <w:b w:val="1"/>
                <w:bCs w:val="1"/>
                <w:color w:val="auto"/>
                <w:w w:val="87"/>
                <w:vertAlign w:val="superscript"/>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(in thousands, except unit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data and average days to sale)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TDA units sold</w:t>
            </w: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286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TDA revenue:</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58,546</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35,575</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22,971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64.6 %</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9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TDA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60,582</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36,955</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23,627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63.9 %</w:t>
            </w:r>
          </w:p>
        </w:tc>
        <w:tc>
          <w:tcPr>
            <w:tcW w:w="0" w:type="dxa"/>
            <w:vAlign w:val="bottom"/>
          </w:tcPr>
          <w:p>
            <w:pPr>
              <w:spacing w:after="0"/>
              <w:rPr>
                <w:sz w:val="1"/>
                <w:szCs w:val="1"/>
                <w:color w:val="auto"/>
              </w:rPr>
            </w:pPr>
          </w:p>
        </w:tc>
      </w:tr>
      <w:tr>
        <w:trPr>
          <w:trHeight w:val="237"/>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TDA gross profit:</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gross profit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1,769</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1,295</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474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9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TDA gross profit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Average vehicle selling price per TDA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33,474</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24,316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6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TDA unit:</w:t>
            </w: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profit per TDA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1,011</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57"/>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TDA unit</w:t>
            </w:r>
          </w:p>
        </w:tc>
        <w:tc>
          <w:tcPr>
            <w:tcW w:w="2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Total gross profit per TDA unit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TDA average days to sale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-1722120</wp:posOffset>
            </wp:positionV>
            <wp:extent cx="189420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94205" cy="1885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-1036320</wp:posOffset>
            </wp:positionV>
            <wp:extent cx="189420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94205" cy="1885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-356235</wp:posOffset>
            </wp:positionV>
            <wp:extent cx="77470" cy="1943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19431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-356235</wp:posOffset>
            </wp:positionV>
            <wp:extent cx="77470" cy="1943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19431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-356235</wp:posOffset>
            </wp:positionV>
            <wp:extent cx="68580" cy="1943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94310"/>
                    </a:xfrm>
                    <a:prstGeom prst="rect">
                      <a:avLst/>
                    </a:prstGeom>
                    <a:noFill/>
                  </pic:spPr>
                </pic:pic>
              </a:graphicData>
            </a:graphic>
          </wp:anchor>
        </w:drawing>
      </w:r>
    </w:p>
    <w:p>
      <w:pPr>
        <w:spacing w:after="0" w:line="255" w:lineRule="exact"/>
        <w:rPr>
          <w:sz w:val="20"/>
          <w:szCs w:val="20"/>
          <w:color w:val="auto"/>
        </w:rPr>
      </w:pPr>
    </w:p>
    <w:p>
      <w:pPr>
        <w:ind w:left="700" w:right="100" w:hanging="318"/>
        <w:spacing w:after="0" w:line="278"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reclassified other revenue and gross profit related to the vehicle repair service at TDA from the TDA reportable segment to the “All Other” category to conform to current year presentation.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315" w:lineRule="exact"/>
        <w:rPr>
          <w:sz w:val="20"/>
          <w:szCs w:val="20"/>
          <w:color w:val="auto"/>
        </w:rPr>
      </w:pPr>
    </w:p>
    <w:p>
      <w:pPr>
        <w:ind w:right="80" w:firstLine="761"/>
        <w:spacing w:after="0" w:line="277" w:lineRule="auto"/>
        <w:rPr>
          <w:sz w:val="20"/>
          <w:szCs w:val="20"/>
          <w:color w:val="auto"/>
        </w:rPr>
      </w:pPr>
      <w:r>
        <w:rPr>
          <w:rFonts w:ascii="Arial" w:cs="Arial" w:eastAsia="Arial" w:hAnsi="Arial"/>
          <w:sz w:val="18"/>
          <w:szCs w:val="18"/>
          <w:color w:val="auto"/>
        </w:rPr>
        <w:t>TDA units sold increased 286, or 19.5%, from 1,463 for the three months ended September 30, 2020 to 1,749 for the three months ended September 30, 2021, primarily due to strong market demand generally for used vehicles and higher inventory levels.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TDA vehicle revenue increased $22.9 million, or 64.6%, from $35.6 million for the three months ended September 30, 2020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$58.5 million for the three months ended September 30, 2021. The increase in TDA vehicle revenue was primarily due to a higher ASP 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primarily due to market appreciation, which increased from $24,316 for the three months ended September 30, 2020 to $33,474 for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2021 and increased revenue by $16.0 million and the 286 increase in TDA units sold, which increased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TDA vehicle revenue by $6.9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315" w:lineRule="exact"/>
        <w:rPr>
          <w:sz w:val="20"/>
          <w:szCs w:val="20"/>
          <w:color w:val="auto"/>
        </w:rPr>
      </w:pPr>
    </w:p>
    <w:p>
      <w:pPr>
        <w:ind w:right="240" w:firstLine="761"/>
        <w:spacing w:after="0" w:line="268" w:lineRule="auto"/>
        <w:rPr>
          <w:sz w:val="20"/>
          <w:szCs w:val="20"/>
          <w:color w:val="auto"/>
        </w:rPr>
      </w:pPr>
      <w:r>
        <w:rPr>
          <w:rFonts w:ascii="Arial" w:cs="Arial" w:eastAsia="Arial" w:hAnsi="Arial"/>
          <w:sz w:val="18"/>
          <w:szCs w:val="18"/>
          <w:color w:val="auto"/>
        </w:rPr>
        <w:t>TDA product revenue increased $0.6 million, or 47.5%, from $1.4 million for the three months ended September 30, 2020 to $2.0 million for the three months ended September 30, 2021. The increase in TDA product revenue was primarily attributable to an increase in product revenue per unit, which increased revenue by $0.4 million as well as the 286 increase in TDA units sold, which increased TDA product revenue by $0.2 million. The increase in product revenue per unit was primarily due to an increase in the average loan size as a result of higher ASP.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315" w:lineRule="exact"/>
        <w:rPr>
          <w:sz w:val="20"/>
          <w:szCs w:val="20"/>
          <w:color w:val="auto"/>
        </w:rPr>
      </w:pPr>
    </w:p>
    <w:p>
      <w:pPr>
        <w:ind w:right="40" w:firstLine="761"/>
        <w:spacing w:after="0" w:line="266" w:lineRule="auto"/>
        <w:rPr>
          <w:sz w:val="20"/>
          <w:szCs w:val="20"/>
          <w:color w:val="auto"/>
        </w:rPr>
      </w:pPr>
      <w:r>
        <w:rPr>
          <w:rFonts w:ascii="Arial" w:cs="Arial" w:eastAsia="Arial" w:hAnsi="Arial"/>
          <w:sz w:val="18"/>
          <w:szCs w:val="18"/>
          <w:color w:val="auto"/>
        </w:rPr>
        <w:t>TDA vehicle gross profit increased $0.5 million, or 36.6%, from $1.3 million for the three months ended September 30, 2020 to $1.8 million for the three months ended September 30, 2021. The increase in vehicle gross profit was primarily attributable to the 286 increase in TDA units sold, which increased TDA vehicle gross profit by $0.3 million as well as a $126 increase in TDA vehicle gross profit per unit, which increased vehicle gross profit by $0.2 million. Vehicle gross profit per unit increased from $885 for the three months ended September 30, 2020 to $1,011 for the three</w:t>
      </w:r>
    </w:p>
    <w:p>
      <w:pPr>
        <w:sectPr>
          <w:pgSz w:w="11900" w:h="16838" w:orient="portrait"/>
          <w:cols w:equalWidth="0" w:num="1">
            <w:col w:w="11240"/>
          </w:cols>
          <w:pgMar w:left="320" w:top="152" w:right="339" w:bottom="1440" w:gutter="0" w:footer="0" w:header="0"/>
        </w:sect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months ended September 30, 2021, primarily attributable to improvements in inbound logistics costs, partially offset by higher reconditioning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315" w:lineRule="exact"/>
        <w:rPr>
          <w:sz w:val="20"/>
          <w:szCs w:val="20"/>
          <w:color w:val="auto"/>
        </w:rPr>
      </w:pPr>
    </w:p>
    <w:p>
      <w:pPr>
        <w:jc w:val="both"/>
        <w:ind w:right="40" w:firstLine="761"/>
        <w:spacing w:after="0" w:line="268" w:lineRule="auto"/>
        <w:rPr>
          <w:sz w:val="20"/>
          <w:szCs w:val="20"/>
          <w:color w:val="auto"/>
        </w:rPr>
      </w:pPr>
      <w:r>
        <w:rPr>
          <w:rFonts w:ascii="Arial" w:cs="Arial" w:eastAsia="Arial" w:hAnsi="Arial"/>
          <w:sz w:val="18"/>
          <w:szCs w:val="18"/>
          <w:color w:val="auto"/>
        </w:rPr>
        <w:t>TDA product gross profit increased $0.6 million, or 47.5% from $1.4 million for the three months ended September 30, 2020 to $2.0 million for the three months ended September 30, 2021. The increase in TDA product gross profit was primarily attributable to an increase in product gross profit per unit, which increased gross profit by $0.4 million as well as the 286 increase in TDA units sold, which increased TDA product gross profit by $0.2 million. The increase in product gross profit per unit was primarily due to an increase in the average loan size as a result of higher ASP.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7"/>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36"/>
        </w:trPr>
        <w:tc>
          <w:tcPr>
            <w:tcW w:w="5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&amp; benefits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53,900</w:t>
            </w:r>
          </w:p>
        </w:tc>
        <w:tc>
          <w:tcPr>
            <w:tcW w:w="6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22,881</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31,019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135.6 %</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0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35,214</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19,873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129.5 %</w:t>
            </w:r>
          </w:p>
        </w:tc>
      </w:tr>
      <w:tr>
        <w:trPr>
          <w:trHeight w:val="263"/>
        </w:trPr>
        <w:tc>
          <w:tcPr>
            <w:tcW w:w="578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22,717</w:t>
            </w:r>
          </w:p>
        </w:tc>
        <w:tc>
          <w:tcPr>
            <w:tcW w:w="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14,217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167.3 %</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0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4,635</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77.6 %</w:t>
            </w: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7,694</w:t>
            </w:r>
          </w:p>
        </w:tc>
        <w:tc>
          <w:tcPr>
            <w:tcW w:w="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5,921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334.0 %</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24,558</w:t>
            </w:r>
          </w:p>
        </w:tc>
        <w:tc>
          <w:tcPr>
            <w:tcW w:w="1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10,022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14,536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145.0 %</w:t>
            </w:r>
          </w:p>
        </w:tc>
      </w:tr>
      <w:tr>
        <w:trPr>
          <w:trHeight w:val="29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148,718</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61,127</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87,591</w:t>
            </w:r>
          </w:p>
        </w:tc>
        <w:tc>
          <w:tcPr>
            <w:tcW w:w="1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0" w:lineRule="exact"/>
        <w:rPr>
          <w:sz w:val="20"/>
          <w:szCs w:val="20"/>
          <w:color w:val="auto"/>
        </w:rPr>
      </w:pPr>
    </w:p>
    <w:p>
      <w:pPr>
        <w:ind w:left="700" w:right="380" w:hanging="318"/>
        <w:spacing w:after="0" w:line="379"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215"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SG&amp;A expenses increased $87.6 million, or 143.3%, from $61.1 million for the three months ended September 30, 2020 to $148.7 million for the three months ended September 30, 2021. The increase was primarily due to:</w:t>
      </w:r>
    </w:p>
    <w:p>
      <w:pPr>
        <w:spacing w:after="0" w:line="89"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a $31.0 million increase in compensation and benefits as a result of an increase in headcount and an increase in variable fees for third-party sales and sales support providers as a result of an increase in units sold;</w:t>
      </w:r>
    </w:p>
    <w:p>
      <w:pPr>
        <w:spacing w:after="0" w:line="89" w:lineRule="exact"/>
        <w:rPr>
          <w:sz w:val="20"/>
          <w:szCs w:val="20"/>
          <w:color w:val="auto"/>
        </w:rPr>
      </w:pPr>
    </w:p>
    <w:p>
      <w:pPr>
        <w:ind w:left="980" w:right="560"/>
        <w:spacing w:after="0" w:line="277" w:lineRule="auto"/>
        <w:rPr>
          <w:sz w:val="20"/>
          <w:szCs w:val="20"/>
          <w:color w:val="auto"/>
        </w:rPr>
      </w:pPr>
      <w:r>
        <w:rPr>
          <w:rFonts w:ascii="Arial" w:cs="Arial" w:eastAsia="Arial" w:hAnsi="Arial"/>
          <w:sz w:val="18"/>
          <w:szCs w:val="18"/>
          <w:color w:val="auto"/>
        </w:rPr>
        <w:t>a $19.9 million increase in marketing expense as we expanded our national broad-reach brand advertising, produced new commercials, and increased performance and online marketing as we continue to grow our listed inventory;</w:t>
      </w:r>
    </w:p>
    <w:p>
      <w:pPr>
        <w:spacing w:after="0" w:line="89" w:lineRule="exact"/>
        <w:rPr>
          <w:sz w:val="20"/>
          <w:szCs w:val="20"/>
          <w:color w:val="auto"/>
        </w:rPr>
      </w:pPr>
    </w:p>
    <w:p>
      <w:pPr>
        <w:ind w:left="980" w:right="20"/>
        <w:spacing w:after="0" w:line="271" w:lineRule="auto"/>
        <w:rPr>
          <w:sz w:val="20"/>
          <w:szCs w:val="20"/>
          <w:color w:val="auto"/>
        </w:rPr>
      </w:pPr>
      <w:r>
        <w:rPr>
          <w:rFonts w:ascii="Arial" w:cs="Arial" w:eastAsia="Arial" w:hAnsi="Arial"/>
          <w:sz w:val="18"/>
          <w:szCs w:val="18"/>
          <w:color w:val="auto"/>
        </w:rPr>
        <w:t>a $14.2 million increase in outbound logistics costs attributable to the growth in ecommerce units sold, which increased outbound logistics costs by $10.5 million, and increases in market rates of logistics providers, which increased outbound logistics costs by $3.7 million;</w:t>
      </w:r>
    </w:p>
    <w:p>
      <w:pPr>
        <w:spacing w:after="0" w:line="95" w:lineRule="exact"/>
        <w:rPr>
          <w:sz w:val="20"/>
          <w:szCs w:val="20"/>
          <w:color w:val="auto"/>
        </w:rPr>
      </w:pPr>
    </w:p>
    <w:p>
      <w:pPr>
        <w:jc w:val="both"/>
        <w:ind w:left="980" w:right="120"/>
        <w:spacing w:after="0" w:line="271" w:lineRule="auto"/>
        <w:rPr>
          <w:sz w:val="20"/>
          <w:szCs w:val="20"/>
          <w:color w:val="auto"/>
        </w:rPr>
      </w:pPr>
      <w:r>
        <w:rPr>
          <w:rFonts w:ascii="Arial" w:cs="Arial" w:eastAsia="Arial" w:hAnsi="Arial"/>
          <w:sz w:val="18"/>
          <w:szCs w:val="18"/>
          <w:color w:val="auto"/>
        </w:rPr>
        <w:t>a $5.9 million increase in professional fees primarily related to acquisition related costs incurred in connection with the definitive agreement to acquire UACC as well as increased consulting expenses primarily in the marketing and engineering departments; and</w:t>
      </w:r>
    </w:p>
    <w:p>
      <w:pPr>
        <w:spacing w:after="0" w:line="95" w:lineRule="exact"/>
        <w:rPr>
          <w:sz w:val="20"/>
          <w:szCs w:val="20"/>
          <w:color w:val="auto"/>
        </w:rPr>
      </w:pPr>
    </w:p>
    <w:p>
      <w:pPr>
        <w:ind w:left="980" w:right="60"/>
        <w:spacing w:after="0" w:line="271" w:lineRule="auto"/>
        <w:rPr>
          <w:sz w:val="20"/>
          <w:szCs w:val="20"/>
          <w:color w:val="auto"/>
        </w:rPr>
      </w:pPr>
      <w:r>
        <w:rPr>
          <w:rFonts w:ascii="Arial" w:cs="Arial" w:eastAsia="Arial" w:hAnsi="Arial"/>
          <w:sz w:val="18"/>
          <w:szCs w:val="18"/>
          <w:color w:val="auto"/>
        </w:rPr>
        <w:t>a $14.5 million increase in other SG&amp;A expenses primarily related to volume-based fees for software licenses and other variable expenses as our business continues to scale as well as additional insurance costs associated with being a publicly traded company and growing inventory.</w:t>
      </w:r>
    </w:p>
    <w:p>
      <w:pPr>
        <w:spacing w:after="0" w:line="217" w:lineRule="exact"/>
        <w:rPr>
          <w:sz w:val="20"/>
          <w:szCs w:val="20"/>
          <w:color w:val="auto"/>
        </w:rPr>
      </w:pPr>
    </w:p>
    <w:p>
      <w:pPr>
        <w:ind w:right="220" w:firstLine="761"/>
        <w:spacing w:after="0" w:line="269" w:lineRule="auto"/>
        <w:rPr>
          <w:sz w:val="20"/>
          <w:szCs w:val="20"/>
          <w:color w:val="auto"/>
        </w:rPr>
      </w:pPr>
      <w:r>
        <w:rPr>
          <w:rFonts w:ascii="Arial" w:cs="Arial" w:eastAsia="Arial" w:hAnsi="Arial"/>
          <w:sz w:val="18"/>
          <w:szCs w:val="18"/>
          <w:color w:val="auto"/>
        </w:rPr>
        <w:t>Total SG&amp;A expenses per total ecommerce transaction, defined as ecommerce vehicle purchases directly from consumers plus ecommerce units sold, decreased from $4,702 for the three months ended September 30, 2020 to $3,914 for the three months ended September 30, 2021, primarily due to operating leverage as our business continues to scale, partially offset by increases in market rates of logistics providers and acquisition related costs incurred in connection with the definitive agreement to acquire UACC</w:t>
      </w:r>
      <w:r>
        <w:rPr>
          <w:rFonts w:ascii="Arial" w:cs="Arial" w:eastAsia="Arial" w:hAnsi="Arial"/>
          <w:sz w:val="21"/>
          <w:szCs w:val="21"/>
          <w:color w:val="auto"/>
        </w:rPr>
        <w:t>.</w:t>
      </w:r>
    </w:p>
    <w:p>
      <w:pPr>
        <w:spacing w:after="0" w:line="221" w:lineRule="exact"/>
        <w:rPr>
          <w:sz w:val="20"/>
          <w:szCs w:val="20"/>
          <w:color w:val="auto"/>
        </w:rPr>
      </w:pPr>
    </w:p>
    <w:p>
      <w:pPr>
        <w:ind w:right="160" w:firstLine="761"/>
        <w:spacing w:after="0" w:line="266" w:lineRule="auto"/>
        <w:rPr>
          <w:sz w:val="20"/>
          <w:szCs w:val="20"/>
          <w:color w:val="auto"/>
        </w:rPr>
      </w:pPr>
      <w:r>
        <w:rPr>
          <w:rFonts w:ascii="Arial" w:cs="Arial" w:eastAsia="Arial" w:hAnsi="Arial"/>
          <w:sz w:val="18"/>
          <w:szCs w:val="18"/>
          <w:color w:val="auto"/>
        </w:rPr>
        <w:t>We expect SG&amp;A expenses to increase in the future as we continue to scale our business, integrate and invest in UACC, invest in and improve our customer experience, and continue expanding our proprietary logistics and reconditioning networks.</w:t>
      </w: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315"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Depreciation and amortization expenses increased $2.2 million, or 183.5%, from $1.2 million for the three months ended September 30, 2020 to $3.4 million for the three months ended September 30, 2021. The increase was primarily due to amortization expense of intangible assets acquired as part of the acquisition of the CarStory business on January 7, 2021, depreciation of the short-haul and long-haul vehicles acquired for our proprietary logistics network and increased depreciation expense as we continue to develop our internal use software.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315" w:lineRule="exact"/>
        <w:rPr>
          <w:sz w:val="20"/>
          <w:szCs w:val="20"/>
          <w:color w:val="auto"/>
        </w:rPr>
      </w:pPr>
    </w:p>
    <w:p>
      <w:pPr>
        <w:ind w:right="20" w:firstLine="761"/>
        <w:spacing w:after="0" w:line="269" w:lineRule="auto"/>
        <w:rPr>
          <w:sz w:val="20"/>
          <w:szCs w:val="20"/>
          <w:color w:val="auto"/>
        </w:rPr>
      </w:pPr>
      <w:r>
        <w:rPr>
          <w:rFonts w:ascii="Arial" w:cs="Arial" w:eastAsia="Arial" w:hAnsi="Arial"/>
          <w:sz w:val="18"/>
          <w:szCs w:val="18"/>
          <w:color w:val="auto"/>
        </w:rPr>
        <w:t>Interest expense increased $4.7 million, or 211.1%, from $2.3 million for the three months ended September 30, 2020 to $7.0 million for the three months ended September 30, 2021. The increase was primarily attributable to a higher outstanding balance of the 2020 Vehicle Floorplan Facility due to the increase in vehicle inventory levels as the business continues to scale, which increased interest expense $2.7 million, and interest expense incurred on the Notes, which increased interest expense $2.0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15"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Interest income increased $1.6 million, or 127.3%, from $1.3 million for the three months ended September 30, 2020 to $2.9 million for the three months ended September 30, 2021. The increase in interest income was primarily driven by higher cash and cash equivalent balances for the three months ended September 30, 2021 as compared to September 30, 2020, as a result of the issuance of the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7"/>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7"/>
                <w:szCs w:val="17"/>
                <w:color w:val="auto"/>
              </w:rPr>
            </w:pPr>
          </w:p>
        </w:tc>
      </w:tr>
      <w:tr>
        <w:trPr>
          <w:trHeight w:val="175"/>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7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53,455</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23,466</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29,989</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127.8 %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revenue</w:t>
            </w: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1,644,494</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610,008</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1,034,486</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169.6 %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59,155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38,662</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188.7 %</w:t>
            </w: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ecommerce revenue</w:t>
            </w:r>
          </w:p>
        </w:tc>
        <w:tc>
          <w:tcPr>
            <w:tcW w:w="780" w:type="dxa"/>
            <w:vAlign w:val="bottom"/>
            <w:shd w:val="clear" w:color="auto" w:fill="CFF0FC"/>
          </w:tcPr>
          <w:p>
            <w:pPr>
              <w:spacing w:after="0"/>
              <w:rPr>
                <w:sz w:val="24"/>
                <w:szCs w:val="24"/>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1,703,649</w:t>
            </w:r>
          </w:p>
        </w:tc>
        <w:tc>
          <w:tcPr>
            <w:tcW w:w="24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630,501</w:t>
            </w:r>
          </w:p>
        </w:tc>
        <w:tc>
          <w:tcPr>
            <w:tcW w:w="2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1,073,148</w:t>
            </w:r>
          </w:p>
        </w:tc>
        <w:tc>
          <w:tcPr>
            <w:tcW w:w="2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170.2 %</w:t>
            </w:r>
          </w:p>
        </w:tc>
      </w:tr>
      <w:tr>
        <w:trPr>
          <w:trHeight w:val="237"/>
        </w:trPr>
        <w:tc>
          <w:tcPr>
            <w:tcW w:w="4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Ecommerce gross profit:</w:t>
            </w:r>
          </w:p>
        </w:tc>
        <w:tc>
          <w:tcPr>
            <w:tcW w:w="7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gross profit</w:t>
            </w: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72,704</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20,296</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52,408</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258.2 %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59,155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38,662</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188.7 %</w:t>
            </w: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ecommerce gross profit</w:t>
            </w:r>
          </w:p>
        </w:tc>
        <w:tc>
          <w:tcPr>
            <w:tcW w:w="780" w:type="dxa"/>
            <w:vAlign w:val="bottom"/>
            <w:shd w:val="clear" w:color="auto" w:fill="CFF0FC"/>
          </w:tcPr>
          <w:p>
            <w:pPr>
              <w:spacing w:after="0"/>
              <w:rPr>
                <w:sz w:val="23"/>
                <w:szCs w:val="23"/>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131,859</w:t>
            </w:r>
          </w:p>
        </w:tc>
        <w:tc>
          <w:tcPr>
            <w:tcW w:w="240" w:type="dxa"/>
            <w:vAlign w:val="bottom"/>
            <w:shd w:val="clear" w:color="auto" w:fill="CFF0FC"/>
          </w:tcPr>
          <w:p>
            <w:pPr>
              <w:spacing w:after="0"/>
              <w:rPr>
                <w:sz w:val="23"/>
                <w:szCs w:val="23"/>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40,789</w:t>
            </w:r>
          </w:p>
        </w:tc>
        <w:tc>
          <w:tcPr>
            <w:tcW w:w="2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91,070</w:t>
            </w:r>
          </w:p>
        </w:tc>
        <w:tc>
          <w:tcPr>
            <w:tcW w:w="2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223.3 %</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7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30,764</w:t>
            </w:r>
          </w:p>
        </w:tc>
        <w:tc>
          <w:tcPr>
            <w:tcW w:w="2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25,995</w:t>
            </w: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4,769</w:t>
            </w: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18.3 %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ecommerce unit:</w:t>
            </w:r>
          </w:p>
        </w:tc>
        <w:tc>
          <w:tcPr>
            <w:tcW w:w="7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1,360</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865</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57.2 %</w:t>
            </w: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7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26.8 %</w:t>
            </w:r>
          </w:p>
        </w:tc>
      </w:tr>
      <w:tr>
        <w:trPr>
          <w:trHeight w:val="20"/>
        </w:trPr>
        <w:tc>
          <w:tcPr>
            <w:tcW w:w="47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78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41.9 %</w:t>
            </w: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4"/>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average days to sale</w:t>
            </w: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17.7 %</w:t>
            </w:r>
          </w:p>
        </w:tc>
      </w:tr>
      <w:tr>
        <w:trPr>
          <w:trHeight w:val="459"/>
        </w:trPr>
        <w:tc>
          <w:tcPr>
            <w:tcW w:w="47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48</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-2099310</wp:posOffset>
            </wp:positionV>
            <wp:extent cx="280289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02890" cy="1885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-1413510</wp:posOffset>
            </wp:positionV>
            <wp:extent cx="280289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02890" cy="1885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-733425</wp:posOffset>
            </wp:positionV>
            <wp:extent cx="15430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-733425</wp:posOffset>
            </wp:positionV>
            <wp:extent cx="2031365" cy="1943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31365" cy="1943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74" w:lineRule="exact"/>
        <w:rPr>
          <w:sz w:val="20"/>
          <w:szCs w:val="20"/>
          <w:color w:val="auto"/>
        </w:rPr>
      </w:pPr>
    </w:p>
    <w:p>
      <w:pPr>
        <w:ind w:firstLine="764"/>
        <w:spacing w:after="0" w:line="268" w:lineRule="auto"/>
        <w:rPr>
          <w:sz w:val="20"/>
          <w:szCs w:val="20"/>
          <w:color w:val="auto"/>
        </w:rPr>
      </w:pPr>
      <w:r>
        <w:rPr>
          <w:rFonts w:ascii="Arial" w:cs="Arial" w:eastAsia="Arial" w:hAnsi="Arial"/>
          <w:sz w:val="18"/>
          <w:szCs w:val="18"/>
          <w:color w:val="auto"/>
        </w:rPr>
        <w:t>Ecommerce units sold increased 29,989, or 127.8%, from 23,466 for the nine months ended September 30, 2020 to 53,455 for the nine months ended September 30, 2021. This increase was attributable to higher inventory levels, strong national brand recognition driven by our national advertising campaign and increased marketing spend, and increased demand due to growing consumer acceptance of our business model. The increase was also attributable to strong market demand generally for used vehicles, caused in part by the shortage of microchips and delays in new car manufacturing. Average monthly unique visitors to our website increased from 958,397 for the nine months ended September 30, 2020 to 1,845,302 for the nine months ended September 30, 2021. We expect ecommerce units sold to continue to grow in the future as we increase our inventory selection and marketing efforts, as well as improve conversion.</w:t>
      </w:r>
    </w:p>
    <w:p>
      <w:pPr>
        <w:spacing w:after="0" w:line="218" w:lineRule="exact"/>
        <w:rPr>
          <w:sz w:val="20"/>
          <w:szCs w:val="20"/>
          <w:color w:val="auto"/>
        </w:rPr>
      </w:pPr>
    </w:p>
    <w:p>
      <w:pPr>
        <w:ind w:right="100" w:firstLine="764"/>
        <w:spacing w:after="0" w:line="268" w:lineRule="auto"/>
        <w:rPr>
          <w:sz w:val="20"/>
          <w:szCs w:val="20"/>
          <w:color w:val="auto"/>
        </w:rPr>
      </w:pPr>
      <w:r>
        <w:rPr>
          <w:rFonts w:ascii="Arial" w:cs="Arial" w:eastAsia="Arial" w:hAnsi="Arial"/>
          <w:sz w:val="18"/>
          <w:szCs w:val="18"/>
          <w:color w:val="auto"/>
        </w:rPr>
        <w:t>Ecommerce average days to sale increased from 62 days for the nine months ended September 30, 2020 to 73 days for the nine months ended September 30, 2021. In the third quarter of 2020, ecommerce average days to sale was positively impacted by the significant reduction of our aged inventory during the initial phase of the COVID-19 pandemic. As a result, the average number of days to sale for the newly acquired inventory decreased during the third quarter of 2020. The increase was also driven by constraints experienced in sales support in response to accelerating demand and the sale of aged inventory during the first quarter of 2021. Average days to sale returned to normalized levels during the second quarter of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315" w:lineRule="exact"/>
        <w:rPr>
          <w:sz w:val="20"/>
          <w:szCs w:val="20"/>
          <w:color w:val="auto"/>
        </w:rPr>
      </w:pPr>
    </w:p>
    <w:p>
      <w:pPr>
        <w:ind w:right="80" w:firstLine="761"/>
        <w:spacing w:after="0" w:line="268" w:lineRule="auto"/>
        <w:rPr>
          <w:sz w:val="20"/>
          <w:szCs w:val="20"/>
          <w:color w:val="auto"/>
        </w:rPr>
      </w:pPr>
      <w:r>
        <w:rPr>
          <w:rFonts w:ascii="Arial" w:cs="Arial" w:eastAsia="Arial" w:hAnsi="Arial"/>
          <w:sz w:val="18"/>
          <w:szCs w:val="18"/>
          <w:color w:val="auto"/>
        </w:rPr>
        <w:t>Ecommerce vehicle revenue increased $1,034.5 million, or 169.6%, from $610.0 million for the nine months ended September 30, 2020 to $1,644.5 million for the nine months ended September 30, 2021. The increase in ecommerce vehicle revenue was primarily attributable to the 29,989 increase in ecommerce units sold, which increased revenue by $779.6 million, as well as a higher ASP per unit, which increased from $25,995 for the nine months ended September 30, 2020 to $30,764 for the nine months ended September 30, 2021 and increased revenue by $254.9 million. The increase in ASP per unit was primarily attributable to market appreciation. Although we expect ASP to fluctuate in the short-term as a result of market conditions, our long-term strategy continues to move us toward lower-priced inventory, which we expect will result in a lower ASP.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74"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Ecommerce product revenue increased $38.7 million, or 188.7%, from $20.5 million for the nine months ended September 30, 2020 to $59.2 million for the nine months ended September 30, 2021. The increase was attributable to the 29,989 increase in ecommerce units sold which increased product revenue by $26.2 million and the increase in product revenue per unit of $234, which increased product revenue by $12.5 million. Product revenue per unit increased from $873 for the nine months ended September 30, 2020 to $1,107 for the nine months ended September 30, 2021, primarily due to higher attachment rates and an increase in the average loan size as a result of higher ASP. We expect ecommerce product revenue will continue to grow driven by increases in ecommerce units sold, introduction of new value added products, and increased attachment rates.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315" w:lineRule="exact"/>
        <w:rPr>
          <w:sz w:val="20"/>
          <w:szCs w:val="20"/>
          <w:color w:val="auto"/>
        </w:rPr>
      </w:pPr>
    </w:p>
    <w:p>
      <w:pPr>
        <w:ind w:right="80" w:firstLine="761"/>
        <w:spacing w:after="0" w:line="267" w:lineRule="auto"/>
        <w:rPr>
          <w:sz w:val="20"/>
          <w:szCs w:val="20"/>
          <w:color w:val="auto"/>
        </w:rPr>
      </w:pPr>
      <w:r>
        <w:rPr>
          <w:rFonts w:ascii="Arial" w:cs="Arial" w:eastAsia="Arial" w:hAnsi="Arial"/>
          <w:sz w:val="18"/>
          <w:szCs w:val="18"/>
          <w:color w:val="auto"/>
        </w:rPr>
        <w:t>Ecommerce vehicle gross profit increased $52.4 million, or 258.2%, from $20.3 million for the nine months ended September 30, 2020 to $72.7 million for the nine months ended September 30, 2021. The increase was attributable to a higher vehicle gross profit per unit, which increased vehicle gross profit by $26.5 million and the 29,989 increase in ecommerce units sold which increased vehicle gross profit by $25.9 million. Vehicle gross profit per unit increased by $495 from $865 for the nine months ended September 30, 2020 to $1,360 for the nine months ended September 30, 2021, primarily attributable to improvements in reconditioning costs and higher sales margins. Strong sales margin per unit was partially driven by a record retail pricing environment during the first half of 2021 as well as an increase in vehicles sourced directly from consumers and further improvements in our pricing methodologies. Additionally, in 2020, our sales margin was negatively impacted by a strategic decision to reduce vehicle pricing in order to sell pre-COVID-19 inventory.</w:t>
      </w:r>
    </w:p>
    <w:p>
      <w:pPr>
        <w:spacing w:after="0" w:line="264" w:lineRule="exact"/>
        <w:rPr>
          <w:sz w:val="20"/>
          <w:szCs w:val="20"/>
          <w:color w:val="auto"/>
        </w:rPr>
      </w:pPr>
    </w:p>
    <w:p>
      <w:pPr>
        <w:ind w:right="180" w:firstLine="761"/>
        <w:spacing w:after="0" w:line="266" w:lineRule="auto"/>
        <w:rPr>
          <w:sz w:val="20"/>
          <w:szCs w:val="20"/>
          <w:color w:val="auto"/>
        </w:rPr>
      </w:pPr>
      <w:r>
        <w:rPr>
          <w:rFonts w:ascii="Arial" w:cs="Arial" w:eastAsia="Arial" w:hAnsi="Arial"/>
          <w:sz w:val="18"/>
          <w:szCs w:val="18"/>
          <w:color w:val="auto"/>
        </w:rPr>
        <w:t>As we continue to mature our infrastructure and increase and optimize our network of VRCs, we expect ecommerce vehicle gross profit per unit to increase in the future driven by optimizing our acquisition strategy and reducing costs in logistics and reconditioning.</w:t>
      </w: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gross profit increased $38.7 million, or 188.7%, from $20.5 million for the nine months ended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 to $59.2 million for the nine months ended September 30, 2021. The increase was attributable to the 29,989 increase in ecommerce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sold which increased product gross profit by $26.2 million and the increase in product gross profit per unit of $234, which increased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gross profit by $12.5 million. Product gross profit per unit increased from $873 for the nine months ended September 30, 2020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$1,107 for the nine months ended September 30, 2021, primarily due to higher attachment rates and an increase in the average loan size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result of higher ASP. We expect ecommerce product gross profit will continue to grow driven by increases in ecommerce units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introduction of new value added products, and increased attachment rates.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7"/>
        </w:trPr>
        <w:tc>
          <w:tcPr>
            <w:tcW w:w="5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(in thousands, except unit data)</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2"/>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units sold</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28,421</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14,110</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14,311</w:t>
            </w:r>
          </w:p>
        </w:tc>
        <w:tc>
          <w:tcPr>
            <w:tcW w:w="1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101.4 %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377,438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170,469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206,969</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121.4 %</w:t>
            </w: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10,337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8,831</w:t>
            </w:r>
          </w:p>
        </w:tc>
        <w:tc>
          <w:tcPr>
            <w:tcW w:w="1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586.4 %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13,280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12,081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1,199</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9.9 %</w:t>
            </w: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gross profit per unit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364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107</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257</w:t>
            </w:r>
          </w:p>
        </w:tc>
        <w:tc>
          <w:tcPr>
            <w:tcW w:w="1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240.2 %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88" w:lineRule="exact"/>
        <w:rPr>
          <w:sz w:val="20"/>
          <w:szCs w:val="20"/>
          <w:color w:val="auto"/>
        </w:rPr>
      </w:pPr>
    </w:p>
    <w:p>
      <w:pPr>
        <w:ind w:right="180" w:firstLine="761"/>
        <w:spacing w:after="0" w:line="269" w:lineRule="auto"/>
        <w:rPr>
          <w:sz w:val="20"/>
          <w:szCs w:val="20"/>
          <w:color w:val="auto"/>
        </w:rPr>
      </w:pPr>
      <w:r>
        <w:rPr>
          <w:rFonts w:ascii="Arial" w:cs="Arial" w:eastAsia="Arial" w:hAnsi="Arial"/>
          <w:sz w:val="18"/>
          <w:szCs w:val="18"/>
          <w:color w:val="auto"/>
        </w:rPr>
        <w:t>Wholesale units sold increased 14,311, or 101.4%, from 14,110 for the nine months ended September 30, 2020 to 28,421 for the nine months ended September 30, 2021, primarily driven by an increase in wholesale units purchased from consumers, a higher number of trade-in vehicles associated with the increase in the number of ecommerce units sold and strong wholesale market demand for used vehicles.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Wholesale revenue increased $206.9 million, or 121.4%, from $170.5 million for the nine months ended September 30, 2020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$377.4 million for the nine months ended September 30, 2021. The increase in wholesale revenue was attributable to the 14,311 increase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wholesale units sold, which increased wholesale revenue by $172.8 million, as well as a higher ASP per unit, which increased from $12,081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nine months ended September 30, 2020 to $13,280 for the nine months ended September 30, 2021 and increased revenue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$34.1 million. The increase in ASP per unit was primarily attributable to market appreciation.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w:t>
      </w:r>
    </w:p>
    <w:p>
      <w:pPr>
        <w:spacing w:after="0" w:line="274" w:lineRule="exact"/>
        <w:rPr>
          <w:sz w:val="20"/>
          <w:szCs w:val="20"/>
          <w:color w:val="auto"/>
        </w:rPr>
      </w:pPr>
    </w:p>
    <w:p>
      <w:pPr>
        <w:ind w:right="40" w:firstLine="761"/>
        <w:spacing w:after="0" w:line="268" w:lineRule="auto"/>
        <w:rPr>
          <w:sz w:val="20"/>
          <w:szCs w:val="20"/>
          <w:color w:val="auto"/>
        </w:rPr>
      </w:pPr>
      <w:r>
        <w:rPr>
          <w:rFonts w:ascii="Arial" w:cs="Arial" w:eastAsia="Arial" w:hAnsi="Arial"/>
          <w:sz w:val="18"/>
          <w:szCs w:val="18"/>
          <w:color w:val="auto"/>
        </w:rPr>
        <w:t>Wholesale gross profit increased $8.8 million, or 586.4%, from $1.5 million for the nine months ended September 30, 2020 to $10.3 million for the nine months ended September 30, 2021. The increase was primarily attributable to a $257 increase in wholesale gross profit per unit, which increased gross profit by $7.3 million, as well as the 14,311 increase in wholesale units sold, which increased gross profit by $1.5 million. The increase in our sales margin was primarily driven by favorable wholesale market conditions for the nine months ended September 30, 2021 as compared to 2020. Additionally, in the first half of 2020, our sales margin was negatively impacted by the sale of retail vehicles through wholesale channels to reduce our inventory levels at the beginning of the COVID-19 pandemic.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line="203" w:lineRule="exact"/>
              <w:rPr>
                <w:sz w:val="20"/>
                <w:szCs w:val="20"/>
                <w:color w:val="auto"/>
              </w:rPr>
            </w:pPr>
            <w:r>
              <w:rPr>
                <w:rFonts w:ascii="Arial" w:cs="Arial" w:eastAsia="Arial" w:hAnsi="Arial"/>
                <w:sz w:val="14"/>
                <w:szCs w:val="14"/>
                <w:b w:val="1"/>
                <w:bCs w:val="1"/>
                <w:color w:val="auto"/>
                <w:w w:val="90"/>
              </w:rPr>
              <w:t xml:space="preserve">2020 </w:t>
            </w:r>
            <w:r>
              <w:rPr>
                <w:rFonts w:ascii="Arial" w:cs="Arial" w:eastAsia="Arial" w:hAnsi="Arial"/>
                <w:sz w:val="19"/>
                <w:szCs w:val="19"/>
                <w:b w:val="1"/>
                <w:bCs w:val="1"/>
                <w:color w:val="auto"/>
                <w:w w:val="90"/>
                <w:vertAlign w:val="superscript"/>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(in thousands, except unit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data and average days to sale)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TDA units sold</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5,107</w:t>
            </w: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5,608</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(501 )</w:t>
            </w:r>
          </w:p>
        </w:tc>
        <w:tc>
          <w:tcPr>
            <w:tcW w:w="152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(8.9 )%</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TDA revenue: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153,661</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144,372</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9,289</w:t>
            </w:r>
          </w:p>
        </w:tc>
        <w:tc>
          <w:tcPr>
            <w:tcW w:w="152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6.4 %</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(4.0 )%</w:t>
            </w:r>
          </w:p>
        </w:tc>
      </w:tr>
      <w:tr>
        <w:trPr>
          <w:trHeight w:val="29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TDA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158,928</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149,858</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9,070</w:t>
            </w:r>
          </w:p>
        </w:tc>
        <w:tc>
          <w:tcPr>
            <w:tcW w:w="152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6.1 %</w:t>
            </w:r>
          </w:p>
        </w:tc>
      </w:tr>
      <w:tr>
        <w:trPr>
          <w:trHeight w:val="237"/>
        </w:trPr>
        <w:tc>
          <w:tcPr>
            <w:tcW w:w="5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TDA gross profit: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gross profit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4,476</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3,313</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1,163</w:t>
            </w:r>
          </w:p>
        </w:tc>
        <w:tc>
          <w:tcPr>
            <w:tcW w:w="152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35.1 %</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(4.0 )%</w:t>
            </w:r>
          </w:p>
        </w:tc>
      </w:tr>
      <w:tr>
        <w:trPr>
          <w:trHeight w:val="290"/>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TDA gross profit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9,743</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8,799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10.7 %</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Average vehicle selling price per TDA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30,088</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25,744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4,344</w:t>
            </w:r>
          </w:p>
        </w:tc>
        <w:tc>
          <w:tcPr>
            <w:tcW w:w="1520" w:type="dxa"/>
            <w:vAlign w:val="bottom"/>
            <w:gridSpan w:val="2"/>
          </w:tcPr>
          <w:p>
            <w:pPr>
              <w:jc w:val="right"/>
              <w:ind w:right="93"/>
              <w:spacing w:after="0"/>
              <w:rPr>
                <w:sz w:val="20"/>
                <w:szCs w:val="20"/>
                <w:color w:val="auto"/>
              </w:rPr>
            </w:pPr>
            <w:r>
              <w:rPr>
                <w:rFonts w:ascii="Arial" w:cs="Arial" w:eastAsia="Arial" w:hAnsi="Arial"/>
                <w:sz w:val="18"/>
                <w:szCs w:val="18"/>
                <w:color w:val="auto"/>
              </w:rPr>
              <w:t>16.9 %</w:t>
            </w: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TDA unit:</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Vehicle gross profit per TDA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876</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520" w:type="dxa"/>
            <w:vAlign w:val="bottom"/>
            <w:gridSpan w:val="2"/>
          </w:tcPr>
          <w:p>
            <w:pPr>
              <w:jc w:val="right"/>
              <w:ind w:right="93"/>
              <w:spacing w:after="0"/>
              <w:rPr>
                <w:sz w:val="20"/>
                <w:szCs w:val="20"/>
                <w:color w:val="auto"/>
              </w:rPr>
            </w:pPr>
            <w:r>
              <w:rPr>
                <w:rFonts w:ascii="Arial" w:cs="Arial" w:eastAsia="Arial" w:hAnsi="Arial"/>
                <w:sz w:val="18"/>
                <w:szCs w:val="18"/>
                <w:color w:val="auto"/>
              </w:rPr>
              <w:t>48.2 %</w:t>
            </w:r>
          </w:p>
        </w:tc>
      </w:tr>
      <w:tr>
        <w:trPr>
          <w:trHeight w:val="257"/>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TDA unit</w:t>
            </w:r>
          </w:p>
        </w:tc>
        <w:tc>
          <w:tcPr>
            <w:tcW w:w="2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5.4 %</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Total gross profit per TDA unit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21.5 %</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TDA average days to sale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rPr>
              <w:t>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-1722120</wp:posOffset>
            </wp:positionV>
            <wp:extent cx="186880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688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-1036955</wp:posOffset>
            </wp:positionV>
            <wp:extent cx="1868805"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688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-356235</wp:posOffset>
            </wp:positionV>
            <wp:extent cx="77470" cy="1943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19431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-356235</wp:posOffset>
            </wp:positionV>
            <wp:extent cx="68580" cy="1943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9431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-356235</wp:posOffset>
            </wp:positionV>
            <wp:extent cx="68580" cy="1943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94310"/>
                    </a:xfrm>
                    <a:prstGeom prst="rect">
                      <a:avLst/>
                    </a:prstGeom>
                    <a:noFill/>
                  </pic:spPr>
                </pic:pic>
              </a:graphicData>
            </a:graphic>
          </wp:anchor>
        </w:drawing>
      </w:r>
    </w:p>
    <w:p>
      <w:pPr>
        <w:spacing w:after="0" w:line="255" w:lineRule="exact"/>
        <w:rPr>
          <w:sz w:val="20"/>
          <w:szCs w:val="20"/>
          <w:color w:val="auto"/>
        </w:rPr>
      </w:pPr>
    </w:p>
    <w:p>
      <w:pPr>
        <w:ind w:left="700" w:right="100" w:hanging="318"/>
        <w:spacing w:after="0" w:line="278"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reclassified other revenue and gross profit related to the vehicle repair service at TDA from the TDA reportable segment to the “All Other” category to conform to current year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261"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TDA units sold decreased 501, or 8.9%, from 5,608 for the nine months ended September 30, 2020 to 5,107 for the nine months ended September 30, 2021. Despite the strong market demand for used vehicles experienced in 2021, the first quarter of 2021 had a decrease in units as a result of reduced inventory at the TDA location as the ecommerce business continues to scale.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TDA vehicle revenue increased $9.3 million, or 6.4%, from $144.4 million for the nine months ended September 30, 2020 to $153.7 million for the nine months ended September 30, 2021. The increase was driven by a higher ASP per unit, which increased from $25,744 for the nine months ended September 30, 2020 to $30,088 for the nine months ended September 30, 2021 and increased vehicle revenue by $22.2 million, primarily due to market appreciation, partially offset by the 501 decrease in TDA units sold, which decreased vehicle revenue by $12.9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61"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TDA product revenue decreased $0.2 million, or 4.0%, from $5.5 million for the nine months ended September 30, 2020 to $5.3 million for the nine months ended September 30, 2021. The decrease was primarily driven by the 501 decrease in TDA units sold.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61"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TDA vehicle gross profit increased $1.2 million, or 35.1%, from $ 3.3 million for the nine months ended September 30, 2020 to $4.5 million for the nine months ended September 30, 2021. The increase was attributable to an increase in TDA vehicle gross profit per unit of $285, which increased vehicle gross profit by $ 1.5 million, partially offset by the 501 decrease in TDA units sold, which decreased vehicle gross profit by $0.3 million. Vehicle gross profit per unit increased from $591 for the nine months ended September 30, 2020 to $876 for the nine months ended September 30, 2021, primarily attributable to improvements in inbound logistics and reconditioning costs as well as a higher inventory reserve in 2020 due to the start of the COVID-19 pandemic.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301"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TDA product gross profit decreased $0.2 million, or 4.0%, from $5.5 million for the nine months ended September 30, 2020 to $5.3 million for the nine months ended September 30, 2021. The decrease was primarily driven by the 501 decrease in TDA units sold.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5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36"/>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&amp; benefits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145,580</w:t>
            </w:r>
          </w:p>
        </w:tc>
        <w:tc>
          <w:tcPr>
            <w:tcW w:w="6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63,821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81,759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128.1 %</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0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88,267</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43,438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96.9 %</w:t>
            </w:r>
          </w:p>
        </w:tc>
      </w:tr>
      <w:tr>
        <w:trPr>
          <w:trHeight w:val="263"/>
        </w:trPr>
        <w:tc>
          <w:tcPr>
            <w:tcW w:w="576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57,987</w:t>
            </w:r>
          </w:p>
        </w:tc>
        <w:tc>
          <w:tcPr>
            <w:tcW w:w="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19,762</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38,225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193.4 %</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0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12,599</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66.3 %</w:t>
            </w:r>
          </w:p>
        </w:tc>
      </w:tr>
      <w:tr>
        <w:trPr>
          <w:trHeight w:val="26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15,951</w:t>
            </w:r>
          </w:p>
        </w:tc>
        <w:tc>
          <w:tcPr>
            <w:tcW w:w="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5,697</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10,254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180.0 %</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61,098</w:t>
            </w:r>
          </w:p>
        </w:tc>
        <w:tc>
          <w:tcPr>
            <w:tcW w:w="1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25,735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35,363</w:t>
            </w:r>
          </w:p>
        </w:tc>
        <w:tc>
          <w:tcPr>
            <w:tcW w:w="14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137.4 %</w:t>
            </w:r>
          </w:p>
        </w:tc>
      </w:tr>
      <w:tr>
        <w:trPr>
          <w:trHeight w:val="29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381,482</w:t>
            </w:r>
          </w:p>
        </w:tc>
        <w:tc>
          <w:tcPr>
            <w:tcW w:w="1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167,418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214,064</w:t>
            </w:r>
          </w:p>
        </w:tc>
        <w:tc>
          <w:tcPr>
            <w:tcW w:w="1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8" w:lineRule="exact"/>
        <w:rPr>
          <w:sz w:val="20"/>
          <w:szCs w:val="20"/>
          <w:color w:val="auto"/>
        </w:rPr>
      </w:pPr>
    </w:p>
    <w:p>
      <w:pPr>
        <w:ind w:left="1040" w:right="60" w:hanging="658"/>
        <w:spacing w:after="0" w:line="298"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21" w:lineRule="exact"/>
        <w:rPr>
          <w:sz w:val="20"/>
          <w:szCs w:val="20"/>
          <w:color w:val="auto"/>
        </w:rPr>
      </w:pPr>
    </w:p>
    <w:p>
      <w:pPr>
        <w:ind w:right="600" w:firstLine="761"/>
        <w:spacing w:after="0" w:line="277" w:lineRule="auto"/>
        <w:rPr>
          <w:sz w:val="20"/>
          <w:szCs w:val="20"/>
          <w:color w:val="auto"/>
        </w:rPr>
      </w:pPr>
      <w:r>
        <w:rPr>
          <w:rFonts w:ascii="Arial" w:cs="Arial" w:eastAsia="Arial" w:hAnsi="Arial"/>
          <w:sz w:val="18"/>
          <w:szCs w:val="18"/>
          <w:color w:val="auto"/>
        </w:rPr>
        <w:t>SG&amp;A expenses increased $214.1 million, or 127.9%, from $167.4 million for the nine months ended September 30, 2020 to $381.5 million for the nine months ended September 30, 2021. The increase was primarily due to:</w:t>
      </w:r>
    </w:p>
    <w:p>
      <w:pPr>
        <w:spacing w:after="0" w:line="89"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a $81.8 million increase in compensation and benefits as a result of an increase in headcount and an increase in variable fees for third-party sales and sales support providers as a result of an increase in units sold;</w:t>
      </w:r>
    </w:p>
    <w:p>
      <w:pPr>
        <w:spacing w:after="0" w:line="89" w:lineRule="exact"/>
        <w:rPr>
          <w:sz w:val="20"/>
          <w:szCs w:val="20"/>
          <w:color w:val="auto"/>
        </w:rPr>
      </w:pPr>
    </w:p>
    <w:p>
      <w:pPr>
        <w:ind w:left="980" w:right="120"/>
        <w:spacing w:after="0" w:line="271" w:lineRule="auto"/>
        <w:rPr>
          <w:sz w:val="20"/>
          <w:szCs w:val="20"/>
          <w:color w:val="auto"/>
        </w:rPr>
      </w:pPr>
      <w:r>
        <w:rPr>
          <w:rFonts w:ascii="Arial" w:cs="Arial" w:eastAsia="Arial" w:hAnsi="Arial"/>
          <w:sz w:val="18"/>
          <w:szCs w:val="18"/>
          <w:color w:val="auto"/>
        </w:rPr>
        <w:t>a $43.4 million increase in marketing expense as we expanded our national broad-reach brand advertising, aired our first Super Bowl commercial, produced new commercials, and increased performance and online marketing as we continue to grow our listed inventory;</w:t>
      </w:r>
    </w:p>
    <w:p>
      <w:pPr>
        <w:spacing w:after="0" w:line="95" w:lineRule="exact"/>
        <w:rPr>
          <w:sz w:val="20"/>
          <w:szCs w:val="20"/>
          <w:color w:val="auto"/>
        </w:rPr>
      </w:pPr>
    </w:p>
    <w:p>
      <w:pPr>
        <w:ind w:left="980" w:right="20"/>
        <w:spacing w:after="0" w:line="271" w:lineRule="auto"/>
        <w:rPr>
          <w:sz w:val="20"/>
          <w:szCs w:val="20"/>
          <w:color w:val="auto"/>
        </w:rPr>
      </w:pPr>
      <w:r>
        <w:rPr>
          <w:rFonts w:ascii="Arial" w:cs="Arial" w:eastAsia="Arial" w:hAnsi="Arial"/>
          <w:sz w:val="18"/>
          <w:szCs w:val="18"/>
          <w:color w:val="auto"/>
        </w:rPr>
        <w:t>a $38.2 million increase in outbound logistics costs attributable to the growth in ecommerce units sold, which increased outbound logistics costs by $25.3 million, and increases in market rates of logistics providers, which increased outbound logistics costs by $12.9 million;</w:t>
      </w:r>
    </w:p>
    <w:p>
      <w:pPr>
        <w:spacing w:after="0" w:line="95" w:lineRule="exact"/>
        <w:rPr>
          <w:sz w:val="20"/>
          <w:szCs w:val="20"/>
          <w:color w:val="auto"/>
        </w:rPr>
      </w:pPr>
    </w:p>
    <w:p>
      <w:pPr>
        <w:ind w:left="980" w:right="20"/>
        <w:spacing w:after="0" w:line="271" w:lineRule="auto"/>
        <w:rPr>
          <w:sz w:val="20"/>
          <w:szCs w:val="20"/>
          <w:color w:val="auto"/>
        </w:rPr>
      </w:pPr>
      <w:r>
        <w:rPr>
          <w:rFonts w:ascii="Arial" w:cs="Arial" w:eastAsia="Arial" w:hAnsi="Arial"/>
          <w:sz w:val="18"/>
          <w:szCs w:val="18"/>
          <w:color w:val="auto"/>
        </w:rPr>
        <w:t>a $10.3 million increase in professional fees primarily related to acquisition related costs incurred in connection with the definitive agreement to acquire UACC as well as increased consulting expenses primarily in the marketing and engineering departments; and</w:t>
      </w:r>
    </w:p>
    <w:p>
      <w:pPr>
        <w:spacing w:after="0" w:line="95" w:lineRule="exact"/>
        <w:rPr>
          <w:sz w:val="20"/>
          <w:szCs w:val="20"/>
          <w:color w:val="auto"/>
        </w:rPr>
      </w:pPr>
    </w:p>
    <w:p>
      <w:pPr>
        <w:ind w:left="980" w:right="60"/>
        <w:spacing w:after="0" w:line="271" w:lineRule="auto"/>
        <w:rPr>
          <w:sz w:val="20"/>
          <w:szCs w:val="20"/>
          <w:color w:val="auto"/>
        </w:rPr>
      </w:pPr>
      <w:r>
        <w:rPr>
          <w:rFonts w:ascii="Arial" w:cs="Arial" w:eastAsia="Arial" w:hAnsi="Arial"/>
          <w:sz w:val="18"/>
          <w:szCs w:val="18"/>
          <w:color w:val="auto"/>
        </w:rPr>
        <w:t>a $35.4 million increase in other SG&amp;A expenses primarily related to volume-based fees for software licenses and other variable expenses as our business continues to scale as well as additional insurance costs associated with being a publicly traded company and growing inventory.</w:t>
      </w:r>
    </w:p>
    <w:p>
      <w:pPr>
        <w:spacing w:after="0" w:line="257" w:lineRule="exact"/>
        <w:rPr>
          <w:sz w:val="20"/>
          <w:szCs w:val="20"/>
          <w:color w:val="auto"/>
        </w:rPr>
      </w:pPr>
    </w:p>
    <w:p>
      <w:pPr>
        <w:ind w:right="220" w:firstLine="761"/>
        <w:spacing w:after="0" w:line="269" w:lineRule="auto"/>
        <w:rPr>
          <w:sz w:val="20"/>
          <w:szCs w:val="20"/>
          <w:color w:val="auto"/>
        </w:rPr>
      </w:pPr>
      <w:r>
        <w:rPr>
          <w:rFonts w:ascii="Arial" w:cs="Arial" w:eastAsia="Arial" w:hAnsi="Arial"/>
          <w:sz w:val="18"/>
          <w:szCs w:val="18"/>
          <w:color w:val="auto"/>
        </w:rPr>
        <w:t>Total SG&amp;A expenses per total ecommerce transaction, defined as ecommerce vehicle purchases directly from consumers plus ecommerce units sold, decreased from $5,401 for the nine months ended September 30, 2020 to $3,953 for the nine months ended September 30, 2021, primarily due to operating leverage as our business continues to scale, partially offset by increases in market rates of logistics providers and acquisition related costs incurred in connection with the definitive agreement to acquire UACC.</w:t>
      </w:r>
    </w:p>
    <w:p>
      <w:pPr>
        <w:spacing w:after="0" w:line="260" w:lineRule="exact"/>
        <w:rPr>
          <w:sz w:val="20"/>
          <w:szCs w:val="20"/>
          <w:color w:val="auto"/>
        </w:rPr>
      </w:pPr>
    </w:p>
    <w:p>
      <w:pPr>
        <w:ind w:right="160" w:firstLine="761"/>
        <w:spacing w:after="0" w:line="277" w:lineRule="auto"/>
        <w:rPr>
          <w:sz w:val="20"/>
          <w:szCs w:val="20"/>
          <w:color w:val="auto"/>
        </w:rPr>
      </w:pPr>
      <w:r>
        <w:rPr>
          <w:rFonts w:ascii="Arial" w:cs="Arial" w:eastAsia="Arial" w:hAnsi="Arial"/>
          <w:sz w:val="18"/>
          <w:szCs w:val="18"/>
          <w:color w:val="auto"/>
        </w:rPr>
        <w:t>We expect SG&amp;A expenses to increase in the future as we continue to scale our business, integrate and invest in UACC, invest in and improve our customer experience, and continue expanding our proprietary logistics and reconditioning networks.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315" w:lineRule="exact"/>
        <w:rPr>
          <w:sz w:val="20"/>
          <w:szCs w:val="20"/>
          <w:color w:val="auto"/>
        </w:rPr>
      </w:pPr>
    </w:p>
    <w:p>
      <w:pPr>
        <w:ind w:right="60" w:firstLine="761"/>
        <w:spacing w:after="0" w:line="266" w:lineRule="auto"/>
        <w:rPr>
          <w:sz w:val="20"/>
          <w:szCs w:val="20"/>
          <w:color w:val="auto"/>
        </w:rPr>
      </w:pPr>
      <w:r>
        <w:rPr>
          <w:rFonts w:ascii="Arial" w:cs="Arial" w:eastAsia="Arial" w:hAnsi="Arial"/>
          <w:sz w:val="18"/>
          <w:szCs w:val="18"/>
          <w:color w:val="auto"/>
        </w:rPr>
        <w:t>Depreciation and amortization expenses increased $6.1 million, or 186.4%, from $3.2 million for the nine months ended September 30, 2020 to $9.3 million for the nine months ended September 30, 2021. The increase was primarily due to amortization expense of intangible assets acquired as part of the acquisition of the CarStory business on January</w:t>
      </w: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7, 2021, depreciation of short-haul and long-haul vehicles acquired for our proprietary logistics network and increased depreciation expense as we continue to develop our internal use software.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74" w:lineRule="exact"/>
        <w:rPr>
          <w:sz w:val="20"/>
          <w:szCs w:val="20"/>
          <w:color w:val="auto"/>
        </w:rPr>
      </w:pPr>
    </w:p>
    <w:p>
      <w:pPr>
        <w:ind w:firstLine="761"/>
        <w:spacing w:after="0" w:line="269" w:lineRule="auto"/>
        <w:rPr>
          <w:sz w:val="20"/>
          <w:szCs w:val="20"/>
          <w:color w:val="auto"/>
        </w:rPr>
      </w:pPr>
      <w:r>
        <w:rPr>
          <w:rFonts w:ascii="Arial" w:cs="Arial" w:eastAsia="Arial" w:hAnsi="Arial"/>
          <w:sz w:val="18"/>
          <w:szCs w:val="18"/>
          <w:color w:val="auto"/>
        </w:rPr>
        <w:t>Interest expense increased $8.3 million, or 130.6%, from $6.4 million for the nine months ended September 30, 2020 to $14.7 million for the nine months ended September 30, 2021. The increase was primarily attributable to a higher outstanding balance of the 2020 Vehicle Floorplan Facility due to the increase in vehicle inventory levels as the business continues to scale, which increased interest expense $6.0 million and interest expense incurred on the Notes, which increased interest expense $2.3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4"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Interest income increased $3.3 million, or 84.0%, from $4.0 million for the nine months ended September 30, 2020 to $7.3 million for the nine months ended September 30, 2021. The increase in interest income was primarily driven by higher cash and cash equivalent balances as a result of the issuance of the Notes.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On June 11, 2020, we completed our IPO in which we sold 24,437,500 shares of our common stock, which included 3,187,500 shares sold pursuant to the exercise by the underwriters of an over-allotment option to purchase additional shares, for proceeds of $504.0 million, net of the underwriting discount and before deducting offering expenses of $7.5 million. On September 15, 2020, we completed our follow-on public offering in which we sold 10,800,000 shares of common stock for proceeds of $569.5 million, net of the underwriting discount and before deducting offering expenses of $1.5 million. On June 18, 2021, we issued $625.0 million aggregate principal amount of the Notes for net proceeds of $608.9 million. As of September 30, 2021, we had cash and cash equivalents of $1,326.5 million.</w:t>
      </w:r>
    </w:p>
    <w:p>
      <w:pPr>
        <w:spacing w:after="0" w:line="260" w:lineRule="exact"/>
        <w:rPr>
          <w:sz w:val="20"/>
          <w:szCs w:val="20"/>
          <w:color w:val="auto"/>
        </w:rPr>
      </w:pPr>
    </w:p>
    <w:p>
      <w:pPr>
        <w:ind w:firstLine="761"/>
        <w:spacing w:after="0" w:line="269" w:lineRule="auto"/>
        <w:rPr>
          <w:sz w:val="20"/>
          <w:szCs w:val="20"/>
          <w:color w:val="auto"/>
        </w:rPr>
      </w:pPr>
      <w:r>
        <w:rPr>
          <w:rFonts w:ascii="Arial" w:cs="Arial" w:eastAsia="Arial" w:hAnsi="Arial"/>
          <w:sz w:val="18"/>
          <w:szCs w:val="18"/>
          <w:color w:val="auto"/>
        </w:rPr>
        <w:t>We anticipate that our existing cash and cash equivalents and the 2020 Vehicle Floorplan Facility will be sufficient to support our working capital and capital expenditure requirements for at least the next twelve months from the date of this Quarterly Report on Form 10-Q. For the three and nine months ended September 30, 2021, we generated a net loss. We have not been profitable since our inception in 2012 and we expect to incur additional losses in the future.</w:t>
      </w:r>
    </w:p>
    <w:p>
      <w:pPr>
        <w:spacing w:after="0" w:line="260" w:lineRule="exact"/>
        <w:rPr>
          <w:sz w:val="20"/>
          <w:szCs w:val="20"/>
          <w:color w:val="auto"/>
        </w:rPr>
      </w:pPr>
    </w:p>
    <w:p>
      <w:pPr>
        <w:ind w:right="100" w:firstLine="761"/>
        <w:spacing w:after="0" w:line="267" w:lineRule="auto"/>
        <w:rPr>
          <w:sz w:val="20"/>
          <w:szCs w:val="20"/>
          <w:color w:val="auto"/>
        </w:rPr>
      </w:pPr>
      <w:r>
        <w:rPr>
          <w:rFonts w:ascii="Arial" w:cs="Arial" w:eastAsia="Arial" w:hAnsi="Arial"/>
          <w:sz w:val="18"/>
          <w:szCs w:val="18"/>
          <w:color w:val="auto"/>
        </w:rPr>
        <w:t>We historically have funded vehicle inventory purchases primarily through our floorplan financing arrangements. Our cash flows from operations may differ substantially from our net loss due to non-cash charges or due to changes in balance sheet accounts. The timing of our cash flows from operating activities can also vary among periods due to the timing of payments made or received. Our future capital requirements will depend on many factors, including our rate of revenue growth, our efforts to reduce costs per unit, integration and investment costs for the planned UACC acquisition, the expansion of our inventory, sales and marketing activities, investment in our reconditioning, logistics, and customer experience operations, enhancements to our ecommerce platform, and increased hiring efforts.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293" w:lineRule="exact"/>
        <w:rPr>
          <w:sz w:val="20"/>
          <w:szCs w:val="20"/>
          <w:color w:val="auto"/>
        </w:rPr>
      </w:pPr>
    </w:p>
    <w:p>
      <w:pPr>
        <w:ind w:right="120" w:firstLine="749"/>
        <w:spacing w:after="0" w:line="269"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20" w:lineRule="exact"/>
        <w:rPr>
          <w:sz w:val="20"/>
          <w:szCs w:val="20"/>
          <w:color w:val="auto"/>
        </w:rPr>
      </w:pPr>
    </w:p>
    <w:p>
      <w:pPr>
        <w:ind w:right="40" w:firstLine="749"/>
        <w:spacing w:after="0" w:line="266" w:lineRule="auto"/>
        <w:rPr>
          <w:sz w:val="20"/>
          <w:szCs w:val="20"/>
          <w:color w:val="auto"/>
        </w:rPr>
      </w:pPr>
      <w:r>
        <w:rPr>
          <w:rFonts w:ascii="Arial" w:cs="Arial" w:eastAsia="Arial" w:hAnsi="Arial"/>
          <w:sz w:val="18"/>
          <w:szCs w:val="18"/>
          <w:color w:val="auto"/>
        </w:rPr>
        <w:t>Each $1,000 principal amount of the Notes will initially be convertible into 17.8527 shares of our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certain circumstances:</w:t>
      </w:r>
    </w:p>
    <w:p>
      <w:pPr>
        <w:sectPr>
          <w:pgSz w:w="11900" w:h="16838" w:orient="portrait"/>
          <w:cols w:equalWidth="0" w:num="1">
            <w:col w:w="11220"/>
          </w:cols>
          <w:pgMar w:left="320" w:top="152" w:right="359" w:bottom="1440" w:gutter="0" w:footer="0" w:header="0"/>
        </w:sect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60" w:right="20"/>
        <w:spacing w:after="0" w:line="269" w:lineRule="auto"/>
        <w:rPr>
          <w:sz w:val="20"/>
          <w:szCs w:val="20"/>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260" w:lineRule="exact"/>
        <w:rPr>
          <w:sz w:val="20"/>
          <w:szCs w:val="20"/>
          <w:color w:val="auto"/>
        </w:rPr>
      </w:pPr>
    </w:p>
    <w:p>
      <w:pPr>
        <w:ind w:left="1460" w:right="80"/>
        <w:spacing w:after="0" w:line="271" w:lineRule="auto"/>
        <w:rPr>
          <w:sz w:val="20"/>
          <w:szCs w:val="20"/>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our common stock and the conversion rate of the Notes on such trading day;</w:t>
      </w:r>
    </w:p>
    <w:p>
      <w:pPr>
        <w:spacing w:after="0" w:line="25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If we call any or all of the Notes for redemption; or</w:t>
      </w:r>
    </w:p>
    <w:p>
      <w:pPr>
        <w:spacing w:after="0" w:line="293" w:lineRule="exact"/>
        <w:rPr>
          <w:sz w:val="20"/>
          <w:szCs w:val="20"/>
          <w:color w:val="auto"/>
        </w:rPr>
      </w:pPr>
    </w:p>
    <w:p>
      <w:pPr>
        <w:ind w:left="1460" w:right="80"/>
        <w:spacing w:after="0" w:line="277" w:lineRule="auto"/>
        <w:rPr>
          <w:sz w:val="20"/>
          <w:szCs w:val="20"/>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51"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We may settle conversions by paying or delivering, as applicable, cash, shares of our common stock or a combination of cash and shares of our common stock, at our election.</w:t>
      </w:r>
    </w:p>
    <w:p>
      <w:pPr>
        <w:spacing w:after="0" w:line="251"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We may not redeem the Notes prior to July 6, 2024. On or after July 6, 2024, we may redeem all or any portion of the Notes for cash equal to 100% of the principal amount of the Notes being redeemed plus any accrued and unpaid interest if the last reported sale price of our common stock has been at least 130% of the conversion price then in effect for at least 20 trading days (whether or not consecutive) during any 30 consecutive trading day period.</w:t>
      </w:r>
    </w:p>
    <w:p>
      <w:pPr>
        <w:spacing w:after="0" w:line="260" w:lineRule="exact"/>
        <w:rPr>
          <w:sz w:val="20"/>
          <w:szCs w:val="20"/>
          <w:color w:val="auto"/>
        </w:rPr>
      </w:pPr>
    </w:p>
    <w:p>
      <w:pPr>
        <w:ind w:right="100" w:firstLine="749"/>
        <w:spacing w:after="0" w:line="268" w:lineRule="auto"/>
        <w:rPr>
          <w:sz w:val="20"/>
          <w:szCs w:val="20"/>
          <w:color w:val="auto"/>
        </w:rPr>
      </w:pPr>
      <w:r>
        <w:rPr>
          <w:rFonts w:ascii="Arial" w:cs="Arial" w:eastAsia="Arial" w:hAnsi="Arial"/>
          <w:sz w:val="18"/>
          <w:szCs w:val="18"/>
          <w:color w:val="auto"/>
        </w:rPr>
        <w:t>If we undergo a fundamental change (as defined in the Indenture), subject to certain conditions, holders of the Notes may require us to repurchase for cash all or any portion of their Notes at a repurchase price equal to 100% of the principal amount of the Notes plus any accrued and unpaid interest. In addition, if specific corporate events occur prior to the maturity date or if we issue a notice of redemption, we will increase the conversion rate by pre-defined amounts for a holder who elects to convert their Notes in connection with such a corporate event. During the nine months ended September 30, 2021, the conditions allowing holders of the Notes to convert were not met.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53" w:lineRule="exact"/>
        <w:rPr>
          <w:sz w:val="20"/>
          <w:szCs w:val="20"/>
          <w:color w:val="auto"/>
        </w:rPr>
      </w:pPr>
    </w:p>
    <w:p>
      <w:pPr>
        <w:ind w:right="580" w:firstLine="761"/>
        <w:spacing w:after="0" w:line="277" w:lineRule="auto"/>
        <w:rPr>
          <w:sz w:val="20"/>
          <w:szCs w:val="20"/>
          <w:color w:val="auto"/>
        </w:rPr>
      </w:pPr>
      <w:r>
        <w:rPr>
          <w:rFonts w:ascii="Arial" w:cs="Arial" w:eastAsia="Arial" w:hAnsi="Arial"/>
          <w:sz w:val="18"/>
          <w:szCs w:val="18"/>
          <w:color w:val="auto"/>
        </w:rPr>
        <w:t>As of September 30, 2021, we finance our inventory primarily through a vehicle floorplan facility (the “2020 Vehicle Floorplan Facility”) with Ally Bank and Ally Financial (together, "Ally"), which provides a committed credit line of up to $450.0 million.</w:t>
      </w:r>
    </w:p>
    <w:p>
      <w:pPr>
        <w:spacing w:after="0" w:line="197"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$8.5 million was available under this facility as of September 30, 2021. The maturity date of the 2020 Vehicle Floorplan Facility is September 30, 2022. We are required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w:t>
      </w:r>
    </w:p>
    <w:p>
      <w:pPr>
        <w:spacing w:after="0" w:line="205" w:lineRule="exact"/>
        <w:rPr>
          <w:sz w:val="20"/>
          <w:szCs w:val="20"/>
          <w:color w:val="auto"/>
        </w:rPr>
      </w:pPr>
    </w:p>
    <w:p>
      <w:pPr>
        <w:ind w:right="300" w:firstLine="761"/>
        <w:spacing w:after="0" w:line="269" w:lineRule="auto"/>
        <w:rPr>
          <w:sz w:val="20"/>
          <w:szCs w:val="20"/>
          <w:color w:val="auto"/>
        </w:rPr>
      </w:pPr>
      <w:r>
        <w:rPr>
          <w:rFonts w:ascii="Arial" w:cs="Arial" w:eastAsia="Arial" w:hAnsi="Arial"/>
          <w:sz w:val="18"/>
          <w:szCs w:val="18"/>
          <w:color w:val="auto"/>
        </w:rPr>
        <w:t>Outstanding borrowings are due as the vehicles financed are sold, or in any event, on the maturity date. The 2020 Vehicle Floorplan Facility bears interest at a rate equal to the 1-Month LIBOR rate applicable in the immediately preceding month plus a spread of 425 basis points. We are party to a Credit Balance Agreement that permits us to deposit cash with Ally for the purpose of reducing the amount of interest payable for borrowings under the 2020 Vehicle Floorplan Facility.</w:t>
      </w:r>
    </w:p>
    <w:p>
      <w:pPr>
        <w:spacing w:after="0" w:line="206" w:lineRule="exact"/>
        <w:rPr>
          <w:sz w:val="20"/>
          <w:szCs w:val="20"/>
          <w:color w:val="auto"/>
        </w:rPr>
      </w:pPr>
    </w:p>
    <w:p>
      <w:pPr>
        <w:ind w:right="940" w:firstLine="761"/>
        <w:spacing w:after="0" w:line="266" w:lineRule="auto"/>
        <w:rPr>
          <w:sz w:val="20"/>
          <w:szCs w:val="20"/>
          <w:color w:val="auto"/>
        </w:rPr>
      </w:pPr>
      <w:r>
        <w:rPr>
          <w:rFonts w:ascii="Arial" w:cs="Arial" w:eastAsia="Arial" w:hAnsi="Arial"/>
          <w:sz w:val="18"/>
          <w:szCs w:val="18"/>
          <w:color w:val="auto"/>
        </w:rPr>
        <w:t>We are currently in discussions with lenders regarding an increase to our committed credit line and other adjustments to accommodate our anticipated growth and the acquisition of UACC.</w:t>
      </w: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w:t>
      </w:r>
    </w:p>
    <w:p>
      <w:pPr>
        <w:spacing w:after="0" w:line="280"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236"/>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(325,459 )</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(182,874 )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(94,661 )</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(5,057 )</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726,198</w:t>
            </w:r>
          </w:p>
        </w:tc>
        <w:tc>
          <w:tcPr>
            <w:tcW w:w="1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1,157,667</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42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306,078</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969,736</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1,090,039</w:t>
            </w:r>
          </w:p>
        </w:tc>
        <w:tc>
          <w:tcPr>
            <w:tcW w:w="1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219,587</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1,396,117</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1,189,323</w:t>
            </w:r>
          </w:p>
        </w:tc>
      </w:tr>
      <w:tr>
        <w:trPr>
          <w:trHeight w:val="20"/>
        </w:trPr>
        <w:tc>
          <w:tcPr>
            <w:tcW w:w="7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-527685</wp:posOffset>
            </wp:positionV>
            <wp:extent cx="111125" cy="168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16827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11125" cy="1943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19431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15"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Net cash flows used in operating activities changed by $142.6 million from $182.9 million for the nine months ended September 30, 2020 to $325.5 million for the nine months ended September 30, 2021. The change is primarily attributable to $105.0 million in incremental net loss after reconciling adjustments for the nine months ended September 30, 2021 as compared to the nine months ended September 30, 2020 as well as an increase in working capital, resulting in an increase in the use of cash of $37.6 million.</w:t>
      </w:r>
    </w:p>
    <w:p>
      <w:pPr>
        <w:spacing w:after="0" w:line="220" w:lineRule="exact"/>
        <w:rPr>
          <w:sz w:val="20"/>
          <w:szCs w:val="20"/>
          <w:color w:val="auto"/>
        </w:rPr>
      </w:pPr>
    </w:p>
    <w:p>
      <w:pPr>
        <w:jc w:val="both"/>
        <w:ind w:right="240" w:firstLine="761"/>
        <w:spacing w:after="0" w:line="271" w:lineRule="auto"/>
        <w:rPr>
          <w:sz w:val="20"/>
          <w:szCs w:val="20"/>
          <w:color w:val="auto"/>
        </w:rPr>
      </w:pPr>
      <w:r>
        <w:rPr>
          <w:rFonts w:ascii="Arial" w:cs="Arial" w:eastAsia="Arial" w:hAnsi="Arial"/>
          <w:sz w:val="18"/>
          <w:szCs w:val="18"/>
          <w:color w:val="auto"/>
        </w:rPr>
        <w:t>We finance substantially all our inventories with the 2020 Vehicle Floorplan Facility. In accordance with U.S. GAAP relating to the statement of cash flows, we report all cash flows arising in connection with the 2020 Vehicle Floorplan Facility, as a financing activity in our statement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74"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Net cash flows used in investing activities increased $89.6 million, from $5.1 million for the nine months ended September 30, 2020 to $94.7 million for the nine months ended September 30, 2021, primarily as a result of the acquisition of the CarStory business on January 7, 2021 which resulted in cash outflow of $75.9 million and the acquisition of short-haul and long-haul vehicles for our proprietary logistics network.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0" w:lineRule="exact"/>
        <w:rPr>
          <w:sz w:val="20"/>
          <w:szCs w:val="20"/>
          <w:color w:val="auto"/>
        </w:rPr>
      </w:pPr>
    </w:p>
    <w:p>
      <w:pPr>
        <w:ind w:right="20" w:firstLine="761"/>
        <w:spacing w:after="0" w:line="268" w:lineRule="auto"/>
        <w:rPr>
          <w:sz w:val="20"/>
          <w:szCs w:val="20"/>
          <w:color w:val="auto"/>
        </w:rPr>
      </w:pPr>
      <w:r>
        <w:rPr>
          <w:rFonts w:ascii="Arial" w:cs="Arial" w:eastAsia="Arial" w:hAnsi="Arial"/>
          <w:sz w:val="18"/>
          <w:szCs w:val="18"/>
          <w:color w:val="auto"/>
        </w:rPr>
        <w:t>Net cash flows provided by financing activities decreased $431.5 million from $1,157.7 million for the nine months ended September 30, 2020 to $726.2 million for the nine months ended September 30, 2021. The decrease was primarily related to net proceeds of $569.3 million received upon completion of the follow-on public offering, $497.2 million received upon completion of the IPO, and $21.7 million related to the net issuance of Series H preferred stock in 2020. The decrease was partially offset by net proceeds of $608.9 million received upon issuance of the Notes as well as a net increase of $37.9 million related to our Vehicle Floorplan for the nine months ended September 30, 2021.</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There have been no material changes to our contractual obligations or commitments outside of the ordinary course of business as compared to those described in our Annual Report.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 Balance Sheet Arrangements</w:t>
      </w:r>
    </w:p>
    <w:p>
      <w:pPr>
        <w:spacing w:after="0" w:line="315"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5" w:lineRule="exact"/>
        <w:rPr>
          <w:sz w:val="20"/>
          <w:szCs w:val="20"/>
          <w:color w:val="auto"/>
        </w:rPr>
      </w:pPr>
    </w:p>
    <w:p>
      <w:pPr>
        <w:ind w:right="140" w:firstLine="761"/>
        <w:spacing w:after="0" w:line="268"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in accordance with U.S. GAAP. In preparing the condensed consolidated financial statements, we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05"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we may face.</w:t>
      </w:r>
    </w:p>
    <w:p>
      <w:pPr>
        <w:spacing w:after="0" w:line="232" w:lineRule="exact"/>
        <w:rPr>
          <w:sz w:val="20"/>
          <w:szCs w:val="20"/>
          <w:color w:val="auto"/>
        </w:rPr>
      </w:pPr>
    </w:p>
    <w:p>
      <w:pPr>
        <w:ind w:right="140" w:firstLine="761"/>
        <w:spacing w:after="0" w:line="269"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w:t>
      </w:r>
    </w:p>
    <w:p>
      <w:pPr>
        <w:spacing w:after="0" w:line="220" w:lineRule="exact"/>
        <w:rPr>
          <w:sz w:val="20"/>
          <w:szCs w:val="20"/>
          <w:color w:val="auto"/>
        </w:rPr>
      </w:pPr>
    </w:p>
    <w:p>
      <w:pPr>
        <w:jc w:val="both"/>
        <w:ind w:right="340" w:firstLine="761"/>
        <w:spacing w:after="0" w:line="271" w:lineRule="auto"/>
        <w:rPr>
          <w:sz w:val="20"/>
          <w:szCs w:val="20"/>
          <w:color w:val="auto"/>
        </w:rPr>
      </w:pPr>
      <w:r>
        <w:rPr>
          <w:rFonts w:ascii="Arial" w:cs="Arial" w:eastAsia="Arial" w:hAnsi="Arial"/>
          <w:sz w:val="18"/>
          <w:szCs w:val="18"/>
          <w:color w:val="auto"/>
        </w:rPr>
        <w:t>Except as described in Note 2 to our condensed consolidated financial statements, there have been no material changes to our critical accounting policies and estimates as compared to the critical accounting policies and estimates disclosed in our Annual Report on Form 10-K for the year ended December 31, 2020.</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315"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See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47" w:lineRule="exact"/>
        <w:rPr>
          <w:sz w:val="20"/>
          <w:szCs w:val="20"/>
          <w:color w:val="auto"/>
        </w:rPr>
      </w:pPr>
    </w:p>
    <w:p>
      <w:pPr>
        <w:ind w:right="80" w:firstLine="761"/>
        <w:spacing w:after="0" w:line="261"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9" w:lineRule="exact"/>
        <w:rPr>
          <w:sz w:val="20"/>
          <w:szCs w:val="20"/>
          <w:color w:val="auto"/>
        </w:rPr>
      </w:pPr>
    </w:p>
    <w:p>
      <w:pPr>
        <w:ind w:right="260" w:firstLine="761"/>
        <w:spacing w:after="0" w:line="254" w:lineRule="auto"/>
        <w:rPr>
          <w:sz w:val="20"/>
          <w:szCs w:val="20"/>
          <w:color w:val="auto"/>
        </w:rPr>
      </w:pPr>
      <w:r>
        <w:rPr>
          <w:rFonts w:ascii="Arial" w:cs="Arial" w:eastAsia="Arial" w:hAnsi="Arial"/>
          <w:sz w:val="18"/>
          <w:szCs w:val="18"/>
          <w:color w:val="auto"/>
        </w:rPr>
        <w:t>As of September 30, 2021, we had an outstanding balance under the 2020 Vehicle Floorplan Facility of $441.5 million. The 2020 Vehicle Floorplan Facility bears interest at a rate equal to the 1-Month LIBOR rate applicable in the immediately preceding month, plus a spread of 425 basis points. A hypothetical 10% change in interest rates during the periods presented would result in a change to interest expense of $0.5 million and $1.2 million for the three and nine months ended September 30, 2021, respectively.</w:t>
      </w:r>
    </w:p>
    <w:p>
      <w:pPr>
        <w:spacing w:after="0" w:line="96" w:lineRule="exact"/>
        <w:rPr>
          <w:sz w:val="20"/>
          <w:szCs w:val="20"/>
          <w:color w:val="auto"/>
        </w:rPr>
      </w:pPr>
    </w:p>
    <w:p>
      <w:pPr>
        <w:ind w:right="420" w:firstLine="761"/>
        <w:spacing w:after="0" w:line="261" w:lineRule="auto"/>
        <w:rPr>
          <w:sz w:val="20"/>
          <w:szCs w:val="20"/>
          <w:color w:val="auto"/>
        </w:rPr>
      </w:pPr>
      <w:r>
        <w:rPr>
          <w:rFonts w:ascii="Arial" w:cs="Arial" w:eastAsia="Arial" w:hAnsi="Arial"/>
          <w:sz w:val="18"/>
          <w:szCs w:val="18"/>
          <w:color w:val="auto"/>
        </w:rPr>
        <w:t>As of September 30, 2021, we had an outstanding principal balance on our Notes of $625.0 million. As the interest rate on the Notes is fixed, we do not have exposure to interest rate risk.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47" w:lineRule="exact"/>
        <w:rPr>
          <w:sz w:val="20"/>
          <w:szCs w:val="20"/>
          <w:color w:val="auto"/>
        </w:rPr>
      </w:pPr>
    </w:p>
    <w:p>
      <w:pPr>
        <w:ind w:right="80" w:firstLine="761"/>
        <w:spacing w:after="0" w:line="25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8" w:lineRule="exact"/>
        <w:rPr>
          <w:sz w:val="20"/>
          <w:szCs w:val="20"/>
          <w:color w:val="auto"/>
        </w:rPr>
      </w:pPr>
    </w:p>
    <w:p>
      <w:pPr>
        <w:ind w:right="20" w:firstLine="761"/>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September 30, 2021,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274" w:lineRule="exact"/>
        <w:rPr>
          <w:sz w:val="20"/>
          <w:szCs w:val="20"/>
          <w:color w:val="auto"/>
        </w:rPr>
      </w:pPr>
    </w:p>
    <w:p>
      <w:pPr>
        <w:ind w:right="20" w:firstLine="761"/>
        <w:spacing w:after="0" w:line="26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223" w:lineRule="exact"/>
        <w:rPr>
          <w:sz w:val="20"/>
          <w:szCs w:val="20"/>
          <w:color w:val="auto"/>
        </w:rPr>
      </w:pPr>
    </w:p>
    <w:p>
      <w:pPr>
        <w:jc w:val="both"/>
        <w:ind w:left="980" w:right="20"/>
        <w:spacing w:after="0" w:line="269" w:lineRule="auto"/>
        <w:rPr>
          <w:sz w:val="20"/>
          <w:szCs w:val="20"/>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25" w:lineRule="exact"/>
        <w:rPr>
          <w:sz w:val="20"/>
          <w:szCs w:val="20"/>
          <w:color w:val="auto"/>
        </w:rPr>
      </w:pPr>
    </w:p>
    <w:p>
      <w:pPr>
        <w:ind w:left="980" w:right="100"/>
        <w:spacing w:after="0" w:line="268" w:lineRule="auto"/>
        <w:rPr>
          <w:sz w:val="20"/>
          <w:szCs w:val="20"/>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87" w:lineRule="exact"/>
        <w:rPr>
          <w:sz w:val="20"/>
          <w:szCs w:val="20"/>
          <w:color w:val="auto"/>
        </w:rPr>
      </w:pPr>
    </w:p>
    <w:p>
      <w:pPr>
        <w:ind w:firstLine="761"/>
        <w:spacing w:after="0" w:line="269" w:lineRule="auto"/>
        <w:rPr>
          <w:sz w:val="20"/>
          <w:szCs w:val="20"/>
          <w:color w:val="auto"/>
        </w:rPr>
      </w:pPr>
      <w:r>
        <w:rPr>
          <w:rFonts w:ascii="Arial" w:cs="Arial" w:eastAsia="Arial" w:hAnsi="Arial"/>
          <w:sz w:val="18"/>
          <w:szCs w:val="18"/>
          <w:color w:val="auto"/>
        </w:rPr>
        <w:t>The control deficiencies described above did not result in a misstatement to our annual or interim consolidated financial statements. However, each of the control deficiencies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20"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right="180" w:firstLine="761"/>
        <w:spacing w:after="0" w:line="268" w:lineRule="auto"/>
        <w:rPr>
          <w:sz w:val="20"/>
          <w:szCs w:val="20"/>
          <w:color w:val="auto"/>
        </w:rPr>
      </w:pPr>
      <w:r>
        <w:rPr>
          <w:rFonts w:ascii="Arial" w:cs="Arial" w:eastAsia="Arial" w:hAnsi="Arial"/>
          <w:sz w:val="18"/>
          <w:szCs w:val="18"/>
          <w:color w:val="auto"/>
        </w:rPr>
        <w:t>During the years ended December 31, 2019 and 2020, we commenced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Further, we have continued to take additional steps to remediate these material weaknesses, including:</w:t>
      </w:r>
    </w:p>
    <w:p>
      <w:pPr>
        <w:spacing w:after="0" w:line="221"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hired additional qualified accounting, financial reporting and information technology personnel with public company experience, including a Chief Information Security Officer;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additional training for our personnel on internal control over financial reporting;</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implemented new financial systems and processes;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implemented additional review controls and processes and timely preparation of account reconciliations and analyses;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implemented processes and controls to better identify and manage segregation of duties; and</w:t>
      </w:r>
    </w:p>
    <w:p>
      <w:pPr>
        <w:spacing w:after="0" w:line="158"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engaged an external advisor to assist with evaluating and documenting the design and operating effectiveness of internal controls and assisting with the remediation of deficiencies, as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firstLine="761"/>
        <w:spacing w:after="0" w:line="268" w:lineRule="auto"/>
        <w:rPr>
          <w:sz w:val="20"/>
          <w:szCs w:val="20"/>
          <w:color w:val="auto"/>
        </w:rPr>
      </w:pPr>
      <w:r>
        <w:rPr>
          <w:rFonts w:ascii="Arial" w:cs="Arial" w:eastAsia="Arial" w:hAnsi="Arial"/>
          <w:sz w:val="18"/>
          <w:szCs w:val="18"/>
          <w:color w:val="auto"/>
        </w:rPr>
        <w:t>While we believe that the efforts, as described above, have improved our internal control over financial reporting, the implementation of our remediation for the material weaknesses is ongoing and requires validation and testing of the design and operating effectiveness of internal controls over a sustained period of financial reporting cycles. Accordingly, we will not be able to fully remediate these material weaknesses until these steps have been completed. Except as otherwise described herein, there was no change in our internal control over financial reporting (as defined in Rules 13a-15(f) and 15d-15(f) under the Exchange Act) during the three months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0" w:firstLine="749"/>
        <w:spacing w:after="0" w:line="250"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consolidated case is in preliminary stages, and the Company anticipates filing a motion to dismiss all claims.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 In August 2021, one of the Company’s stockholders filed a derivative lawsuit on behalf of the Company in the U.S. District Court for the Southern District of New York against certain of the Company’s officers and directors, and nominally against the Company, alleging a violation of the federal securities laws and breach of fiduciary duty to the Company based on the same general course of conduct alleged in In re: Vroom, Inc. Securities Litigation. This lawsuit is captioned Rainey v. Hennessy et al., Case No. 21-cv-6933. The Court deemed this case “related” to In re: Vroom, Inc. Securities Litigation and stayed all proceedings pending final resolution of In re: Vroom, Inc. Securities Litigation. On November 8, 2021, a similar purported shareholder derivative lawsuit captioned Salli v. Hennessy et al., Case No. 1:21-cv-09237, was filed against the Company (as a nominal defendant only) and certain of our directors and officers in the U.S. District Court for the Southern District of New York, alleging breach of fiduciary duty, related violations of Delaware law, and breaches of various provisions of the Exchange Act. The lawsuit is based on the same general course of conduct alleged in In re: Vroom, Inc. Securities Litigation and Rainey. The plaintiff in Salli marked that case as “related” to Rainey.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 xml:space="preserve">Our operations and financial results are subject to various risks and uncertainties including those disclosed under “Item 1A. Risk Factors” in our </w:t>
      </w:r>
      <w:r>
        <w:rPr>
          <w:rFonts w:ascii="Arial" w:cs="Arial" w:eastAsia="Arial" w:hAnsi="Arial"/>
          <w:sz w:val="17"/>
          <w:szCs w:val="17"/>
          <w:u w:val="single" w:color="auto"/>
          <w:color w:val="auto"/>
        </w:rPr>
        <w:t>Annual Report</w:t>
      </w:r>
      <w:r>
        <w:rPr>
          <w:rFonts w:ascii="Arial" w:cs="Arial" w:eastAsia="Arial" w:hAnsi="Arial"/>
          <w:sz w:val="17"/>
          <w:szCs w:val="17"/>
          <w:color w:val="auto"/>
        </w:rPr>
        <w:t xml:space="preserve">. We provide below the material changes to our risk factors described in our </w:t>
      </w:r>
      <w:r>
        <w:rPr>
          <w:rFonts w:ascii="Arial" w:cs="Arial" w:eastAsia="Arial" w:hAnsi="Arial"/>
          <w:sz w:val="17"/>
          <w:szCs w:val="17"/>
          <w:u w:val="single" w:color="auto"/>
          <w:color w:val="auto"/>
        </w:rPr>
        <w:t>Annual Report</w:t>
      </w:r>
      <w:r>
        <w:rPr>
          <w:rFonts w:ascii="Arial" w:cs="Arial" w:eastAsia="Arial" w:hAnsi="Arial"/>
          <w:sz w:val="17"/>
          <w:szCs w:val="17"/>
          <w:u w:val="single" w:color="auto"/>
          <w:color w:val="0563C1"/>
        </w:rPr>
        <w:t>.</w:t>
      </w:r>
      <w:r>
        <w:rPr>
          <w:rFonts w:ascii="Arial" w:cs="Arial" w:eastAsia="Arial" w:hAnsi="Arial"/>
          <w:sz w:val="17"/>
          <w:szCs w:val="17"/>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236" w:lineRule="exact"/>
        <w:rPr>
          <w:sz w:val="20"/>
          <w:szCs w:val="20"/>
          <w:color w:val="auto"/>
        </w:rPr>
      </w:pPr>
    </w:p>
    <w:p>
      <w:pPr>
        <w:ind w:right="40" w:firstLine="636"/>
        <w:spacing w:after="0" w:line="334"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80" w:lineRule="exact"/>
        <w:rPr>
          <w:sz w:val="20"/>
          <w:szCs w:val="20"/>
          <w:color w:val="auto"/>
        </w:rPr>
      </w:pPr>
    </w:p>
    <w:p>
      <w:pPr>
        <w:ind w:right="40" w:firstLine="636"/>
        <w:spacing w:after="0" w:line="256" w:lineRule="auto"/>
        <w:rPr>
          <w:sz w:val="20"/>
          <w:szCs w:val="20"/>
          <w:color w:val="auto"/>
        </w:rPr>
      </w:pPr>
      <w:r>
        <w:rPr>
          <w:rFonts w:ascii="Arial" w:cs="Arial" w:eastAsia="Arial" w:hAnsi="Arial"/>
          <w:sz w:val="18"/>
          <w:szCs w:val="18"/>
          <w:color w:val="auto"/>
        </w:rPr>
        <w:t>Governmental authorities around the world have implemented measures to reduce the spread of COVID-19. These measures have adversely affected workforces, customers, supply chains, consumer sentiment, economies, and financial markets, and, along with decreased consumer spending, led to an economic downturn across many global economies.</w:t>
      </w:r>
    </w:p>
    <w:p>
      <w:pPr>
        <w:spacing w:after="0" w:line="161" w:lineRule="exact"/>
        <w:rPr>
          <w:sz w:val="20"/>
          <w:szCs w:val="20"/>
          <w:color w:val="auto"/>
        </w:rPr>
      </w:pPr>
    </w:p>
    <w:p>
      <w:pPr>
        <w:ind w:firstLine="636"/>
        <w:spacing w:after="0" w:line="251" w:lineRule="auto"/>
        <w:rPr>
          <w:sz w:val="20"/>
          <w:szCs w:val="20"/>
          <w:color w:val="auto"/>
        </w:rPr>
      </w:pPr>
      <w:r>
        <w:rPr>
          <w:rFonts w:ascii="Arial" w:cs="Arial" w:eastAsia="Arial" w:hAnsi="Arial"/>
          <w:sz w:val="18"/>
          <w:szCs w:val="18"/>
          <w:color w:val="auto"/>
        </w:rPr>
        <w:t>The COVID-19 pandemic rapidly escalated in the United States, creating significant uncertainty and economic disruption, and leading to record levels of unemployment nationally. Numerous state and local jurisdictions imposed, and others in the future may impose, shelter-in-place orders, quarantines, shut-downs or restrictions on operations of non-essential businesses, and similar government orders and restrictions on their residents to control the spread of COVID-19. While such orders or restrictions have been lifted in many jurisdictions, certain of those orders have been or may be re-instated, new orders have been imposed and future orders may be imposed as the COVID-19 pandemic continues and new variants of the virus surface. Such orders or restrictions resulted in temporary facility closures (including certain of our third-party VRCs), work stoppages, slowdowns and travel restrictions, among other effects, thereby adversely impacting our operations. While vaccination efforts have led to the lifting of many of the shut-down orders and restrictions across the country, due to the evolving nature of the COVID-19 crisis, including the spread of new variants of the virus, and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uncertainties surrounding the efficacy of vaccines and other treatments for COVID-19, including with respect to the success of vaccination efforts, we continue to monitor the situation closely and assess the impact on our business.</w:t>
      </w:r>
    </w:p>
    <w:p>
      <w:pPr>
        <w:spacing w:after="0" w:line="198" w:lineRule="exact"/>
        <w:rPr>
          <w:sz w:val="20"/>
          <w:szCs w:val="20"/>
          <w:color w:val="auto"/>
        </w:rPr>
      </w:pPr>
    </w:p>
    <w:p>
      <w:pPr>
        <w:ind w:firstLine="644"/>
        <w:spacing w:after="0" w:line="251"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These measures included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The TDA dealership, our Stafford, TX reconditioning center and our back-office facility in Houston continued to remain open during the year ended December 31, 2020 and through the date of this Quarterly Report on Form 10-Q. The nature of work over the last year has been greatly altered by COVID-19 and related protocols which have, in turn, broadly shifted employee sentiment regarding in-person work, compensation, and flexibility. As many state and local jurisdictions lift shelter-in-place orders, quarantines, shut-downs or restrictions on operations of non-essential businesses, and similar government orders and restrictions, we have begun modifying our policies and practice regarding in-person work and intend to begin re-opening additional offices and instituting return-to-office policies on a modified basis for some employees who have been working remotely throughout the pandemic. All actions will be taken in accordance with updated state and local health and safety guidance and requirements for in-office work. Nevertheless,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The various workforce health and safety measures we have taken have led to increased operating expenses and future health and safety measures may lead to further increases.</w:t>
      </w:r>
    </w:p>
    <w:p>
      <w:pPr>
        <w:spacing w:after="0" w:line="166" w:lineRule="exact"/>
        <w:rPr>
          <w:sz w:val="20"/>
          <w:szCs w:val="20"/>
          <w:color w:val="auto"/>
        </w:rPr>
      </w:pPr>
    </w:p>
    <w:p>
      <w:pPr>
        <w:ind w:right="20" w:firstLine="636"/>
        <w:spacing w:after="0" w:line="252"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including the efficacy of vaccines and other treatments for COVID-19, including with respect to the success of vaccination efforts,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67" w:lineRule="exact"/>
        <w:rPr>
          <w:sz w:val="20"/>
          <w:szCs w:val="20"/>
          <w:color w:val="auto"/>
        </w:rPr>
      </w:pPr>
    </w:p>
    <w:p>
      <w:pPr>
        <w:ind w:right="60" w:firstLine="636"/>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to the COVID-19 disruptions described above, the pandemic may also have the effect of heightening many of the other risks described under “Item 1A. Risk Factors” in our </w:t>
      </w:r>
      <w:hyperlink r:id="rId317">
        <w:r>
          <w:rPr>
            <w:rFonts w:ascii="Arial" w:cs="Arial" w:eastAsia="Arial" w:hAnsi="Arial"/>
            <w:sz w:val="18"/>
            <w:szCs w:val="18"/>
            <w:u w:val="single" w:color="auto"/>
            <w:color w:val="0563C1"/>
          </w:rPr>
          <w:t>Annual Report on Form 10-K for the year ended December 31, 2020</w:t>
        </w:r>
      </w:hyperlink>
      <w:r>
        <w:rPr>
          <w:rFonts w:ascii="Arial" w:cs="Arial" w:eastAsia="Arial" w:hAnsi="Arial"/>
          <w:sz w:val="18"/>
          <w:szCs w:val="18"/>
          <w:color w:val="auto"/>
        </w:rPr>
        <w:t>, including risks relating to changes in consumer demand; our limited operating history; our ability to generate sufficient revenue to generate positive cash flow; the operation of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-854075</wp:posOffset>
            </wp:positionV>
            <wp:extent cx="34550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spacing w:after="0" w:line="177" w:lineRule="exact"/>
        <w:rPr>
          <w:sz w:val="20"/>
          <w:szCs w:val="20"/>
          <w:color w:val="auto"/>
        </w:rPr>
      </w:pPr>
    </w:p>
    <w:p>
      <w:pPr>
        <w:ind w:right="260" w:firstLine="749"/>
        <w:spacing w:after="0" w:line="335"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65" w:lineRule="exact"/>
        <w:rPr>
          <w:sz w:val="20"/>
          <w:szCs w:val="20"/>
          <w:color w:val="auto"/>
        </w:rPr>
      </w:pPr>
    </w:p>
    <w:p>
      <w:pPr>
        <w:ind w:right="420" w:firstLine="749"/>
        <w:spacing w:after="0" w:line="294" w:lineRule="auto"/>
        <w:rPr>
          <w:sz w:val="20"/>
          <w:szCs w:val="20"/>
          <w:color w:val="auto"/>
        </w:rPr>
      </w:pPr>
      <w:r>
        <w:rPr>
          <w:rFonts w:ascii="Arial" w:cs="Arial" w:eastAsia="Arial" w:hAnsi="Arial"/>
          <w:sz w:val="17"/>
          <w:szCs w:val="17"/>
          <w:color w:val="auto"/>
        </w:rPr>
        <w:t>As of September 30, 2021, we, including our subsidiaries, had approximately $1,051.3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increasing our vulnerability to adverse economic and industry conditions;</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limiting our ability to obtain additional financing;</w:t>
      </w:r>
    </w:p>
    <w:p>
      <w:pPr>
        <w:spacing w:after="0" w:line="252" w:lineRule="exact"/>
        <w:rPr>
          <w:sz w:val="20"/>
          <w:szCs w:val="20"/>
          <w:color w:val="auto"/>
        </w:rPr>
      </w:pPr>
    </w:p>
    <w:p>
      <w:pPr>
        <w:ind w:left="1460" w:right="320"/>
        <w:spacing w:after="0" w:line="277" w:lineRule="auto"/>
        <w:rPr>
          <w:sz w:val="20"/>
          <w:szCs w:val="20"/>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limiting our flexibility to plan for, or react to, changes in our business;</w:t>
      </w:r>
    </w:p>
    <w:p>
      <w:pPr>
        <w:spacing w:after="0" w:line="252" w:lineRule="exact"/>
        <w:rPr>
          <w:sz w:val="20"/>
          <w:szCs w:val="20"/>
          <w:color w:val="auto"/>
        </w:rPr>
      </w:pPr>
    </w:p>
    <w:p>
      <w:pPr>
        <w:ind w:left="1460" w:right="80"/>
        <w:spacing w:after="0" w:line="277" w:lineRule="auto"/>
        <w:rPr>
          <w:sz w:val="20"/>
          <w:szCs w:val="20"/>
          <w:color w:val="auto"/>
        </w:rPr>
      </w:pPr>
      <w:r>
        <w:rPr>
          <w:rFonts w:ascii="Arial" w:cs="Arial" w:eastAsia="Arial" w:hAnsi="Arial"/>
          <w:sz w:val="18"/>
          <w:szCs w:val="18"/>
          <w:color w:val="auto"/>
        </w:rPr>
        <w:t>diluting the interests of our existing stockholders as a result of issuing shares of our common stock upon conversion of our 0.75% convertible senior notes due 2026, which we refer to as our notes; and</w:t>
      </w:r>
    </w:p>
    <w:p>
      <w:pPr>
        <w:spacing w:after="0" w:line="211" w:lineRule="exact"/>
        <w:rPr>
          <w:sz w:val="20"/>
          <w:szCs w:val="20"/>
          <w:color w:val="auto"/>
        </w:rPr>
      </w:pPr>
    </w:p>
    <w:p>
      <w:pPr>
        <w:ind w:left="1460"/>
        <w:spacing w:after="0" w:line="277" w:lineRule="auto"/>
        <w:rPr>
          <w:sz w:val="20"/>
          <w:szCs w:val="20"/>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11" w:lineRule="exact"/>
        <w:rPr>
          <w:sz w:val="20"/>
          <w:szCs w:val="20"/>
          <w:color w:val="auto"/>
        </w:rPr>
      </w:pPr>
    </w:p>
    <w:p>
      <w:pPr>
        <w:ind w:right="260" w:firstLine="749"/>
        <w:spacing w:after="0" w:line="268"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98" w:lineRule="exact"/>
        <w:rPr>
          <w:sz w:val="20"/>
          <w:szCs w:val="20"/>
          <w:color w:val="auto"/>
        </w:rPr>
      </w:pPr>
    </w:p>
    <w:p>
      <w:pPr>
        <w:ind w:right="280" w:firstLine="749"/>
        <w:spacing w:after="0" w:line="303"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88" w:lineRule="exact"/>
        <w:rPr>
          <w:sz w:val="20"/>
          <w:szCs w:val="20"/>
          <w:color w:val="auto"/>
        </w:rPr>
      </w:pPr>
    </w:p>
    <w:p>
      <w:pPr>
        <w:ind w:right="20" w:firstLine="749"/>
        <w:spacing w:after="0" w:line="268" w:lineRule="auto"/>
        <w:rPr>
          <w:sz w:val="20"/>
          <w:szCs w:val="20"/>
          <w:color w:val="auto"/>
        </w:rPr>
      </w:pPr>
      <w:r>
        <w:rPr>
          <w:rFonts w:ascii="Arial" w:cs="Arial" w:eastAsia="Arial" w:hAnsi="Arial"/>
          <w:sz w:val="18"/>
          <w:szCs w:val="18"/>
          <w:color w:val="auto"/>
        </w:rPr>
        <w:t>On June 18, 2021, we issued $625.0 million aggregate principal amount of 0.75% Convertible Senior Notes due 2026 (the “Notes”).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96" w:lineRule="exact"/>
        <w:rPr>
          <w:sz w:val="20"/>
          <w:szCs w:val="20"/>
          <w:color w:val="auto"/>
        </w:rPr>
      </w:pPr>
    </w:p>
    <w:p>
      <w:pPr>
        <w:ind w:right="100" w:firstLine="749"/>
        <w:spacing w:after="0" w:line="303"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88" w:lineRule="exact"/>
        <w:rPr>
          <w:sz w:val="20"/>
          <w:szCs w:val="20"/>
          <w:color w:val="auto"/>
        </w:rPr>
      </w:pPr>
    </w:p>
    <w:p>
      <w:pPr>
        <w:ind w:right="40" w:firstLine="749"/>
        <w:spacing w:after="0" w:line="267"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September 30, 2021, we had reserved 2,597,249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88" w:lineRule="exact"/>
        <w:rPr>
          <w:sz w:val="20"/>
          <w:szCs w:val="20"/>
          <w:color w:val="auto"/>
        </w:rPr>
      </w:pPr>
    </w:p>
    <w:p>
      <w:pPr>
        <w:ind w:right="580" w:firstLine="636"/>
        <w:spacing w:after="0" w:line="287"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may decline regardless of our operating performance, and you may not be able to resell your shares at or above the price which you paid for them.</w:t>
      </w:r>
    </w:p>
    <w:p>
      <w:pPr>
        <w:spacing w:after="0" w:line="175" w:lineRule="exact"/>
        <w:rPr>
          <w:sz w:val="20"/>
          <w:szCs w:val="20"/>
          <w:color w:val="auto"/>
        </w:rPr>
      </w:pPr>
    </w:p>
    <w:p>
      <w:pPr>
        <w:ind w:right="160" w:firstLine="636"/>
        <w:spacing w:after="0" w:line="261"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98" w:lineRule="exact"/>
        <w:rPr>
          <w:sz w:val="20"/>
          <w:szCs w:val="20"/>
          <w:color w:val="auto"/>
        </w:rPr>
      </w:pPr>
    </w:p>
    <w:p>
      <w:pPr>
        <w:ind w:right="40" w:firstLine="636"/>
        <w:spacing w:after="0" w:line="256" w:lineRule="auto"/>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in the “Risk Factors” sections of our Annual Report and quarterly reports and elsewhere in this Quarterly Report on Form 10 -Q, as well as the following:</w:t>
      </w:r>
    </w:p>
    <w:p>
      <w:pPr>
        <w:spacing w:after="0" w:line="2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operating and financial performance and prospects;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9" w:lineRule="exact"/>
        <w:rPr>
          <w:sz w:val="20"/>
          <w:szCs w:val="20"/>
          <w:color w:val="auto"/>
        </w:rPr>
      </w:pPr>
    </w:p>
    <w:p>
      <w:pPr>
        <w:ind w:left="960" w:right="380"/>
        <w:spacing w:after="0" w:line="261" w:lineRule="auto"/>
        <w:rPr>
          <w:sz w:val="20"/>
          <w:szCs w:val="20"/>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future announcements concerning our business or our competitors’ businesses;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and industry perception of our success, or lack thereof, in pursuing our growth strategy;</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strategic actions by us or our competitors, such as acquisitions or restructurings;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laws or regulations which adversely affect our industry or us;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senior management or key personnel;</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issuances, exchanges or sales, or expected issuances, exchanges or sales of our capital stock;</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our dividend policy;</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or adverse resolution of pending, litigation or other claims against us; and</w:t>
      </w:r>
    </w:p>
    <w:p>
      <w:pPr>
        <w:spacing w:after="0" w:line="225" w:lineRule="exact"/>
        <w:rPr>
          <w:sz w:val="20"/>
          <w:szCs w:val="20"/>
          <w:color w:val="auto"/>
        </w:rPr>
      </w:pPr>
    </w:p>
    <w:p>
      <w:pPr>
        <w:ind w:left="960" w:right="220"/>
        <w:spacing w:after="0" w:line="291" w:lineRule="auto"/>
        <w:rPr>
          <w:sz w:val="20"/>
          <w:szCs w:val="20"/>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74" w:lineRule="exact"/>
        <w:rPr>
          <w:sz w:val="20"/>
          <w:szCs w:val="20"/>
          <w:color w:val="auto"/>
        </w:rPr>
      </w:pPr>
    </w:p>
    <w:p>
      <w:pPr>
        <w:ind w:right="60" w:firstLine="636"/>
        <w:spacing w:after="0" w:line="252"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183" w:lineRule="exact"/>
        <w:rPr>
          <w:sz w:val="20"/>
          <w:szCs w:val="20"/>
          <w:color w:val="auto"/>
        </w:rPr>
      </w:pPr>
    </w:p>
    <w:p>
      <w:pPr>
        <w:jc w:val="both"/>
        <w:ind w:right="260" w:firstLine="636"/>
        <w:spacing w:after="0" w:line="268"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93" w:lineRule="exact"/>
        <w:rPr>
          <w:sz w:val="20"/>
          <w:szCs w:val="20"/>
          <w:color w:val="auto"/>
        </w:rPr>
      </w:pPr>
    </w:p>
    <w:p>
      <w:pPr>
        <w:ind w:firstLine="636"/>
        <w:spacing w:after="0" w:line="251"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believe these lawsuits are without merit and intend to vigorously contest these claims. See Part II, Item 1. “Legal Proceedings.”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Risks Related to the Pending Acquisition of United Auto Credit Corporation (“UACC”)</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complete the proposed acquisition of UACC within the anticipated time frame or at all.</w:t>
      </w:r>
    </w:p>
    <w:p>
      <w:pPr>
        <w:spacing w:after="0" w:line="261" w:lineRule="exact"/>
        <w:rPr>
          <w:sz w:val="20"/>
          <w:szCs w:val="20"/>
          <w:color w:val="auto"/>
        </w:rPr>
      </w:pPr>
    </w:p>
    <w:p>
      <w:pPr>
        <w:ind w:right="60" w:firstLine="636"/>
        <w:spacing w:after="0" w:line="251" w:lineRule="auto"/>
        <w:rPr>
          <w:sz w:val="20"/>
          <w:szCs w:val="20"/>
          <w:color w:val="auto"/>
        </w:rPr>
      </w:pPr>
      <w:r>
        <w:rPr>
          <w:rFonts w:ascii="Arial" w:cs="Arial" w:eastAsia="Arial" w:hAnsi="Arial"/>
          <w:sz w:val="18"/>
          <w:szCs w:val="18"/>
          <w:color w:val="auto"/>
        </w:rPr>
        <w:t>We have entered into a definitive agreement to acquire 100% of Unitas Holdings Corp., the parent corporation of UACC, a leader in automotive finance. The transaction is expected to close either late in the fourth quarter of 2021 or early in the first quarter of 2022. The completion of the proposed acquisition of UACC is subject to a number of conditions, including receipt of required regulatory approvals. The failure to obtain such regulatory approvals or satisfy such other conditions, or a delay in doing so, could delay the completion of the acquisition or prevent it from occurring at all. A delay in completing the acquisition could impede our ability to realize some or all of the anticipated benefits. In such an event, we will have incurred significant costs, including the diversion of management resources, for which we would have received little or no benefit. We may also experience negative publicity and negative reactions in the financial markets and investor community, particularly if the price of our common stock reflects an assumption that the proposed acquisition will be completed. Each of these factors could materially and adversely affect our business, financial condition, operating results and the trading price of our common stock.</w:t>
      </w:r>
    </w:p>
    <w:p>
      <w:pPr>
        <w:spacing w:after="0" w:line="203" w:lineRule="exact"/>
        <w:rPr>
          <w:sz w:val="20"/>
          <w:szCs w:val="20"/>
          <w:color w:val="auto"/>
        </w:rPr>
      </w:pPr>
    </w:p>
    <w:p>
      <w:pPr>
        <w:ind w:right="300" w:firstLine="636"/>
        <w:spacing w:after="0" w:line="287" w:lineRule="auto"/>
        <w:rPr>
          <w:sz w:val="20"/>
          <w:szCs w:val="20"/>
          <w:color w:val="auto"/>
        </w:rPr>
      </w:pPr>
      <w:r>
        <w:rPr>
          <w:rFonts w:ascii="Arial" w:cs="Arial" w:eastAsia="Arial" w:hAnsi="Arial"/>
          <w:sz w:val="18"/>
          <w:szCs w:val="18"/>
          <w:b w:val="1"/>
          <w:bCs w:val="1"/>
          <w:i w:val="1"/>
          <w:iCs w:val="1"/>
          <w:color w:val="auto"/>
        </w:rPr>
        <w:t>We may be unable to successfully integrate the UACC business into Vroom’s business and develop UACC into a captive lending operation for Vroom.</w:t>
      </w:r>
    </w:p>
    <w:p>
      <w:pPr>
        <w:spacing w:after="0" w:line="188" w:lineRule="exact"/>
        <w:rPr>
          <w:sz w:val="20"/>
          <w:szCs w:val="20"/>
          <w:color w:val="auto"/>
        </w:rPr>
      </w:pPr>
    </w:p>
    <w:p>
      <w:pPr>
        <w:ind w:right="20" w:firstLine="636"/>
        <w:spacing w:after="0" w:line="252" w:lineRule="auto"/>
        <w:rPr>
          <w:sz w:val="20"/>
          <w:szCs w:val="20"/>
          <w:color w:val="auto"/>
        </w:rPr>
      </w:pPr>
      <w:r>
        <w:rPr>
          <w:rFonts w:ascii="Arial" w:cs="Arial" w:eastAsia="Arial" w:hAnsi="Arial"/>
          <w:sz w:val="18"/>
          <w:szCs w:val="18"/>
          <w:color w:val="auto"/>
        </w:rPr>
        <w:t>After the acquisition, Vroom and UACC will need to successfully integrate their operations and ultimately develop UACC into a captive lending operation for Vroom. The integration will require significant efforts from each company, additional investments in technology and operations to scale the combined operations and the development of full credit spectrum lending capabilities at UACC. The integration of UACC may also divert management’s time and resources from our core business, which could impair our relationships with our current employees, customers and strategic partners and disrupt our operations. The failure to successfully achieve such integration would undermine our ability to realize the benefits we expect to receive from the transaction, and our business and financial condition may be harmed as a result.</w:t>
      </w:r>
    </w:p>
    <w:p>
      <w:pPr>
        <w:spacing w:after="0" w:line="198" w:lineRule="exact"/>
        <w:rPr>
          <w:sz w:val="20"/>
          <w:szCs w:val="20"/>
          <w:color w:val="auto"/>
        </w:rPr>
      </w:pPr>
    </w:p>
    <w:p>
      <w:pPr>
        <w:ind w:right="400" w:firstLine="636"/>
        <w:spacing w:after="0" w:line="287" w:lineRule="auto"/>
        <w:rPr>
          <w:sz w:val="20"/>
          <w:szCs w:val="20"/>
          <w:color w:val="auto"/>
        </w:rPr>
      </w:pPr>
      <w:r>
        <w:rPr>
          <w:rFonts w:ascii="Arial" w:cs="Arial" w:eastAsia="Arial" w:hAnsi="Arial"/>
          <w:sz w:val="18"/>
          <w:szCs w:val="18"/>
          <w:b w:val="1"/>
          <w:bCs w:val="1"/>
          <w:i w:val="1"/>
          <w:iCs w:val="1"/>
          <w:color w:val="auto"/>
        </w:rPr>
        <w:t>We may not realize the anticipated benefits of the acquisition of UACC or realization of those benefits could take longer than anticipated.</w:t>
      </w:r>
    </w:p>
    <w:p>
      <w:pPr>
        <w:spacing w:after="0" w:line="188" w:lineRule="exact"/>
        <w:rPr>
          <w:sz w:val="20"/>
          <w:szCs w:val="20"/>
          <w:color w:val="auto"/>
        </w:rPr>
      </w:pPr>
    </w:p>
    <w:p>
      <w:pPr>
        <w:ind w:right="20" w:firstLine="636"/>
        <w:spacing w:after="0" w:line="251" w:lineRule="auto"/>
        <w:rPr>
          <w:sz w:val="20"/>
          <w:szCs w:val="20"/>
          <w:color w:val="auto"/>
        </w:rPr>
      </w:pPr>
      <w:r>
        <w:rPr>
          <w:rFonts w:ascii="Arial" w:cs="Arial" w:eastAsia="Arial" w:hAnsi="Arial"/>
          <w:sz w:val="18"/>
          <w:szCs w:val="18"/>
          <w:color w:val="auto"/>
        </w:rPr>
        <w:t>We entered into the agreement to acquire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In addition, we expect to achieve an asset-light funding approach through the use of forward flow arrangements and off-balance sheet securitization transactions. Achieving these benefits will require the successful integration, development and operation of the combined businesses following closing of the acquisition and it is not certain that we will succeed in those efforts. If we fail to successfully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regarding credit bureau reporting, loan origination practices and debt collection practices.</w:t>
      </w:r>
    </w:p>
    <w:p>
      <w:pPr>
        <w:spacing w:after="0" w:line="212" w:lineRule="exact"/>
        <w:rPr>
          <w:sz w:val="20"/>
          <w:szCs w:val="20"/>
          <w:color w:val="auto"/>
        </w:rPr>
      </w:pPr>
    </w:p>
    <w:p>
      <w:pPr>
        <w:ind w:right="60" w:firstLine="686"/>
        <w:spacing w:after="0" w:line="253" w:lineRule="auto"/>
        <w:rPr>
          <w:sz w:val="20"/>
          <w:szCs w:val="20"/>
          <w:color w:val="auto"/>
        </w:rPr>
      </w:pPr>
      <w:r>
        <w:rPr>
          <w:rFonts w:ascii="Arial" w:cs="Arial" w:eastAsia="Arial" w:hAnsi="Arial"/>
          <w:sz w:val="18"/>
          <w:szCs w:val="18"/>
          <w:color w:val="auto"/>
        </w:rPr>
        <w:t>The occurrence of any of these risks could adversely affect our ability to benefit financially from the acquisition and have a material adverse effect on our business, financial condition, and operating results. See “Risk Factors—Risks Related to our Growth and Strategy— We may acquire other companies or technologies, which could divert our management’s attention, result in additional dilution to our stockholders and otherwise disrupt our operations and harm our results of operations” in our Annual Report on Form 10-K for the year ended December 31,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7439"/>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ind w:left="20"/>
              <w:spacing w:after="0"/>
              <w:rPr>
                <w:sz w:val="20"/>
                <w:szCs w:val="20"/>
                <w:color w:val="auto"/>
              </w:rPr>
            </w:pPr>
            <w:r>
              <w:rPr>
                <w:rFonts w:ascii="Arial" w:cs="Arial" w:eastAsia="Arial" w:hAnsi="Arial"/>
                <w:sz w:val="16"/>
                <w:szCs w:val="16"/>
                <w:color w:val="auto"/>
              </w:rPr>
              <w:t>Exhibit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Filed</w:t>
            </w:r>
          </w:p>
        </w:tc>
        <w:tc>
          <w:tcPr>
            <w:tcW w:w="920" w:type="dxa"/>
            <w:vAlign w:val="bottom"/>
          </w:tcPr>
          <w:p>
            <w:pPr>
              <w:ind w:left="100"/>
              <w:spacing w:after="0"/>
              <w:rPr>
                <w:sz w:val="20"/>
                <w:szCs w:val="20"/>
                <w:color w:val="auto"/>
              </w:rPr>
            </w:pPr>
            <w:r>
              <w:rPr>
                <w:rFonts w:ascii="Arial" w:cs="Arial" w:eastAsia="Arial" w:hAnsi="Arial"/>
                <w:sz w:val="16"/>
                <w:szCs w:val="16"/>
                <w:color w:val="auto"/>
              </w:rPr>
              <w:t>Furnished</w:t>
            </w:r>
          </w:p>
        </w:tc>
      </w:tr>
      <w:tr>
        <w:trPr>
          <w:trHeight w:val="21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Number</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4"/>
          </w:tcPr>
          <w:p>
            <w:pPr>
              <w:ind w:left="640"/>
              <w:spacing w:after="0"/>
              <w:rPr>
                <w:sz w:val="20"/>
                <w:szCs w:val="20"/>
                <w:color w:val="auto"/>
              </w:rPr>
            </w:pPr>
            <w:r>
              <w:rPr>
                <w:rFonts w:ascii="Arial" w:cs="Arial" w:eastAsia="Arial" w:hAnsi="Arial"/>
                <w:sz w:val="16"/>
                <w:szCs w:val="16"/>
                <w:color w:val="auto"/>
              </w:rPr>
              <w:t>Exhibit Description</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Form</w:t>
            </w:r>
          </w:p>
        </w:tc>
        <w:tc>
          <w:tcPr>
            <w:tcW w:w="100" w:type="dxa"/>
            <w:vAlign w:val="bottom"/>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File No.</w:t>
            </w:r>
          </w:p>
        </w:tc>
        <w:tc>
          <w:tcPr>
            <w:tcW w:w="100" w:type="dxa"/>
            <w:vAlign w:val="bottom"/>
          </w:tcPr>
          <w:p>
            <w:pPr>
              <w:spacing w:after="0"/>
              <w:rPr>
                <w:sz w:val="18"/>
                <w:szCs w:val="18"/>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Exhibit</w:t>
            </w:r>
          </w:p>
        </w:tc>
        <w:tc>
          <w:tcPr>
            <w:tcW w:w="1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Filing Date</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Herewith</w:t>
            </w:r>
          </w:p>
        </w:tc>
      </w:tr>
      <w:tr>
        <w:trPr>
          <w:trHeight w:val="432"/>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3140" w:type="dxa"/>
            <w:vAlign w:val="bottom"/>
            <w:tcBorders>
              <w:bottom w:val="single" w:sz="8" w:color="0000FF"/>
            </w:tcBorders>
            <w:gridSpan w:val="22"/>
          </w:tcPr>
          <w:p>
            <w:pPr>
              <w:spacing w:after="0"/>
              <w:rPr>
                <w:rFonts w:ascii="Arial" w:cs="Arial" w:eastAsia="Arial" w:hAnsi="Arial"/>
                <w:sz w:val="16"/>
                <w:szCs w:val="16"/>
                <w:color w:val="0000FF"/>
              </w:rPr>
            </w:pPr>
            <w:hyperlink r:id="rId329">
              <w:r>
                <w:rPr>
                  <w:rFonts w:ascii="Arial" w:cs="Arial" w:eastAsia="Arial" w:hAnsi="Arial"/>
                  <w:sz w:val="16"/>
                  <w:szCs w:val="16"/>
                  <w:color w:val="0000FF"/>
                </w:rPr>
                <w:t>Agreement and Plan of Merger, dated as of</w:t>
              </w:r>
            </w:hyperlink>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001-39315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2.1</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October 12, 2021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bottom w:val="single" w:sz="8" w:color="0000FF"/>
            </w:tcBorders>
            <w:gridSpan w:val="15"/>
          </w:tcPr>
          <w:p>
            <w:pPr>
              <w:spacing w:after="0" w:line="183" w:lineRule="exact"/>
              <w:rPr>
                <w:rFonts w:ascii="Arial" w:cs="Arial" w:eastAsia="Arial" w:hAnsi="Arial"/>
                <w:sz w:val="16"/>
                <w:szCs w:val="16"/>
                <w:color w:val="0000FF"/>
              </w:rPr>
            </w:pPr>
            <w:hyperlink r:id="rId329">
              <w:r>
                <w:rPr>
                  <w:rFonts w:ascii="Arial" w:cs="Arial" w:eastAsia="Arial" w:hAnsi="Arial"/>
                  <w:sz w:val="16"/>
                  <w:szCs w:val="16"/>
                  <w:color w:val="0000FF"/>
                </w:rPr>
                <w:t>October 11, 2021, by and among Vroom,</w:t>
              </w:r>
            </w:hyperlink>
          </w:p>
        </w:tc>
        <w:tc>
          <w:tcPr>
            <w:tcW w:w="28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bottom w:val="single" w:sz="8" w:color="0000FF"/>
            </w:tcBorders>
            <w:gridSpan w:val="13"/>
          </w:tcPr>
          <w:p>
            <w:pPr>
              <w:spacing w:after="0" w:line="183" w:lineRule="exact"/>
              <w:rPr>
                <w:rFonts w:ascii="Arial" w:cs="Arial" w:eastAsia="Arial" w:hAnsi="Arial"/>
                <w:sz w:val="16"/>
                <w:szCs w:val="16"/>
                <w:color w:val="0000FF"/>
              </w:rPr>
            </w:pPr>
            <w:hyperlink r:id="rId329">
              <w:r>
                <w:rPr>
                  <w:rFonts w:ascii="Arial" w:cs="Arial" w:eastAsia="Arial" w:hAnsi="Arial"/>
                  <w:sz w:val="16"/>
                  <w:szCs w:val="16"/>
                  <w:color w:val="0000FF"/>
                </w:rPr>
                <w:t>Inc., Vroom Finance Corporation, Unitas</w:t>
              </w:r>
            </w:hyperlink>
          </w:p>
        </w:tc>
        <w:tc>
          <w:tcPr>
            <w:tcW w:w="3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bottom w:val="single" w:sz="8" w:color="0000FF"/>
            </w:tcBorders>
            <w:gridSpan w:val="13"/>
          </w:tcPr>
          <w:p>
            <w:pPr>
              <w:spacing w:after="0" w:line="183" w:lineRule="exact"/>
              <w:rPr>
                <w:rFonts w:ascii="Arial" w:cs="Arial" w:eastAsia="Arial" w:hAnsi="Arial"/>
                <w:sz w:val="16"/>
                <w:szCs w:val="16"/>
                <w:color w:val="0000FF"/>
              </w:rPr>
            </w:pPr>
            <w:hyperlink r:id="rId329">
              <w:r>
                <w:rPr>
                  <w:rFonts w:ascii="Arial" w:cs="Arial" w:eastAsia="Arial" w:hAnsi="Arial"/>
                  <w:sz w:val="16"/>
                  <w:szCs w:val="16"/>
                  <w:color w:val="0000FF"/>
                </w:rPr>
                <w:t>Holdings Corp. and Fortis Advisors LLC,</w:t>
              </w:r>
            </w:hyperlink>
          </w:p>
        </w:tc>
        <w:tc>
          <w:tcPr>
            <w:tcW w:w="3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tcBorders>
              <w:bottom w:val="single" w:sz="8" w:color="0000FF"/>
            </w:tcBorders>
            <w:gridSpan w:val="16"/>
          </w:tcPr>
          <w:p>
            <w:pPr>
              <w:spacing w:after="0" w:line="183" w:lineRule="exact"/>
              <w:rPr>
                <w:rFonts w:ascii="Arial" w:cs="Arial" w:eastAsia="Arial" w:hAnsi="Arial"/>
                <w:sz w:val="16"/>
                <w:szCs w:val="16"/>
                <w:color w:val="0000FF"/>
              </w:rPr>
            </w:pPr>
            <w:hyperlink r:id="rId329">
              <w:r>
                <w:rPr>
                  <w:rFonts w:ascii="Arial" w:cs="Arial" w:eastAsia="Arial" w:hAnsi="Arial"/>
                  <w:sz w:val="16"/>
                  <w:szCs w:val="16"/>
                  <w:color w:val="0000FF"/>
                </w:rPr>
                <w:t>solely in its capacity as the equityholders'</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r:id="rId329">
              <w:r>
                <w:rPr>
                  <w:rFonts w:ascii="Arial" w:cs="Arial" w:eastAsia="Arial" w:hAnsi="Arial"/>
                  <w:sz w:val="16"/>
                  <w:szCs w:val="16"/>
                  <w:color w:val="0000FF"/>
                </w:rPr>
                <w:t>representative</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2700" w:type="dxa"/>
            <w:vAlign w:val="bottom"/>
            <w:tcBorders>
              <w:bottom w:val="single" w:sz="8" w:color="0000FF"/>
            </w:tcBorders>
            <w:gridSpan w:val="8"/>
          </w:tcPr>
          <w:p>
            <w:pPr>
              <w:spacing w:after="0"/>
              <w:rPr>
                <w:rFonts w:ascii="Arial" w:cs="Arial" w:eastAsia="Arial" w:hAnsi="Arial"/>
                <w:sz w:val="16"/>
                <w:szCs w:val="16"/>
                <w:color w:val="0000FF"/>
              </w:rPr>
            </w:pPr>
            <w:hyperlink r:id="rId330">
              <w:r>
                <w:rPr>
                  <w:rFonts w:ascii="Arial" w:cs="Arial" w:eastAsia="Arial" w:hAnsi="Arial"/>
                  <w:sz w:val="16"/>
                  <w:szCs w:val="16"/>
                  <w:color w:val="0000FF"/>
                </w:rPr>
                <w:t>Amended and Restated Certificate of</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001-39315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August 13, 2020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Borders>
              <w:bottom w:val="single" w:sz="8" w:color="0000FF"/>
            </w:tcBorders>
            <w:gridSpan w:val="6"/>
          </w:tcPr>
          <w:p>
            <w:pPr>
              <w:spacing w:after="0" w:line="183" w:lineRule="exact"/>
              <w:rPr>
                <w:rFonts w:ascii="Arial" w:cs="Arial" w:eastAsia="Arial" w:hAnsi="Arial"/>
                <w:sz w:val="16"/>
                <w:szCs w:val="16"/>
                <w:color w:val="0000FF"/>
              </w:rPr>
            </w:pPr>
            <w:hyperlink r:id="rId330">
              <w:r>
                <w:rPr>
                  <w:rFonts w:ascii="Arial" w:cs="Arial" w:eastAsia="Arial" w:hAnsi="Arial"/>
                  <w:sz w:val="16"/>
                  <w:szCs w:val="16"/>
                  <w:color w:val="0000FF"/>
                </w:rPr>
                <w:t>Incorporation of Vroom, Inc.</w:t>
              </w:r>
            </w:hyperlink>
          </w:p>
        </w:tc>
        <w:tc>
          <w:tcPr>
            <w:tcW w:w="1260" w:type="dxa"/>
            <w:vAlign w:val="bottom"/>
            <w:gridSpan w:val="19"/>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2"/>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4"/>
                <w:szCs w:val="24"/>
                <w:color w:val="auto"/>
              </w:rPr>
            </w:pPr>
          </w:p>
        </w:tc>
        <w:tc>
          <w:tcPr>
            <w:tcW w:w="3060" w:type="dxa"/>
            <w:vAlign w:val="bottom"/>
            <w:tcBorders>
              <w:bottom w:val="single" w:sz="8" w:color="0000FF"/>
            </w:tcBorders>
            <w:gridSpan w:val="19"/>
          </w:tcPr>
          <w:p>
            <w:pPr>
              <w:spacing w:after="0"/>
              <w:rPr>
                <w:rFonts w:ascii="Arial" w:cs="Arial" w:eastAsia="Arial" w:hAnsi="Arial"/>
                <w:sz w:val="16"/>
                <w:szCs w:val="16"/>
                <w:color w:val="0000FF"/>
              </w:rPr>
            </w:pPr>
            <w:hyperlink r:id="rId331">
              <w:r>
                <w:rPr>
                  <w:rFonts w:ascii="Arial" w:cs="Arial" w:eastAsia="Arial" w:hAnsi="Arial"/>
                  <w:sz w:val="16"/>
                  <w:szCs w:val="16"/>
                  <w:color w:val="0000FF"/>
                </w:rPr>
                <w:t>Amended and Restated Bylaws of Vroom,</w:t>
              </w:r>
            </w:hyperlink>
          </w:p>
        </w:tc>
        <w:tc>
          <w:tcPr>
            <w:tcW w:w="20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001-39315</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3.2</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August 13, 2020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r:id="rId331">
              <w:r>
                <w:rPr>
                  <w:rFonts w:ascii="Arial" w:cs="Arial" w:eastAsia="Arial" w:hAnsi="Arial"/>
                  <w:sz w:val="16"/>
                  <w:szCs w:val="16"/>
                  <w:color w:val="0000FF"/>
                </w:rPr>
                <w:t>Inc.</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4"/>
                <w:szCs w:val="24"/>
                <w:color w:val="auto"/>
              </w:rPr>
            </w:pPr>
          </w:p>
        </w:tc>
        <w:tc>
          <w:tcPr>
            <w:tcW w:w="3080" w:type="dxa"/>
            <w:vAlign w:val="bottom"/>
            <w:tcBorders>
              <w:bottom w:val="single" w:sz="8" w:color="0000FF"/>
            </w:tcBorders>
            <w:gridSpan w:val="20"/>
          </w:tcPr>
          <w:p>
            <w:pPr>
              <w:spacing w:after="0"/>
              <w:rPr>
                <w:rFonts w:ascii="Arial" w:cs="Arial" w:eastAsia="Arial" w:hAnsi="Arial"/>
                <w:sz w:val="16"/>
                <w:szCs w:val="16"/>
                <w:color w:val="0000FF"/>
              </w:rPr>
            </w:pPr>
            <w:hyperlink r:id="rId332">
              <w:r>
                <w:rPr>
                  <w:rFonts w:ascii="Arial" w:cs="Arial" w:eastAsia="Arial" w:hAnsi="Arial"/>
                  <w:sz w:val="16"/>
                  <w:szCs w:val="16"/>
                  <w:color w:val="0000FF"/>
                </w:rPr>
                <w:t>Specimen Stock Certificate evidencing the</w:t>
              </w:r>
            </w:hyperlink>
          </w:p>
        </w:tc>
        <w:tc>
          <w:tcPr>
            <w:tcW w:w="1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333-238482</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June 1, 2020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0000FF"/>
            </w:tcBorders>
            <w:gridSpan w:val="5"/>
          </w:tcPr>
          <w:p>
            <w:pPr>
              <w:spacing w:after="0" w:line="183" w:lineRule="exact"/>
              <w:rPr>
                <w:rFonts w:ascii="Arial" w:cs="Arial" w:eastAsia="Arial" w:hAnsi="Arial"/>
                <w:sz w:val="16"/>
                <w:szCs w:val="16"/>
                <w:color w:val="0000FF"/>
              </w:rPr>
            </w:pPr>
            <w:hyperlink r:id="rId332">
              <w:r>
                <w:rPr>
                  <w:rFonts w:ascii="Arial" w:cs="Arial" w:eastAsia="Arial" w:hAnsi="Arial"/>
                  <w:sz w:val="16"/>
                  <w:szCs w:val="16"/>
                  <w:color w:val="0000FF"/>
                </w:rPr>
                <w:t>shares of common stock</w:t>
              </w:r>
            </w:hyperlink>
          </w:p>
        </w:tc>
        <w:tc>
          <w:tcPr>
            <w:tcW w:w="1500" w:type="dxa"/>
            <w:vAlign w:val="bottom"/>
            <w:gridSpan w:val="20"/>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1"/>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3040" w:type="dxa"/>
            <w:vAlign w:val="bottom"/>
            <w:tcBorders>
              <w:bottom w:val="single" w:sz="8" w:color="0000FF"/>
            </w:tcBorders>
            <w:gridSpan w:val="18"/>
          </w:tcPr>
          <w:p>
            <w:pPr>
              <w:spacing w:after="0"/>
              <w:rPr>
                <w:rFonts w:ascii="Arial" w:cs="Arial" w:eastAsia="Arial" w:hAnsi="Arial"/>
                <w:sz w:val="16"/>
                <w:szCs w:val="16"/>
                <w:color w:val="0000FF"/>
              </w:rPr>
            </w:pPr>
            <w:hyperlink r:id="rId333">
              <w:r>
                <w:rPr>
                  <w:rFonts w:ascii="Arial" w:cs="Arial" w:eastAsia="Arial" w:hAnsi="Arial"/>
                  <w:sz w:val="16"/>
                  <w:szCs w:val="16"/>
                  <w:color w:val="0000FF"/>
                </w:rPr>
                <w:t>Letter Agreement, dated as of September</w:t>
              </w:r>
            </w:hyperlink>
          </w:p>
        </w:tc>
        <w:tc>
          <w:tcPr>
            <w:tcW w:w="2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001-39315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September 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Borders>
              <w:bottom w:val="single" w:sz="8" w:color="0000FF"/>
            </w:tcBorders>
            <w:gridSpan w:val="24"/>
          </w:tcPr>
          <w:p>
            <w:pPr>
              <w:spacing w:after="0" w:line="183" w:lineRule="exact"/>
              <w:rPr>
                <w:rFonts w:ascii="Arial" w:cs="Arial" w:eastAsia="Arial" w:hAnsi="Arial"/>
                <w:sz w:val="16"/>
                <w:szCs w:val="16"/>
                <w:color w:val="0000FF"/>
              </w:rPr>
            </w:pPr>
            <w:hyperlink r:id="rId333">
              <w:r>
                <w:rPr>
                  <w:rFonts w:ascii="Arial" w:cs="Arial" w:eastAsia="Arial" w:hAnsi="Arial"/>
                  <w:sz w:val="16"/>
                  <w:szCs w:val="16"/>
                  <w:color w:val="0000FF"/>
                </w:rPr>
                <w:t>13, 2021, by and between Robert Krakowiak</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tcPr>
          <w:p>
            <w:pPr>
              <w:jc w:val="center"/>
              <w:ind w:left="99"/>
              <w:spacing w:after="0" w:line="183" w:lineRule="exact"/>
              <w:rPr>
                <w:sz w:val="20"/>
                <w:szCs w:val="20"/>
                <w:color w:val="auto"/>
              </w:rPr>
            </w:pPr>
            <w:r>
              <w:rPr>
                <w:rFonts w:ascii="Arial" w:cs="Arial" w:eastAsia="Arial" w:hAnsi="Arial"/>
                <w:sz w:val="16"/>
                <w:szCs w:val="16"/>
                <w:color w:val="auto"/>
              </w:rPr>
              <w:t>2021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0000FF"/>
            </w:tcBorders>
            <w:gridSpan w:val="3"/>
          </w:tcPr>
          <w:p>
            <w:pPr>
              <w:spacing w:after="0" w:line="183" w:lineRule="exact"/>
              <w:rPr>
                <w:rFonts w:ascii="Arial" w:cs="Arial" w:eastAsia="Arial" w:hAnsi="Arial"/>
                <w:sz w:val="16"/>
                <w:szCs w:val="16"/>
                <w:color w:val="0000FF"/>
                <w:w w:val="99"/>
              </w:rPr>
            </w:pPr>
            <w:hyperlink r:id="rId333">
              <w:r>
                <w:rPr>
                  <w:rFonts w:ascii="Arial" w:cs="Arial" w:eastAsia="Arial" w:hAnsi="Arial"/>
                  <w:sz w:val="16"/>
                  <w:szCs w:val="16"/>
                  <w:color w:val="0000FF"/>
                  <w:w w:val="99"/>
                </w:rPr>
                <w:t>and Vroom, Inc.</w:t>
              </w:r>
            </w:hyperlink>
          </w:p>
        </w:tc>
        <w:tc>
          <w:tcPr>
            <w:tcW w:w="20" w:type="dxa"/>
            <w:vAlign w:val="bottom"/>
            <w:tcBorders>
              <w:bottom w:val="single" w:sz="8" w:color="0000EE"/>
            </w:tcBorders>
          </w:tcPr>
          <w:p>
            <w:pPr>
              <w:spacing w:after="0"/>
              <w:rPr>
                <w:sz w:val="15"/>
                <w:szCs w:val="15"/>
                <w:color w:val="auto"/>
              </w:rPr>
            </w:pPr>
          </w:p>
        </w:tc>
        <w:tc>
          <w:tcPr>
            <w:tcW w:w="2100" w:type="dxa"/>
            <w:vAlign w:val="bottom"/>
            <w:gridSpan w:val="21"/>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66"/>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4"/>
                <w:szCs w:val="24"/>
                <w:color w:val="auto"/>
              </w:rPr>
            </w:pPr>
          </w:p>
        </w:tc>
        <w:tc>
          <w:tcPr>
            <w:tcW w:w="3240" w:type="dxa"/>
            <w:vAlign w:val="bottom"/>
            <w:tcBorders>
              <w:bottom w:val="single" w:sz="8" w:color="0000FF"/>
            </w:tcBorders>
            <w:gridSpan w:val="24"/>
          </w:tcPr>
          <w:p>
            <w:pPr>
              <w:spacing w:after="0"/>
              <w:rPr>
                <w:rFonts w:ascii="Arial" w:cs="Arial" w:eastAsia="Arial" w:hAnsi="Arial"/>
                <w:sz w:val="16"/>
                <w:szCs w:val="16"/>
                <w:color w:val="0000FF"/>
              </w:rPr>
            </w:pPr>
            <w:hyperlink r:id="rId334">
              <w:r>
                <w:rPr>
                  <w:rFonts w:ascii="Arial" w:cs="Arial" w:eastAsia="Arial" w:hAnsi="Arial"/>
                  <w:sz w:val="16"/>
                  <w:szCs w:val="16"/>
                  <w:color w:val="0000FF"/>
                </w:rPr>
                <w:t>Transition and Separation Letter Agreement,</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001-39315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September 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bottom w:val="single" w:sz="8" w:color="0000FF"/>
            </w:tcBorders>
            <w:gridSpan w:val="13"/>
          </w:tcPr>
          <w:p>
            <w:pPr>
              <w:spacing w:after="0" w:line="183" w:lineRule="exact"/>
              <w:rPr>
                <w:rFonts w:ascii="Arial" w:cs="Arial" w:eastAsia="Arial" w:hAnsi="Arial"/>
                <w:sz w:val="16"/>
                <w:szCs w:val="16"/>
                <w:color w:val="0000FF"/>
              </w:rPr>
            </w:pPr>
            <w:hyperlink r:id="rId334">
              <w:r>
                <w:rPr>
                  <w:rFonts w:ascii="Arial" w:cs="Arial" w:eastAsia="Arial" w:hAnsi="Arial"/>
                  <w:sz w:val="16"/>
                  <w:szCs w:val="16"/>
                  <w:color w:val="0000FF"/>
                </w:rPr>
                <w:t>dated as of September 10, 2021, by and</w:t>
              </w:r>
            </w:hyperlink>
          </w:p>
        </w:tc>
        <w:tc>
          <w:tcPr>
            <w:tcW w:w="3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tcPr>
          <w:p>
            <w:pPr>
              <w:jc w:val="center"/>
              <w:ind w:left="99"/>
              <w:spacing w:after="0" w:line="183" w:lineRule="exact"/>
              <w:rPr>
                <w:sz w:val="20"/>
                <w:szCs w:val="20"/>
                <w:color w:val="auto"/>
              </w:rPr>
            </w:pPr>
            <w:r>
              <w:rPr>
                <w:rFonts w:ascii="Arial" w:cs="Arial" w:eastAsia="Arial" w:hAnsi="Arial"/>
                <w:sz w:val="16"/>
                <w:szCs w:val="16"/>
                <w:color w:val="auto"/>
              </w:rPr>
              <w:t>2021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bottom w:val="single" w:sz="8" w:color="0000FF"/>
            </w:tcBorders>
            <w:gridSpan w:val="9"/>
          </w:tcPr>
          <w:p>
            <w:pPr>
              <w:spacing w:after="0" w:line="183" w:lineRule="exact"/>
              <w:rPr>
                <w:rFonts w:ascii="Arial" w:cs="Arial" w:eastAsia="Arial" w:hAnsi="Arial"/>
                <w:sz w:val="16"/>
                <w:szCs w:val="16"/>
                <w:color w:val="0000FF"/>
              </w:rPr>
            </w:pPr>
            <w:hyperlink r:id="rId334">
              <w:r>
                <w:rPr>
                  <w:rFonts w:ascii="Arial" w:cs="Arial" w:eastAsia="Arial" w:hAnsi="Arial"/>
                  <w:sz w:val="16"/>
                  <w:szCs w:val="16"/>
                  <w:color w:val="0000FF"/>
                </w:rPr>
                <w:t>between David Jones and Vroom, Inc.</w:t>
              </w:r>
            </w:hyperlink>
          </w:p>
        </w:tc>
        <w:tc>
          <w:tcPr>
            <w:tcW w:w="20" w:type="dxa"/>
            <w:vAlign w:val="bottom"/>
            <w:tcBorders>
              <w:bottom w:val="single" w:sz="8" w:color="0000EE"/>
            </w:tcBorders>
          </w:tcPr>
          <w:p>
            <w:pPr>
              <w:spacing w:after="0"/>
              <w:rPr>
                <w:sz w:val="15"/>
                <w:szCs w:val="15"/>
                <w:color w:val="auto"/>
              </w:rPr>
            </w:pPr>
          </w:p>
        </w:tc>
        <w:tc>
          <w:tcPr>
            <w:tcW w:w="500" w:type="dxa"/>
            <w:vAlign w:val="bottom"/>
            <w:gridSpan w:val="15"/>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66"/>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3020" w:type="dxa"/>
            <w:vAlign w:val="bottom"/>
            <w:tcBorders>
              <w:bottom w:val="single" w:sz="8" w:color="0000FF"/>
            </w:tcBorders>
            <w:gridSpan w:val="17"/>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Principal Executive Officer</w:t>
              </w:r>
            </w:hyperlink>
          </w:p>
        </w:tc>
        <w:tc>
          <w:tcPr>
            <w:tcW w:w="2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tcBorders>
              <w:bottom w:val="single" w:sz="8" w:color="0000FF"/>
            </w:tcBorders>
            <w:gridSpan w:val="22"/>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Pursuant to Rules 13a-14(a) and 15d-14(a)</w:t>
              </w:r>
            </w:hyperlink>
          </w:p>
        </w:tc>
        <w:tc>
          <w:tcPr>
            <w:tcW w:w="1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under the Securities Exchange Act of 1934,</w:t>
              </w:r>
            </w:hyperlink>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as Adopted Pursuant to Section 302 of the</w:t>
              </w:r>
            </w:hyperlink>
          </w:p>
        </w:tc>
        <w:tc>
          <w:tcPr>
            <w:tcW w:w="1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Sarbanes-Oxley Act of 2002</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Certification of Principal Financial Officer</w:t>
              </w:r>
            </w:hyperlink>
          </w:p>
        </w:tc>
        <w:tc>
          <w:tcPr>
            <w:tcW w:w="30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tcBorders>
              <w:bottom w:val="single" w:sz="8" w:color="0000FF"/>
            </w:tcBorders>
            <w:gridSpan w:val="22"/>
          </w:tcPr>
          <w:p>
            <w:pPr>
              <w:spacing w:after="0" w:line="183" w:lineRule="exact"/>
              <w:rPr>
                <w:rFonts w:ascii="Arial" w:cs="Arial" w:eastAsia="Arial" w:hAnsi="Arial"/>
                <w:sz w:val="16"/>
                <w:szCs w:val="16"/>
                <w:color w:val="0000FF"/>
              </w:rPr>
            </w:pPr>
            <w:hyperlink w:anchor="page69">
              <w:r>
                <w:rPr>
                  <w:rFonts w:ascii="Arial" w:cs="Arial" w:eastAsia="Arial" w:hAnsi="Arial"/>
                  <w:sz w:val="16"/>
                  <w:szCs w:val="16"/>
                  <w:color w:val="0000FF"/>
                </w:rPr>
                <w:t>Pursuant to Rules 13a-14(a) and 15d-14(a)</w:t>
              </w:r>
            </w:hyperlink>
          </w:p>
        </w:tc>
        <w:tc>
          <w:tcPr>
            <w:tcW w:w="1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w:anchor="page69">
              <w:r>
                <w:rPr>
                  <w:rFonts w:ascii="Arial" w:cs="Arial" w:eastAsia="Arial" w:hAnsi="Arial"/>
                  <w:sz w:val="16"/>
                  <w:szCs w:val="16"/>
                  <w:color w:val="0000FF"/>
                </w:rPr>
                <w:t>under the Securities Exchange Act of 1934,</w:t>
              </w:r>
            </w:hyperlink>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w:anchor="page69">
              <w:r>
                <w:rPr>
                  <w:rFonts w:ascii="Arial" w:cs="Arial" w:eastAsia="Arial" w:hAnsi="Arial"/>
                  <w:sz w:val="16"/>
                  <w:szCs w:val="16"/>
                  <w:color w:val="0000FF"/>
                </w:rPr>
                <w:t>as Adopted Pursuant to Section 302 of the</w:t>
              </w:r>
            </w:hyperlink>
          </w:p>
        </w:tc>
        <w:tc>
          <w:tcPr>
            <w:tcW w:w="1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w:anchor="page69">
              <w:r>
                <w:rPr>
                  <w:rFonts w:ascii="Arial" w:cs="Arial" w:eastAsia="Arial" w:hAnsi="Arial"/>
                  <w:sz w:val="16"/>
                  <w:szCs w:val="16"/>
                  <w:color w:val="0000FF"/>
                </w:rPr>
                <w:t>Sarbanes-Oxley Act of 2002</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1"/>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3020" w:type="dxa"/>
            <w:vAlign w:val="bottom"/>
            <w:tcBorders>
              <w:bottom w:val="single" w:sz="8" w:color="0000FF"/>
            </w:tcBorders>
            <w:gridSpan w:val="17"/>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Certification of Principal Executive Officer</w:t>
              </w:r>
            </w:hyperlink>
          </w:p>
        </w:tc>
        <w:tc>
          <w:tcPr>
            <w:tcW w:w="2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Borders>
              <w:bottom w:val="single" w:sz="8" w:color="0000FF"/>
            </w:tcBorders>
            <w:gridSpan w:val="11"/>
          </w:tcPr>
          <w:p>
            <w:pPr>
              <w:spacing w:after="0" w:line="183" w:lineRule="exact"/>
              <w:rPr>
                <w:rFonts w:ascii="Arial" w:cs="Arial" w:eastAsia="Arial" w:hAnsi="Arial"/>
                <w:sz w:val="16"/>
                <w:szCs w:val="16"/>
                <w:color w:val="0000FF"/>
              </w:rPr>
            </w:pPr>
            <w:hyperlink w:anchor="page70">
              <w:r>
                <w:rPr>
                  <w:rFonts w:ascii="Arial" w:cs="Arial" w:eastAsia="Arial" w:hAnsi="Arial"/>
                  <w:sz w:val="16"/>
                  <w:szCs w:val="16"/>
                  <w:color w:val="0000FF"/>
                </w:rPr>
                <w:t>Pursuant to 18 U.S.C. Section 1350, as</w:t>
              </w:r>
            </w:hyperlink>
          </w:p>
        </w:tc>
        <w:tc>
          <w:tcPr>
            <w:tcW w:w="380" w:type="dxa"/>
            <w:vAlign w:val="bottom"/>
            <w:gridSpan w:val="14"/>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Borders>
              <w:bottom w:val="single" w:sz="8" w:color="0000FF"/>
            </w:tcBorders>
            <w:gridSpan w:val="12"/>
          </w:tcPr>
          <w:p>
            <w:pPr>
              <w:spacing w:after="0" w:line="183" w:lineRule="exact"/>
              <w:rPr>
                <w:rFonts w:ascii="Arial" w:cs="Arial" w:eastAsia="Arial" w:hAnsi="Arial"/>
                <w:sz w:val="16"/>
                <w:szCs w:val="16"/>
                <w:color w:val="0000FF"/>
              </w:rPr>
            </w:pPr>
            <w:hyperlink w:anchor="page70">
              <w:r>
                <w:rPr>
                  <w:rFonts w:ascii="Arial" w:cs="Arial" w:eastAsia="Arial" w:hAnsi="Arial"/>
                  <w:sz w:val="16"/>
                  <w:szCs w:val="16"/>
                  <w:color w:val="0000FF"/>
                </w:rPr>
                <w:t>Adopted Pursuant to Section 906 of the</w:t>
              </w:r>
            </w:hyperlink>
          </w:p>
        </w:tc>
        <w:tc>
          <w:tcPr>
            <w:tcW w:w="360" w:type="dxa"/>
            <w:vAlign w:val="bottom"/>
            <w:gridSpan w:val="13"/>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w:anchor="page70">
              <w:r>
                <w:rPr>
                  <w:rFonts w:ascii="Arial" w:cs="Arial" w:eastAsia="Arial" w:hAnsi="Arial"/>
                  <w:sz w:val="16"/>
                  <w:szCs w:val="16"/>
                  <w:color w:val="0000FF"/>
                </w:rPr>
                <w:t>Sarbanes-Oxley Act of 2002</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40" w:type="dxa"/>
            <w:vAlign w:val="bottom"/>
            <w:gridSpan w:val="1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Certification of Principal Financial Officer</w:t>
              </w:r>
            </w:hyperlink>
          </w:p>
        </w:tc>
        <w:tc>
          <w:tcPr>
            <w:tcW w:w="30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Borders>
              <w:bottom w:val="single" w:sz="8" w:color="0000FF"/>
            </w:tcBorders>
            <w:gridSpan w:val="11"/>
          </w:tcPr>
          <w:p>
            <w:pPr>
              <w:spacing w:after="0" w:line="183" w:lineRule="exact"/>
              <w:rPr>
                <w:rFonts w:ascii="Arial" w:cs="Arial" w:eastAsia="Arial" w:hAnsi="Arial"/>
                <w:sz w:val="16"/>
                <w:szCs w:val="16"/>
                <w:color w:val="0000FF"/>
              </w:rPr>
            </w:pPr>
            <w:hyperlink w:anchor="page71">
              <w:r>
                <w:rPr>
                  <w:rFonts w:ascii="Arial" w:cs="Arial" w:eastAsia="Arial" w:hAnsi="Arial"/>
                  <w:sz w:val="16"/>
                  <w:szCs w:val="16"/>
                  <w:color w:val="0000FF"/>
                </w:rPr>
                <w:t>Pursuant to 18 U.S.C. Section 1350, as</w:t>
              </w:r>
            </w:hyperlink>
          </w:p>
        </w:tc>
        <w:tc>
          <w:tcPr>
            <w:tcW w:w="380" w:type="dxa"/>
            <w:vAlign w:val="bottom"/>
            <w:gridSpan w:val="14"/>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Borders>
              <w:bottom w:val="single" w:sz="8" w:color="0000FF"/>
            </w:tcBorders>
            <w:gridSpan w:val="12"/>
          </w:tcPr>
          <w:p>
            <w:pPr>
              <w:spacing w:after="0" w:line="183" w:lineRule="exact"/>
              <w:rPr>
                <w:rFonts w:ascii="Arial" w:cs="Arial" w:eastAsia="Arial" w:hAnsi="Arial"/>
                <w:sz w:val="16"/>
                <w:szCs w:val="16"/>
                <w:color w:val="0000FF"/>
              </w:rPr>
            </w:pPr>
            <w:hyperlink w:anchor="page71">
              <w:r>
                <w:rPr>
                  <w:rFonts w:ascii="Arial" w:cs="Arial" w:eastAsia="Arial" w:hAnsi="Arial"/>
                  <w:sz w:val="16"/>
                  <w:szCs w:val="16"/>
                  <w:color w:val="0000FF"/>
                </w:rPr>
                <w:t>Adopted Pursuant to Section 906 of the</w:t>
              </w:r>
            </w:hyperlink>
          </w:p>
        </w:tc>
        <w:tc>
          <w:tcPr>
            <w:tcW w:w="360" w:type="dxa"/>
            <w:vAlign w:val="bottom"/>
            <w:gridSpan w:val="13"/>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25"/>
          </w:tcPr>
          <w:p>
            <w:pPr>
              <w:spacing w:after="0" w:line="183" w:lineRule="exact"/>
              <w:rPr>
                <w:rFonts w:ascii="Arial" w:cs="Arial" w:eastAsia="Arial" w:hAnsi="Arial"/>
                <w:sz w:val="16"/>
                <w:szCs w:val="16"/>
                <w:color w:val="0000FF"/>
              </w:rPr>
            </w:pPr>
            <w:hyperlink w:anchor="page71">
              <w:r>
                <w:rPr>
                  <w:rFonts w:ascii="Arial" w:cs="Arial" w:eastAsia="Arial" w:hAnsi="Arial"/>
                  <w:sz w:val="16"/>
                  <w:szCs w:val="16"/>
                  <w:color w:val="0000FF"/>
                </w:rPr>
                <w:t>Sarbanes-Oxley Act of 2002</w:t>
              </w:r>
            </w:hyperlink>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40" w:type="dxa"/>
            <w:vAlign w:val="bottom"/>
            <w:gridSpan w:val="1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06"/>
        </w:trPr>
        <w:tc>
          <w:tcPr>
            <w:tcW w:w="104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Inline XBRL Instance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Document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24"/>
                <w:szCs w:val="24"/>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Inline XBRL Taxonomy Extension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Calculation Linkbase Document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24"/>
                <w:szCs w:val="24"/>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Inline XBRL Taxonomy Extension Definition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25"/>
          </w:tcPr>
          <w:p>
            <w:pPr>
              <w:spacing w:after="0"/>
              <w:rPr>
                <w:sz w:val="20"/>
                <w:szCs w:val="20"/>
                <w:color w:val="auto"/>
              </w:rPr>
            </w:pPr>
            <w:r>
              <w:rPr>
                <w:rFonts w:ascii="Arial" w:cs="Arial" w:eastAsia="Arial" w:hAnsi="Arial"/>
                <w:sz w:val="16"/>
                <w:szCs w:val="16"/>
                <w:color w:val="auto"/>
              </w:rPr>
              <w:t>Linkbase Document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52"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Arial" w:cs="Arial" w:eastAsia="Arial" w:hAnsi="Arial"/>
                <w:sz w:val="16"/>
                <w:szCs w:val="16"/>
                <w:color w:val="auto"/>
              </w:rPr>
              <w:t>101.LAB</w:t>
            </w:r>
          </w:p>
        </w:tc>
        <w:tc>
          <w:tcPr>
            <w:tcW w:w="6020" w:type="dxa"/>
            <w:vAlign w:val="bottom"/>
          </w:tcPr>
          <w:p>
            <w:pPr>
              <w:ind w:left="260"/>
              <w:spacing w:after="0"/>
              <w:rPr>
                <w:sz w:val="20"/>
                <w:szCs w:val="20"/>
                <w:color w:val="auto"/>
              </w:rPr>
            </w:pPr>
            <w:r>
              <w:rPr>
                <w:rFonts w:ascii="Arial" w:cs="Arial" w:eastAsia="Arial" w:hAnsi="Arial"/>
                <w:sz w:val="16"/>
                <w:szCs w:val="16"/>
                <w:color w:val="auto"/>
              </w:rPr>
              <w:t>Inline XBRL Taxonomy Extension Label</w:t>
            </w:r>
          </w:p>
        </w:tc>
        <w:tc>
          <w:tcPr>
            <w:tcW w:w="3040" w:type="dxa"/>
            <w:vAlign w:val="bottom"/>
          </w:tcPr>
          <w:p>
            <w:pPr>
              <w:ind w:left="2920"/>
              <w:spacing w:after="0"/>
              <w:rPr>
                <w:sz w:val="20"/>
                <w:szCs w:val="20"/>
                <w:color w:val="auto"/>
              </w:rPr>
            </w:pPr>
            <w:r>
              <w:rPr>
                <w:rFonts w:ascii="Arial" w:cs="Arial" w:eastAsia="Arial" w:hAnsi="Arial"/>
                <w:sz w:val="16"/>
                <w:szCs w:val="16"/>
                <w:color w:val="auto"/>
                <w:w w:val="93"/>
              </w:rPr>
              <w:t>X</w:t>
            </w:r>
          </w:p>
        </w:tc>
      </w:tr>
      <w:tr>
        <w:trPr>
          <w:trHeight w:val="203"/>
        </w:trPr>
        <w:tc>
          <w:tcPr>
            <w:tcW w:w="90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Linkbase Document</w:t>
            </w:r>
          </w:p>
        </w:tc>
        <w:tc>
          <w:tcPr>
            <w:tcW w:w="3040" w:type="dxa"/>
            <w:vAlign w:val="bottom"/>
          </w:tcPr>
          <w:p>
            <w:pPr>
              <w:spacing w:after="0"/>
              <w:rPr>
                <w:sz w:val="17"/>
                <w:szCs w:val="17"/>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6"/>
                <w:szCs w:val="16"/>
                <w:color w:val="auto"/>
              </w:rPr>
              <w:t>101.PRE</w:t>
            </w:r>
          </w:p>
        </w:tc>
        <w:tc>
          <w:tcPr>
            <w:tcW w:w="6020" w:type="dxa"/>
            <w:vAlign w:val="bottom"/>
          </w:tcPr>
          <w:p>
            <w:pPr>
              <w:ind w:left="260"/>
              <w:spacing w:after="0"/>
              <w:rPr>
                <w:sz w:val="20"/>
                <w:szCs w:val="20"/>
                <w:color w:val="auto"/>
              </w:rPr>
            </w:pPr>
            <w:r>
              <w:rPr>
                <w:rFonts w:ascii="Arial" w:cs="Arial" w:eastAsia="Arial" w:hAnsi="Arial"/>
                <w:sz w:val="16"/>
                <w:szCs w:val="16"/>
                <w:color w:val="auto"/>
              </w:rPr>
              <w:t>Inline XBRL Taxonomy Extension</w:t>
            </w:r>
          </w:p>
        </w:tc>
        <w:tc>
          <w:tcPr>
            <w:tcW w:w="3040" w:type="dxa"/>
            <w:vAlign w:val="bottom"/>
          </w:tcPr>
          <w:p>
            <w:pPr>
              <w:ind w:left="2920"/>
              <w:spacing w:after="0"/>
              <w:rPr>
                <w:sz w:val="20"/>
                <w:szCs w:val="20"/>
                <w:color w:val="auto"/>
              </w:rPr>
            </w:pPr>
            <w:r>
              <w:rPr>
                <w:rFonts w:ascii="Arial" w:cs="Arial" w:eastAsia="Arial" w:hAnsi="Arial"/>
                <w:sz w:val="16"/>
                <w:szCs w:val="16"/>
                <w:color w:val="auto"/>
                <w:w w:val="93"/>
              </w:rPr>
              <w:t>X</w:t>
            </w:r>
          </w:p>
        </w:tc>
      </w:tr>
      <w:tr>
        <w:trPr>
          <w:trHeight w:val="202"/>
        </w:trPr>
        <w:tc>
          <w:tcPr>
            <w:tcW w:w="90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Presentation Linkbase Document</w:t>
            </w:r>
          </w:p>
        </w:tc>
        <w:tc>
          <w:tcPr>
            <w:tcW w:w="30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040" w:type="dxa"/>
            <w:vAlign w:val="bottom"/>
          </w:tcPr>
          <w:p>
            <w:pPr>
              <w:ind w:left="2920"/>
              <w:spacing w:after="0"/>
              <w:rPr>
                <w:sz w:val="20"/>
                <w:szCs w:val="20"/>
                <w:color w:val="auto"/>
              </w:rPr>
            </w:pPr>
            <w:r>
              <w:rPr>
                <w:rFonts w:ascii="Arial" w:cs="Arial" w:eastAsia="Arial" w:hAnsi="Arial"/>
                <w:sz w:val="16"/>
                <w:szCs w:val="16"/>
                <w:color w:val="auto"/>
                <w:w w:val="93"/>
              </w:rPr>
              <w:t>X</w:t>
            </w:r>
          </w:p>
        </w:tc>
      </w:tr>
    </w:tbl>
    <w:p>
      <w:pPr>
        <w:spacing w:after="0" w:line="8" w:lineRule="exact"/>
        <w:rPr>
          <w:sz w:val="20"/>
          <w:szCs w:val="20"/>
          <w:color w:val="auto"/>
        </w:rPr>
      </w:pPr>
    </w:p>
    <w:p>
      <w:pPr>
        <w:ind w:left="1180" w:right="5759" w:hanging="1159"/>
        <w:spacing w:after="0" w:line="278"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2"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3440" w:type="dxa"/>
            <w:vAlign w:val="bottom"/>
            <w:gridSpan w:val="2"/>
          </w:tcPr>
          <w:p>
            <w:pPr>
              <w:ind w:left="2500"/>
              <w:spacing w:after="0"/>
              <w:rPr>
                <w:sz w:val="20"/>
                <w:szCs w:val="20"/>
                <w:color w:val="auto"/>
              </w:rPr>
            </w:pPr>
            <w:r>
              <w:rPr>
                <w:rFonts w:ascii="Arial" w:cs="Arial" w:eastAsia="Arial" w:hAnsi="Arial"/>
                <w:sz w:val="18"/>
                <w:szCs w:val="18"/>
                <w:color w:val="auto"/>
                <w:w w:val="99"/>
              </w:rPr>
              <w:t>Vroom, Inc.</w:t>
            </w:r>
          </w:p>
        </w:tc>
        <w:tc>
          <w:tcPr>
            <w:tcW w:w="4040" w:type="dxa"/>
            <w:vAlign w:val="bottom"/>
          </w:tcPr>
          <w:p>
            <w:pPr>
              <w:spacing w:after="0"/>
              <w:rPr>
                <w:sz w:val="18"/>
                <w:szCs w:val="18"/>
                <w:color w:val="auto"/>
              </w:rPr>
            </w:pPr>
          </w:p>
        </w:tc>
      </w:tr>
      <w:tr>
        <w:trPr>
          <w:trHeight w:val="432"/>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3440" w:type="dxa"/>
            <w:vAlign w:val="bottom"/>
            <w:gridSpan w:val="2"/>
          </w:tcPr>
          <w:p>
            <w:pPr>
              <w:ind w:left="246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590"/>
              <w:spacing w:after="0"/>
              <w:rPr>
                <w:sz w:val="20"/>
                <w:szCs w:val="20"/>
                <w:color w:val="auto"/>
              </w:rPr>
            </w:pPr>
            <w:r>
              <w:rPr>
                <w:rFonts w:ascii="Arial" w:cs="Arial" w:eastAsia="Arial" w:hAnsi="Arial"/>
                <w:sz w:val="18"/>
                <w:szCs w:val="18"/>
                <w:color w:val="auto"/>
                <w:w w:val="99"/>
              </w:rPr>
              <w:t>/s/ Paul J. Hennessy</w:t>
            </w:r>
          </w:p>
        </w:tc>
      </w:tr>
      <w:tr>
        <w:trPr>
          <w:trHeight w:val="237"/>
        </w:trPr>
        <w:tc>
          <w:tcPr>
            <w:tcW w:w="3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9"/>
              </w:rPr>
              <w:t>Paul J. Hennessy</w:t>
            </w:r>
          </w:p>
        </w:tc>
      </w:tr>
      <w:tr>
        <w:trPr>
          <w:trHeight w:val="256"/>
        </w:trPr>
        <w:tc>
          <w:tcPr>
            <w:tcW w:w="3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40" w:type="dxa"/>
            <w:vAlign w:val="bottom"/>
          </w:tcPr>
          <w:p>
            <w:pPr>
              <w:jc w:val="center"/>
              <w:ind w:right="570"/>
              <w:spacing w:after="0"/>
              <w:rPr>
                <w:sz w:val="20"/>
                <w:szCs w:val="20"/>
                <w:color w:val="auto"/>
              </w:rPr>
            </w:pPr>
            <w:r>
              <w:rPr>
                <w:rFonts w:ascii="Arial" w:cs="Arial" w:eastAsia="Arial" w:hAnsi="Arial"/>
                <w:sz w:val="18"/>
                <w:szCs w:val="18"/>
                <w:color w:val="auto"/>
                <w:w w:val="99"/>
              </w:rPr>
              <w:t>Chief Executive Officer</w:t>
            </w:r>
          </w:p>
        </w:tc>
      </w:tr>
      <w:tr>
        <w:trPr>
          <w:trHeight w:val="257"/>
        </w:trPr>
        <w:tc>
          <w:tcPr>
            <w:tcW w:w="3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40" w:type="dxa"/>
            <w:vAlign w:val="bottom"/>
          </w:tcPr>
          <w:p>
            <w:pPr>
              <w:jc w:val="center"/>
              <w:ind w:right="65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88"/>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3440" w:type="dxa"/>
            <w:vAlign w:val="bottom"/>
            <w:gridSpan w:val="2"/>
          </w:tcPr>
          <w:p>
            <w:pPr>
              <w:ind w:left="246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590"/>
              <w:spacing w:after="0"/>
              <w:rPr>
                <w:sz w:val="20"/>
                <w:szCs w:val="20"/>
                <w:color w:val="auto"/>
              </w:rPr>
            </w:pPr>
            <w:r>
              <w:rPr>
                <w:rFonts w:ascii="Arial" w:cs="Arial" w:eastAsia="Arial" w:hAnsi="Arial"/>
                <w:sz w:val="18"/>
                <w:szCs w:val="18"/>
                <w:color w:val="auto"/>
                <w:w w:val="99"/>
              </w:rPr>
              <w:t>/s/ Robert R. Krakowiak</w:t>
            </w:r>
          </w:p>
        </w:tc>
      </w:tr>
      <w:tr>
        <w:trPr>
          <w:trHeight w:val="237"/>
        </w:trPr>
        <w:tc>
          <w:tcPr>
            <w:tcW w:w="3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9"/>
              </w:rPr>
              <w:t>Robert R. Krakowiak</w:t>
            </w:r>
          </w:p>
        </w:tc>
      </w:tr>
      <w:tr>
        <w:trPr>
          <w:trHeight w:val="257"/>
        </w:trPr>
        <w:tc>
          <w:tcPr>
            <w:tcW w:w="3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40" w:type="dxa"/>
            <w:vAlign w:val="bottom"/>
          </w:tcPr>
          <w:p>
            <w:pPr>
              <w:jc w:val="center"/>
              <w:ind w:right="590"/>
              <w:spacing w:after="0"/>
              <w:rPr>
                <w:sz w:val="20"/>
                <w:szCs w:val="20"/>
                <w:color w:val="auto"/>
              </w:rPr>
            </w:pPr>
            <w:r>
              <w:rPr>
                <w:rFonts w:ascii="Arial" w:cs="Arial" w:eastAsia="Arial" w:hAnsi="Arial"/>
                <w:sz w:val="18"/>
                <w:szCs w:val="18"/>
                <w:color w:val="auto"/>
                <w:w w:val="99"/>
              </w:rPr>
              <w:t>Chief Financial Officer</w:t>
            </w:r>
          </w:p>
        </w:tc>
      </w:tr>
      <w:tr>
        <w:trPr>
          <w:trHeight w:val="257"/>
        </w:trPr>
        <w:tc>
          <w:tcPr>
            <w:tcW w:w="3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40" w:type="dxa"/>
            <w:vAlign w:val="bottom"/>
          </w:tcPr>
          <w:p>
            <w:pPr>
              <w:jc w:val="center"/>
              <w:ind w:right="59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73"/>
        </w:trPr>
        <w:tc>
          <w:tcPr>
            <w:tcW w:w="3760" w:type="dxa"/>
            <w:vAlign w:val="bottom"/>
          </w:tcPr>
          <w:p>
            <w:pPr>
              <w:spacing w:after="0"/>
              <w:rPr>
                <w:sz w:val="24"/>
                <w:szCs w:val="24"/>
                <w:color w:val="auto"/>
              </w:rPr>
            </w:pPr>
          </w:p>
        </w:tc>
        <w:tc>
          <w:tcPr>
            <w:tcW w:w="2760" w:type="dxa"/>
            <w:vAlign w:val="bottom"/>
          </w:tcPr>
          <w:p>
            <w:pPr>
              <w:jc w:val="right"/>
              <w:ind w:right="710"/>
              <w:spacing w:after="0"/>
              <w:rPr>
                <w:sz w:val="20"/>
                <w:szCs w:val="20"/>
                <w:color w:val="auto"/>
              </w:rPr>
            </w:pPr>
            <w:r>
              <w:rPr>
                <w:rFonts w:ascii="Arial" w:cs="Arial" w:eastAsia="Arial" w:hAnsi="Arial"/>
                <w:sz w:val="18"/>
                <w:szCs w:val="18"/>
                <w:color w:val="auto"/>
              </w:rPr>
              <w:t>67</w:t>
            </w:r>
          </w:p>
        </w:tc>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39"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20" w:hanging="432"/>
        <w:spacing w:after="0" w:line="293"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587"/>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39"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20" w:hanging="432"/>
        <w:spacing w:after="0" w:line="293"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R. Krakowiak</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587"/>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020" w:right="680" w:hanging="479"/>
        <w:spacing w:after="0" w:line="293"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ind w:left="2000"/>
              <w:spacing w:after="0"/>
              <w:rPr>
                <w:sz w:val="20"/>
                <w:szCs w:val="20"/>
                <w:color w:val="auto"/>
              </w:rPr>
            </w:pPr>
            <w:r>
              <w:rPr>
                <w:rFonts w:ascii="Arial" w:cs="Arial" w:eastAsia="Arial" w:hAnsi="Arial"/>
                <w:sz w:val="18"/>
                <w:szCs w:val="18"/>
                <w:color w:val="auto"/>
              </w:rPr>
              <w:t>Paul J. Hennessy</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103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020" w:right="680" w:hanging="479"/>
        <w:spacing w:after="0" w:line="293"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R. Krakowiak</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41"/>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803"/>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endash "/>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17" Type="http://schemas.openxmlformats.org/officeDocument/2006/relationships/hyperlink" Target="https://www.sec.gov/Archives/edgar/data/1580864/000156459021010584/vrm-10k_20201231.htm" TargetMode="External"/><Relationship Id="rId329" Type="http://schemas.openxmlformats.org/officeDocument/2006/relationships/hyperlink" Target="https://www.sec.gov/Archives/edgar/data/1580864/000095017021002077/vrm-ex2_1.htm" TargetMode="External"/><Relationship Id="rId330" Type="http://schemas.openxmlformats.org/officeDocument/2006/relationships/hyperlink" Target="https://www.sec.gov/Archives/edgar/data/1580864/000156459020039778/vrm-ex31_460.htm" TargetMode="External"/><Relationship Id="rId331" Type="http://schemas.openxmlformats.org/officeDocument/2006/relationships/hyperlink" Target="https://www.sec.gov/Archives/edgar/data/1580864/000156459020039778/vrm-ex32_234.htm" TargetMode="External"/><Relationship Id="rId332" Type="http://schemas.openxmlformats.org/officeDocument/2006/relationships/hyperlink" Target="https://www.sec.gov/Archives/edgar/data/1580864/000119312520157158/d801274dex41.htm" TargetMode="External"/><Relationship Id="rId333" Type="http://schemas.openxmlformats.org/officeDocument/2006/relationships/hyperlink" Target="https://www.sec.gov/Archives/edgar/data/1580864/000119312521270936/d212413dex101.htm" TargetMode="External"/><Relationship Id="rId334" Type="http://schemas.openxmlformats.org/officeDocument/2006/relationships/hyperlink" Target="https://www.sec.gov/Archives/edgar/data/1580864/000119312521270936/d2124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2021-11-09T16:44:53Z</dcterms:created>
  <dcterms:modified xsi:type="dcterms:W3CDTF">2021-11-09T16:44:53Z</dcterms:modified>
</cp:coreProperties>
</file>