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Benzaquen Jacob Shlomo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VROOM,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4700 MERCANTILE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Vroom,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13.68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stock options which will vest on January 22, 2029, subject to Reporting Person's continued service on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/Anna-Lisa Corrales, Attorney-in-Fact for Jacob S. Benzaquen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jacobbenzaquenpoa.txt"/>
      <w:bookmarkStart w:id="3" w:name="ksjacobbenzaquen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Vroom, Inc. (the "Company"),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the individuals named on Schedule A attached hereto and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amended from time to time, or any of them signing singly,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and resubstitution, to act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prepare, execute in the undersigned's name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and submit to the United States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(the "SEC") a Form ID, 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any other documents necessary or appropriate to obtain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and/or regenerate codes and passwords enabling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make electronic filings with the SEC of reports required by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16(a) of the Securities Exchange Act of 1934, as amended, or any rule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execute for and on behalf of the undersigned, Forms 3, 4, and 5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accordance with Section 16 of the Securities Exchange Act of 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5, complete and execute any amendment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amendments thereto, and timely file such form with the SEC and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resubstitution or revocation, hereby ratifying and confirming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such attorney-in-fact, or such attorneys-in-fact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 3, 4,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foregoing attorneys-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23rd day of April,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Jacob S. Benzaquen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Jacob S. Benzaquen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Individuals Appointed as Attorney-in-Fact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and Resubstitution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Anna-Lisa Corrales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Jonathan Sandison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Elizabeth Schutte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536" TargetMode="External"/><Relationship Id="rId5" Type="http://schemas.openxmlformats.org/officeDocument/2006/relationships/hyperlink" Target="http://www.sec.gov/cgi-bin/browse-edgar?action=getcompany&amp;CIK=00015808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1164</Words>
  <Characters>6216</Characters>
  <CharactersWithSpaces>7244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