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3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52"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2" w:lineRule="exact"/>
        <w:rPr>
          <w:sz w:val="24"/>
          <w:szCs w:val="24"/>
          <w:color w:val="auto"/>
        </w:rPr>
      </w:pPr>
    </w:p>
    <w:p>
      <w:pPr>
        <w:jc w:val="right"/>
        <w:ind w:right="4060"/>
        <w:spacing w:after="0"/>
        <w:tabs>
          <w:tab w:leader="none" w:pos="4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p>
    <w:p>
      <w:pPr>
        <w:jc w:val="right"/>
        <w:ind w:right="4040"/>
        <w:spacing w:after="0"/>
        <w:rPr>
          <w:sz w:val="20"/>
          <w:szCs w:val="20"/>
          <w:color w:val="auto"/>
        </w:rPr>
      </w:pPr>
      <w:r>
        <w:rPr>
          <w:rFonts w:ascii="Arial" w:cs="Arial" w:eastAsia="Arial" w:hAnsi="Arial"/>
          <w:sz w:val="18"/>
          <w:szCs w:val="18"/>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tbl>
      <w:tblPr>
        <w:tblLayout w:type="fixed"/>
        <w:tblInd w:w="900" w:type="dxa"/>
        <w:tblCellMar>
          <w:top w:w="0" w:type="dxa"/>
          <w:left w:w="0" w:type="dxa"/>
          <w:bottom w:w="0" w:type="dxa"/>
          <w:right w:w="0" w:type="dxa"/>
        </w:tblCellMar>
      </w:tblPr>
      <w:tr>
        <w:trPr>
          <w:trHeight w:val="414"/>
        </w:trPr>
        <w:tc>
          <w:tcPr>
            <w:tcW w:w="2500" w:type="dxa"/>
            <w:vAlign w:val="bottom"/>
          </w:tcPr>
          <w:p>
            <w:pPr>
              <w:spacing w:after="0"/>
              <w:rPr>
                <w:sz w:val="24"/>
                <w:szCs w:val="24"/>
                <w:color w:val="auto"/>
              </w:rPr>
            </w:pPr>
          </w:p>
        </w:tc>
        <w:tc>
          <w:tcPr>
            <w:tcW w:w="6760" w:type="dxa"/>
            <w:vAlign w:val="bottom"/>
            <w:gridSpan w:val="3"/>
          </w:tcPr>
          <w:p>
            <w:pPr>
              <w:jc w:val="center"/>
              <w:ind w:right="224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53"/>
        </w:trPr>
        <w:tc>
          <w:tcPr>
            <w:tcW w:w="2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420" w:type="dxa"/>
            <w:vAlign w:val="bottom"/>
          </w:tcPr>
          <w:p>
            <w:pPr>
              <w:spacing w:after="0"/>
              <w:rPr>
                <w:sz w:val="4"/>
                <w:szCs w:val="4"/>
                <w:color w:val="auto"/>
              </w:rPr>
            </w:pPr>
          </w:p>
        </w:tc>
      </w:tr>
      <w:tr>
        <w:trPr>
          <w:trHeight w:val="223"/>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760" w:type="dxa"/>
            <w:vAlign w:val="bottom"/>
            <w:gridSpan w:val="3"/>
          </w:tcPr>
          <w:p>
            <w:pPr>
              <w:jc w:val="center"/>
              <w:ind w:left="5141"/>
              <w:spacing w:after="0"/>
              <w:rPr>
                <w:sz w:val="20"/>
                <w:szCs w:val="20"/>
                <w:color w:val="auto"/>
              </w:rPr>
            </w:pPr>
            <w:r>
              <w:rPr>
                <w:rFonts w:ascii="Arial" w:cs="Arial" w:eastAsia="Arial" w:hAnsi="Arial"/>
                <w:sz w:val="14"/>
                <w:szCs w:val="14"/>
                <w:b w:val="1"/>
                <w:bCs w:val="1"/>
                <w:color w:val="auto"/>
              </w:rPr>
              <w:t>901112566</w:t>
            </w:r>
          </w:p>
        </w:tc>
      </w:tr>
      <w:tr>
        <w:trPr>
          <w:trHeight w:val="148"/>
        </w:trPr>
        <w:tc>
          <w:tcPr>
            <w:tcW w:w="2500" w:type="dxa"/>
            <w:vAlign w:val="bottom"/>
          </w:tcPr>
          <w:p>
            <w:pPr>
              <w:jc w:val="center"/>
              <w:ind w:right="38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1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420" w:type="dxa"/>
            <w:vAlign w:val="bottom"/>
          </w:tcPr>
          <w:p>
            <w:pPr>
              <w:jc w:val="center"/>
              <w:ind w:left="180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89"/>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Identification Number)</w:t>
            </w:r>
          </w:p>
        </w:tc>
      </w:tr>
      <w:tr>
        <w:trPr>
          <w:trHeight w:val="148"/>
        </w:trPr>
        <w:tc>
          <w:tcPr>
            <w:tcW w:w="2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60" w:type="dxa"/>
            <w:vAlign w:val="bottom"/>
            <w:gridSpan w:val="2"/>
          </w:tcPr>
          <w:p>
            <w:pPr>
              <w:jc w:val="center"/>
              <w:ind w:right="3348"/>
              <w:spacing w:after="0" w:line="149" w:lineRule="exact"/>
              <w:rPr>
                <w:sz w:val="20"/>
                <w:szCs w:val="20"/>
                <w:color w:val="auto"/>
              </w:rPr>
            </w:pPr>
            <w:r>
              <w:rPr>
                <w:rFonts w:ascii="Arial" w:cs="Arial" w:eastAsia="Arial" w:hAnsi="Arial"/>
                <w:sz w:val="14"/>
                <w:szCs w:val="14"/>
                <w:b w:val="1"/>
                <w:bCs w:val="1"/>
                <w:color w:val="auto"/>
              </w:rPr>
              <w:t>1375 Broadway, Floor 11</w:t>
            </w:r>
          </w:p>
        </w:tc>
      </w:tr>
      <w:tr>
        <w:trPr>
          <w:trHeight w:val="148"/>
        </w:trPr>
        <w:tc>
          <w:tcPr>
            <w:tcW w:w="2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60" w:type="dxa"/>
            <w:vAlign w:val="bottom"/>
            <w:gridSpan w:val="2"/>
          </w:tcPr>
          <w:p>
            <w:pPr>
              <w:jc w:val="center"/>
              <w:ind w:right="3348"/>
              <w:spacing w:after="0" w:line="149" w:lineRule="exact"/>
              <w:rPr>
                <w:sz w:val="20"/>
                <w:szCs w:val="20"/>
                <w:color w:val="auto"/>
              </w:rPr>
            </w:pPr>
            <w:r>
              <w:rPr>
                <w:rFonts w:ascii="Arial" w:cs="Arial" w:eastAsia="Arial" w:hAnsi="Arial"/>
                <w:sz w:val="14"/>
                <w:szCs w:val="14"/>
                <w:b w:val="1"/>
                <w:bCs w:val="1"/>
                <w:color w:val="auto"/>
              </w:rPr>
              <w:t>New York, New York 10018</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(Address of principal executive offices) (Zip code)</w:t>
            </w:r>
          </w:p>
        </w:tc>
      </w:tr>
    </w:tbl>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524-1300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0"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325"/>
        </w:trPr>
        <w:tc>
          <w:tcPr>
            <w:tcW w:w="4120" w:type="dxa"/>
            <w:vAlign w:val="bottom"/>
          </w:tcPr>
          <w:p>
            <w:pPr>
              <w:jc w:val="center"/>
              <w:spacing w:after="0"/>
              <w:rPr>
                <w:sz w:val="20"/>
                <w:szCs w:val="20"/>
                <w:color w:val="auto"/>
              </w:rPr>
            </w:pPr>
            <w:r>
              <w:rPr>
                <w:rFonts w:ascii="Arial" w:cs="Arial" w:eastAsia="Arial" w:hAnsi="Arial"/>
                <w:sz w:val="16"/>
                <w:szCs w:val="16"/>
                <w:color w:val="auto"/>
              </w:rPr>
              <w:t>Common Stock, $0.001 par value</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rPr>
              <w:t>VRM</w:t>
            </w:r>
          </w:p>
        </w:tc>
        <w:tc>
          <w:tcPr>
            <w:tcW w:w="1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35"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1" w:lineRule="exact"/>
        <w:rPr>
          <w:sz w:val="24"/>
          <w:szCs w:val="24"/>
          <w:color w:val="auto"/>
        </w:rPr>
      </w:pPr>
    </w:p>
    <w:p>
      <w:pPr>
        <w:jc w:val="both"/>
        <w:ind w:left="380" w:right="1240"/>
        <w:spacing w:after="0" w:line="22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jc w:val="center"/>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1" w:lineRule="exact"/>
        <w:rPr>
          <w:sz w:val="24"/>
          <w:szCs w:val="24"/>
          <w:color w:val="auto"/>
        </w:rPr>
      </w:pPr>
    </w:p>
    <w:p>
      <w:pPr>
        <w:ind w:right="60"/>
        <w:spacing w:after="0" w:line="188"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 w:lineRule="exact"/>
        <w:rPr>
          <w:sz w:val="24"/>
          <w:szCs w:val="24"/>
          <w:color w:val="auto"/>
        </w:rPr>
      </w:pPr>
    </w:p>
    <w:p>
      <w:pPr>
        <w:ind w:right="40" w:firstLine="374"/>
        <w:spacing w:after="0" w:line="17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right="220" w:firstLine="374"/>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9"/>
        </w:trPr>
        <w:tc>
          <w:tcPr>
            <w:tcW w:w="1860" w:type="dxa"/>
            <w:vAlign w:val="bottom"/>
          </w:tcPr>
          <w:p>
            <w:pPr>
              <w:spacing w:after="0" w:line="169" w:lineRule="exact"/>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line="169" w:lineRule="exact"/>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75"/>
        </w:trPr>
        <w:tc>
          <w:tcPr>
            <w:tcW w:w="1860" w:type="dxa"/>
            <w:vAlign w:val="bottom"/>
          </w:tcPr>
          <w:p>
            <w:pPr>
              <w:spacing w:after="0" w:line="175" w:lineRule="exact"/>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line="175" w:lineRule="exact"/>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8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 w:lineRule="exact"/>
        <w:rPr>
          <w:sz w:val="24"/>
          <w:szCs w:val="24"/>
          <w:color w:val="auto"/>
        </w:rPr>
      </w:pPr>
    </w:p>
    <w:p>
      <w:pPr>
        <w:ind w:right="280" w:firstLine="374"/>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right="40" w:firstLine="374"/>
        <w:spacing w:after="0" w:line="179"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40" w:firstLine="374"/>
        <w:spacing w:after="0" w:line="232" w:lineRule="auto"/>
        <w:rPr>
          <w:sz w:val="20"/>
          <w:szCs w:val="20"/>
          <w:color w:val="auto"/>
        </w:rPr>
      </w:pPr>
      <w:r>
        <w:rPr>
          <w:rFonts w:ascii="Arial" w:cs="Arial" w:eastAsia="Arial" w:hAnsi="Arial"/>
          <w:sz w:val="16"/>
          <w:szCs w:val="16"/>
          <w:color w:val="auto"/>
        </w:rPr>
        <w:t>As of June 30, 2021, the aggregate market value of the common stock of the registrant held by non-affiliates was $4.9 billion based on the closing price of the common stock on The Nasdaq Global Select Market of the Nasdaq Stock Market LLC on such date.</w:t>
      </w:r>
    </w:p>
    <w:p>
      <w:pPr>
        <w:spacing w:after="0" w:line="2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February 24, 2022, 137,121,893 shares of the registrants’ common stock were outstanding.</w:t>
      </w:r>
    </w:p>
    <w:p>
      <w:pPr>
        <w:spacing w:after="0" w:line="46"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DOCUMENTS INCORPORATED BY REFERENCE</w:t>
      </w:r>
    </w:p>
    <w:p>
      <w:pPr>
        <w:spacing w:after="0" w:line="167" w:lineRule="exact"/>
        <w:rPr>
          <w:sz w:val="24"/>
          <w:szCs w:val="24"/>
          <w:color w:val="auto"/>
        </w:rPr>
      </w:pPr>
    </w:p>
    <w:p>
      <w:pPr>
        <w:ind w:right="80" w:firstLine="374"/>
        <w:spacing w:after="0" w:line="237" w:lineRule="auto"/>
        <w:rPr>
          <w:sz w:val="20"/>
          <w:szCs w:val="20"/>
          <w:color w:val="auto"/>
        </w:rPr>
      </w:pPr>
      <w:r>
        <w:rPr>
          <w:rFonts w:ascii="Arial" w:cs="Arial" w:eastAsia="Arial" w:hAnsi="Arial"/>
          <w:sz w:val="16"/>
          <w:szCs w:val="16"/>
          <w:color w:val="auto"/>
        </w:rPr>
        <w:t>Certain portions of the information required to be furnished pursuant to Part III of this Annual Report on Form 10-K will be set forth in, and incorporated by reference from, the registrant’s definitive proxy statement for the annual meeting of stockholders which will be filed with the Securities and Exchange Commission no later than 120 days after the end of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61"/>
        </w:trPr>
        <w:tc>
          <w:tcPr>
            <w:tcW w:w="1500" w:type="dxa"/>
            <w:vAlign w:val="bottom"/>
            <w:gridSpan w:val="7"/>
          </w:tcPr>
          <w:p>
            <w:pPr>
              <w:spacing w:after="0"/>
              <w:rPr>
                <w:rFonts w:ascii="Arial" w:cs="Arial" w:eastAsia="Arial" w:hAnsi="Arial"/>
                <w:sz w:val="14"/>
                <w:szCs w:val="14"/>
                <w:color w:val="0563C1"/>
              </w:rPr>
            </w:pPr>
            <w:hyperlink w:anchor="page2">
              <w:r>
                <w:rPr>
                  <w:rFonts w:ascii="Arial" w:cs="Arial" w:eastAsia="Arial" w:hAnsi="Arial"/>
                  <w:sz w:val="14"/>
                  <w:szCs w:val="14"/>
                  <w:color w:val="0563C1"/>
                </w:rPr>
                <w:t>Table of Contents</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72"/>
        </w:trPr>
        <w:tc>
          <w:tcPr>
            <w:tcW w:w="4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20" w:type="dxa"/>
            <w:vAlign w:val="bottom"/>
            <w:gridSpan w:val="1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0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372"/>
        </w:trPr>
        <w:tc>
          <w:tcPr>
            <w:tcW w:w="460" w:type="dxa"/>
            <w:vAlign w:val="bottom"/>
            <w:tcBorders>
              <w:bottom w:val="single" w:sz="8" w:color="0000FF"/>
            </w:tcBorders>
          </w:tcPr>
          <w:p>
            <w:pPr>
              <w:ind w:left="20"/>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Part I</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w:t>
            </w:r>
          </w:p>
        </w:tc>
        <w:tc>
          <w:tcPr>
            <w:tcW w:w="8960" w:type="dxa"/>
            <w:vAlign w:val="bottom"/>
            <w:gridSpan w:val="28"/>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7"/>
          </w:tcPr>
          <w:p>
            <w:pPr>
              <w:spacing w:after="0" w:line="182" w:lineRule="exact"/>
              <w:rPr>
                <w:rFonts w:ascii="Arial" w:cs="Arial" w:eastAsia="Arial" w:hAnsi="Arial"/>
                <w:sz w:val="18"/>
                <w:szCs w:val="18"/>
                <w:color w:val="0000FF"/>
                <w:w w:val="97"/>
              </w:rPr>
            </w:pPr>
            <w:hyperlink w:anchor="page23">
              <w:r>
                <w:rPr>
                  <w:rFonts w:ascii="Arial" w:cs="Arial" w:eastAsia="Arial" w:hAnsi="Arial"/>
                  <w:sz w:val="18"/>
                  <w:szCs w:val="18"/>
                  <w:color w:val="0000FF"/>
                  <w:w w:val="97"/>
                </w:rPr>
                <w:t>Risk Factors</w:t>
              </w:r>
            </w:hyperlink>
          </w:p>
        </w:tc>
        <w:tc>
          <w:tcPr>
            <w:tcW w:w="20" w:type="dxa"/>
            <w:vAlign w:val="bottom"/>
            <w:tcBorders>
              <w:bottom w:val="single" w:sz="8" w:color="0000EE"/>
            </w:tcBorders>
          </w:tcPr>
          <w:p>
            <w:pPr>
              <w:spacing w:after="0"/>
              <w:rPr>
                <w:sz w:val="15"/>
                <w:szCs w:val="15"/>
                <w:color w:val="auto"/>
              </w:rPr>
            </w:pPr>
          </w:p>
        </w:tc>
        <w:tc>
          <w:tcPr>
            <w:tcW w:w="794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FF"/>
            </w:tcBorders>
            <w:gridSpan w:val="14"/>
          </w:tcPr>
          <w:p>
            <w:pPr>
              <w:spacing w:after="0" w:line="182" w:lineRule="exact"/>
              <w:rPr>
                <w:rFonts w:ascii="Arial" w:cs="Arial" w:eastAsia="Arial" w:hAnsi="Arial"/>
                <w:sz w:val="18"/>
                <w:szCs w:val="18"/>
                <w:color w:val="0000FF"/>
                <w:w w:val="98"/>
              </w:rPr>
            </w:pPr>
            <w:hyperlink w:anchor="page57">
              <w:r>
                <w:rPr>
                  <w:rFonts w:ascii="Arial" w:cs="Arial" w:eastAsia="Arial" w:hAnsi="Arial"/>
                  <w:sz w:val="18"/>
                  <w:szCs w:val="18"/>
                  <w:color w:val="0000FF"/>
                  <w:w w:val="98"/>
                </w:rPr>
                <w:t>Unresolved Staff Comments</w:t>
              </w:r>
            </w:hyperlink>
          </w:p>
        </w:tc>
        <w:tc>
          <w:tcPr>
            <w:tcW w:w="67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FF"/>
            </w:tcBorders>
            <w:gridSpan w:val="4"/>
          </w:tcPr>
          <w:p>
            <w:pPr>
              <w:spacing w:after="0" w:line="182" w:lineRule="exact"/>
              <w:rPr>
                <w:rFonts w:ascii="Arial" w:cs="Arial" w:eastAsia="Arial" w:hAnsi="Arial"/>
                <w:sz w:val="18"/>
                <w:szCs w:val="18"/>
                <w:color w:val="0000FF"/>
                <w:w w:val="97"/>
              </w:rPr>
            </w:pPr>
            <w:hyperlink w:anchor="page57">
              <w:r>
                <w:rPr>
                  <w:rFonts w:ascii="Arial" w:cs="Arial" w:eastAsia="Arial" w:hAnsi="Arial"/>
                  <w:sz w:val="18"/>
                  <w:szCs w:val="18"/>
                  <w:color w:val="0000FF"/>
                  <w:w w:val="97"/>
                </w:rPr>
                <w:t>Properties</w:t>
              </w:r>
            </w:hyperlink>
          </w:p>
        </w:tc>
        <w:tc>
          <w:tcPr>
            <w:tcW w:w="20" w:type="dxa"/>
            <w:vAlign w:val="bottom"/>
            <w:tcBorders>
              <w:bottom w:val="single" w:sz="8" w:color="0000EE"/>
            </w:tcBorders>
          </w:tcPr>
          <w:p>
            <w:pPr>
              <w:spacing w:after="0"/>
              <w:rPr>
                <w:sz w:val="15"/>
                <w:szCs w:val="15"/>
                <w:color w:val="auto"/>
              </w:rPr>
            </w:pPr>
          </w:p>
        </w:tc>
        <w:tc>
          <w:tcPr>
            <w:tcW w:w="8120" w:type="dxa"/>
            <w:vAlign w:val="bottom"/>
            <w:gridSpan w:val="2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3.</w:t>
            </w:r>
          </w:p>
        </w:tc>
        <w:tc>
          <w:tcPr>
            <w:tcW w:w="8960" w:type="dxa"/>
            <w:vAlign w:val="bottom"/>
            <w:gridSpan w:val="28"/>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Legal Proceedings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20"/>
        </w:trPr>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4.</w:t>
            </w:r>
          </w:p>
        </w:tc>
        <w:tc>
          <w:tcPr>
            <w:tcW w:w="8960" w:type="dxa"/>
            <w:vAlign w:val="bottom"/>
            <w:gridSpan w:val="28"/>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Mine Safety Disclosures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385"/>
        </w:trPr>
        <w:tc>
          <w:tcPr>
            <w:tcW w:w="1500" w:type="dxa"/>
            <w:vAlign w:val="bottom"/>
            <w:gridSpan w:val="7"/>
          </w:tcPr>
          <w:p>
            <w:pPr>
              <w:ind w:left="20"/>
              <w:spacing w:after="0"/>
              <w:rPr>
                <w:rFonts w:ascii="Arial" w:cs="Arial" w:eastAsia="Arial" w:hAnsi="Arial"/>
                <w:sz w:val="18"/>
                <w:szCs w:val="18"/>
                <w:color w:val="0000FF"/>
              </w:rPr>
            </w:pPr>
            <w:hyperlink w:anchor="page62">
              <w:r>
                <w:rPr>
                  <w:rFonts w:ascii="Arial" w:cs="Arial" w:eastAsia="Arial" w:hAnsi="Arial"/>
                  <w:sz w:val="18"/>
                  <w:szCs w:val="18"/>
                  <w:color w:val="0000FF"/>
                </w:rPr>
                <w:t>Part II</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5.</w:t>
            </w:r>
          </w:p>
        </w:tc>
        <w:tc>
          <w:tcPr>
            <w:tcW w:w="8960" w:type="dxa"/>
            <w:vAlign w:val="bottom"/>
            <w:gridSpan w:val="28"/>
          </w:tcPr>
          <w:p>
            <w:pPr>
              <w:spacing w:after="0" w:line="182" w:lineRule="exact"/>
              <w:rPr>
                <w:rFonts w:ascii="Arial" w:cs="Arial" w:eastAsia="Arial" w:hAnsi="Arial"/>
                <w:sz w:val="18"/>
                <w:szCs w:val="18"/>
                <w:color w:val="0000FF"/>
                <w:w w:val="99"/>
              </w:rPr>
            </w:pPr>
            <w:hyperlink w:anchor="page62">
              <w:r>
                <w:rPr>
                  <w:rFonts w:ascii="Arial" w:cs="Arial" w:eastAsia="Arial" w:hAnsi="Arial"/>
                  <w:sz w:val="18"/>
                  <w:szCs w:val="18"/>
                  <w:color w:val="0000FF"/>
                  <w:w w:val="99"/>
                </w:rPr>
                <w:t>Market for Registrant’s Common Equity, Related Stockholder Matters, and Issuer Purchases of Equity Securities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6.</w:t>
            </w:r>
          </w:p>
        </w:tc>
        <w:tc>
          <w:tcPr>
            <w:tcW w:w="7580" w:type="dxa"/>
            <w:vAlign w:val="bottom"/>
            <w:tcBorders>
              <w:top w:val="single" w:sz="8" w:color="0000EE"/>
            </w:tcBorders>
            <w:gridSpan w:val="25"/>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Reserved</w:t>
              </w:r>
            </w:hyperlink>
          </w:p>
        </w:tc>
        <w:tc>
          <w:tcPr>
            <w:tcW w:w="134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20"/>
        </w:trPr>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w:anchor="page66">
              <w:r>
                <w:rPr>
                  <w:rFonts w:ascii="Arial" w:cs="Arial" w:eastAsia="Arial" w:hAnsi="Arial"/>
                  <w:sz w:val="18"/>
                  <w:szCs w:val="18"/>
                  <w:color w:val="0000FF"/>
                  <w:w w:val="99"/>
                </w:rPr>
                <w:t>Management’s Discussion and Analysis of Financial Condition and Results of Operations</w:t>
              </w:r>
            </w:hyperlink>
          </w:p>
        </w:tc>
        <w:tc>
          <w:tcPr>
            <w:tcW w:w="188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7A.</w:t>
            </w:r>
          </w:p>
        </w:tc>
        <w:tc>
          <w:tcPr>
            <w:tcW w:w="462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w:anchor="page91">
              <w:r>
                <w:rPr>
                  <w:rFonts w:ascii="Arial" w:cs="Arial" w:eastAsia="Arial" w:hAnsi="Arial"/>
                  <w:sz w:val="18"/>
                  <w:szCs w:val="18"/>
                  <w:color w:val="0000FF"/>
                  <w:w w:val="99"/>
                </w:rPr>
                <w:t>Quantitative and Qualitative Disclosure About Market Risk</w:t>
              </w:r>
            </w:hyperlink>
          </w:p>
        </w:tc>
        <w:tc>
          <w:tcPr>
            <w:tcW w:w="434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8.</w:t>
            </w:r>
          </w:p>
        </w:tc>
        <w:tc>
          <w:tcPr>
            <w:tcW w:w="372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w:anchor="page92">
              <w:r>
                <w:rPr>
                  <w:rFonts w:ascii="Arial" w:cs="Arial" w:eastAsia="Arial" w:hAnsi="Arial"/>
                  <w:sz w:val="18"/>
                  <w:szCs w:val="18"/>
                  <w:color w:val="0000FF"/>
                  <w:w w:val="99"/>
                </w:rPr>
                <w:t>Financial Statements and Supplementary Data</w:t>
              </w:r>
            </w:hyperlink>
          </w:p>
        </w:tc>
        <w:tc>
          <w:tcPr>
            <w:tcW w:w="20" w:type="dxa"/>
            <w:vAlign w:val="bottom"/>
            <w:tcBorders>
              <w:bottom w:val="single" w:sz="8" w:color="0000EE"/>
            </w:tcBorders>
          </w:tcPr>
          <w:p>
            <w:pPr>
              <w:spacing w:after="0"/>
              <w:rPr>
                <w:sz w:val="15"/>
                <w:szCs w:val="15"/>
                <w:color w:val="auto"/>
              </w:rPr>
            </w:pPr>
          </w:p>
        </w:tc>
        <w:tc>
          <w:tcPr>
            <w:tcW w:w="522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9.</w:t>
            </w:r>
          </w:p>
        </w:tc>
        <w:tc>
          <w:tcPr>
            <w:tcW w:w="8960" w:type="dxa"/>
            <w:vAlign w:val="bottom"/>
            <w:gridSpan w:val="28"/>
          </w:tcPr>
          <w:p>
            <w:pPr>
              <w:spacing w:after="0" w:line="182" w:lineRule="exact"/>
              <w:rPr>
                <w:rFonts w:ascii="Arial" w:cs="Arial" w:eastAsia="Arial" w:hAnsi="Arial"/>
                <w:sz w:val="18"/>
                <w:szCs w:val="18"/>
                <w:color w:val="0000FF"/>
              </w:rPr>
            </w:pPr>
            <w:hyperlink w:anchor="page126">
              <w:r>
                <w:rPr>
                  <w:rFonts w:ascii="Arial" w:cs="Arial" w:eastAsia="Arial" w:hAnsi="Arial"/>
                  <w:sz w:val="18"/>
                  <w:szCs w:val="18"/>
                  <w:color w:val="0000FF"/>
                </w:rPr>
                <w:t>Changes in and Disagreements with Accountants on Accounting and Financial Disclosure</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w:anchor="page126">
              <w:r>
                <w:rPr>
                  <w:rFonts w:ascii="Arial" w:cs="Arial" w:eastAsia="Arial" w:hAnsi="Arial"/>
                  <w:sz w:val="18"/>
                  <w:szCs w:val="18"/>
                  <w:color w:val="0000FF"/>
                </w:rPr>
                <w:t>Controls and Procedures</w:t>
              </w:r>
            </w:hyperlink>
          </w:p>
        </w:tc>
        <w:tc>
          <w:tcPr>
            <w:tcW w:w="18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8"/>
              </w:rPr>
            </w:pPr>
            <w:hyperlink w:anchor="page127">
              <w:r>
                <w:rPr>
                  <w:rFonts w:ascii="Arial" w:cs="Arial" w:eastAsia="Arial" w:hAnsi="Arial"/>
                  <w:sz w:val="18"/>
                  <w:szCs w:val="18"/>
                  <w:color w:val="0000FF"/>
                  <w:w w:val="98"/>
                </w:rPr>
                <w:t>Other Information</w:t>
              </w:r>
            </w:hyperlink>
          </w:p>
        </w:tc>
        <w:tc>
          <w:tcPr>
            <w:tcW w:w="100" w:type="dxa"/>
            <w:vAlign w:val="bottom"/>
            <w:tcBorders>
              <w:top w:val="single" w:sz="8" w:color="0000FF"/>
              <w:bottom w:val="single" w:sz="8" w:color="0000EE"/>
            </w:tcBorders>
          </w:tcPr>
          <w:p>
            <w:pPr>
              <w:spacing w:after="0"/>
              <w:rPr>
                <w:sz w:val="15"/>
                <w:szCs w:val="15"/>
                <w:color w:val="auto"/>
              </w:rPr>
            </w:pPr>
          </w:p>
        </w:tc>
        <w:tc>
          <w:tcPr>
            <w:tcW w:w="500" w:type="dxa"/>
            <w:vAlign w:val="bottom"/>
            <w:tcBorders>
              <w:top w:val="single" w:sz="8" w:color="0000FF"/>
            </w:tcBorders>
            <w:gridSpan w:val="3"/>
          </w:tcPr>
          <w:p>
            <w:pPr>
              <w:spacing w:after="0"/>
              <w:rPr>
                <w:sz w:val="15"/>
                <w:szCs w:val="15"/>
                <w:color w:val="auto"/>
              </w:rPr>
            </w:pPr>
          </w:p>
        </w:tc>
        <w:tc>
          <w:tcPr>
            <w:tcW w:w="696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9C.</w:t>
            </w:r>
          </w:p>
        </w:tc>
        <w:tc>
          <w:tcPr>
            <w:tcW w:w="8960" w:type="dxa"/>
            <w:vAlign w:val="bottom"/>
            <w:gridSpan w:val="28"/>
          </w:tcPr>
          <w:p>
            <w:pPr>
              <w:spacing w:after="0" w:line="182" w:lineRule="exact"/>
              <w:rPr>
                <w:rFonts w:ascii="Arial" w:cs="Arial" w:eastAsia="Arial" w:hAnsi="Arial"/>
                <w:sz w:val="18"/>
                <w:szCs w:val="18"/>
                <w:color w:val="0000FF"/>
              </w:rPr>
            </w:pPr>
            <w:hyperlink w:anchor="page127">
              <w:r>
                <w:rPr>
                  <w:rFonts w:ascii="Arial" w:cs="Arial" w:eastAsia="Arial" w:hAnsi="Arial"/>
                  <w:sz w:val="18"/>
                  <w:szCs w:val="18"/>
                  <w:color w:val="0000FF"/>
                </w:rPr>
                <w:t>Disclosure Regarding Foreign Jurisdictions that Prevent Inspections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r>
      <w:tr>
        <w:trPr>
          <w:trHeight w:val="385"/>
        </w:trPr>
        <w:tc>
          <w:tcPr>
            <w:tcW w:w="560" w:type="dxa"/>
            <w:vAlign w:val="bottom"/>
            <w:tcBorders>
              <w:bottom w:val="single" w:sz="8" w:color="0000FF"/>
            </w:tcBorders>
            <w:gridSpan w:val="4"/>
          </w:tcPr>
          <w:p>
            <w:pPr>
              <w:ind w:left="20"/>
              <w:spacing w:after="0"/>
              <w:rPr>
                <w:rFonts w:ascii="Arial" w:cs="Arial" w:eastAsia="Arial" w:hAnsi="Arial"/>
                <w:sz w:val="18"/>
                <w:szCs w:val="18"/>
                <w:color w:val="0000FF"/>
                <w:w w:val="97"/>
              </w:rPr>
            </w:pPr>
            <w:hyperlink w:anchor="page128">
              <w:r>
                <w:rPr>
                  <w:rFonts w:ascii="Arial" w:cs="Arial" w:eastAsia="Arial" w:hAnsi="Arial"/>
                  <w:sz w:val="18"/>
                  <w:szCs w:val="18"/>
                  <w:color w:val="0000FF"/>
                  <w:w w:val="97"/>
                </w:rPr>
                <w:t>Part III</w:t>
              </w:r>
            </w:hyperlink>
          </w:p>
        </w:tc>
        <w:tc>
          <w:tcPr>
            <w:tcW w:w="20" w:type="dxa"/>
            <w:vAlign w:val="bottom"/>
            <w:tcBorders>
              <w:bottom w:val="single" w:sz="8" w:color="0000EE"/>
            </w:tcBorders>
          </w:tcPr>
          <w:p>
            <w:pPr>
              <w:spacing w:after="0"/>
              <w:rPr>
                <w:sz w:val="24"/>
                <w:szCs w:val="24"/>
                <w:color w:val="auto"/>
              </w:rPr>
            </w:pPr>
          </w:p>
        </w:tc>
        <w:tc>
          <w:tcPr>
            <w:tcW w:w="9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10.</w:t>
            </w:r>
          </w:p>
        </w:tc>
        <w:tc>
          <w:tcPr>
            <w:tcW w:w="454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w:anchor="page128">
              <w:r>
                <w:rPr>
                  <w:rFonts w:ascii="Arial" w:cs="Arial" w:eastAsia="Arial" w:hAnsi="Arial"/>
                  <w:sz w:val="18"/>
                  <w:szCs w:val="18"/>
                  <w:color w:val="0000FF"/>
                  <w:w w:val="99"/>
                </w:rPr>
                <w:t>Directors, Executive Officers, and Corporate Governance</w:t>
              </w:r>
            </w:hyperlink>
          </w:p>
        </w:tc>
        <w:tc>
          <w:tcPr>
            <w:tcW w:w="442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11.</w:t>
            </w:r>
          </w:p>
        </w:tc>
        <w:tc>
          <w:tcPr>
            <w:tcW w:w="8960" w:type="dxa"/>
            <w:vAlign w:val="bottom"/>
            <w:gridSpan w:val="28"/>
          </w:tcPr>
          <w:p>
            <w:pPr>
              <w:spacing w:after="0" w:line="182" w:lineRule="exact"/>
              <w:rPr>
                <w:rFonts w:ascii="Arial" w:cs="Arial" w:eastAsia="Arial" w:hAnsi="Arial"/>
                <w:sz w:val="18"/>
                <w:szCs w:val="18"/>
                <w:color w:val="0000FF"/>
              </w:rPr>
            </w:pPr>
            <w:hyperlink w:anchor="page128">
              <w:r>
                <w:rPr>
                  <w:rFonts w:ascii="Arial" w:cs="Arial" w:eastAsia="Arial" w:hAnsi="Arial"/>
                  <w:sz w:val="18"/>
                  <w:szCs w:val="18"/>
                  <w:color w:val="0000FF"/>
                </w:rPr>
                <w:t>Executive Compensation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r>
      <w:tr>
        <w:trPr>
          <w:trHeight w:val="20"/>
        </w:trPr>
        <w:tc>
          <w:tcPr>
            <w:tcW w:w="58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12.</w:t>
            </w:r>
          </w:p>
        </w:tc>
        <w:tc>
          <w:tcPr>
            <w:tcW w:w="8960" w:type="dxa"/>
            <w:vAlign w:val="bottom"/>
            <w:gridSpan w:val="28"/>
          </w:tcPr>
          <w:p>
            <w:pPr>
              <w:spacing w:after="0" w:line="182" w:lineRule="exact"/>
              <w:rPr>
                <w:rFonts w:ascii="Arial" w:cs="Arial" w:eastAsia="Arial" w:hAnsi="Arial"/>
                <w:sz w:val="18"/>
                <w:szCs w:val="18"/>
                <w:color w:val="0000FF"/>
              </w:rPr>
            </w:pPr>
            <w:hyperlink w:anchor="page128">
              <w:r>
                <w:rPr>
                  <w:rFonts w:ascii="Arial" w:cs="Arial" w:eastAsia="Arial" w:hAnsi="Arial"/>
                  <w:sz w:val="18"/>
                  <w:szCs w:val="18"/>
                  <w:color w:val="0000FF"/>
                </w:rPr>
                <w:t>Security Ownership of Certain Beneficial Owners and Management and Related Stockholder Matters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128">
              <w:r>
                <w:rPr>
                  <w:rFonts w:ascii="Arial" w:cs="Arial" w:eastAsia="Arial" w:hAnsi="Arial"/>
                  <w:sz w:val="18"/>
                  <w:szCs w:val="18"/>
                  <w:color w:val="0000FF"/>
                </w:rPr>
                <w:t>Certain Relationships and Related Transactions, and Director Independence</w:t>
              </w:r>
            </w:hyperlink>
          </w:p>
        </w:tc>
        <w:tc>
          <w:tcPr>
            <w:tcW w:w="9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w:anchor="page128">
              <w:r>
                <w:rPr>
                  <w:rFonts w:ascii="Arial" w:cs="Arial" w:eastAsia="Arial" w:hAnsi="Arial"/>
                  <w:sz w:val="18"/>
                  <w:szCs w:val="18"/>
                  <w:color w:val="0000FF"/>
                </w:rPr>
                <w:t>Principal Accounting Fees and Services</w:t>
              </w:r>
            </w:hyperlink>
          </w:p>
        </w:tc>
        <w:tc>
          <w:tcPr>
            <w:tcW w:w="290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r>
      <w:tr>
        <w:trPr>
          <w:trHeight w:val="412"/>
        </w:trPr>
        <w:tc>
          <w:tcPr>
            <w:tcW w:w="580" w:type="dxa"/>
            <w:vAlign w:val="bottom"/>
            <w:tcBorders>
              <w:bottom w:val="single" w:sz="8" w:color="0000FF"/>
            </w:tcBorders>
            <w:gridSpan w:val="5"/>
          </w:tcPr>
          <w:p>
            <w:pPr>
              <w:ind w:left="20"/>
              <w:spacing w:after="0"/>
              <w:rPr>
                <w:rFonts w:ascii="Arial" w:cs="Arial" w:eastAsia="Arial" w:hAnsi="Arial"/>
                <w:sz w:val="18"/>
                <w:szCs w:val="18"/>
                <w:color w:val="0000FF"/>
                <w:w w:val="98"/>
              </w:rPr>
            </w:pPr>
            <w:hyperlink w:anchor="page129">
              <w:r>
                <w:rPr>
                  <w:rFonts w:ascii="Arial" w:cs="Arial" w:eastAsia="Arial" w:hAnsi="Arial"/>
                  <w:sz w:val="18"/>
                  <w:szCs w:val="18"/>
                  <w:color w:val="0000FF"/>
                  <w:w w:val="98"/>
                </w:rPr>
                <w:t>Part IV</w:t>
              </w:r>
            </w:hyperlink>
          </w:p>
        </w:tc>
        <w:tc>
          <w:tcPr>
            <w:tcW w:w="9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15</w:t>
            </w:r>
          </w:p>
        </w:tc>
        <w:tc>
          <w:tcPr>
            <w:tcW w:w="8960" w:type="dxa"/>
            <w:vAlign w:val="bottom"/>
            <w:gridSpan w:val="28"/>
          </w:tcPr>
          <w:p>
            <w:pPr>
              <w:spacing w:after="0" w:line="182" w:lineRule="exact"/>
              <w:rPr>
                <w:rFonts w:ascii="Arial" w:cs="Arial" w:eastAsia="Arial" w:hAnsi="Arial"/>
                <w:sz w:val="18"/>
                <w:szCs w:val="18"/>
                <w:color w:val="0000FF"/>
              </w:rPr>
            </w:pPr>
            <w:hyperlink w:anchor="page129">
              <w:r>
                <w:rPr>
                  <w:rFonts w:ascii="Arial" w:cs="Arial" w:eastAsia="Arial" w:hAnsi="Arial"/>
                  <w:sz w:val="18"/>
                  <w:szCs w:val="18"/>
                  <w:color w:val="0000FF"/>
                </w:rPr>
                <w:t>Exhibits and Financial Statement Schedules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w:anchor="page129">
              <w:r>
                <w:rPr>
                  <w:rFonts w:ascii="Arial" w:cs="Arial" w:eastAsia="Arial" w:hAnsi="Arial"/>
                  <w:sz w:val="18"/>
                  <w:szCs w:val="18"/>
                  <w:color w:val="0000FF"/>
                </w:rPr>
                <w:t>Exhibits</w:t>
              </w:r>
            </w:hyperlink>
          </w:p>
        </w:tc>
        <w:tc>
          <w:tcPr>
            <w:tcW w:w="54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20"/>
        </w:trPr>
        <w:tc>
          <w:tcPr>
            <w:tcW w:w="1500" w:type="dxa"/>
            <w:vAlign w:val="bottom"/>
            <w:gridSpan w:val="7"/>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73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500" w:type="dxa"/>
            <w:vAlign w:val="bottom"/>
            <w:gridSpan w:val="7"/>
          </w:tcPr>
          <w:p>
            <w:pPr>
              <w:ind w:left="20"/>
              <w:spacing w:after="0" w:line="182" w:lineRule="exact"/>
              <w:rPr>
                <w:sz w:val="20"/>
                <w:szCs w:val="20"/>
                <w:color w:val="auto"/>
              </w:rPr>
            </w:pPr>
            <w:r>
              <w:rPr>
                <w:rFonts w:ascii="Arial" w:cs="Arial" w:eastAsia="Arial" w:hAnsi="Arial"/>
                <w:sz w:val="18"/>
                <w:szCs w:val="18"/>
                <w:color w:val="auto"/>
              </w:rPr>
              <w:t>Item 16.</w:t>
            </w:r>
          </w:p>
        </w:tc>
        <w:tc>
          <w:tcPr>
            <w:tcW w:w="8960" w:type="dxa"/>
            <w:vAlign w:val="bottom"/>
            <w:gridSpan w:val="28"/>
          </w:tcPr>
          <w:p>
            <w:pPr>
              <w:spacing w:after="0" w:line="182" w:lineRule="exact"/>
              <w:rPr>
                <w:rFonts w:ascii="Arial" w:cs="Arial" w:eastAsia="Arial" w:hAnsi="Arial"/>
                <w:sz w:val="18"/>
                <w:szCs w:val="18"/>
                <w:color w:val="0000FF"/>
              </w:rPr>
            </w:pPr>
            <w:hyperlink w:anchor="page134">
              <w:r>
                <w:rPr>
                  <w:rFonts w:ascii="Arial" w:cs="Arial" w:eastAsia="Arial" w:hAnsi="Arial"/>
                  <w:sz w:val="18"/>
                  <w:szCs w:val="18"/>
                  <w:color w:val="0000FF"/>
                </w:rPr>
                <w:t>Form 10-K Summary</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134</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7"/>
              </w:rPr>
            </w:pPr>
            <w:hyperlink w:anchor="page135">
              <w:r>
                <w:rPr>
                  <w:rFonts w:ascii="Arial" w:cs="Arial" w:eastAsia="Arial" w:hAnsi="Arial"/>
                  <w:sz w:val="18"/>
                  <w:szCs w:val="18"/>
                  <w:color w:val="0000FF"/>
                  <w:w w:val="97"/>
                </w:rPr>
                <w:t>Signatures</w:t>
              </w:r>
            </w:hyperlink>
          </w:p>
        </w:tc>
        <w:tc>
          <w:tcPr>
            <w:tcW w:w="800" w:type="dxa"/>
            <w:vAlign w:val="bottom"/>
            <w:tcBorders>
              <w:top w:val="single" w:sz="8" w:color="0000FF"/>
            </w:tcBorders>
            <w:gridSpan w:val="5"/>
          </w:tcPr>
          <w:p>
            <w:pPr>
              <w:spacing w:after="0"/>
              <w:rPr>
                <w:sz w:val="15"/>
                <w:szCs w:val="15"/>
                <w:color w:val="auto"/>
              </w:rPr>
            </w:pPr>
          </w:p>
        </w:tc>
        <w:tc>
          <w:tcPr>
            <w:tcW w:w="730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64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40" w:type="dxa"/>
            <w:vAlign w:val="bottom"/>
            <w:gridSpan w:val="19"/>
          </w:tcPr>
          <w:p>
            <w:pPr>
              <w:ind w:left="40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1"/>
        </w:trPr>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5732145</wp:posOffset>
            </wp:positionH>
            <wp:positionV relativeFrom="paragraph">
              <wp:posOffset>-3213735</wp:posOffset>
            </wp:positionV>
            <wp:extent cx="31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Annual Report on Form 10-K,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“target,” "will," “would,” or the negative of these terms or other similar terms or expressions, although not all forward-looking statements contain these identifying words.</w:t>
      </w:r>
    </w:p>
    <w:p>
      <w:pPr>
        <w:spacing w:after="0" w:line="207"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forward-looking statements in this Annual Report on Form 10-K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sections titled "Risk Factors," “Summary Risk Factors” and elsewhere in this Annual Report on Form 10-K.</w:t>
      </w:r>
    </w:p>
    <w:p>
      <w:pPr>
        <w:spacing w:after="0" w:line="205"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Other sections of this Annual Report on Form 10-K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2"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Annual Report on Form 10-K.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reference or incorporate by reference in this Annual Report on Form 10-K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 w:name="page4"/>
    <w:bookmarkEnd w:id="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234"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216"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3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197"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continue to grow rapidly, we may not be able to manage our growth effectively;</w:t>
      </w:r>
    </w:p>
    <w:p>
      <w:pPr>
        <w:spacing w:after="0" w:line="238" w:lineRule="exact"/>
        <w:rPr>
          <w:rFonts w:ascii="Arial" w:cs="Arial" w:eastAsia="Arial" w:hAnsi="Arial"/>
          <w:sz w:val="18"/>
          <w:szCs w:val="18"/>
          <w:color w:val="auto"/>
        </w:rPr>
      </w:pPr>
    </w:p>
    <w:p>
      <w:pPr>
        <w:ind w:left="760" w:right="20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integrate the United Auto Credit Corporation ("UACC") business into our business and develop UACC into a captive lending operation for Vroom, or realize the anticipated benefits of the acquisition of UACC or those benefits could take longer than anticipated;</w:t>
      </w:r>
    </w:p>
    <w:p>
      <w:pPr>
        <w:spacing w:after="0" w:line="203"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238" w:lineRule="exact"/>
        <w:rPr>
          <w:rFonts w:ascii="Arial" w:cs="Arial" w:eastAsia="Arial" w:hAnsi="Arial"/>
          <w:sz w:val="18"/>
          <w:szCs w:val="18"/>
          <w:color w:val="auto"/>
        </w:rPr>
      </w:pPr>
    </w:p>
    <w:p>
      <w:pPr>
        <w:ind w:left="760" w:right="420" w:hanging="378"/>
        <w:spacing w:after="0" w:line="30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51"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sales and results of operations are materially affected by our customer experience, our reputation and our brand;</w:t>
      </w:r>
    </w:p>
    <w:p>
      <w:pPr>
        <w:spacing w:after="0" w:line="238" w:lineRule="exact"/>
        <w:rPr>
          <w:rFonts w:ascii="Arial" w:cs="Arial" w:eastAsia="Arial" w:hAnsi="Arial"/>
          <w:sz w:val="18"/>
          <w:szCs w:val="18"/>
          <w:color w:val="auto"/>
        </w:rPr>
      </w:pPr>
    </w:p>
    <w:p>
      <w:pPr>
        <w:ind w:left="760" w:right="540" w:hanging="378"/>
        <w:spacing w:after="0" w:line="30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providers, any of which could materially and adversely affect our business, financial condition and results of operations;</w:t>
      </w:r>
    </w:p>
    <w:p>
      <w:pPr>
        <w:spacing w:after="0" w:line="173" w:lineRule="exact"/>
        <w:rPr>
          <w:rFonts w:ascii="Arial" w:cs="Arial" w:eastAsia="Arial" w:hAnsi="Arial"/>
          <w:sz w:val="17"/>
          <w:szCs w:val="17"/>
          <w:color w:val="auto"/>
        </w:rPr>
      </w:pPr>
    </w:p>
    <w:p>
      <w:pPr>
        <w:ind w:left="760" w:right="280" w:hanging="378"/>
        <w:spacing w:after="0" w:line="30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3" w:lineRule="exact"/>
        <w:rPr>
          <w:rFonts w:ascii="Arial" w:cs="Arial" w:eastAsia="Arial" w:hAnsi="Arial"/>
          <w:sz w:val="17"/>
          <w:szCs w:val="17"/>
          <w:color w:val="auto"/>
        </w:rPr>
      </w:pPr>
    </w:p>
    <w:p>
      <w:pPr>
        <w:ind w:left="760" w:right="12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4" w:name="page5"/>
    <w:bookmarkEnd w:id="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7" w:lineRule="exact"/>
        <w:rPr>
          <w:sz w:val="20"/>
          <w:szCs w:val="20"/>
          <w:color w:val="auto"/>
        </w:rPr>
      </w:pPr>
    </w:p>
    <w:p>
      <w:pPr>
        <w:ind w:left="760" w:right="2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203" w:lineRule="exact"/>
        <w:rPr>
          <w:rFonts w:ascii="Arial" w:cs="Arial" w:eastAsia="Arial" w:hAnsi="Arial"/>
          <w:sz w:val="18"/>
          <w:szCs w:val="18"/>
          <w:color w:val="auto"/>
        </w:rPr>
      </w:pPr>
    </w:p>
    <w:p>
      <w:pPr>
        <w:ind w:left="760" w:right="4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203"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2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 w:name="page6"/>
    <w:bookmarkEnd w:id="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60" w:firstLine="796"/>
        <w:spacing w:after="0" w:line="241" w:lineRule="auto"/>
        <w:rPr>
          <w:sz w:val="20"/>
          <w:szCs w:val="20"/>
          <w:color w:val="auto"/>
        </w:rPr>
      </w:pPr>
      <w:r>
        <w:rPr>
          <w:rFonts w:ascii="Arial" w:cs="Arial" w:eastAsia="Arial" w:hAnsi="Arial"/>
          <w:sz w:val="18"/>
          <w:szCs w:val="18"/>
          <w:color w:val="auto"/>
        </w:rPr>
        <w:t>Vroom, Inc., which was incorporated under the laws of the State of Delaware in 2012, is a holding company that conducts its operations through its subsidiaries. Vroom, Inc. completed its initial public offering (“IPO”) in June 2020 and its common stock trades on The Nasdaq Global Select Market (“Nasdaq”) under the symbol VRM. Unless the context otherwise requires, references herein to “Vroom”, “the Company”, “we”, “us” or “our” refer to Vroom and its consolidated subsidiaries. Vroom also operates the Texas Direct Auto (“TDA”) and CarStory brands.</w:t>
      </w:r>
    </w:p>
    <w:p>
      <w:pPr>
        <w:spacing w:after="0" w:line="189" w:lineRule="exact"/>
        <w:rPr>
          <w:sz w:val="20"/>
          <w:szCs w:val="20"/>
          <w:color w:val="auto"/>
        </w:rPr>
      </w:pPr>
    </w:p>
    <w:p>
      <w:pPr>
        <w:ind w:right="140" w:firstLine="686"/>
        <w:spacing w:after="0" w:line="236" w:lineRule="auto"/>
        <w:rPr>
          <w:sz w:val="20"/>
          <w:szCs w:val="20"/>
          <w:color w:val="auto"/>
        </w:rPr>
      </w:pPr>
      <w:r>
        <w:rPr>
          <w:rFonts w:ascii="Arial" w:cs="Arial" w:eastAsia="Arial" w:hAnsi="Arial"/>
          <w:sz w:val="18"/>
          <w:szCs w:val="18"/>
          <w:color w:val="auto"/>
        </w:rPr>
        <w:t>Vroom is a leading ecommerce used automotive retailer. The Company's scalable, data-driven technology brings all phases of the car buying and selling process to consumers wherever they are, and offers an extensive selection of used vehicles, transparent pricing, competitive financing, and at-home pick-up and delivery. On January 7, 2021, Vroom completed the acquisition of the CarStory business, a leader in AI-powered analytics and digital services for automotive retail, through the acquisition of 100% of Vast Holdings, Inc. On February 1, 2022, Vroom completed the acquisition of United Auto Credit Corporation (“UACC”), a leader in automotive finance, for a cash purchase price of $ 300 million, subject to customary purchase price adjustments. The acquisition accelerates Vroom’s strategy to develop a captive financing arm and UACC’s platform brings with it financing expertise and extensive application processing, underwriting, securitization, and servicing capabilities. UACC also remains committed to serving and expanding its network of dealership customers.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0"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83" w:lineRule="exact"/>
        <w:rPr>
          <w:sz w:val="20"/>
          <w:szCs w:val="20"/>
          <w:color w:val="auto"/>
        </w:rPr>
      </w:pPr>
    </w:p>
    <w:p>
      <w:pPr>
        <w:ind w:right="340" w:firstLine="636"/>
        <w:spacing w:after="0"/>
        <w:rPr>
          <w:sz w:val="20"/>
          <w:szCs w:val="20"/>
          <w:color w:val="auto"/>
        </w:rPr>
      </w:pPr>
      <w:r>
        <w:rPr>
          <w:rFonts w:ascii="Arial" w:cs="Arial" w:eastAsia="Arial" w:hAnsi="Arial"/>
          <w:sz w:val="18"/>
          <w:szCs w:val="18"/>
          <w:color w:val="auto"/>
        </w:rPr>
        <w:t>We are driving enduring change in the industry on a national scale. We take a vertically integrated, hybrid asset-light approach, leveraging the benefits of national scale and local efficiency, that is reinventing all phases of the vehicle buying and selling process, from discovery to delivery and everything in between. Our platform encompasses:</w:t>
      </w:r>
    </w:p>
    <w:p>
      <w:pPr>
        <w:spacing w:after="0" w:line="167" w:lineRule="exact"/>
        <w:rPr>
          <w:sz w:val="20"/>
          <w:szCs w:val="20"/>
          <w:color w:val="auto"/>
        </w:rPr>
      </w:pPr>
    </w:p>
    <w:p>
      <w:pPr>
        <w:ind w:left="1020" w:hanging="503"/>
        <w:spacing w:after="0" w:line="26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We offer an exceptional ecommerce experience for our customers. In contrast to legacy dealerships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at-home vehicle pick-up.</w:t>
      </w:r>
    </w:p>
    <w:p>
      <w:pPr>
        <w:spacing w:after="0" w:line="152" w:lineRule="exact"/>
        <w:rPr>
          <w:rFonts w:ascii="Arial" w:cs="Arial" w:eastAsia="Arial" w:hAnsi="Arial"/>
          <w:sz w:val="17"/>
          <w:szCs w:val="17"/>
          <w:color w:val="auto"/>
        </w:rPr>
      </w:pPr>
    </w:p>
    <w:p>
      <w:pPr>
        <w:ind w:left="1020" w:right="60" w:hanging="503"/>
        <w:spacing w:after="0" w:line="24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consumers, auctions, rental car companies, original equipment manufacturers (“OEMs”) and dealers. We improve our ability to acquire high-demand vehicles through enhanced supply science across all our sourcing channels and we have expanded our national marketing efforts to drive consumer sourcing. In our reconditioning and logistics operations, we deploy an asset-light strategy that optimizes a combination of ownership and operation of assets by us with strategic third-party partnerships. As we scale nationally, we continue to leverage our expanding last mile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79" w:lineRule="exact"/>
        <w:rPr>
          <w:rFonts w:ascii="Arial" w:cs="Arial" w:eastAsia="Arial" w:hAnsi="Arial"/>
          <w:sz w:val="18"/>
          <w:szCs w:val="18"/>
          <w:color w:val="auto"/>
        </w:rPr>
      </w:pPr>
    </w:p>
    <w:p>
      <w:pPr>
        <w:ind w:left="1020" w:right="40" w:hanging="503"/>
        <w:spacing w:after="0" w:line="24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On the operations side, data science and experimentation enable us to fine tune our supply, sourcing and logistics models and to streamline our reconditioning processes.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6" w:name="page7"/>
    <w:bookmarkEnd w:id="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ind w:right="140" w:firstLine="636"/>
        <w:spacing w:after="0" w:line="238" w:lineRule="auto"/>
        <w:rPr>
          <w:sz w:val="20"/>
          <w:szCs w:val="20"/>
          <w:color w:val="auto"/>
        </w:rPr>
      </w:pPr>
      <w:r>
        <w:rPr>
          <w:rFonts w:ascii="Arial" w:cs="Arial" w:eastAsia="Arial" w:hAnsi="Arial"/>
          <w:sz w:val="18"/>
          <w:szCs w:val="18"/>
          <w:color w:val="auto"/>
        </w:rPr>
        <w:t>The U.S. used automotive market is the largest consumer product category and is highly fragmented with over 42,000 dealers as of 2020 and millions of peer-to-peer transactions. It also is ripe for disruption as an industry that is notorious for consumer dissatisfaction and has one of the lowest levels of ecommerce penetration.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38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Our Industry and Market Opportunity</w:t>
      </w:r>
    </w:p>
    <w:p>
      <w:pPr>
        <w:spacing w:after="0" w:line="220" w:lineRule="exact"/>
        <w:rPr>
          <w:sz w:val="20"/>
          <w:szCs w:val="20"/>
          <w:color w:val="auto"/>
        </w:rPr>
      </w:pPr>
    </w:p>
    <w:p>
      <w:pPr>
        <w:ind w:right="380" w:firstLine="636"/>
        <w:spacing w:after="0" w:line="246" w:lineRule="auto"/>
        <w:rPr>
          <w:sz w:val="20"/>
          <w:szCs w:val="20"/>
          <w:color w:val="auto"/>
        </w:rPr>
      </w:pPr>
      <w:r>
        <w:rPr>
          <w:rFonts w:ascii="Arial" w:cs="Arial" w:eastAsia="Arial" w:hAnsi="Arial"/>
          <w:sz w:val="18"/>
          <w:szCs w:val="18"/>
          <w:color w:val="auto"/>
        </w:rPr>
        <w:t>The U.S. used automotive industry is a massive market that is ripe for disruption due to its fragmentation, high level of consumer dissatisfaction, changing consumer buying patterns and lack of ecommerce and technology penetration.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Massive and Highly Fragmented</w:t>
      </w:r>
    </w:p>
    <w:p>
      <w:pPr>
        <w:spacing w:after="0" w:line="220"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In 2019, the U.S. used automotive market was the largest consumer product category, generating approximately $841 billion from sales. Based on data from Cox Automotive, there were an estimated 40.5 million used vehicle transactions in 2021, compared to approximately 37.2 million transactions in 2020. The U.S. used automotive market is also highly fragmented with approximately 42,000 automotive dealers as of 2020 and millions of peer-to-peer transactions across the country. Across all used vehicle sales in 2018, the largest U.S. used vehicle dealer had a market-share of only 1.9%, with the top 100 used vehicle dealers collectively representing only 9.3%.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Competitors Rely on an Outdated Business Model</w:t>
      </w:r>
    </w:p>
    <w:p>
      <w:pPr>
        <w:spacing w:after="0" w:line="220"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The traditional dealership model involves limited selection, lack of transparency, high pressure sales tactics and inconvenient hours. These shortcomings have caused many consumers to transact on their own, creating a large peer-to-peer market for used vehicles with its own set of challenges for both buyers and sellers, which can entail home visits by strangers, lack of secure payment methods or identity checks, difficulty researching available vehicles and lack of verified vehicle condition. Presented with these alternatives, many consumers are dissatisfied with the traditional automotive buying and selling experience. However, according to the Cox Automotive Car Buyer Journey Study, consumer satisfaction with car buying has increased with digitization, reaching an all-time high of 72% in 2020, presenting an opportunity for our digital buying experience to appeal to these consumers.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Buying Patterns are Changing</w:t>
      </w:r>
    </w:p>
    <w:p>
      <w:pPr>
        <w:spacing w:after="0" w:line="220"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The U.S. retail used automotive market is experiencing shifting consumer buying patterns from in-store towards online purchases. In particular, mobile commerce is poised for even faster growth than broader ecommerce. Consumers are increasingly focused on customized products and personalized services, while also expecting delivery of those products and services on-demand. Our model enables consumers to select not only the make and model of a vehicle, but also the model year, color, trim and options in many combinations, offering a customized shopping experience that is not possible at a traditional dealership or in the peer-to-peer market.</w:t>
      </w:r>
    </w:p>
    <w:p>
      <w:pPr>
        <w:spacing w:after="0" w:line="189"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In addition, used is the new “New” as consumers have become increasingly willing to buy used goods. In 2021, 60% of vehicle buyers considered buying a used vehicle before making a purchase decision. The purchase of a used vehicle enables a consumer to obtain a fully reconditioned vehicle at a higher standard of luxury or with highly sought-after features for the same dollar amount as a new, lesser-model vehicle. The COVID-19 pandemic led to unprecedented market conditions, caused in part by supply chain dislocations, a shortage of microchips and associated delays in new car manufacturing, which increased demand for used vehicles, putting downward pressure on supply and upward pressure on used vehicle pricing.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Growing and Resilient and Ecommerce Penetration is Just Beginning</w:t>
      </w:r>
    </w:p>
    <w:p>
      <w:pPr>
        <w:spacing w:after="0" w:line="220" w:lineRule="exact"/>
        <w:rPr>
          <w:sz w:val="20"/>
          <w:szCs w:val="20"/>
          <w:color w:val="auto"/>
        </w:rPr>
      </w:pPr>
    </w:p>
    <w:p>
      <w:pPr>
        <w:ind w:right="140" w:firstLine="636"/>
        <w:spacing w:after="0" w:line="238" w:lineRule="auto"/>
        <w:rPr>
          <w:sz w:val="20"/>
          <w:szCs w:val="20"/>
          <w:color w:val="auto"/>
        </w:rPr>
      </w:pPr>
      <w:r>
        <w:rPr>
          <w:rFonts w:ascii="Arial" w:cs="Arial" w:eastAsia="Arial" w:hAnsi="Arial"/>
          <w:sz w:val="18"/>
          <w:szCs w:val="18"/>
          <w:color w:val="auto"/>
        </w:rPr>
        <w:t>American consumers continue to exhibit entrenched vehicle ownership trends with approximately 284 million registered vehicles on the road in 2019, as compared to 279 million in 2018. Further, approximately 91.5% of families in the United States had at least one vehicle in 2018. Additionally, the retail used vehicle market generally has shown resilience through recessionary markets and other challenging economic cycles.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 w:name="page8"/>
    <w:bookmarkEnd w:id="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At the same time, the used automotive market has one of the lowest ecommerce penetration levels among consumer product categories. Industry reports estimate that ecommerce penetration will grow to as much as half of all used vehicle sales by 2030. In the Cox Automotive Digitization of End to End Retail Study 2021, 80% of consumers said that they want to make at least part of their vehicle purchase online and 64% of car buyers said that they want to handle more of their purchase online compared to the last time they purchased a vehicle. Furthermore, while it is too soon to measure the long-term impact of the COVID-19 pandemic on consumer behavior, recent surveys indicate a growing willingness to buy a vehicle online and reduced use of public transportation and ride-sharing services, with respondents attributing recent vehicle purchases to the COVID-19 pandemic.</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What We Do: Offer a Better Way</w:t>
      </w:r>
    </w:p>
    <w:p>
      <w:pPr>
        <w:spacing w:after="0" w:line="22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are driving a better way to buy and a better way to sell used vehicles and bringing about enduring change in the industry. Our platform brings together all phases of the vehicle buying and selling process in a seamless, intuitive and convenient way. We create a climate of trust and provide an exceptional experience with complete transparency by eliminating friction and sales pressure. The traditional auto dealers and peer-to-peer market do not and cannot offer consumers what we offer. We offer a better way.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Better Way to Buy</w:t>
      </w:r>
    </w:p>
    <w:p>
      <w:pPr>
        <w:spacing w:after="0" w:line="220"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For consumers looking to buy a used vehicle, we offer a value proposition that differs markedly from traditional auto dealers and the peer-to-peer market. We are dedicated to helping customers evolve from wary shoppers to confident owners by streamlining the entire buying process, from discovery through financing to delivery, by offering the following:</w:t>
      </w:r>
    </w:p>
    <w:p>
      <w:pPr>
        <w:spacing w:after="0" w:line="167" w:lineRule="exact"/>
        <w:rPr>
          <w:sz w:val="20"/>
          <w:szCs w:val="20"/>
          <w:color w:val="auto"/>
        </w:rPr>
      </w:pPr>
    </w:p>
    <w:p>
      <w:pPr>
        <w:ind w:left="1020" w:right="220" w:hanging="503"/>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Enormous Selection of Inventory. </w:t>
      </w:r>
      <w:r>
        <w:rPr>
          <w:rFonts w:ascii="Arial" w:cs="Arial" w:eastAsia="Arial" w:hAnsi="Arial"/>
          <w:sz w:val="18"/>
          <w:szCs w:val="18"/>
          <w:color w:val="auto"/>
        </w:rPr>
        <w:t>We currently offer a growing inventory of thousands of low-mileage, high-demand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By making purchasing decisions based on data rather than intuition, we are able to offer a wide selection of vehicles that excite our customers. Consumers no longer have to settle for traditional dealerships with a limited number of vehicles on hand or scour local peer-to-peer listings and travel to a seller’s location to see a single vehicle.</w:t>
      </w:r>
    </w:p>
    <w:p>
      <w:pPr>
        <w:spacing w:after="0" w:line="160" w:lineRule="exact"/>
        <w:rPr>
          <w:rFonts w:ascii="Arial" w:cs="Arial" w:eastAsia="Arial" w:hAnsi="Arial"/>
          <w:sz w:val="18"/>
          <w:szCs w:val="18"/>
          <w:color w:val="auto"/>
        </w:rPr>
      </w:pPr>
    </w:p>
    <w:p>
      <w:pPr>
        <w:ind w:left="1020" w:right="20" w:hanging="503"/>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Consistent High Quality. </w:t>
      </w:r>
      <w:r>
        <w:rPr>
          <w:rFonts w:ascii="Arial" w:cs="Arial" w:eastAsia="Arial" w:hAnsi="Arial"/>
          <w:sz w:val="18"/>
          <w:szCs w:val="18"/>
          <w:color w:val="auto"/>
        </w:rPr>
        <w:t>All of our vehicles pass our detailed inspections and meet our proprietary Vroom Reconditioning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which result in high-quality used vehicles backed by our free Vroom 90-Day Limited Warranty. We never lose sight of the fact that the used vehicles we sell are “new” to our customers.</w:t>
      </w:r>
    </w:p>
    <w:p>
      <w:pPr>
        <w:spacing w:after="0" w:line="155" w:lineRule="exact"/>
        <w:rPr>
          <w:rFonts w:ascii="Arial" w:cs="Arial" w:eastAsia="Arial" w:hAnsi="Arial"/>
          <w:sz w:val="18"/>
          <w:szCs w:val="18"/>
          <w:color w:val="auto"/>
        </w:rPr>
      </w:pPr>
    </w:p>
    <w:p>
      <w:pPr>
        <w:ind w:left="1020" w:right="120" w:hanging="503"/>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and Transparent Vehicle Information. </w:t>
      </w:r>
      <w:r>
        <w:rPr>
          <w:rFonts w:ascii="Arial" w:cs="Arial" w:eastAsia="Arial" w:hAnsi="Arial"/>
          <w:sz w:val="18"/>
          <w:szCs w:val="18"/>
          <w:color w:val="auto"/>
        </w:rPr>
        <w:t>We remove the asymmetry of information between dealers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by providing comprehensive and transparent information on the vehicles we sell. We mitigate bait-and-switch risk through high-resolution photography and detailed product descriptions on our platform, which show our customers our vehicles from all angles, highlight imperfections and provide third-party vehicle history reports on all of our vehicles.</w:t>
      </w:r>
    </w:p>
    <w:p>
      <w:pPr>
        <w:spacing w:after="0" w:line="160" w:lineRule="exact"/>
        <w:rPr>
          <w:rFonts w:ascii="Arial" w:cs="Arial" w:eastAsia="Arial" w:hAnsi="Arial"/>
          <w:sz w:val="18"/>
          <w:szCs w:val="18"/>
          <w:color w:val="auto"/>
        </w:rPr>
      </w:pPr>
    </w:p>
    <w:p>
      <w:pPr>
        <w:ind w:left="1020" w:right="560" w:hanging="503"/>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Customized Vehicle Search and Discovery. </w:t>
      </w:r>
      <w:r>
        <w:rPr>
          <w:rFonts w:ascii="Arial" w:cs="Arial" w:eastAsia="Arial" w:hAnsi="Arial"/>
          <w:sz w:val="18"/>
          <w:szCs w:val="18"/>
          <w:color w:val="auto"/>
        </w:rPr>
        <w:t>In addition to the size and diversity of our inventory selection, we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buyers with a personalized, intuitive interface with detailed sorting, searching and filtering functionality. This enables our customers to research and discover the right car for their unique needs.</w:t>
      </w:r>
    </w:p>
    <w:p>
      <w:pPr>
        <w:spacing w:after="0" w:line="155" w:lineRule="exact"/>
        <w:rPr>
          <w:rFonts w:ascii="Arial" w:cs="Arial" w:eastAsia="Arial" w:hAnsi="Arial"/>
          <w:sz w:val="18"/>
          <w:szCs w:val="18"/>
          <w:color w:val="auto"/>
        </w:rPr>
      </w:pPr>
    </w:p>
    <w:p>
      <w:pPr>
        <w:ind w:left="1020" w:right="140" w:hanging="503"/>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Competitive, Market-based Pricing. </w:t>
      </w:r>
      <w:r>
        <w:rPr>
          <w:rFonts w:ascii="Arial" w:cs="Arial" w:eastAsia="Arial" w:hAnsi="Arial"/>
          <w:sz w:val="18"/>
          <w:szCs w:val="18"/>
          <w:color w:val="auto"/>
        </w:rPr>
        <w:t>We price our vehicles using data science and proprietary algorithms, ensuring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buyers receive attractive, market-based, no-haggle pricing. Our pricing strategy takes into account hundreds of variables when determining the accurate market price of a vehicle, including items beyond make, model and color that are unavailable to traditional dealerships, such as proprietary historical purchase and sales data.</w:t>
      </w:r>
    </w:p>
    <w:p>
      <w:pPr>
        <w:spacing w:after="0" w:line="160" w:lineRule="exact"/>
        <w:rPr>
          <w:rFonts w:ascii="Arial" w:cs="Arial" w:eastAsia="Arial" w:hAnsi="Arial"/>
          <w:sz w:val="18"/>
          <w:szCs w:val="18"/>
          <w:color w:val="auto"/>
        </w:rPr>
      </w:pPr>
    </w:p>
    <w:p>
      <w:pPr>
        <w:jc w:val="both"/>
        <w:ind w:left="1020" w:right="160" w:hanging="503"/>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Exceptional Customer Support. </w:t>
      </w:r>
      <w:r>
        <w:rPr>
          <w:rFonts w:ascii="Arial" w:cs="Arial" w:eastAsia="Arial" w:hAnsi="Arial"/>
          <w:sz w:val="18"/>
          <w:szCs w:val="18"/>
          <w:color w:val="auto"/>
        </w:rPr>
        <w:t>Our professional customer experience team accompanies the buyer through every step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process to make sure all questions are answered and any concerns are addressed. In all of our customer interactions, our goal is to ensure that every customer is a delighted customer.</w:t>
      </w:r>
    </w:p>
    <w:p>
      <w:pPr>
        <w:spacing w:after="0" w:line="155" w:lineRule="exact"/>
        <w:rPr>
          <w:rFonts w:ascii="Arial" w:cs="Arial" w:eastAsia="Arial" w:hAnsi="Arial"/>
          <w:sz w:val="18"/>
          <w:szCs w:val="18"/>
          <w:color w:val="auto"/>
        </w:rPr>
      </w:pPr>
    </w:p>
    <w:p>
      <w:pPr>
        <w:ind w:left="1020" w:right="20" w:hanging="503"/>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On-Demand Shopping and Contact-Free, Convenient Delivery Experience. </w:t>
      </w:r>
      <w:r>
        <w:rPr>
          <w:rFonts w:ascii="Arial" w:cs="Arial" w:eastAsia="Arial" w:hAnsi="Arial"/>
          <w:sz w:val="18"/>
          <w:szCs w:val="18"/>
          <w:color w:val="auto"/>
        </w:rPr>
        <w:t>We offer customers the ability to shop for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vehicle at any time, on any device and from any location. We also deliver our vehicles nationwide to a location of our customer’s choosing. Our on-demand shopping and contact-free, convenient delivery not only saves our customers a trip to the dealership, it provides the ultimate driveway experience.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 w:name="page9"/>
    <w:bookmarkEnd w:id="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ind w:left="1020" w:right="60" w:hanging="503"/>
        <w:spacing w:after="0" w:line="26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Seamless, Real-Time Financing Solutions. </w:t>
      </w:r>
      <w:r>
        <w:rPr>
          <w:rFonts w:ascii="Arial" w:cs="Arial" w:eastAsia="Arial" w:hAnsi="Arial"/>
          <w:sz w:val="17"/>
          <w:szCs w:val="17"/>
          <w:color w:val="auto"/>
        </w:rPr>
        <w:t>We provide seamlessly integrated, real-time, individualized financing solutions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our strategic partnerships with trusted lenders in automotive finance and give our customers access to competitive market rates. We completed the acquisition of UACC on February 1, 2022, which will become the core platform for our captive financing operations. As a first step in our integration plan, UACC has joined the existing lineup of lenders available on our ecommerce platform as we work to integrate UACC’s services and develop our captive financing operation, which will enable us to provide our customers with expanded financing solutions across the credit spectrum and an enhanced customer experience.</w:t>
      </w:r>
    </w:p>
    <w:p>
      <w:pPr>
        <w:spacing w:after="0" w:line="191" w:lineRule="exact"/>
        <w:rPr>
          <w:rFonts w:ascii="Arial" w:cs="Arial" w:eastAsia="Arial" w:hAnsi="Arial"/>
          <w:sz w:val="17"/>
          <w:szCs w:val="17"/>
          <w:color w:val="auto"/>
        </w:rPr>
      </w:pPr>
    </w:p>
    <w:p>
      <w:pPr>
        <w:ind w:left="1020" w:right="180" w:hanging="503"/>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Value-Added Products. </w:t>
      </w:r>
      <w:r>
        <w:rPr>
          <w:rFonts w:ascii="Arial" w:cs="Arial" w:eastAsia="Arial" w:hAnsi="Arial"/>
          <w:sz w:val="18"/>
          <w:szCs w:val="18"/>
          <w:color w:val="auto"/>
        </w:rPr>
        <w:t>We offer third-party protection products, such as vehicle service contracts, GAP protection and tire</w:t>
      </w:r>
      <w:r>
        <w:rPr>
          <w:rFonts w:ascii="Arial" w:cs="Arial" w:eastAsia="Arial" w:hAnsi="Arial"/>
          <w:sz w:val="18"/>
          <w:szCs w:val="18"/>
          <w:b w:val="1"/>
          <w:bCs w:val="1"/>
          <w:color w:val="auto"/>
        </w:rPr>
        <w:t xml:space="preserve"> </w:t>
      </w:r>
      <w:r>
        <w:rPr>
          <w:rFonts w:ascii="Arial" w:cs="Arial" w:eastAsia="Arial" w:hAnsi="Arial"/>
          <w:sz w:val="18"/>
          <w:szCs w:val="18"/>
          <w:color w:val="auto"/>
        </w:rPr>
        <w:t>and wheel coverage, all with transparent pricing. As we scale our business, we intend to introduce additional value-added products that will be attractive to our customers and drive revenue and profitable growth.</w:t>
      </w:r>
    </w:p>
    <w:p>
      <w:pPr>
        <w:spacing w:after="0" w:line="155" w:lineRule="exact"/>
        <w:rPr>
          <w:rFonts w:ascii="Arial" w:cs="Arial" w:eastAsia="Arial" w:hAnsi="Arial"/>
          <w:sz w:val="18"/>
          <w:szCs w:val="18"/>
          <w:color w:val="auto"/>
        </w:rPr>
      </w:pPr>
    </w:p>
    <w:p>
      <w:pPr>
        <w:ind w:left="1020" w:hanging="503"/>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Assurance. </w:t>
      </w:r>
      <w:r>
        <w:rPr>
          <w:rFonts w:ascii="Arial" w:cs="Arial" w:eastAsia="Arial" w:hAnsi="Arial"/>
          <w:sz w:val="18"/>
          <w:szCs w:val="18"/>
          <w:color w:val="auto"/>
        </w:rPr>
        <w:t>Our Vroom 7-Day Return Program offers customers seven days or 250 miles to test drive their purchase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family, versus a seven-minute test drive around the block at a dealership. This fundamentally transforms the customers’ test drive experience by providing the opportunity to see how their vehicle performs in day-to-day life.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Better Way to Sell</w:t>
      </w:r>
    </w:p>
    <w:p>
      <w:pPr>
        <w:spacing w:after="0" w:line="220"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We are revolutionizing the process for consumers to sell or trade-in their vehicles. Consumers typically encounter either low-ball prices from their local dealer or face the prospect of advertising and selling the vehicle themselves in a time-consuming process through the peer-to-peer market. In contrast, we offer consumers the following:</w:t>
      </w:r>
    </w:p>
    <w:p>
      <w:pPr>
        <w:spacing w:after="0" w:line="167" w:lineRule="exact"/>
        <w:rPr>
          <w:sz w:val="20"/>
          <w:szCs w:val="20"/>
          <w:color w:val="auto"/>
        </w:rPr>
      </w:pPr>
    </w:p>
    <w:p>
      <w:pPr>
        <w:ind w:left="1020" w:right="40" w:hanging="503"/>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Ease of Use. </w:t>
      </w:r>
      <w:r>
        <w:rPr>
          <w:rFonts w:ascii="Arial" w:cs="Arial" w:eastAsia="Arial" w:hAnsi="Arial"/>
          <w:sz w:val="18"/>
          <w:szCs w:val="18"/>
          <w:color w:val="auto"/>
        </w:rPr>
        <w:t>We offer the ease of online submission of basic vehicle information in order to receive an appraisal. There is no</w:t>
      </w:r>
      <w:r>
        <w:rPr>
          <w:rFonts w:ascii="Arial" w:cs="Arial" w:eastAsia="Arial" w:hAnsi="Arial"/>
          <w:sz w:val="18"/>
          <w:szCs w:val="18"/>
          <w:b w:val="1"/>
          <w:bCs w:val="1"/>
          <w:color w:val="auto"/>
        </w:rPr>
        <w:t xml:space="preserve"> </w:t>
      </w:r>
      <w:r>
        <w:rPr>
          <w:rFonts w:ascii="Arial" w:cs="Arial" w:eastAsia="Arial" w:hAnsi="Arial"/>
          <w:sz w:val="18"/>
          <w:szCs w:val="18"/>
          <w:color w:val="auto"/>
        </w:rPr>
        <w:t>trip to the dealership and no cost to submit a vehicle for sale, but rather a simple, hassle-free process enabling customers to sell us their vehicles.</w:t>
      </w:r>
    </w:p>
    <w:p>
      <w:pPr>
        <w:spacing w:after="0" w:line="155" w:lineRule="exact"/>
        <w:rPr>
          <w:rFonts w:ascii="Arial" w:cs="Arial" w:eastAsia="Arial" w:hAnsi="Arial"/>
          <w:sz w:val="18"/>
          <w:szCs w:val="18"/>
          <w:color w:val="auto"/>
        </w:rPr>
      </w:pPr>
    </w:p>
    <w:p>
      <w:pPr>
        <w:ind w:left="1020" w:right="100" w:hanging="503"/>
        <w:spacing w:after="0" w:line="22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On-Demand Appraisals. </w:t>
      </w:r>
      <w:r>
        <w:rPr>
          <w:rFonts w:ascii="Arial" w:cs="Arial" w:eastAsia="Arial" w:hAnsi="Arial"/>
          <w:sz w:val="18"/>
          <w:szCs w:val="18"/>
          <w:color w:val="auto"/>
        </w:rPr>
        <w:t>Our Sell Us Your Car</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proposition gives customers on-demand appraisals. We utilize our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data insights and experience across thousands of transactions to generate a quote that reflects a competitive market-based price, providing customers a fast and easy customer experience.</w:t>
      </w:r>
    </w:p>
    <w:p>
      <w:pPr>
        <w:spacing w:after="0" w:line="16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 Real-Time Price on Every Vehicle.  </w:t>
      </w:r>
      <w:r>
        <w:rPr>
          <w:rFonts w:ascii="Arial" w:cs="Arial" w:eastAsia="Arial" w:hAnsi="Arial"/>
          <w:sz w:val="18"/>
          <w:szCs w:val="18"/>
          <w:color w:val="auto"/>
        </w:rPr>
        <w:t>For every vehicle that customers submit for appraisal, we provide a real-time price.</w:t>
      </w:r>
    </w:p>
    <w:p>
      <w:pPr>
        <w:spacing w:after="0" w:line="198" w:lineRule="exact"/>
        <w:rPr>
          <w:rFonts w:ascii="Arial" w:cs="Arial" w:eastAsia="Arial" w:hAnsi="Arial"/>
          <w:sz w:val="18"/>
          <w:szCs w:val="18"/>
          <w:color w:val="auto"/>
        </w:rPr>
      </w:pPr>
    </w:p>
    <w:p>
      <w:pPr>
        <w:ind w:left="1020" w:right="420" w:hanging="503"/>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 High-Pressure Tactics. </w:t>
      </w:r>
      <w:r>
        <w:rPr>
          <w:rFonts w:ascii="Arial" w:cs="Arial" w:eastAsia="Arial" w:hAnsi="Arial"/>
          <w:sz w:val="18"/>
          <w:szCs w:val="18"/>
          <w:color w:val="auto"/>
        </w:rPr>
        <w:t>Price quotes are good for seven days or 250 miles. This process allows customers to shop,</w:t>
      </w:r>
      <w:r>
        <w:rPr>
          <w:rFonts w:ascii="Arial" w:cs="Arial" w:eastAsia="Arial" w:hAnsi="Arial"/>
          <w:sz w:val="18"/>
          <w:szCs w:val="18"/>
          <w:b w:val="1"/>
          <w:bCs w:val="1"/>
          <w:color w:val="auto"/>
        </w:rPr>
        <w:t xml:space="preserve"> </w:t>
      </w:r>
      <w:r>
        <w:rPr>
          <w:rFonts w:ascii="Arial" w:cs="Arial" w:eastAsia="Arial" w:hAnsi="Arial"/>
          <w:sz w:val="18"/>
          <w:szCs w:val="18"/>
          <w:color w:val="auto"/>
        </w:rPr>
        <w:t>compare and analyze the sale of their vehicle from the convenience of their home to ensure they are getting the best value, eliminating pressure to take a deal on the spot.</w:t>
      </w:r>
    </w:p>
    <w:p>
      <w:pPr>
        <w:spacing w:after="0" w:line="155"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Convenient, Contact-Free Vehicle Pick-ups. </w:t>
      </w:r>
      <w:r>
        <w:rPr>
          <w:rFonts w:ascii="Arial" w:cs="Arial" w:eastAsia="Arial" w:hAnsi="Arial"/>
          <w:sz w:val="18"/>
          <w:szCs w:val="18"/>
          <w:color w:val="auto"/>
        </w:rPr>
        <w:t>Our customers enjoy the convenience of national, at-home contact-free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pick-up free of charge within days of accepting our price.</w:t>
      </w:r>
    </w:p>
    <w:p>
      <w:pPr>
        <w:spacing w:after="0" w:line="140" w:lineRule="exact"/>
        <w:rPr>
          <w:rFonts w:ascii="Arial" w:cs="Arial" w:eastAsia="Arial" w:hAnsi="Arial"/>
          <w:sz w:val="18"/>
          <w:szCs w:val="18"/>
          <w:color w:val="auto"/>
        </w:rPr>
      </w:pPr>
    </w:p>
    <w:p>
      <w:pPr>
        <w:ind w:left="1020" w:right="320" w:hanging="503"/>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 Hassle Pay-offs. </w:t>
      </w:r>
      <w:r>
        <w:rPr>
          <w:rFonts w:ascii="Arial" w:cs="Arial" w:eastAsia="Arial" w:hAnsi="Arial"/>
          <w:sz w:val="18"/>
          <w:szCs w:val="18"/>
          <w:color w:val="auto"/>
        </w:rPr>
        <w:t>As an added convenience, we offer hassle-free customer payment and/or pay-off of any loans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vehicle being sold, saving the customer time and paperwork.</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Competitive Strengths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Leading Ecommerce Platform for Used Vehicles</w:t>
      </w:r>
    </w:p>
    <w:p>
      <w:pPr>
        <w:spacing w:after="0" w:line="220"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offer an end-to-end, ecommerce platform for buying, selling, transporting, reconditioning, pricing, financing, registering and delivering vehicles nationwide. Our platform encompasses every element of the customer experience and ensures quality and consistency. Our customer-centric business model addresses the shortcomings of the traditional dealership model and peer-to-peer market. We combine high-quality and high-demand vehicles, asset-light, scalable reconditioning operations, a national logistics network and an exceptional ecommerce experience. In addition, our ability to control the entire customer value chain from demand generation to pick-up or delivery to the customer’s driveway creates operating leverage as we scale, further driving the network effects inherent in our business and contributing to our path to profitability.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Asset-Light, Scalable Operations</w:t>
      </w:r>
    </w:p>
    <w:p>
      <w:pPr>
        <w:spacing w:after="0" w:line="220" w:lineRule="exact"/>
        <w:rPr>
          <w:sz w:val="20"/>
          <w:szCs w:val="20"/>
          <w:color w:val="auto"/>
        </w:rPr>
      </w:pPr>
    </w:p>
    <w:p>
      <w:pPr>
        <w:ind w:right="680" w:firstLine="636"/>
        <w:spacing w:after="0" w:line="238" w:lineRule="auto"/>
        <w:rPr>
          <w:sz w:val="20"/>
          <w:szCs w:val="20"/>
          <w:color w:val="auto"/>
        </w:rPr>
      </w:pPr>
      <w:r>
        <w:rPr>
          <w:rFonts w:ascii="Arial" w:cs="Arial" w:eastAsia="Arial" w:hAnsi="Arial"/>
          <w:sz w:val="18"/>
          <w:szCs w:val="18"/>
          <w:color w:val="auto"/>
        </w:rPr>
        <w:t>Through our hybrid asset-light strategy, we seek to optimize the combination of ownership and operation of assets by us with strategic third-party partnerships. Our strategy provides flexibility, agility and speed as we scale our business, without taking on the unnecessary risk and capital investment inherent in direct investment across all of our operations, while allowing for investments in proprietary operations when it advances our strategic objectives.</w:t>
      </w:r>
    </w:p>
    <w:p>
      <w:pPr>
        <w:spacing w:after="0" w:line="191" w:lineRule="exact"/>
        <w:rPr>
          <w:sz w:val="20"/>
          <w:szCs w:val="20"/>
          <w:color w:val="auto"/>
        </w:rPr>
      </w:pPr>
    </w:p>
    <w:p>
      <w:pPr>
        <w:jc w:val="both"/>
        <w:ind w:right="260" w:firstLine="636"/>
        <w:spacing w:after="0" w:line="238" w:lineRule="auto"/>
        <w:rPr>
          <w:sz w:val="20"/>
          <w:szCs w:val="20"/>
          <w:color w:val="auto"/>
        </w:rPr>
      </w:pPr>
      <w:r>
        <w:rPr>
          <w:rFonts w:ascii="Arial" w:cs="Arial" w:eastAsia="Arial" w:hAnsi="Arial"/>
          <w:sz w:val="18"/>
          <w:szCs w:val="18"/>
          <w:color w:val="auto"/>
        </w:rPr>
        <w:t>We employ this hybrid approach across our business and utilize strategic relationships with experienced and trusted providers to optimize reconditioning services, logistics, consumer financing and customer experience. As we scale nationally, we continue to leverage our expanding last mile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73" w:lineRule="exact"/>
        <w:rPr>
          <w:sz w:val="20"/>
          <w:szCs w:val="20"/>
          <w:color w:val="auto"/>
        </w:rPr>
      </w:pPr>
    </w:p>
    <w:p>
      <w:pPr>
        <w:ind w:left="1400" w:right="100" w:hanging="381"/>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Reconditioning Facilities. </w:t>
      </w:r>
      <w:r>
        <w:rPr>
          <w:rFonts w:ascii="Arial" w:cs="Arial" w:eastAsia="Arial" w:hAnsi="Arial"/>
          <w:sz w:val="18"/>
          <w:szCs w:val="18"/>
          <w:color w:val="auto"/>
        </w:rPr>
        <w:t>We combine the use of our proprietary reconditioning center (“Vroom VRC”) and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reconditioning centers (“third-party VRCs”) to best meet our reconditioning needs as we continue to expand our business. We leverage our partnerships with third parties within the reconditioning industry to recondition approximately three-fourths of the vehicles in our inventory to our Vroom Reconditioning Standards, which creates capacity to scale quickly and efficiently, while simultaneously reducing our capital commitments as we expand our geographic footprint. Going forward, as we continue to scale our business, we intend to add additional proprietary VRCs to our integrated hybrid network to ensure adequate capacity and support our regional operating model.</w:t>
      </w:r>
    </w:p>
    <w:p>
      <w:pPr>
        <w:spacing w:after="0" w:line="171" w:lineRule="exact"/>
        <w:rPr>
          <w:rFonts w:ascii="Arial" w:cs="Arial" w:eastAsia="Arial" w:hAnsi="Arial"/>
          <w:sz w:val="18"/>
          <w:szCs w:val="18"/>
          <w:color w:val="auto"/>
        </w:rPr>
      </w:pPr>
    </w:p>
    <w:p>
      <w:pPr>
        <w:ind w:left="1400" w:right="40" w:hanging="381"/>
        <w:spacing w:after="0" w:line="239"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Logistics</w:t>
      </w:r>
      <w:r>
        <w:rPr>
          <w:rFonts w:ascii="Arial" w:cs="Arial" w:eastAsia="Arial" w:hAnsi="Arial"/>
          <w:sz w:val="18"/>
          <w:szCs w:val="18"/>
          <w:color w:val="auto"/>
        </w:rPr>
        <w:t>. We historically have used third-party carriers for our inbound and outbound logistics operations while also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our proprietary logistics capabilities. This approach allowed us to efficiently deliver vehicles to customers throughout the United States while focusing on expanding other critical components of our business, such as the volume and selection of vehicles in our inventory. More recently, we have been optimizing this hybrid approach by expanding our proprietary logistics operations, including our owned vehicle fleet. Initially we have been prioritizing investment in our last mile delivery operations, which we expect to both improve our operating leverage and enhance our customer experience. We also have invested in short-haul vehicles to make regional deliveries from our last mile hubs, many of which are located at our third-party VRCs, and line-haul vehicles for hub-to-hub shipments on high-volume routes.</w:t>
      </w:r>
    </w:p>
    <w:p>
      <w:pPr>
        <w:spacing w:after="0" w:line="146" w:lineRule="exact"/>
        <w:rPr>
          <w:rFonts w:ascii="Arial" w:cs="Arial" w:eastAsia="Arial" w:hAnsi="Arial"/>
          <w:sz w:val="18"/>
          <w:szCs w:val="18"/>
          <w:color w:val="auto"/>
        </w:rPr>
      </w:pPr>
    </w:p>
    <w:p>
      <w:pPr>
        <w:ind w:left="1400" w:right="160" w:hanging="381"/>
        <w:spacing w:after="0" w:line="242"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Customer Financing</w:t>
      </w:r>
      <w:r>
        <w:rPr>
          <w:rFonts w:ascii="Arial" w:cs="Arial" w:eastAsia="Arial" w:hAnsi="Arial"/>
          <w:sz w:val="18"/>
          <w:szCs w:val="18"/>
          <w:color w:val="auto"/>
        </w:rPr>
        <w:t>. We currently arrange reliable vehicle financing for our customers by partnering with many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and most trusted banks in the world. We completed the acquisition of UACC on February 1, 2022, which will become the core platform for our captive financing operations. As a first step in our integration plan, UACC has joined the existing lineup of lenders available on our ecommerce platform, which will enable us to expand our financing solutions across the credit spectrum. We are working to integrate and expand UACC’s services and develop our captive financing operation, which will enable more customers across the credit spectrum to seamlessly transact on Vroom’s platform, while also supporting our sales growth, improving our unit economics and enhancing our customer experience.</w:t>
      </w:r>
    </w:p>
    <w:p>
      <w:pPr>
        <w:spacing w:after="0" w:line="186" w:lineRule="exact"/>
        <w:rPr>
          <w:rFonts w:ascii="Arial" w:cs="Arial" w:eastAsia="Arial" w:hAnsi="Arial"/>
          <w:sz w:val="18"/>
          <w:szCs w:val="18"/>
          <w:color w:val="auto"/>
        </w:rPr>
      </w:pPr>
    </w:p>
    <w:p>
      <w:pPr>
        <w:ind w:left="1400" w:right="280" w:hanging="381"/>
        <w:spacing w:after="0" w:line="242"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Customer Experience Team</w:t>
      </w:r>
      <w:r>
        <w:rPr>
          <w:rFonts w:ascii="Arial" w:cs="Arial" w:eastAsia="Arial" w:hAnsi="Arial"/>
          <w:sz w:val="18"/>
          <w:szCs w:val="18"/>
          <w:color w:val="auto"/>
        </w:rPr>
        <w:t>. In addition to our in-house customer support personnel, we have partnered with a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experience management provider to operate our primary call center providing sales support to our customers. This strategy enables us to centralize our contact center services, ensure consistency in customer interactions, increase conversion and maximize operating efficiencies. We also have engaged two additional customer service providers to expand our customer service operations as we scale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Relentless Focus on Data Science</w:t>
      </w:r>
    </w:p>
    <w:p>
      <w:pPr>
        <w:spacing w:after="0" w:line="220"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Data science is at the core of everything we do, and all aspects of our business are enhanced by data analytics. In an industry that historically used intuition and basic industry-wide data to drive purchasing and pricing decisions, we have moved from intuition to algorithm. We are expanding and continuously improving our access to data, using data science and machine learning across our business to maximize efficiency. Our proprietary technology, machine learning and data analytics models continuously optimize our marketing investments and conversion funnel, fine-tune our supply, sourcing and logistics models, calibrate our vehicle pricing, streamline our reconditioning processes and optimize our overall inventory sales velocity. Our CarStory business reinforces and enhances our predictive market data capabilities, 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CarStory continues to drive automotive retail innovation as a leader in artificial intelligence-powered analytics and digital services in the automotive space.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Experimentation and Innovation at Scale</w:t>
      </w:r>
    </w:p>
    <w:p>
      <w:pPr>
        <w:spacing w:after="0" w:line="220"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We strive to make key decisions based on data and testing. We continuously experiment using A/B and multivariate testing methodologies to drive conversion, innovation and improved unit economics. We test variables involved in sourcing, buying, reconditioning, and managing our inventory, and make decisions based on the data insights gained from such continuous experimentation. We integrate a full-stack statistics engine that is connected to our front-and back-end operations, enabling us to A/B test across all aspects of our business, including our marketing and conversion funnel, inventory procurement, management, refurbishment and sales processes.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Market Penetration and Brand</w:t>
      </w:r>
    </w:p>
    <w:p>
      <w:pPr>
        <w:spacing w:after="0" w:line="220"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Our national presence provides a significant competitive advantage versus local dealerships and regional players that lack scalable technology, operations and logistics, and are unable to take advantage of the efficiencies and lower costs of national brand advertising. We are able to deliver a superior customer experience through the breadth and diversity of our national inventory of thousands of vehicles on our platform. Consumers no longer have to settle for whatever the local dealer has on the lot or scour local peer-to-peer listings and travel to a seller’s location for an unknown, time-consuming experience. Additionally, our customers enjoy the convenience of national, at-home delivery and pick-up of vehicles. We also leverage our national marketing campaigns to efficiently increase brand awareness and attract and convert new customers at lower cost. Our brand’s national reach provides a significant advantage over local dealers who typically rely on costly local or regional advertising campaigns.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to Replicate Business Model</w:t>
      </w:r>
    </w:p>
    <w:p>
      <w:pPr>
        <w:spacing w:after="0" w:line="220"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Our platform overcomes the unique operational and technological challenges associated with buying and selling used vehicles in an ecommerce channel. Each vehicle that we offer through our platform has a unique vehicle identification number (“VIN”) and requires multiple touch points, including appraisal, inspection, reconditioning, photography, pricing and delivery. It requires significant funding sources to finance the acquisition of inventory, the ability to source and manage complex inventory, pricing and appraisal optimization skills, reconditioning expertise and sophisticated logistics capabilities, as well as the ability to provide financing to customers. Given the significance of the purchase to a consumer, it also requires professional customer service and a brand that consumers can trust. These elements make our platform difficult to replicate. Our operational experience and the improvements we have made over time serve as important competitive moats. To succeed, any new entrant to ecommerce used auto sales would require data-driven automotive expertise, ecommerce capabilities and scalable operations integrated in a single platform.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Seasoned Leadership Team and an Exceptional Culture</w:t>
      </w:r>
    </w:p>
    <w:p>
      <w:pPr>
        <w:spacing w:after="0" w:line="198" w:lineRule="exact"/>
        <w:rPr>
          <w:sz w:val="20"/>
          <w:szCs w:val="20"/>
          <w:color w:val="auto"/>
        </w:rPr>
      </w:pPr>
    </w:p>
    <w:p>
      <w:pPr>
        <w:ind w:right="100" w:firstLine="636"/>
        <w:spacing w:after="0"/>
        <w:rPr>
          <w:sz w:val="20"/>
          <w:szCs w:val="20"/>
          <w:color w:val="auto"/>
        </w:rPr>
      </w:pPr>
      <w:r>
        <w:rPr>
          <w:rFonts w:ascii="Arial" w:cs="Arial" w:eastAsia="Arial" w:hAnsi="Arial"/>
          <w:sz w:val="18"/>
          <w:szCs w:val="18"/>
          <w:color w:val="auto"/>
        </w:rPr>
        <w:t xml:space="preserve">Our success to date has been built on a culture that reflects our values: </w:t>
      </w:r>
      <w:r>
        <w:rPr>
          <w:rFonts w:ascii="Arial" w:cs="Arial" w:eastAsia="Arial" w:hAnsi="Arial"/>
          <w:sz w:val="18"/>
          <w:szCs w:val="18"/>
          <w:i w:val="1"/>
          <w:iCs w:val="1"/>
          <w:color w:val="auto"/>
        </w:rPr>
        <w:t>s.p.e.e.d</w:t>
      </w:r>
      <w:r>
        <w:rPr>
          <w:rFonts w:ascii="Arial" w:cs="Arial" w:eastAsia="Arial" w:hAnsi="Arial"/>
          <w:sz w:val="18"/>
          <w:szCs w:val="18"/>
          <w:color w:val="auto"/>
        </w:rPr>
        <w:t xml:space="preserve"> – obsessive customer </w:t>
      </w:r>
      <w:r>
        <w:rPr>
          <w:rFonts w:ascii="Arial" w:cs="Arial" w:eastAsia="Arial" w:hAnsi="Arial"/>
          <w:sz w:val="18"/>
          <w:szCs w:val="18"/>
          <w:b w:val="1"/>
          <w:bCs w:val="1"/>
          <w:color w:val="auto"/>
        </w:rPr>
        <w:t>service</w:t>
      </w:r>
      <w:r>
        <w:rPr>
          <w:rFonts w:ascii="Arial" w:cs="Arial" w:eastAsia="Arial" w:hAnsi="Arial"/>
          <w:sz w:val="18"/>
          <w:szCs w:val="18"/>
          <w:color w:val="auto"/>
        </w:rPr>
        <w:t xml:space="preserve">, unwavering commitment to forward </w:t>
      </w:r>
      <w:r>
        <w:rPr>
          <w:rFonts w:ascii="Arial" w:cs="Arial" w:eastAsia="Arial" w:hAnsi="Arial"/>
          <w:sz w:val="18"/>
          <w:szCs w:val="18"/>
          <w:b w:val="1"/>
          <w:bCs w:val="1"/>
          <w:color w:val="auto"/>
        </w:rPr>
        <w:t>progress</w:t>
      </w:r>
      <w:r>
        <w:rPr>
          <w:rFonts w:ascii="Arial" w:cs="Arial" w:eastAsia="Arial" w:hAnsi="Arial"/>
          <w:sz w:val="18"/>
          <w:szCs w:val="18"/>
          <w:color w:val="auto"/>
        </w:rPr>
        <w:t xml:space="preserve">, appreciation for the diversity and skills of our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t>
      </w:r>
      <w:r>
        <w:rPr>
          <w:rFonts w:ascii="Arial" w:cs="Arial" w:eastAsia="Arial" w:hAnsi="Arial"/>
          <w:sz w:val="18"/>
          <w:szCs w:val="18"/>
          <w:b w:val="1"/>
          <w:bCs w:val="1"/>
          <w:color w:val="auto"/>
        </w:rPr>
        <w:t>engagement</w:t>
      </w:r>
      <w:r>
        <w:rPr>
          <w:rFonts w:ascii="Arial" w:cs="Arial" w:eastAsia="Arial" w:hAnsi="Arial"/>
          <w:sz w:val="18"/>
          <w:szCs w:val="18"/>
          <w:color w:val="auto"/>
        </w:rPr>
        <w:t xml:space="preserve"> and celebration of all we do, and passionate </w:t>
      </w:r>
      <w:r>
        <w:rPr>
          <w:rFonts w:ascii="Arial" w:cs="Arial" w:eastAsia="Arial" w:hAnsi="Arial"/>
          <w:sz w:val="18"/>
          <w:szCs w:val="18"/>
          <w:b w:val="1"/>
          <w:bCs w:val="1"/>
          <w:color w:val="auto"/>
        </w:rPr>
        <w:t>development</w:t>
      </w:r>
      <w:r>
        <w:rPr>
          <w:rFonts w:ascii="Arial" w:cs="Arial" w:eastAsia="Arial" w:hAnsi="Arial"/>
          <w:sz w:val="18"/>
          <w:szCs w:val="18"/>
          <w:color w:val="auto"/>
        </w:rPr>
        <w:t xml:space="preserve"> of our people, products, brand, and communities. We maintain a deep commitment to prudent corporate governance, transparency, accountability and collaboration. Our leadership team is comprised of seasoned executives who possess cross-vertical experience in the ecommerce, technology, supply chain, logistics, retail and automotive sectors, and have a demonstrated track record of scaling businesses and achieving profitable growth. Building on lessons learned and experience leading digital disruption in other fields, we believe we can bring the same level of innovation to the automotive retail industry.</w:t>
      </w:r>
    </w:p>
    <w:p>
      <w:pPr>
        <w:spacing w:after="0" w:line="171"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Our Growth Strategies and Path to Profitability</w:t>
      </w:r>
    </w:p>
    <w:p>
      <w:pPr>
        <w:spacing w:after="0" w:line="220" w:lineRule="exact"/>
        <w:rPr>
          <w:sz w:val="20"/>
          <w:szCs w:val="20"/>
          <w:color w:val="auto"/>
        </w:rPr>
      </w:pPr>
    </w:p>
    <w:p>
      <w:pPr>
        <w:ind w:right="80" w:firstLine="636"/>
        <w:spacing w:after="0" w:line="246" w:lineRule="auto"/>
        <w:rPr>
          <w:sz w:val="20"/>
          <w:szCs w:val="20"/>
          <w:color w:val="auto"/>
        </w:rPr>
      </w:pPr>
      <w:r>
        <w:rPr>
          <w:rFonts w:ascii="Arial" w:cs="Arial" w:eastAsia="Arial" w:hAnsi="Arial"/>
          <w:sz w:val="18"/>
          <w:szCs w:val="18"/>
          <w:color w:val="auto"/>
        </w:rPr>
        <w:t>The core elements of our platform—ecommerce, vehicle operations and data science and experimentation—serve as the foundation of our growth strategies and path to profitability.</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Drive Growth</w:t>
      </w:r>
    </w:p>
    <w:p>
      <w:pPr>
        <w:spacing w:after="0" w:line="220"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Our business has grown significantly as we have scaled our operations. Our growth is not attributable to a single innovation or breakthrough, but to coalescence around multiple strategies that serve as points on our flywheel. The diversity and number of vehicles in our inventory drive demand and support expanded national marketing to enable us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acquire new customers more cost effectively, allowing us to invest back into our platform to continue to improve the customer experience, all of which drives increased conversion. This flywheel revolves, builds momentum and ultimately propels our business forward as we seek to drive disciplined growth and operating leverage.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and Optimize Vehicle Inventory</w:t>
      </w:r>
    </w:p>
    <w:p>
      <w:pPr>
        <w:spacing w:after="0" w:line="22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As a data-driven business, we measure demand at the unique VIN level and use data analytics to inform our pricing and inventory selection. This enables us to curate an optimal inventory that matches market demand signals, driving higher conversion and sales. As we grow, we will continuously refine our inventory mix and expand our offerings across vehicle price points to serve a greater range of customers and increase our demand and conversion opportunities. The acquisition of UACC expands our non-prime capabilities and we expect to increase our offering of lower-price-point vehicles to take advantage of those capabilities.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Marketing and Maximize ROI</w:t>
      </w:r>
    </w:p>
    <w:p>
      <w:pPr>
        <w:spacing w:after="0" w:line="220"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The strength of our brand and effectiveness of our advertising programs is critical to our ability to attract new customers cost effectively. Leveraging our advanced data analytics, we will continue to invest in national marketing campaigns and targeted performance marketing to identify, attract and convert new customers at lower cost. This strategy provides a significant advantage over local dealers who typically rely on costly local or regional campaigns and enables us to maximize return on our marketing spend. We also run sophisticated digital marketing across various vehicle listing sites, constantly monitoring performance and maximizing ROI with limited reliance on any one platform.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 Exceptional Customer Experience</w:t>
      </w:r>
    </w:p>
    <w:p>
      <w:pPr>
        <w:spacing w:after="0" w:line="220"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We believe that customer experience is fundamental to our ability to convert consumers into customers, attract new customers and ensure repeat customers. We seek to provide customers with an intuitive, trustworthy and convenient buying and selling experience. We will continue to invest in our platform to further streamline the transaction process for our customers, including providing automated financing capabilities across the full credit spectrum through the acquisition of UACC, as well as invest in expanded customer service operations to support our customers and enhance the customer experience. We will also continue to invest in the development of our mobile experiences to strengthen customer engagement. We believe these investments will lead to greater consumer traffic to our platform, higher levels of customer satisfaction and increased conversion and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Conversion</w:t>
      </w:r>
    </w:p>
    <w:p>
      <w:pPr>
        <w:spacing w:after="0" w:line="220"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Sales conversion drives revenue growth and is an output of the acceleration of every point on the growth flywheel. We will continue to invest in our technology framework to optimize all aspects of our conversion funnel by constantly A/B testing our web and mobile applications to ensure we are displaying the features and formats that are most likely to resonate with our customers and lead to increased sales. In addition, we expect the acquisition of UACC and the development of a captive financing arm to expand our reach in the non-prime market, improve our customer experience and lead to a further increase in conversion.</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Drive Profitability</w:t>
      </w:r>
    </w:p>
    <w:p>
      <w:pPr>
        <w:spacing w:after="0" w:line="220" w:lineRule="exact"/>
        <w:rPr>
          <w:sz w:val="20"/>
          <w:szCs w:val="20"/>
          <w:color w:val="auto"/>
        </w:rPr>
      </w:pPr>
    </w:p>
    <w:p>
      <w:pPr>
        <w:ind w:right="260" w:firstLine="636"/>
        <w:spacing w:after="0"/>
        <w:rPr>
          <w:sz w:val="20"/>
          <w:szCs w:val="20"/>
          <w:color w:val="auto"/>
        </w:rPr>
      </w:pPr>
      <w:r>
        <w:rPr>
          <w:rFonts w:ascii="Arial" w:cs="Arial" w:eastAsia="Arial" w:hAnsi="Arial"/>
          <w:sz w:val="18"/>
          <w:szCs w:val="18"/>
          <w:color w:val="auto"/>
        </w:rPr>
        <w:t>Our business model benefits from network effects and significant operating leverage as it scales. We believe that improvements in our unit economics are the foundation to driving profitability and will be achieved by scaling and optimizing the following elements of our platform: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Vehicle Acquisition and Pricing</w:t>
      </w:r>
    </w:p>
    <w:p>
      <w:pPr>
        <w:spacing w:after="0" w:line="220" w:lineRule="exact"/>
        <w:rPr>
          <w:sz w:val="20"/>
          <w:szCs w:val="20"/>
          <w:color w:val="auto"/>
        </w:rPr>
      </w:pPr>
    </w:p>
    <w:p>
      <w:pPr>
        <w:ind w:right="60" w:firstLine="636"/>
        <w:spacing w:after="0" w:line="226" w:lineRule="auto"/>
        <w:rPr>
          <w:sz w:val="20"/>
          <w:szCs w:val="20"/>
          <w:color w:val="auto"/>
        </w:rPr>
      </w:pPr>
      <w:r>
        <w:rPr>
          <w:rFonts w:ascii="Arial" w:cs="Arial" w:eastAsia="Arial" w:hAnsi="Arial"/>
          <w:sz w:val="18"/>
          <w:szCs w:val="18"/>
          <w:color w:val="auto"/>
        </w:rPr>
        <w:t>We strategically source inventory from consumers, auctions, rental car companies, OEMs and dealers. We improve our ability to acquire the right vehicle at the right price through enhanced supply science across all our sourcing channels. We are expanding our national marketing efforts featuring our Sell Us Your Car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proposition to further drive consumer sourcing. As a result, we expect to continue to purchase the substantial majority of vehicles in our inventory from consumers, which typically generates higher gross profit per unit when sold compared to other inventory sources. In parallel, we continue to invest in data analytics and machine learning to optimize vehicle acquisition and pricing, increase sales velocity and drive profitability. We also are exploring and testing third-party inventory strategies, which offers the possibility of expanding our sourcing channels while offering attractive revenue models in an asset light, debt free structure.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Reconditioning Capacity</w:t>
      </w:r>
    </w:p>
    <w:p>
      <w:pPr>
        <w:spacing w:after="0" w:line="220"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As we scale our business, we intend to continue to invest in increased reconditioning capacity. In addition to achieving cost savings and operational efficiencies, we will be focused on lowering our days to sale to improve working capital efficiency. We will continue to employ a hybrid approach that combines the use of proprietary VRCs with geographically dispersed third-party VRCs to best meet our reconditioning needs. To do so, we have expanded our third-party VRC locations to provide added scale with reduced lead-time and greater flexibility. We also intend to add more proprietary VRCs into our integrated hybrid network to ensure adequate capacity and support our regional operating model. One of our third-party VRC providers, which also hosts a number of our last mile hubs, recently announced a change of control that will require us to replace that provider with increased capacity at our other existing providers, new providers or additional proprietary VRCs. As we search for additional VRC locations, leveraging our data analytics and deep industry experience, we take into account a combination of factors, including proximity to customers, transportation costs, access to inbound inventory and the ability to expand capacity at our third-party partners’ specific locations. All of these initiatives are designed to lower reconditioning costs and inbound shipping costs per unit, and thereby improve per unit economics while enhancing the customer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Our Financing Capabilities</w:t>
      </w:r>
    </w:p>
    <w:p>
      <w:pPr>
        <w:spacing w:after="0" w:line="234"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Fees earned on vehicle financing, both through our continued partnerships with third-party lenders and the development of our captive financing capabilities, present an opportunity to grow our business and drive profitability. Strategic partnerships with lenders such as Chase, Ally Financial and Santander provide enhanced revenue streams for us, as well as offering convenience, assurance and efficiency for our customers. In addition, our recent acquisition of UACC enables us to accelerate the establishment of our captive financing capabilities. We expect that with further investment and our continued integration efforts, the acquisition of UACC will allow us to increase ecommerce unit sales, expand our penetration into sales to customers across the credit spectrum, and accelerate total revenue growth. In addition, we expect captive financing for our customers to lead to improved unit economics, which will accelerate our path to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Offering of Value-Added Products</w:t>
      </w:r>
    </w:p>
    <w:p>
      <w:pPr>
        <w:spacing w:after="0" w:line="220"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Every vehicle sale has the potential for additional revenue streams, including fees from the sale of value-added products. As we expand our business, we believe there are substantial opportunities to increase attachment rates on our existing value-added products through training, merchandising and technology enhancements. Introducing new types of vehicle related protection products can provide additional revenues going forward. Because we are paid fees on the value-added products we sell, our gross profit on such products is equal to the revenue we generate on such sales. In addition to expanding our offering of value-added products, in the longer term, we see a significant opportunity to provide our customers with complementary services. The addition of new value-added products and services will not only increase our product offerings and profitability but will also strengthen and extend our interactions with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Strategically Develop Logistics Network</w:t>
      </w:r>
    </w:p>
    <w:p>
      <w:pPr>
        <w:spacing w:after="0" w:line="220" w:lineRule="exact"/>
        <w:rPr>
          <w:sz w:val="20"/>
          <w:szCs w:val="20"/>
          <w:color w:val="auto"/>
        </w:rPr>
      </w:pPr>
    </w:p>
    <w:p>
      <w:pPr>
        <w:ind w:right="20" w:firstLine="636"/>
        <w:spacing w:after="0" w:line="235" w:lineRule="auto"/>
        <w:rPr>
          <w:sz w:val="20"/>
          <w:szCs w:val="20"/>
          <w:color w:val="auto"/>
        </w:rPr>
      </w:pPr>
      <w:r>
        <w:rPr>
          <w:rFonts w:ascii="Arial" w:cs="Arial" w:eastAsia="Arial" w:hAnsi="Arial"/>
          <w:sz w:val="18"/>
          <w:szCs w:val="18"/>
          <w:color w:val="auto"/>
        </w:rPr>
        <w:t>For our logistics operations, we historically used primarily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We have been accelerating our strategy to optimize our hybrid approach by expanding our proprietary logistics networks due to a confluence of factors, including increased shipping prices and delays during the COVID-19 pandemic from a reduced supply of carriers and increased demand for carriers from competitors, as well as our desire to improve the quality and reliability of our logistics operations and enhance our customer experience. We have been prioritizing investment in our last mile delivery operations, where we can have the greatest impact on the customer experience, and also are investing in short-haul vehicles to make regional deliveries from our last mile hubs and line-haul vehicles for hub-to-hub shipments on high-volume routes. Consistent with our hybrid approach and the continued development of our regional operating model as we continue to scale our business, we will strategically combine the operation of our expanded proprietary fleet with the use of third-party carriers, which will enable us to accommodate our rapid growth, improve our operating leverage and provide the highest level of customer service.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3" w:name="page14"/>
    <w:bookmarkEnd w:id="1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Regional Operating Model</w:t>
      </w:r>
    </w:p>
    <w:p>
      <w:pPr>
        <w:spacing w:after="0" w:line="220" w:lineRule="exact"/>
        <w:rPr>
          <w:sz w:val="20"/>
          <w:szCs w:val="20"/>
          <w:color w:val="auto"/>
        </w:rPr>
      </w:pPr>
    </w:p>
    <w:p>
      <w:pPr>
        <w:ind w:firstLine="636"/>
        <w:spacing w:after="0" w:line="255" w:lineRule="auto"/>
        <w:rPr>
          <w:sz w:val="20"/>
          <w:szCs w:val="20"/>
          <w:color w:val="auto"/>
        </w:rPr>
      </w:pPr>
      <w:r>
        <w:rPr>
          <w:rFonts w:ascii="Arial" w:cs="Arial" w:eastAsia="Arial" w:hAnsi="Arial"/>
          <w:sz w:val="17"/>
          <w:szCs w:val="17"/>
          <w:color w:val="auto"/>
        </w:rPr>
        <w:t>As we have scaled our business, we have achieved a national presence and brand that provides a significant competitive advantage versus local and regional dealers, and has enabled us to take advantage of efficiencies and lower costs of national brand advertising. As we pursue our path to profitability, our national vehicle operations enable us to leverage a regional operating model to reduce our operating expenses, increase our operating leverage and improve our unit economics, while also enhancing our customer experience. We believe that the regional operating model will increasingly enhance our approach to each component of our vehicle operations.</w:t>
      </w:r>
    </w:p>
    <w:p>
      <w:pPr>
        <w:spacing w:after="0" w:line="155" w:lineRule="exact"/>
        <w:rPr>
          <w:sz w:val="20"/>
          <w:szCs w:val="20"/>
          <w:color w:val="auto"/>
        </w:rPr>
      </w:pPr>
    </w:p>
    <w:p>
      <w:pPr>
        <w:ind w:right="3000" w:firstLine="3665"/>
        <w:spacing w:after="0" w:line="482" w:lineRule="auto"/>
        <w:rPr>
          <w:sz w:val="20"/>
          <w:szCs w:val="20"/>
          <w:color w:val="auto"/>
        </w:rPr>
      </w:pPr>
      <w:r>
        <w:rPr>
          <w:rFonts w:ascii="Arial" w:cs="Arial" w:eastAsia="Arial" w:hAnsi="Arial"/>
          <w:sz w:val="18"/>
          <w:szCs w:val="18"/>
          <w:b w:val="1"/>
          <w:bCs w:val="1"/>
          <w:color w:val="auto"/>
        </w:rPr>
        <w:t xml:space="preserve">Capitalize on New Product and Market Opportunities </w:t>
      </w:r>
      <w:r>
        <w:rPr>
          <w:rFonts w:ascii="Arial" w:cs="Arial" w:eastAsia="Arial" w:hAnsi="Arial"/>
          <w:sz w:val="18"/>
          <w:szCs w:val="18"/>
          <w:b w:val="1"/>
          <w:bCs w:val="1"/>
          <w:i w:val="1"/>
          <w:iCs w:val="1"/>
          <w:color w:val="auto"/>
        </w:rPr>
        <w:t>Expand our Platform to Additional Products and Markets</w:t>
      </w:r>
    </w:p>
    <w:p>
      <w:pPr>
        <w:spacing w:after="0" w:line="1" w:lineRule="exact"/>
        <w:rPr>
          <w:sz w:val="20"/>
          <w:szCs w:val="20"/>
          <w:color w:val="auto"/>
        </w:rPr>
      </w:pPr>
    </w:p>
    <w:p>
      <w:pPr>
        <w:ind w:right="260" w:firstLine="636"/>
        <w:spacing w:after="0" w:line="257" w:lineRule="auto"/>
        <w:rPr>
          <w:sz w:val="20"/>
          <w:szCs w:val="20"/>
          <w:color w:val="auto"/>
        </w:rPr>
      </w:pPr>
      <w:r>
        <w:rPr>
          <w:rFonts w:ascii="Arial" w:cs="Arial" w:eastAsia="Arial" w:hAnsi="Arial"/>
          <w:sz w:val="17"/>
          <w:szCs w:val="17"/>
          <w:color w:val="auto"/>
        </w:rPr>
        <w:t>We have designed and built an innovative platform with countless potential applications. We have the potential to leverage our platform for expansion into adjacent areas of technology-enabled commerce and fully deploy our technology, data analytics and business experience to take advantage of the opportunities this creates. We will have the flexibility to strategically pursue opportunities across markets, potentially including additional transportation and vehicle markets, global geographic markets and B-to-B business models.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Innovate on New Capabilities</w:t>
      </w:r>
    </w:p>
    <w:p>
      <w:pPr>
        <w:spacing w:after="0" w:line="220" w:lineRule="exact"/>
        <w:rPr>
          <w:sz w:val="20"/>
          <w:szCs w:val="20"/>
          <w:color w:val="auto"/>
        </w:rPr>
      </w:pPr>
    </w:p>
    <w:p>
      <w:pPr>
        <w:ind w:right="260" w:firstLine="636"/>
        <w:spacing w:after="0" w:line="238" w:lineRule="auto"/>
        <w:rPr>
          <w:sz w:val="20"/>
          <w:szCs w:val="20"/>
          <w:color w:val="auto"/>
        </w:rPr>
      </w:pPr>
      <w:r>
        <w:rPr>
          <w:rFonts w:ascii="Arial" w:cs="Arial" w:eastAsia="Arial" w:hAnsi="Arial"/>
          <w:sz w:val="18"/>
          <w:szCs w:val="18"/>
          <w:color w:val="auto"/>
        </w:rPr>
        <w:t>Technological developments have had a significant impact on the automobile industry and are expected to continue to have an impact for the foreseeable future. Electrification and shared mobility in particular are expected to have a transformative impact on road transportation. We continuously monitor developments in autonomy, ride-hailing and ride-sharing as it relates to the overall automotive market, and we are well-positioned to expand our capabilities to participate actively as the industry evolves. As the automotive landscape develops, we will seek to capitalize on new opportunities.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Vroom Financial Services</w:t>
      </w:r>
    </w:p>
    <w:p>
      <w:pPr>
        <w:spacing w:after="0" w:line="220"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We offer our customers seamlessly integrated, real-time financing for their vehicle purchases, which we regard as a critical component of our value proposition. We currently arrange reliable vehicle financing at competitive rates for our customers by partnering with many of the largest and most trusted banks in the world, including Chase, Ally Financial and Santander. Strategic partnerships with such lenders offer convenience, assurance and efficiency for our customers, while providing enhanced revenue streams for us.</w:t>
      </w:r>
    </w:p>
    <w:p>
      <w:pPr>
        <w:spacing w:after="0" w:line="191"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In February 2022, we completed our acquisition of UACC, a leading non-prime auto finance company with a nationwide network of over 8,000 independent auto dealers founded in 1996. As a first step in our integration plan, UACC has joined the existing lineup of lenders available on our ecommerce platform, which will enable us to expand our offerings across the credit spectrum. Strategically, the UACC acquisition represents the first step in developing a captive financing operation for Vroom. As we make further investments in UACC and continue our integration efforts, we expect to develop UACC into a full captive financing arm with disciplined lending expertise, which would enable us to increase our ecommerce unit sales, expand our penetration into sales to customers across the credit spectrum, accelerate total revenue growth, and improve our unit economics.</w:t>
      </w:r>
    </w:p>
    <w:p>
      <w:pPr>
        <w:spacing w:after="0" w:line="189"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In addition to its financing expertise, the UACC platform brings with it extensive application processing, underwriting, servicing, and securitization capabilities. We expect UACC to continue to service most of the auto loans it originates. Further, we intend that all loans made by UACC will be funded via existing warehouse lines and sold to third-party investors via forward flow arrangements and off-balance sheet securitization transactions. This originate-to-securitize/sell strategy is designed to enable us to realize the benefits of a captive financing arm while maintaining our asset-light funding strategy.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Third Party Financial Services</w:t>
      </w:r>
    </w:p>
    <w:p>
      <w:pPr>
        <w:spacing w:after="0" w:line="22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UACC provides funding that allows manufacturer-franchised and independent motor vehicle dealers to finance their customers' purchases of new and used automobiles, light duty trucks and vans. Currently, UACC serves a nationwide network of over 8,000 dealers in 49 states. UACC's lending programs are primarily designed to serve consumers who have limited access to traditional motor vehicle financing. UACC services all of the retail installment sale contracts that it purchases or originates. As of December 31, 2021, UACC serviced a portfolio of approximately 67,000 motor vehicle</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14" w:name="page15"/>
    <w:bookmarkEnd w:id="1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contracts with an aggregate principal outstanding balance of $636 million. While serving as a captive lender for Vroom, UACC also will continue to provide lending and servicing services to its existing dealer network, and will seek to expand that network over time.</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Marketing</w:t>
      </w:r>
    </w:p>
    <w:p>
      <w:pPr>
        <w:spacing w:after="0" w:line="220"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We operate a multi-channel marketing strategy that includes both national brand and digital performance marketing. We leverage various digital performance channels to generate demand among consumers actively in-market to buy or sell a vehicle. This includes aggregator listing sites where we manage the distribution footprint of each VIN by continually optimizing its placement to maximize consumer demand and achieve planned conversion, sales velocity and profitability.</w:t>
      </w:r>
    </w:p>
    <w:p>
      <w:pPr>
        <w:spacing w:after="0" w:line="191" w:lineRule="exact"/>
        <w:rPr>
          <w:sz w:val="20"/>
          <w:szCs w:val="20"/>
          <w:color w:val="auto"/>
        </w:rPr>
      </w:pPr>
    </w:p>
    <w:p>
      <w:pPr>
        <w:ind w:right="100" w:firstLine="644"/>
        <w:spacing w:after="0" w:line="223" w:lineRule="auto"/>
        <w:rPr>
          <w:sz w:val="20"/>
          <w:szCs w:val="20"/>
          <w:color w:val="auto"/>
        </w:rPr>
      </w:pPr>
      <w:r>
        <w:rPr>
          <w:rFonts w:ascii="Arial" w:cs="Arial" w:eastAsia="Arial" w:hAnsi="Arial"/>
          <w:sz w:val="18"/>
          <w:szCs w:val="18"/>
          <w:color w:val="auto"/>
        </w:rPr>
        <w:t>Our national brand campaign through TV and online media, which commenced in the first quarter of 2019, has shown strong momentum in its first three years. Because brand leads convert at a higher rate than all other marketing channels, we believe that continued growth of our national brand marketing campaign and an increasing mix of brand leads will improve our marketing efficiency. We also have expanded our national marketing efforts to feature our Sell Us Your Car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proposition to drive consumer sourcing of vehicles, which typically generate higher gross profit per unit when sold compared to other inventory sources.</w:t>
      </w:r>
    </w:p>
    <w:p>
      <w:pPr>
        <w:spacing w:after="0" w:line="189"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We analyze visitor traffic and customer interaction with our platform to identify and correlate visitor behavior with sales conversion. Our analytics enable us to measure and monitor the ROI generated by our marketing placements, which we then use to optimize placement and spend across marketing channels to balance sales velocity and profitability.</w:t>
      </w:r>
    </w:p>
    <w:p>
      <w:pPr>
        <w:spacing w:after="0" w:line="16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Our Technology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Technology and data science are the foundation of all of our operations and strategic decision making.</w:t>
      </w:r>
    </w:p>
    <w:p>
      <w:pPr>
        <w:spacing w:after="0" w:line="198"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Our team of data scientists and engineers continuously extract and analyze additional information, processing millions of data points daily to create models that inform purchasing, pricing and market decisions, allowing us to understand price elasticity, and also allowing us to price a significant majority of the vehicles we acquire from consumers in just a few seconds. We adjust price as a function of overall market value trend, taking into account competitor inventory, market price fluctuations, and relative inventory advantages.</w:t>
      </w:r>
    </w:p>
    <w:p>
      <w:pPr>
        <w:spacing w:after="0" w:line="191"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Core to our underlying technology is the real-time collection of customer and inventory data. We analyze and act on the data in real time. As our systems collect new or updated incoming data signals, those signals are immediately available to downstream systems to trigger parallel event processes. Our technology supports multi-channel engagement with our customers, delivering consistent messaging via the web, in native apps and via email. In cases where customers need attention outside of our ecommerce experience, we provide customer assistance via phone.</w:t>
      </w:r>
    </w:p>
    <w:p>
      <w:pPr>
        <w:spacing w:after="0" w:line="189" w:lineRule="exact"/>
        <w:rPr>
          <w:sz w:val="20"/>
          <w:szCs w:val="20"/>
          <w:color w:val="auto"/>
        </w:rPr>
      </w:pPr>
    </w:p>
    <w:p>
      <w:pPr>
        <w:ind w:right="620" w:firstLine="636"/>
        <w:spacing w:after="0" w:line="238" w:lineRule="auto"/>
        <w:rPr>
          <w:sz w:val="20"/>
          <w:szCs w:val="20"/>
          <w:color w:val="auto"/>
        </w:rPr>
      </w:pPr>
      <w:r>
        <w:rPr>
          <w:rFonts w:ascii="Arial" w:cs="Arial" w:eastAsia="Arial" w:hAnsi="Arial"/>
          <w:sz w:val="18"/>
          <w:szCs w:val="18"/>
          <w:color w:val="auto"/>
        </w:rPr>
        <w:t>In addition, CarStory drives automotive retail innovation by aggregating, optimizing, and distributing current market data from thousands of automotive sources. CarStory tracks over four million unique VINs listed for sale every day. This data is aggregated with demand insights from dealers and enterprise brands to generate accurate price and sales predictions. These predictions are further enhanced by CarStory's proprietary enhanced VIN database, ensuring a comprehensive and accurate view of a vehicle.</w:t>
      </w:r>
    </w:p>
    <w:p>
      <w:pPr>
        <w:spacing w:after="0" w:line="191" w:lineRule="exact"/>
        <w:rPr>
          <w:sz w:val="20"/>
          <w:szCs w:val="20"/>
          <w:color w:val="auto"/>
        </w:rPr>
      </w:pPr>
    </w:p>
    <w:p>
      <w:pPr>
        <w:ind w:right="40" w:firstLine="636"/>
        <w:spacing w:after="0" w:line="246" w:lineRule="auto"/>
        <w:rPr>
          <w:sz w:val="20"/>
          <w:szCs w:val="20"/>
          <w:color w:val="auto"/>
        </w:rPr>
      </w:pPr>
      <w:r>
        <w:rPr>
          <w:rFonts w:ascii="Arial" w:cs="Arial" w:eastAsia="Arial" w:hAnsi="Arial"/>
          <w:sz w:val="18"/>
          <w:szCs w:val="18"/>
          <w:color w:val="auto"/>
        </w:rPr>
        <w:t>We have integrated UACC's underwriting platform into our ecommerce experience. The platform delivers instantaneous risk-adjusted pricing decisions by combining over 25 years of lending and servicing performance data.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20" w:lineRule="exact"/>
        <w:rPr>
          <w:sz w:val="20"/>
          <w:szCs w:val="20"/>
          <w:color w:val="auto"/>
        </w:rPr>
      </w:pPr>
    </w:p>
    <w:p>
      <w:pPr>
        <w:ind w:right="180" w:firstLine="636"/>
        <w:spacing w:after="0" w:line="274" w:lineRule="auto"/>
        <w:rPr>
          <w:sz w:val="20"/>
          <w:szCs w:val="20"/>
          <w:color w:val="auto"/>
        </w:rPr>
      </w:pPr>
      <w:r>
        <w:rPr>
          <w:rFonts w:ascii="Arial" w:cs="Arial" w:eastAsia="Arial" w:hAnsi="Arial"/>
          <w:sz w:val="17"/>
          <w:szCs w:val="17"/>
          <w:color w:val="auto"/>
        </w:rPr>
        <w:t>The U.S. used vehicle market is highly fragmented, with over 42,000 traditional franchised and independent dealerships nationwide as of 2020 as well as the peer-to-peer market. The players in the used vehicle market can be classified into the following segments:</w:t>
      </w:r>
    </w:p>
    <w:p>
      <w:pPr>
        <w:spacing w:after="0" w:line="161"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98"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98"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Motors' recently launched platform, CarBravo, a new online used-vehicle marketplace for GM-branded vehicles aimed at competing with online dealerships;</w:t>
      </w:r>
    </w:p>
    <w:p>
      <w:pPr>
        <w:spacing w:after="0" w:line="183" w:lineRule="exact"/>
        <w:rPr>
          <w:rFonts w:ascii="Arial" w:cs="Arial" w:eastAsia="Arial" w:hAnsi="Arial"/>
          <w:sz w:val="18"/>
          <w:szCs w:val="18"/>
          <w:color w:val="auto"/>
        </w:rPr>
      </w:pPr>
    </w:p>
    <w:p>
      <w:pPr>
        <w:ind w:left="1020" w:right="54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automotive finance companies launching online ecommerce businesses, such as Chase Auto Preferred, CapitalOne Auto Navigator and Rocket Auto;</w:t>
      </w:r>
    </w:p>
    <w:p>
      <w:pPr>
        <w:spacing w:after="0" w:line="223" w:lineRule="exact"/>
        <w:rPr>
          <w:rFonts w:ascii="Arial" w:cs="Arial" w:eastAsia="Arial" w:hAnsi="Arial"/>
          <w:sz w:val="18"/>
          <w:szCs w:val="18"/>
          <w:color w:val="auto"/>
        </w:rPr>
      </w:pPr>
    </w:p>
    <w:p>
      <w:pPr>
        <w:ind w:left="1020" w:right="40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 consignment websites such as CarLotz; and</w:t>
      </w:r>
    </w:p>
    <w:p>
      <w:pPr>
        <w:spacing w:after="0" w:line="183"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Enterprise Car Sales.</w:t>
      </w:r>
    </w:p>
    <w:p>
      <w:pPr>
        <w:spacing w:after="0" w:line="183"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Internet and online automotive sites could change their models to sell used vehicles and compete with us, such as Google, Amazon, AutoTrader.com, Edmunds.com, KBB.com, Autobytel.com, TrueCar.com, CarGurus and Cars.com. In addition, automobile manufacturers such as Ford and Volkswagen could change their sales models in a fashion similar to General Motors or otherwise to better compete with our model through technology and infrastructure investments. While such enterprises may change their business models and endeavor to compete with us, the sale of used vehicles through ecommerce presents unique operational and technical challenges. See “Business—Our Competitive Strengths—Difficult to Replicate Business Model.”</w:t>
      </w:r>
    </w:p>
    <w:p>
      <w:pPr>
        <w:spacing w:after="0" w:line="191" w:lineRule="exact"/>
        <w:rPr>
          <w:sz w:val="20"/>
          <w:szCs w:val="20"/>
          <w:color w:val="auto"/>
        </w:rPr>
      </w:pPr>
    </w:p>
    <w:p>
      <w:pPr>
        <w:ind w:right="160" w:firstLine="636"/>
        <w:spacing w:after="0" w:line="246" w:lineRule="auto"/>
        <w:rPr>
          <w:sz w:val="20"/>
          <w:szCs w:val="20"/>
          <w:color w:val="auto"/>
        </w:rPr>
      </w:pPr>
      <w:r>
        <w:rPr>
          <w:rFonts w:ascii="Arial" w:cs="Arial" w:eastAsia="Arial" w:hAnsi="Arial"/>
          <w:sz w:val="18"/>
          <w:szCs w:val="18"/>
          <w:color w:val="auto"/>
        </w:rPr>
        <w:t>We view our main competitors to be the traditional auto dealers, who make up the significant portion of U.S. used vehicle sales and are still operating under an outdated business model that is ripe for disruption.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Human Capital Management</w:t>
      </w:r>
    </w:p>
    <w:p>
      <w:pPr>
        <w:spacing w:after="0" w:line="220"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 xml:space="preserve">Vroom believes in and adheres to a core set of values and Rules of the Road that guide our actions at work. Those values are summed up as </w:t>
      </w:r>
      <w:r>
        <w:rPr>
          <w:rFonts w:ascii="Arial" w:cs="Arial" w:eastAsia="Arial" w:hAnsi="Arial"/>
          <w:sz w:val="18"/>
          <w:szCs w:val="18"/>
          <w:i w:val="1"/>
          <w:iCs w:val="1"/>
          <w:color w:val="auto"/>
        </w:rPr>
        <w:t>s.p.e.e.d</w:t>
      </w:r>
      <w:r>
        <w:rPr>
          <w:rFonts w:ascii="Arial" w:cs="Arial" w:eastAsia="Arial" w:hAnsi="Arial"/>
          <w:sz w:val="18"/>
          <w:szCs w:val="18"/>
          <w:color w:val="auto"/>
        </w:rPr>
        <w:t xml:space="preserve">: obsessive customer </w:t>
      </w:r>
      <w:r>
        <w:rPr>
          <w:rFonts w:ascii="Arial" w:cs="Arial" w:eastAsia="Arial" w:hAnsi="Arial"/>
          <w:sz w:val="18"/>
          <w:szCs w:val="18"/>
          <w:b w:val="1"/>
          <w:bCs w:val="1"/>
          <w:color w:val="auto"/>
        </w:rPr>
        <w:t>service</w:t>
      </w:r>
      <w:r>
        <w:rPr>
          <w:rFonts w:ascii="Arial" w:cs="Arial" w:eastAsia="Arial" w:hAnsi="Arial"/>
          <w:sz w:val="18"/>
          <w:szCs w:val="18"/>
          <w:color w:val="auto"/>
        </w:rPr>
        <w:t xml:space="preserve">, unwavering commitment to forward </w:t>
      </w:r>
      <w:r>
        <w:rPr>
          <w:rFonts w:ascii="Arial" w:cs="Arial" w:eastAsia="Arial" w:hAnsi="Arial"/>
          <w:sz w:val="18"/>
          <w:szCs w:val="18"/>
          <w:b w:val="1"/>
          <w:bCs w:val="1"/>
          <w:color w:val="auto"/>
        </w:rPr>
        <w:t>progress</w:t>
      </w:r>
      <w:r>
        <w:rPr>
          <w:rFonts w:ascii="Arial" w:cs="Arial" w:eastAsia="Arial" w:hAnsi="Arial"/>
          <w:sz w:val="18"/>
          <w:szCs w:val="18"/>
          <w:color w:val="auto"/>
        </w:rPr>
        <w:t xml:space="preserve">, an appreciation for the diversity and skills of our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t>
      </w:r>
      <w:r>
        <w:rPr>
          <w:rFonts w:ascii="Arial" w:cs="Arial" w:eastAsia="Arial" w:hAnsi="Arial"/>
          <w:sz w:val="18"/>
          <w:szCs w:val="18"/>
          <w:b w:val="1"/>
          <w:bCs w:val="1"/>
          <w:color w:val="auto"/>
        </w:rPr>
        <w:t>engagement</w:t>
      </w:r>
      <w:r>
        <w:rPr>
          <w:rFonts w:ascii="Arial" w:cs="Arial" w:eastAsia="Arial" w:hAnsi="Arial"/>
          <w:sz w:val="18"/>
          <w:szCs w:val="18"/>
          <w:color w:val="auto"/>
        </w:rPr>
        <w:t xml:space="preserve"> and celebration of all we do, and passionate </w:t>
      </w:r>
      <w:r>
        <w:rPr>
          <w:rFonts w:ascii="Arial" w:cs="Arial" w:eastAsia="Arial" w:hAnsi="Arial"/>
          <w:sz w:val="18"/>
          <w:szCs w:val="18"/>
          <w:b w:val="1"/>
          <w:bCs w:val="1"/>
          <w:color w:val="auto"/>
        </w:rPr>
        <w:t>development</w:t>
      </w:r>
      <w:r>
        <w:rPr>
          <w:rFonts w:ascii="Arial" w:cs="Arial" w:eastAsia="Arial" w:hAnsi="Arial"/>
          <w:sz w:val="18"/>
          <w:szCs w:val="18"/>
          <w:color w:val="auto"/>
        </w:rPr>
        <w:t xml:space="preserve"> of our people, products, brand, and communities. Our core values are embedded in our culture through our onboarding, training, operations and communication. All of our employees receive Driver’s Manuals that outline and define these values and all new hires are invited to listen to our Chief Executive Officer and Chief People and Culture Officer discuss the Company’s Mission, Vision, and Values, and those values inform everything we do.</w:t>
      </w:r>
    </w:p>
    <w:p>
      <w:pPr>
        <w:spacing w:after="0" w:line="191" w:lineRule="exact"/>
        <w:rPr>
          <w:sz w:val="20"/>
          <w:szCs w:val="20"/>
          <w:color w:val="auto"/>
        </w:rPr>
      </w:pPr>
    </w:p>
    <w:p>
      <w:pPr>
        <w:ind w:right="320" w:firstLine="749"/>
        <w:spacing w:after="0" w:line="246" w:lineRule="auto"/>
        <w:rPr>
          <w:sz w:val="20"/>
          <w:szCs w:val="20"/>
          <w:color w:val="auto"/>
        </w:rPr>
      </w:pPr>
      <w:r>
        <w:rPr>
          <w:rFonts w:ascii="Arial" w:cs="Arial" w:eastAsia="Arial" w:hAnsi="Arial"/>
          <w:sz w:val="18"/>
          <w:szCs w:val="18"/>
          <w:color w:val="auto"/>
        </w:rPr>
        <w:t>At the center of Vroom’s values are its employees, without whom we could not achieve our vision of building the world’s premier platform to research, discover, buy and sell vehicles.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6" w:name="page17"/>
    <w:bookmarkEnd w:id="1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43575" cy="3343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357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As of December 31, 2021, Vroom employed a total of 1,807 employees. The total consisted of 1,666 employees across 30 states in the United States and 141 employees based in Belgrade, Serbia. They are spread across reconditioning and logistics (29%), corporate functions (12%), transactional staff (34%), technical and engineering staff (18%), and retail staff (6%). Upon the closing of the UACC acquisition on February 1, 2022, we added an additional 540 employees to our workforce. None of our employees is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Engaging Talent</w:t>
      </w:r>
    </w:p>
    <w:p>
      <w:pPr>
        <w:spacing w:after="0" w:line="220"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Each year, we conduct an annual engagement survey of our employees, both to measure our employees’ collective sentiment, and also to focus our efforts on maintaining a workplace where employees can bring their whole selves to work and do their best work every day. We used our 2020 annual engagement survey to identify key areas for improvement. With broad cross-industry trends showing downward pressure on engagement, we were pleased to make modest progress in our focus areas.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13"/>
        </w:trPr>
        <w:tc>
          <w:tcPr>
            <w:tcW w:w="1880" w:type="dxa"/>
            <w:vAlign w:val="bottom"/>
            <w:tcBorders>
              <w:top w:val="single" w:sz="8" w:color="9E9E9E"/>
              <w:left w:val="single" w:sz="8" w:color="9E9E9E"/>
              <w:right w:val="single" w:sz="8" w:color="9E9E9E"/>
            </w:tcBorders>
            <w:vMerge w:val="restart"/>
          </w:tcPr>
          <w:p>
            <w:pPr>
              <w:jc w:val="center"/>
              <w:spacing w:after="0"/>
              <w:rPr>
                <w:sz w:val="20"/>
                <w:szCs w:val="20"/>
                <w:color w:val="auto"/>
              </w:rPr>
            </w:pPr>
            <w:r>
              <w:rPr>
                <w:rFonts w:ascii="Arial" w:cs="Arial" w:eastAsia="Arial" w:hAnsi="Arial"/>
                <w:sz w:val="18"/>
                <w:szCs w:val="18"/>
                <w:b w:val="1"/>
                <w:bCs w:val="1"/>
                <w:color w:val="auto"/>
                <w:w w:val="99"/>
              </w:rPr>
              <w:t>Focus Area</w:t>
            </w:r>
          </w:p>
        </w:tc>
        <w:tc>
          <w:tcPr>
            <w:tcW w:w="1580" w:type="dxa"/>
            <w:vAlign w:val="bottom"/>
            <w:tcBorders>
              <w:top w:val="single" w:sz="8" w:color="9E9E9E"/>
            </w:tcBorders>
          </w:tcPr>
          <w:p>
            <w:pPr>
              <w:spacing w:after="0"/>
              <w:rPr>
                <w:sz w:val="24"/>
                <w:szCs w:val="24"/>
                <w:color w:val="auto"/>
              </w:rPr>
            </w:pPr>
          </w:p>
        </w:tc>
        <w:tc>
          <w:tcPr>
            <w:tcW w:w="2880" w:type="dxa"/>
            <w:vAlign w:val="bottom"/>
            <w:tcBorders>
              <w:top w:val="single" w:sz="8" w:color="9E9E9E"/>
              <w:right w:val="single" w:sz="8" w:color="9E9E9E"/>
            </w:tcBorders>
            <w:gridSpan w:val="2"/>
          </w:tcPr>
          <w:p>
            <w:pPr>
              <w:spacing w:after="0"/>
              <w:rPr>
                <w:sz w:val="20"/>
                <w:szCs w:val="20"/>
                <w:color w:val="auto"/>
              </w:rPr>
            </w:pPr>
            <w:r>
              <w:rPr>
                <w:rFonts w:ascii="Arial" w:cs="Arial" w:eastAsia="Arial" w:hAnsi="Arial"/>
                <w:sz w:val="18"/>
                <w:szCs w:val="18"/>
                <w:b w:val="1"/>
                <w:bCs w:val="1"/>
                <w:color w:val="041022"/>
              </w:rPr>
              <w:t>Empowerment</w:t>
            </w:r>
          </w:p>
        </w:tc>
        <w:tc>
          <w:tcPr>
            <w:tcW w:w="4680" w:type="dxa"/>
            <w:vAlign w:val="bottom"/>
            <w:tcBorders>
              <w:top w:val="single" w:sz="8" w:color="9E9E9E"/>
              <w:right w:val="single" w:sz="8" w:color="9E9E9E"/>
            </w:tcBorders>
            <w:gridSpan w:val="3"/>
          </w:tcPr>
          <w:p>
            <w:pPr>
              <w:jc w:val="center"/>
              <w:spacing w:after="0"/>
              <w:rPr>
                <w:sz w:val="20"/>
                <w:szCs w:val="20"/>
                <w:color w:val="auto"/>
              </w:rPr>
            </w:pPr>
            <w:r>
              <w:rPr>
                <w:rFonts w:ascii="Arial" w:cs="Arial" w:eastAsia="Arial" w:hAnsi="Arial"/>
                <w:sz w:val="18"/>
                <w:szCs w:val="18"/>
                <w:b w:val="1"/>
                <w:bCs w:val="1"/>
                <w:color w:val="auto"/>
              </w:rPr>
              <w:t>Career Development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9E9E9E"/>
              <w:right w:val="single" w:sz="8" w:color="9E9E9E"/>
            </w:tcBorders>
            <w:vMerge w:val="continue"/>
          </w:tcPr>
          <w:p>
            <w:pPr>
              <w:spacing w:after="0" w:line="20" w:lineRule="exact"/>
              <w:rPr>
                <w:sz w:val="1"/>
                <w:szCs w:val="1"/>
                <w:color w:val="auto"/>
              </w:rPr>
            </w:pPr>
          </w:p>
        </w:tc>
        <w:tc>
          <w:tcPr>
            <w:tcW w:w="1580" w:type="dxa"/>
            <w:vAlign w:val="bottom"/>
            <w:vMerge w:val="restart"/>
          </w:tcPr>
          <w:p>
            <w:pPr>
              <w:ind w:left="140"/>
              <w:spacing w:after="0" w:line="176" w:lineRule="exact"/>
              <w:rPr>
                <w:sz w:val="20"/>
                <w:szCs w:val="20"/>
                <w:color w:val="auto"/>
              </w:rPr>
            </w:pPr>
            <w:r>
              <w:rPr>
                <w:rFonts w:ascii="Arial" w:cs="Arial" w:eastAsia="Arial" w:hAnsi="Arial"/>
                <w:sz w:val="18"/>
                <w:szCs w:val="18"/>
                <w:color w:val="auto"/>
              </w:rPr>
              <w:t>I am included in</w:t>
            </w:r>
          </w:p>
        </w:tc>
        <w:tc>
          <w:tcPr>
            <w:tcW w:w="1240" w:type="dxa"/>
            <w:vAlign w:val="bottom"/>
            <w:shd w:val="clear" w:color="auto" w:fill="041022"/>
          </w:tcPr>
          <w:p>
            <w:pPr>
              <w:spacing w:after="0" w:line="20" w:lineRule="exact"/>
              <w:rPr>
                <w:sz w:val="1"/>
                <w:szCs w:val="1"/>
                <w:color w:val="auto"/>
              </w:rPr>
            </w:pPr>
          </w:p>
        </w:tc>
        <w:tc>
          <w:tcPr>
            <w:tcW w:w="1640" w:type="dxa"/>
            <w:vAlign w:val="bottom"/>
            <w:tcBorders>
              <w:right w:val="single" w:sz="8" w:color="9E9E9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80" w:type="dxa"/>
            <w:vAlign w:val="bottom"/>
            <w:tcBorders>
              <w:right w:val="single" w:sz="8" w:color="9E9E9E"/>
            </w:tcBorders>
            <w:vMerge w:val="restart"/>
          </w:tcPr>
          <w:p>
            <w:pPr>
              <w:ind w:left="60"/>
              <w:spacing w:after="0" w:line="176" w:lineRule="exact"/>
              <w:rPr>
                <w:sz w:val="20"/>
                <w:szCs w:val="20"/>
                <w:color w:val="auto"/>
              </w:rPr>
            </w:pPr>
            <w:r>
              <w:rPr>
                <w:rFonts w:ascii="Arial" w:cs="Arial" w:eastAsia="Arial" w:hAnsi="Arial"/>
                <w:sz w:val="18"/>
                <w:szCs w:val="18"/>
                <w:color w:val="auto"/>
              </w:rPr>
              <w:t>development</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80" w:type="dxa"/>
            <w:vAlign w:val="bottom"/>
            <w:tcBorders>
              <w:left w:val="single" w:sz="8" w:color="9E9E9E"/>
              <w:right w:val="single" w:sz="8" w:color="9E9E9E"/>
            </w:tcBorders>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880" w:type="dxa"/>
            <w:vAlign w:val="bottom"/>
            <w:tcBorders>
              <w:right w:val="single" w:sz="8" w:color="9E9E9E"/>
            </w:tcBorders>
            <w:gridSpan w:val="2"/>
          </w:tcPr>
          <w:p>
            <w:pPr>
              <w:spacing w:after="0" w:line="156" w:lineRule="exact"/>
              <w:rPr>
                <w:sz w:val="20"/>
                <w:szCs w:val="20"/>
                <w:color w:val="auto"/>
              </w:rPr>
            </w:pPr>
            <w:r>
              <w:rPr>
                <w:rFonts w:ascii="Arial" w:cs="Arial" w:eastAsia="Arial" w:hAnsi="Arial"/>
                <w:sz w:val="18"/>
                <w:szCs w:val="18"/>
                <w:color w:val="auto"/>
              </w:rPr>
              <w:t>decisions that affect my work &amp; my</w:t>
            </w:r>
          </w:p>
        </w:tc>
        <w:tc>
          <w:tcPr>
            <w:tcW w:w="3200" w:type="dxa"/>
            <w:vAlign w:val="bottom"/>
            <w:gridSpan w:val="2"/>
          </w:tcPr>
          <w:p>
            <w:pPr>
              <w:ind w:left="300"/>
              <w:spacing w:after="0" w:line="156" w:lineRule="exact"/>
              <w:rPr>
                <w:sz w:val="20"/>
                <w:szCs w:val="20"/>
                <w:color w:val="auto"/>
              </w:rPr>
            </w:pPr>
            <w:r>
              <w:rPr>
                <w:rFonts w:ascii="Arial" w:cs="Arial" w:eastAsia="Arial" w:hAnsi="Arial"/>
                <w:sz w:val="18"/>
                <w:szCs w:val="18"/>
                <w:color w:val="auto"/>
                <w:w w:val="98"/>
              </w:rPr>
              <w:t>I see professional growth and career</w:t>
            </w:r>
          </w:p>
        </w:tc>
        <w:tc>
          <w:tcPr>
            <w:tcW w:w="1480" w:type="dxa"/>
            <w:vAlign w:val="bottom"/>
            <w:tcBorders>
              <w:right w:val="single" w:sz="8" w:color="9E9E9E"/>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880" w:type="dxa"/>
            <w:vAlign w:val="bottom"/>
            <w:tcBorders>
              <w:left w:val="single" w:sz="8" w:color="9E9E9E"/>
              <w:right w:val="single" w:sz="8" w:color="9E9E9E"/>
            </w:tcBorders>
          </w:tcPr>
          <w:p>
            <w:pPr>
              <w:spacing w:after="0"/>
              <w:rPr>
                <w:sz w:val="18"/>
                <w:szCs w:val="18"/>
                <w:color w:val="auto"/>
              </w:rPr>
            </w:pPr>
          </w:p>
        </w:tc>
        <w:tc>
          <w:tcPr>
            <w:tcW w:w="4460" w:type="dxa"/>
            <w:vAlign w:val="bottom"/>
            <w:tcBorders>
              <w:right w:val="single" w:sz="8" w:color="9E9E9E"/>
            </w:tcBorders>
            <w:gridSpan w:val="3"/>
          </w:tcPr>
          <w:p>
            <w:pPr>
              <w:jc w:val="right"/>
              <w:ind w:right="1020"/>
              <w:spacing w:after="0"/>
              <w:rPr>
                <w:sz w:val="20"/>
                <w:szCs w:val="20"/>
                <w:color w:val="auto"/>
              </w:rPr>
            </w:pPr>
            <w:r>
              <w:rPr>
                <w:rFonts w:ascii="Arial" w:cs="Arial" w:eastAsia="Arial" w:hAnsi="Arial"/>
                <w:sz w:val="18"/>
                <w:szCs w:val="18"/>
                <w:color w:val="auto"/>
              </w:rPr>
              <w:t>opinions seem to count at work</w:t>
            </w:r>
          </w:p>
        </w:tc>
        <w:tc>
          <w:tcPr>
            <w:tcW w:w="4680" w:type="dxa"/>
            <w:vAlign w:val="bottom"/>
            <w:tcBorders>
              <w:right w:val="single" w:sz="8" w:color="9E9E9E"/>
            </w:tcBorders>
            <w:gridSpan w:val="3"/>
          </w:tcPr>
          <w:p>
            <w:pPr>
              <w:jc w:val="center"/>
              <w:spacing w:after="0"/>
              <w:rPr>
                <w:sz w:val="20"/>
                <w:szCs w:val="20"/>
                <w:color w:val="auto"/>
              </w:rPr>
            </w:pPr>
            <w:r>
              <w:rPr>
                <w:rFonts w:ascii="Arial" w:cs="Arial" w:eastAsia="Arial" w:hAnsi="Arial"/>
                <w:sz w:val="18"/>
                <w:szCs w:val="18"/>
                <w:color w:val="auto"/>
                <w:w w:val="99"/>
              </w:rPr>
              <w:t>opportunities for myself in this organization</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80" w:type="dxa"/>
            <w:vAlign w:val="bottom"/>
            <w:tcBorders>
              <w:left w:val="single" w:sz="8" w:color="9E9E9E"/>
              <w:bottom w:val="single" w:sz="8" w:color="9E9E9E"/>
              <w:right w:val="single" w:sz="8" w:color="9E9E9E"/>
            </w:tcBorders>
          </w:tcPr>
          <w:p>
            <w:pPr>
              <w:spacing w:after="0"/>
              <w:rPr>
                <w:sz w:val="20"/>
                <w:szCs w:val="20"/>
                <w:color w:val="auto"/>
              </w:rPr>
            </w:pPr>
          </w:p>
        </w:tc>
        <w:tc>
          <w:tcPr>
            <w:tcW w:w="1580" w:type="dxa"/>
            <w:vAlign w:val="bottom"/>
            <w:tcBorders>
              <w:bottom w:val="single" w:sz="8" w:color="9E9E9E"/>
            </w:tcBorders>
          </w:tcPr>
          <w:p>
            <w:pPr>
              <w:spacing w:after="0"/>
              <w:rPr>
                <w:sz w:val="20"/>
                <w:szCs w:val="20"/>
                <w:color w:val="auto"/>
              </w:rPr>
            </w:pPr>
          </w:p>
        </w:tc>
        <w:tc>
          <w:tcPr>
            <w:tcW w:w="1240" w:type="dxa"/>
            <w:vAlign w:val="bottom"/>
            <w:tcBorders>
              <w:bottom w:val="single" w:sz="8" w:color="9E9E9E"/>
            </w:tcBorders>
          </w:tcPr>
          <w:p>
            <w:pPr>
              <w:spacing w:after="0"/>
              <w:rPr>
                <w:sz w:val="20"/>
                <w:szCs w:val="20"/>
                <w:color w:val="auto"/>
              </w:rPr>
            </w:pPr>
          </w:p>
        </w:tc>
        <w:tc>
          <w:tcPr>
            <w:tcW w:w="1640" w:type="dxa"/>
            <w:vAlign w:val="bottom"/>
            <w:tcBorders>
              <w:bottom w:val="single" w:sz="8" w:color="9E9E9E"/>
              <w:right w:val="single" w:sz="8" w:color="9E9E9E"/>
            </w:tcBorders>
          </w:tcPr>
          <w:p>
            <w:pPr>
              <w:spacing w:after="0"/>
              <w:rPr>
                <w:sz w:val="20"/>
                <w:szCs w:val="20"/>
                <w:color w:val="auto"/>
              </w:rPr>
            </w:pPr>
          </w:p>
        </w:tc>
        <w:tc>
          <w:tcPr>
            <w:tcW w:w="1440" w:type="dxa"/>
            <w:vAlign w:val="bottom"/>
            <w:tcBorders>
              <w:bottom w:val="single" w:sz="8" w:color="9E9E9E"/>
            </w:tcBorders>
          </w:tcPr>
          <w:p>
            <w:pPr>
              <w:spacing w:after="0"/>
              <w:rPr>
                <w:sz w:val="20"/>
                <w:szCs w:val="20"/>
                <w:color w:val="auto"/>
              </w:rPr>
            </w:pPr>
          </w:p>
        </w:tc>
        <w:tc>
          <w:tcPr>
            <w:tcW w:w="1760" w:type="dxa"/>
            <w:vAlign w:val="bottom"/>
            <w:tcBorders>
              <w:bottom w:val="single" w:sz="8" w:color="9E9E9E"/>
            </w:tcBorders>
          </w:tcPr>
          <w:p>
            <w:pPr>
              <w:spacing w:after="0"/>
              <w:rPr>
                <w:sz w:val="20"/>
                <w:szCs w:val="20"/>
                <w:color w:val="auto"/>
              </w:rPr>
            </w:pPr>
          </w:p>
        </w:tc>
        <w:tc>
          <w:tcPr>
            <w:tcW w:w="1480" w:type="dxa"/>
            <w:vAlign w:val="bottom"/>
            <w:tcBorders>
              <w:bottom w:val="single" w:sz="8" w:color="9E9E9E"/>
              <w:right w:val="single" w:sz="8" w:color="9E9E9E"/>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880" w:type="dxa"/>
            <w:vAlign w:val="bottom"/>
            <w:tcBorders>
              <w:left w:val="single" w:sz="8" w:color="9E9E9E"/>
              <w:right w:val="single" w:sz="8" w:color="9E9E9E"/>
            </w:tcBorders>
          </w:tcPr>
          <w:p>
            <w:pPr>
              <w:jc w:val="center"/>
              <w:spacing w:after="0"/>
              <w:rPr>
                <w:sz w:val="20"/>
                <w:szCs w:val="20"/>
                <w:color w:val="auto"/>
              </w:rPr>
            </w:pPr>
            <w:r>
              <w:rPr>
                <w:rFonts w:ascii="Arial" w:cs="Arial" w:eastAsia="Arial" w:hAnsi="Arial"/>
                <w:sz w:val="18"/>
                <w:szCs w:val="18"/>
                <w:b w:val="1"/>
                <w:bCs w:val="1"/>
                <w:color w:val="auto"/>
                <w:w w:val="98"/>
              </w:rPr>
              <w:t>2020 Score</w:t>
            </w:r>
          </w:p>
        </w:tc>
        <w:tc>
          <w:tcPr>
            <w:tcW w:w="2820" w:type="dxa"/>
            <w:vAlign w:val="bottom"/>
            <w:gridSpan w:val="2"/>
          </w:tcPr>
          <w:p>
            <w:pPr>
              <w:jc w:val="center"/>
              <w:ind w:left="1490"/>
              <w:spacing w:after="0"/>
              <w:rPr>
                <w:sz w:val="20"/>
                <w:szCs w:val="20"/>
                <w:color w:val="auto"/>
              </w:rPr>
            </w:pPr>
            <w:r>
              <w:rPr>
                <w:rFonts w:ascii="Arial" w:cs="Arial" w:eastAsia="Arial" w:hAnsi="Arial"/>
                <w:sz w:val="18"/>
                <w:szCs w:val="18"/>
                <w:color w:val="auto"/>
              </w:rPr>
              <w:t>61.4%</w:t>
            </w:r>
          </w:p>
        </w:tc>
        <w:tc>
          <w:tcPr>
            <w:tcW w:w="1640" w:type="dxa"/>
            <w:vAlign w:val="bottom"/>
            <w:tcBorders>
              <w:right w:val="single" w:sz="8" w:color="9E9E9E"/>
            </w:tcBorders>
          </w:tcPr>
          <w:p>
            <w:pPr>
              <w:spacing w:after="0"/>
              <w:rPr>
                <w:sz w:val="24"/>
                <w:szCs w:val="24"/>
                <w:color w:val="auto"/>
              </w:rPr>
            </w:pPr>
          </w:p>
        </w:tc>
        <w:tc>
          <w:tcPr>
            <w:tcW w:w="3200" w:type="dxa"/>
            <w:vAlign w:val="bottom"/>
            <w:gridSpan w:val="2"/>
          </w:tcPr>
          <w:p>
            <w:pPr>
              <w:jc w:val="center"/>
              <w:ind w:left="1350"/>
              <w:spacing w:after="0"/>
              <w:rPr>
                <w:sz w:val="20"/>
                <w:szCs w:val="20"/>
                <w:color w:val="auto"/>
              </w:rPr>
            </w:pPr>
            <w:r>
              <w:rPr>
                <w:rFonts w:ascii="Arial" w:cs="Arial" w:eastAsia="Arial" w:hAnsi="Arial"/>
                <w:sz w:val="18"/>
                <w:szCs w:val="18"/>
                <w:color w:val="auto"/>
              </w:rPr>
              <w:t>62.9%</w:t>
            </w:r>
          </w:p>
        </w:tc>
        <w:tc>
          <w:tcPr>
            <w:tcW w:w="1480" w:type="dxa"/>
            <w:vAlign w:val="bottom"/>
            <w:tcBorders>
              <w:right w:val="single" w:sz="8" w:color="9E9E9E"/>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9E9E9E"/>
              <w:bottom w:val="single" w:sz="8" w:color="9E9E9E"/>
              <w:right w:val="single" w:sz="8" w:color="9E9E9E"/>
            </w:tcBorders>
          </w:tcPr>
          <w:p>
            <w:pPr>
              <w:spacing w:after="0"/>
              <w:rPr>
                <w:sz w:val="8"/>
                <w:szCs w:val="8"/>
                <w:color w:val="auto"/>
              </w:rPr>
            </w:pPr>
          </w:p>
        </w:tc>
        <w:tc>
          <w:tcPr>
            <w:tcW w:w="1580" w:type="dxa"/>
            <w:vAlign w:val="bottom"/>
            <w:tcBorders>
              <w:bottom w:val="single" w:sz="8" w:color="9E9E9E"/>
            </w:tcBorders>
          </w:tcPr>
          <w:p>
            <w:pPr>
              <w:spacing w:after="0"/>
              <w:rPr>
                <w:sz w:val="8"/>
                <w:szCs w:val="8"/>
                <w:color w:val="auto"/>
              </w:rPr>
            </w:pPr>
          </w:p>
        </w:tc>
        <w:tc>
          <w:tcPr>
            <w:tcW w:w="1240" w:type="dxa"/>
            <w:vAlign w:val="bottom"/>
            <w:tcBorders>
              <w:bottom w:val="single" w:sz="8" w:color="9E9E9E"/>
            </w:tcBorders>
          </w:tcPr>
          <w:p>
            <w:pPr>
              <w:spacing w:after="0"/>
              <w:rPr>
                <w:sz w:val="8"/>
                <w:szCs w:val="8"/>
                <w:color w:val="auto"/>
              </w:rPr>
            </w:pPr>
          </w:p>
        </w:tc>
        <w:tc>
          <w:tcPr>
            <w:tcW w:w="1640" w:type="dxa"/>
            <w:vAlign w:val="bottom"/>
            <w:tcBorders>
              <w:bottom w:val="single" w:sz="8" w:color="9E9E9E"/>
              <w:right w:val="single" w:sz="8" w:color="9E9E9E"/>
            </w:tcBorders>
          </w:tcPr>
          <w:p>
            <w:pPr>
              <w:spacing w:after="0"/>
              <w:rPr>
                <w:sz w:val="8"/>
                <w:szCs w:val="8"/>
                <w:color w:val="auto"/>
              </w:rPr>
            </w:pPr>
          </w:p>
        </w:tc>
        <w:tc>
          <w:tcPr>
            <w:tcW w:w="1440" w:type="dxa"/>
            <w:vAlign w:val="bottom"/>
            <w:tcBorders>
              <w:bottom w:val="single" w:sz="8" w:color="9E9E9E"/>
            </w:tcBorders>
          </w:tcPr>
          <w:p>
            <w:pPr>
              <w:spacing w:after="0"/>
              <w:rPr>
                <w:sz w:val="8"/>
                <w:szCs w:val="8"/>
                <w:color w:val="auto"/>
              </w:rPr>
            </w:pPr>
          </w:p>
        </w:tc>
        <w:tc>
          <w:tcPr>
            <w:tcW w:w="1760" w:type="dxa"/>
            <w:vAlign w:val="bottom"/>
            <w:tcBorders>
              <w:bottom w:val="single" w:sz="8" w:color="9E9E9E"/>
            </w:tcBorders>
          </w:tcPr>
          <w:p>
            <w:pPr>
              <w:spacing w:after="0"/>
              <w:rPr>
                <w:sz w:val="8"/>
                <w:szCs w:val="8"/>
                <w:color w:val="auto"/>
              </w:rPr>
            </w:pPr>
          </w:p>
        </w:tc>
        <w:tc>
          <w:tcPr>
            <w:tcW w:w="1480" w:type="dxa"/>
            <w:vAlign w:val="bottom"/>
            <w:tcBorders>
              <w:bottom w:val="single" w:sz="8" w:color="9E9E9E"/>
              <w:right w:val="single" w:sz="8" w:color="9E9E9E"/>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880" w:type="dxa"/>
            <w:vAlign w:val="bottom"/>
            <w:tcBorders>
              <w:left w:val="single" w:sz="8" w:color="9E9E9E"/>
              <w:right w:val="single" w:sz="8" w:color="9E9E9E"/>
            </w:tcBorders>
          </w:tcPr>
          <w:p>
            <w:pPr>
              <w:jc w:val="center"/>
              <w:spacing w:after="0"/>
              <w:rPr>
                <w:sz w:val="20"/>
                <w:szCs w:val="20"/>
                <w:color w:val="auto"/>
              </w:rPr>
            </w:pPr>
            <w:r>
              <w:rPr>
                <w:rFonts w:ascii="Arial" w:cs="Arial" w:eastAsia="Arial" w:hAnsi="Arial"/>
                <w:sz w:val="18"/>
                <w:szCs w:val="18"/>
                <w:b w:val="1"/>
                <w:bCs w:val="1"/>
                <w:color w:val="auto"/>
                <w:w w:val="98"/>
              </w:rPr>
              <w:t>2021 Score</w:t>
            </w:r>
          </w:p>
        </w:tc>
        <w:tc>
          <w:tcPr>
            <w:tcW w:w="2820" w:type="dxa"/>
            <w:vAlign w:val="bottom"/>
            <w:gridSpan w:val="2"/>
          </w:tcPr>
          <w:p>
            <w:pPr>
              <w:jc w:val="center"/>
              <w:ind w:left="1490"/>
              <w:spacing w:after="0"/>
              <w:rPr>
                <w:sz w:val="20"/>
                <w:szCs w:val="20"/>
                <w:color w:val="auto"/>
              </w:rPr>
            </w:pPr>
            <w:r>
              <w:rPr>
                <w:rFonts w:ascii="Arial" w:cs="Arial" w:eastAsia="Arial" w:hAnsi="Arial"/>
                <w:sz w:val="18"/>
                <w:szCs w:val="18"/>
                <w:color w:val="auto"/>
              </w:rPr>
              <w:t>61.9%</w:t>
            </w:r>
          </w:p>
        </w:tc>
        <w:tc>
          <w:tcPr>
            <w:tcW w:w="1640" w:type="dxa"/>
            <w:vAlign w:val="bottom"/>
            <w:tcBorders>
              <w:right w:val="single" w:sz="8" w:color="9E9E9E"/>
            </w:tcBorders>
          </w:tcPr>
          <w:p>
            <w:pPr>
              <w:spacing w:after="0"/>
              <w:rPr>
                <w:sz w:val="24"/>
                <w:szCs w:val="24"/>
                <w:color w:val="auto"/>
              </w:rPr>
            </w:pPr>
          </w:p>
        </w:tc>
        <w:tc>
          <w:tcPr>
            <w:tcW w:w="3200" w:type="dxa"/>
            <w:vAlign w:val="bottom"/>
            <w:gridSpan w:val="2"/>
          </w:tcPr>
          <w:p>
            <w:pPr>
              <w:jc w:val="center"/>
              <w:ind w:left="1350"/>
              <w:spacing w:after="0"/>
              <w:rPr>
                <w:sz w:val="20"/>
                <w:szCs w:val="20"/>
                <w:color w:val="auto"/>
              </w:rPr>
            </w:pPr>
            <w:r>
              <w:rPr>
                <w:rFonts w:ascii="Arial" w:cs="Arial" w:eastAsia="Arial" w:hAnsi="Arial"/>
                <w:sz w:val="18"/>
                <w:szCs w:val="18"/>
                <w:color w:val="auto"/>
              </w:rPr>
              <w:t>64.7%</w:t>
            </w:r>
          </w:p>
        </w:tc>
        <w:tc>
          <w:tcPr>
            <w:tcW w:w="1480" w:type="dxa"/>
            <w:vAlign w:val="bottom"/>
            <w:tcBorders>
              <w:right w:val="single" w:sz="8" w:color="9E9E9E"/>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9E9E9E"/>
              <w:bottom w:val="single" w:sz="8" w:color="9E9E9E"/>
              <w:right w:val="single" w:sz="8" w:color="9E9E9E"/>
            </w:tcBorders>
          </w:tcPr>
          <w:p>
            <w:pPr>
              <w:spacing w:after="0"/>
              <w:rPr>
                <w:sz w:val="8"/>
                <w:szCs w:val="8"/>
                <w:color w:val="auto"/>
              </w:rPr>
            </w:pPr>
          </w:p>
        </w:tc>
        <w:tc>
          <w:tcPr>
            <w:tcW w:w="1580" w:type="dxa"/>
            <w:vAlign w:val="bottom"/>
            <w:tcBorders>
              <w:bottom w:val="single" w:sz="8" w:color="9E9E9E"/>
            </w:tcBorders>
          </w:tcPr>
          <w:p>
            <w:pPr>
              <w:spacing w:after="0"/>
              <w:rPr>
                <w:sz w:val="8"/>
                <w:szCs w:val="8"/>
                <w:color w:val="auto"/>
              </w:rPr>
            </w:pPr>
          </w:p>
        </w:tc>
        <w:tc>
          <w:tcPr>
            <w:tcW w:w="1240" w:type="dxa"/>
            <w:vAlign w:val="bottom"/>
            <w:tcBorders>
              <w:bottom w:val="single" w:sz="8" w:color="9E9E9E"/>
            </w:tcBorders>
          </w:tcPr>
          <w:p>
            <w:pPr>
              <w:spacing w:after="0"/>
              <w:rPr>
                <w:sz w:val="8"/>
                <w:szCs w:val="8"/>
                <w:color w:val="auto"/>
              </w:rPr>
            </w:pPr>
          </w:p>
        </w:tc>
        <w:tc>
          <w:tcPr>
            <w:tcW w:w="1640" w:type="dxa"/>
            <w:vAlign w:val="bottom"/>
            <w:tcBorders>
              <w:bottom w:val="single" w:sz="8" w:color="9E9E9E"/>
              <w:right w:val="single" w:sz="8" w:color="9E9E9E"/>
            </w:tcBorders>
          </w:tcPr>
          <w:p>
            <w:pPr>
              <w:spacing w:after="0"/>
              <w:rPr>
                <w:sz w:val="8"/>
                <w:szCs w:val="8"/>
                <w:color w:val="auto"/>
              </w:rPr>
            </w:pPr>
          </w:p>
        </w:tc>
        <w:tc>
          <w:tcPr>
            <w:tcW w:w="1440" w:type="dxa"/>
            <w:vAlign w:val="bottom"/>
            <w:tcBorders>
              <w:bottom w:val="single" w:sz="8" w:color="9E9E9E"/>
            </w:tcBorders>
          </w:tcPr>
          <w:p>
            <w:pPr>
              <w:spacing w:after="0"/>
              <w:rPr>
                <w:sz w:val="8"/>
                <w:szCs w:val="8"/>
                <w:color w:val="auto"/>
              </w:rPr>
            </w:pPr>
          </w:p>
        </w:tc>
        <w:tc>
          <w:tcPr>
            <w:tcW w:w="1760" w:type="dxa"/>
            <w:vAlign w:val="bottom"/>
            <w:tcBorders>
              <w:bottom w:val="single" w:sz="8" w:color="9E9E9E"/>
            </w:tcBorders>
          </w:tcPr>
          <w:p>
            <w:pPr>
              <w:spacing w:after="0"/>
              <w:rPr>
                <w:sz w:val="8"/>
                <w:szCs w:val="8"/>
                <w:color w:val="auto"/>
              </w:rPr>
            </w:pPr>
          </w:p>
        </w:tc>
        <w:tc>
          <w:tcPr>
            <w:tcW w:w="1480" w:type="dxa"/>
            <w:vAlign w:val="bottom"/>
            <w:tcBorders>
              <w:bottom w:val="single" w:sz="8" w:color="9E9E9E"/>
              <w:right w:val="single" w:sz="8" w:color="9E9E9E"/>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880" w:type="dxa"/>
            <w:vAlign w:val="bottom"/>
            <w:tcBorders>
              <w:left w:val="single" w:sz="8" w:color="9E9E9E"/>
              <w:right w:val="single" w:sz="8" w:color="9E9E9E"/>
            </w:tcBorders>
          </w:tcPr>
          <w:p>
            <w:pPr>
              <w:jc w:val="center"/>
              <w:spacing w:after="0"/>
              <w:rPr>
                <w:sz w:val="20"/>
                <w:szCs w:val="20"/>
                <w:color w:val="auto"/>
              </w:rPr>
            </w:pPr>
            <w:r>
              <w:rPr>
                <w:rFonts w:ascii="Arial" w:cs="Arial" w:eastAsia="Arial" w:hAnsi="Arial"/>
                <w:sz w:val="18"/>
                <w:szCs w:val="18"/>
                <w:b w:val="1"/>
                <w:bCs w:val="1"/>
                <w:color w:val="auto"/>
                <w:w w:val="99"/>
              </w:rPr>
              <w:t>20 - 21 Change</w:t>
            </w:r>
          </w:p>
        </w:tc>
        <w:tc>
          <w:tcPr>
            <w:tcW w:w="2820" w:type="dxa"/>
            <w:vAlign w:val="bottom"/>
            <w:gridSpan w:val="2"/>
            <w:shd w:val="clear" w:color="auto" w:fill="CFE2F3"/>
          </w:tcPr>
          <w:p>
            <w:pPr>
              <w:jc w:val="center"/>
              <w:ind w:left="1510"/>
              <w:spacing w:after="0"/>
              <w:rPr>
                <w:sz w:val="20"/>
                <w:szCs w:val="20"/>
                <w:color w:val="auto"/>
              </w:rPr>
            </w:pPr>
            <w:r>
              <w:rPr>
                <w:rFonts w:ascii="Arial" w:cs="Arial" w:eastAsia="Arial" w:hAnsi="Arial"/>
                <w:sz w:val="18"/>
                <w:szCs w:val="18"/>
                <w:b w:val="1"/>
                <w:bCs w:val="1"/>
                <w:color w:val="auto"/>
              </w:rPr>
              <w:t>+.5%</w:t>
            </w:r>
          </w:p>
        </w:tc>
        <w:tc>
          <w:tcPr>
            <w:tcW w:w="1640" w:type="dxa"/>
            <w:vAlign w:val="bottom"/>
            <w:tcBorders>
              <w:right w:val="single" w:sz="8" w:color="9E9E9E"/>
            </w:tcBorders>
            <w:shd w:val="clear" w:color="auto" w:fill="CFE2F3"/>
          </w:tcPr>
          <w:p>
            <w:pPr>
              <w:spacing w:after="0"/>
              <w:rPr>
                <w:sz w:val="24"/>
                <w:szCs w:val="24"/>
                <w:color w:val="auto"/>
              </w:rPr>
            </w:pPr>
          </w:p>
        </w:tc>
        <w:tc>
          <w:tcPr>
            <w:tcW w:w="3200" w:type="dxa"/>
            <w:vAlign w:val="bottom"/>
            <w:gridSpan w:val="2"/>
            <w:shd w:val="clear" w:color="auto" w:fill="CFE2F3"/>
          </w:tcPr>
          <w:p>
            <w:pPr>
              <w:jc w:val="center"/>
              <w:ind w:left="1350"/>
              <w:spacing w:after="0"/>
              <w:rPr>
                <w:sz w:val="20"/>
                <w:szCs w:val="20"/>
                <w:color w:val="auto"/>
              </w:rPr>
            </w:pPr>
            <w:r>
              <w:rPr>
                <w:rFonts w:ascii="Arial" w:cs="Arial" w:eastAsia="Arial" w:hAnsi="Arial"/>
                <w:sz w:val="18"/>
                <w:szCs w:val="18"/>
                <w:b w:val="1"/>
                <w:bCs w:val="1"/>
                <w:color w:val="auto"/>
              </w:rPr>
              <w:t>+1.8%</w:t>
            </w:r>
          </w:p>
        </w:tc>
        <w:tc>
          <w:tcPr>
            <w:tcW w:w="1480" w:type="dxa"/>
            <w:vAlign w:val="bottom"/>
            <w:tcBorders>
              <w:right w:val="single" w:sz="8" w:color="9E9E9E"/>
            </w:tcBorders>
            <w:shd w:val="clear" w:color="auto" w:fill="CFE2F3"/>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9E9E9E"/>
              <w:bottom w:val="single" w:sz="8" w:color="9E9E9E"/>
              <w:right w:val="single" w:sz="8" w:color="9E9E9E"/>
            </w:tcBorders>
          </w:tcPr>
          <w:p>
            <w:pPr>
              <w:spacing w:after="0"/>
              <w:rPr>
                <w:sz w:val="8"/>
                <w:szCs w:val="8"/>
                <w:color w:val="auto"/>
              </w:rPr>
            </w:pPr>
          </w:p>
        </w:tc>
        <w:tc>
          <w:tcPr>
            <w:tcW w:w="1580" w:type="dxa"/>
            <w:vAlign w:val="bottom"/>
            <w:tcBorders>
              <w:bottom w:val="single" w:sz="8" w:color="9E9E9E"/>
            </w:tcBorders>
            <w:shd w:val="clear" w:color="auto" w:fill="CFE2F3"/>
          </w:tcPr>
          <w:p>
            <w:pPr>
              <w:spacing w:after="0"/>
              <w:rPr>
                <w:sz w:val="8"/>
                <w:szCs w:val="8"/>
                <w:color w:val="auto"/>
              </w:rPr>
            </w:pPr>
          </w:p>
        </w:tc>
        <w:tc>
          <w:tcPr>
            <w:tcW w:w="1240" w:type="dxa"/>
            <w:vAlign w:val="bottom"/>
            <w:tcBorders>
              <w:bottom w:val="single" w:sz="8" w:color="9E9E9E"/>
            </w:tcBorders>
            <w:shd w:val="clear" w:color="auto" w:fill="CFE2F3"/>
          </w:tcPr>
          <w:p>
            <w:pPr>
              <w:spacing w:after="0"/>
              <w:rPr>
                <w:sz w:val="8"/>
                <w:szCs w:val="8"/>
                <w:color w:val="auto"/>
              </w:rPr>
            </w:pPr>
          </w:p>
        </w:tc>
        <w:tc>
          <w:tcPr>
            <w:tcW w:w="1640" w:type="dxa"/>
            <w:vAlign w:val="bottom"/>
            <w:tcBorders>
              <w:bottom w:val="single" w:sz="8" w:color="9E9E9E"/>
              <w:right w:val="single" w:sz="8" w:color="9E9E9E"/>
            </w:tcBorders>
            <w:shd w:val="clear" w:color="auto" w:fill="CFE2F3"/>
          </w:tcPr>
          <w:p>
            <w:pPr>
              <w:spacing w:after="0"/>
              <w:rPr>
                <w:sz w:val="8"/>
                <w:szCs w:val="8"/>
                <w:color w:val="auto"/>
              </w:rPr>
            </w:pPr>
          </w:p>
        </w:tc>
        <w:tc>
          <w:tcPr>
            <w:tcW w:w="1440" w:type="dxa"/>
            <w:vAlign w:val="bottom"/>
            <w:tcBorders>
              <w:bottom w:val="single" w:sz="8" w:color="9E9E9E"/>
            </w:tcBorders>
            <w:shd w:val="clear" w:color="auto" w:fill="CFE2F3"/>
          </w:tcPr>
          <w:p>
            <w:pPr>
              <w:spacing w:after="0"/>
              <w:rPr>
                <w:sz w:val="8"/>
                <w:szCs w:val="8"/>
                <w:color w:val="auto"/>
              </w:rPr>
            </w:pPr>
          </w:p>
        </w:tc>
        <w:tc>
          <w:tcPr>
            <w:tcW w:w="1760" w:type="dxa"/>
            <w:vAlign w:val="bottom"/>
            <w:tcBorders>
              <w:bottom w:val="single" w:sz="8" w:color="9E9E9E"/>
            </w:tcBorders>
            <w:shd w:val="clear" w:color="auto" w:fill="CFE2F3"/>
          </w:tcPr>
          <w:p>
            <w:pPr>
              <w:spacing w:after="0"/>
              <w:rPr>
                <w:sz w:val="8"/>
                <w:szCs w:val="8"/>
                <w:color w:val="auto"/>
              </w:rPr>
            </w:pPr>
          </w:p>
        </w:tc>
        <w:tc>
          <w:tcPr>
            <w:tcW w:w="1480" w:type="dxa"/>
            <w:vAlign w:val="bottom"/>
            <w:tcBorders>
              <w:bottom w:val="single" w:sz="8" w:color="9E9E9E"/>
              <w:right w:val="single" w:sz="8" w:color="9E9E9E"/>
            </w:tcBorders>
            <w:shd w:val="clear" w:color="auto" w:fill="CFE2F3"/>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8"/>
        </w:trPr>
        <w:tc>
          <w:tcPr>
            <w:tcW w:w="1880" w:type="dxa"/>
            <w:vAlign w:val="bottom"/>
          </w:tcPr>
          <w:p>
            <w:pPr>
              <w:spacing w:after="0"/>
              <w:rPr>
                <w:sz w:val="24"/>
                <w:szCs w:val="24"/>
                <w:color w:val="auto"/>
              </w:rPr>
            </w:pPr>
          </w:p>
        </w:tc>
        <w:tc>
          <w:tcPr>
            <w:tcW w:w="4460" w:type="dxa"/>
            <w:vAlign w:val="bottom"/>
            <w:gridSpan w:val="3"/>
          </w:tcPr>
          <w:p>
            <w:pPr>
              <w:jc w:val="right"/>
              <w:ind w:right="620"/>
              <w:spacing w:after="0"/>
              <w:rPr>
                <w:sz w:val="20"/>
                <w:szCs w:val="20"/>
                <w:color w:val="auto"/>
              </w:rPr>
            </w:pPr>
            <w:r>
              <w:rPr>
                <w:rFonts w:ascii="Arial" w:cs="Arial" w:eastAsia="Arial" w:hAnsi="Arial"/>
                <w:sz w:val="18"/>
                <w:szCs w:val="18"/>
                <w:color w:val="auto"/>
              </w:rPr>
              <w:t>17</w:t>
            </w: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Talent</w:t>
      </w:r>
    </w:p>
    <w:p>
      <w:pPr>
        <w:spacing w:after="0" w:line="220"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We use a variety of human capital measures in managing our business, including diversity, attrition, hiring, promotions, and leadership. We also use certain talent management metrics, including retention rates of top talent and hiring metrics.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180"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Diversity, equity and inclusion are cornerstones of the Vroom values, emphasized most strongly in the </w:t>
      </w:r>
      <w:r>
        <w:rPr>
          <w:rFonts w:ascii="Arial" w:cs="Arial" w:eastAsia="Arial" w:hAnsi="Arial"/>
          <w:sz w:val="18"/>
          <w:szCs w:val="18"/>
          <w:i w:val="1"/>
          <w:iCs w:val="1"/>
          <w:color w:val="auto"/>
        </w:rPr>
        <w:t>s.p.e.e.d.</w:t>
      </w:r>
      <w:r>
        <w:rPr>
          <w:rFonts w:ascii="Arial" w:cs="Arial" w:eastAsia="Arial" w:hAnsi="Arial"/>
          <w:sz w:val="18"/>
          <w:szCs w:val="18"/>
          <w:color w:val="auto"/>
        </w:rPr>
        <w:t xml:space="preserve"> values of Employees and Engagement. During 2021, we continued our efforts to improve diversity, equity, and inclusion outcomes.</w:t>
      </w:r>
    </w:p>
    <w:p>
      <w:pPr>
        <w:spacing w:after="0" w:line="165" w:lineRule="exact"/>
        <w:rPr>
          <w:sz w:val="20"/>
          <w:szCs w:val="20"/>
          <w:color w:val="auto"/>
        </w:rPr>
      </w:pPr>
    </w:p>
    <w:p>
      <w:pPr>
        <w:ind w:left="1020" w:right="2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2021, we continued and broadened our listening sessions, including a well-attended session focused on the experience of our Veteran employees.</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of the top five increases in engagement scores were on questions centered around diversity and inclusion topics.</w:t>
      </w:r>
    </w:p>
    <w:p>
      <w:pPr>
        <w:spacing w:after="0" w:line="180"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responses to “</w:t>
      </w:r>
      <w:r>
        <w:rPr>
          <w:rFonts w:ascii="Arial" w:cs="Arial" w:eastAsia="Arial" w:hAnsi="Arial"/>
          <w:sz w:val="18"/>
          <w:szCs w:val="18"/>
          <w:i w:val="1"/>
          <w:iCs w:val="1"/>
          <w:color w:val="auto"/>
        </w:rPr>
        <w:t>I trust this organization to be fair to all employees”</w:t>
      </w:r>
      <w:r>
        <w:rPr>
          <w:rFonts w:ascii="Arial" w:cs="Arial" w:eastAsia="Arial" w:hAnsi="Arial"/>
          <w:sz w:val="18"/>
          <w:szCs w:val="18"/>
          <w:color w:val="auto"/>
        </w:rPr>
        <w:t xml:space="preserve"> increased by nearly 6 points.</w:t>
      </w:r>
    </w:p>
    <w:p>
      <w:pPr>
        <w:spacing w:after="0" w:line="198" w:lineRule="exact"/>
        <w:rPr>
          <w:rFonts w:ascii="Arial" w:cs="Arial" w:eastAsia="Arial" w:hAnsi="Arial"/>
          <w:sz w:val="18"/>
          <w:szCs w:val="18"/>
          <w:color w:val="auto"/>
        </w:rPr>
      </w:pPr>
    </w:p>
    <w:p>
      <w:pPr>
        <w:ind w:left="1020" w:right="260" w:hanging="503"/>
        <w:spacing w:after="0" w:line="26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score for “</w:t>
      </w:r>
      <w:r>
        <w:rPr>
          <w:rFonts w:ascii="Arial" w:cs="Arial" w:eastAsia="Arial" w:hAnsi="Arial"/>
          <w:sz w:val="18"/>
          <w:szCs w:val="18"/>
          <w:i w:val="1"/>
          <w:iCs w:val="1"/>
          <w:color w:val="auto"/>
        </w:rPr>
        <w:t>If I raised a concern about discrimination, I am confident my employer would do what is right</w:t>
      </w:r>
      <w:r>
        <w:rPr>
          <w:rFonts w:ascii="Arial" w:cs="Arial" w:eastAsia="Arial" w:hAnsi="Arial"/>
          <w:sz w:val="18"/>
          <w:szCs w:val="18"/>
          <w:color w:val="auto"/>
        </w:rPr>
        <w:t>” increased by just over 5 points.</w:t>
      </w:r>
    </w:p>
    <w:p>
      <w:pPr>
        <w:spacing w:after="0" w:line="164"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women in our U.S. workforce increased from 40.6% as of December 31, 2020 to 42.1% as of December 31, 2021.</w:t>
      </w:r>
    </w:p>
    <w:p>
      <w:pPr>
        <w:spacing w:after="0" w:line="183" w:lineRule="exact"/>
        <w:rPr>
          <w:rFonts w:ascii="Arial" w:cs="Arial" w:eastAsia="Arial" w:hAnsi="Arial"/>
          <w:sz w:val="18"/>
          <w:szCs w:val="18"/>
          <w:color w:val="auto"/>
        </w:rPr>
      </w:pPr>
    </w:p>
    <w:p>
      <w:pPr>
        <w:ind w:left="1020" w:right="12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the self-reported race and ethnicity-related data, diversity in terms of non-white representation among our employees remained high, dropping slightly from 67.9% as of December 31, 2020 to 66.2% on December 31, 2021.</w:t>
      </w:r>
    </w:p>
    <w:p>
      <w:pPr>
        <w:spacing w:after="0" w:line="363" w:lineRule="exact"/>
        <w:rPr>
          <w:sz w:val="20"/>
          <w:szCs w:val="20"/>
          <w:color w:val="auto"/>
        </w:rPr>
      </w:pPr>
    </w:p>
    <w:tbl>
      <w:tblPr>
        <w:tblLayout w:type="fixed"/>
        <w:tblInd w:w="1990" w:type="dxa"/>
        <w:tblCellMar>
          <w:top w:w="0" w:type="dxa"/>
          <w:left w:w="0" w:type="dxa"/>
          <w:bottom w:w="0" w:type="dxa"/>
          <w:right w:w="0" w:type="dxa"/>
        </w:tblCellMar>
      </w:tblPr>
      <w:tr>
        <w:trPr>
          <w:trHeight w:val="256"/>
        </w:trPr>
        <w:tc>
          <w:tcPr>
            <w:tcW w:w="340" w:type="dxa"/>
            <w:vAlign w:val="bottom"/>
            <w:tcBorders>
              <w:top w:val="single" w:sz="8" w:color="auto"/>
              <w:left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360" w:type="dxa"/>
            <w:vAlign w:val="bottom"/>
            <w:tcBorders>
              <w:top w:val="single" w:sz="8" w:color="auto"/>
              <w:right w:val="single" w:sz="8" w:color="auto"/>
            </w:tcBorders>
          </w:tcPr>
          <w:p>
            <w:pPr>
              <w:spacing w:after="0"/>
              <w:rPr>
                <w:sz w:val="22"/>
                <w:szCs w:val="22"/>
                <w:color w:val="auto"/>
              </w:rPr>
            </w:pPr>
          </w:p>
        </w:tc>
        <w:tc>
          <w:tcPr>
            <w:tcW w:w="4560" w:type="dxa"/>
            <w:vAlign w:val="bottom"/>
            <w:tcBorders>
              <w:top w:val="single" w:sz="8" w:color="auto"/>
              <w:right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rPr>
              <w:t>Employee Race and Ethnicity</w:t>
            </w:r>
          </w:p>
        </w:tc>
      </w:tr>
      <w:tr>
        <w:trPr>
          <w:trHeight w:val="473"/>
        </w:trPr>
        <w:tc>
          <w:tcPr>
            <w:tcW w:w="34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r>
        <w:trPr>
          <w:trHeight w:val="186"/>
        </w:trPr>
        <w:tc>
          <w:tcPr>
            <w:tcW w:w="340" w:type="dxa"/>
            <w:vAlign w:val="bottom"/>
            <w:tcBorders>
              <w:left w:val="single" w:sz="8" w:color="auto"/>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450"/>
              <w:spacing w:after="0" w:line="186" w:lineRule="exact"/>
              <w:rPr>
                <w:sz w:val="20"/>
                <w:szCs w:val="20"/>
                <w:color w:val="auto"/>
              </w:rPr>
            </w:pPr>
            <w:r>
              <w:rPr>
                <w:rFonts w:ascii="Arial" w:cs="Arial" w:eastAsia="Arial" w:hAnsi="Arial"/>
                <w:sz w:val="18"/>
                <w:szCs w:val="18"/>
                <w:b w:val="1"/>
                <w:bCs w:val="1"/>
                <w:color w:val="auto"/>
              </w:rPr>
              <w:t>2020</w:t>
            </w:r>
          </w:p>
        </w:tc>
        <w:tc>
          <w:tcPr>
            <w:tcW w:w="1400" w:type="dxa"/>
            <w:vAlign w:val="bottom"/>
            <w:tcBorders>
              <w:bottom w:val="single" w:sz="8" w:color="auto"/>
              <w:right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99"/>
              </w:rPr>
              <w:t>2021</w:t>
            </w:r>
          </w:p>
        </w:tc>
        <w:tc>
          <w:tcPr>
            <w:tcW w:w="1700" w:type="dxa"/>
            <w:vAlign w:val="bottom"/>
            <w:tcBorders>
              <w:bottom w:val="single" w:sz="8" w:color="auto"/>
              <w:right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99"/>
              </w:rPr>
              <w:t>Change</w:t>
            </w:r>
          </w:p>
        </w:tc>
      </w:tr>
      <w:tr>
        <w:trPr>
          <w:trHeight w:val="169"/>
        </w:trPr>
        <w:tc>
          <w:tcPr>
            <w:tcW w:w="2740" w:type="dxa"/>
            <w:vAlign w:val="bottom"/>
            <w:tcBorders>
              <w:left w:val="single" w:sz="8" w:color="auto"/>
              <w:right w:val="single" w:sz="8" w:color="auto"/>
            </w:tcBorders>
            <w:gridSpan w:val="5"/>
          </w:tcPr>
          <w:p>
            <w:pPr>
              <w:jc w:val="center"/>
              <w:ind w:right="60"/>
              <w:spacing w:after="0" w:line="169" w:lineRule="exact"/>
              <w:rPr>
                <w:sz w:val="20"/>
                <w:szCs w:val="20"/>
                <w:color w:val="auto"/>
              </w:rPr>
            </w:pPr>
            <w:r>
              <w:rPr>
                <w:rFonts w:ascii="Arial" w:cs="Arial" w:eastAsia="Arial" w:hAnsi="Arial"/>
                <w:sz w:val="18"/>
                <w:szCs w:val="18"/>
                <w:color w:val="auto"/>
              </w:rPr>
              <w:t>American Indian / Alaska</w:t>
            </w:r>
          </w:p>
        </w:tc>
        <w:tc>
          <w:tcPr>
            <w:tcW w:w="1460" w:type="dxa"/>
            <w:vAlign w:val="bottom"/>
            <w:tcBorders>
              <w:right w:val="single" w:sz="8" w:color="auto"/>
            </w:tcBorders>
          </w:tcPr>
          <w:p>
            <w:pPr>
              <w:jc w:val="right"/>
              <w:ind w:right="410"/>
              <w:spacing w:after="0" w:line="169" w:lineRule="exact"/>
              <w:rPr>
                <w:sz w:val="20"/>
                <w:szCs w:val="20"/>
                <w:color w:val="auto"/>
              </w:rPr>
            </w:pPr>
            <w:r>
              <w:rPr>
                <w:rFonts w:ascii="Arial" w:cs="Arial" w:eastAsia="Arial" w:hAnsi="Arial"/>
                <w:sz w:val="18"/>
                <w:szCs w:val="18"/>
                <w:color w:val="auto"/>
              </w:rPr>
              <w:t>0.00%</w:t>
            </w:r>
          </w:p>
        </w:tc>
        <w:tc>
          <w:tcPr>
            <w:tcW w:w="14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7"/>
              </w:rPr>
              <w:t>0.12%</w:t>
            </w:r>
          </w:p>
        </w:tc>
        <w:tc>
          <w:tcPr>
            <w:tcW w:w="1700" w:type="dxa"/>
            <w:vAlign w:val="bottom"/>
            <w:tcBorders>
              <w:right w:val="single" w:sz="8" w:color="auto"/>
            </w:tcBorders>
          </w:tcPr>
          <w:p>
            <w:pPr>
              <w:jc w:val="right"/>
              <w:ind w:right="510"/>
              <w:spacing w:after="0" w:line="169" w:lineRule="exact"/>
              <w:rPr>
                <w:sz w:val="20"/>
                <w:szCs w:val="20"/>
                <w:color w:val="auto"/>
              </w:rPr>
            </w:pPr>
            <w:r>
              <w:rPr>
                <w:rFonts w:ascii="Arial" w:cs="Arial" w:eastAsia="Arial" w:hAnsi="Arial"/>
                <w:sz w:val="18"/>
                <w:szCs w:val="18"/>
                <w:color w:val="auto"/>
              </w:rPr>
              <w:t>0.12%</w:t>
            </w:r>
          </w:p>
        </w:tc>
      </w:tr>
      <w:tr>
        <w:trPr>
          <w:trHeight w:val="169"/>
        </w:trPr>
        <w:tc>
          <w:tcPr>
            <w:tcW w:w="340" w:type="dxa"/>
            <w:vAlign w:val="bottom"/>
            <w:tcBorders>
              <w:left w:val="single" w:sz="8" w:color="auto"/>
            </w:tcBorders>
          </w:tcPr>
          <w:p>
            <w:pPr>
              <w:spacing w:after="0"/>
              <w:rPr>
                <w:sz w:val="14"/>
                <w:szCs w:val="14"/>
                <w:color w:val="auto"/>
              </w:rPr>
            </w:pPr>
          </w:p>
        </w:tc>
        <w:tc>
          <w:tcPr>
            <w:tcW w:w="204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color w:val="auto"/>
              </w:rPr>
              <w:t>Native</w:t>
            </w:r>
          </w:p>
        </w:tc>
        <w:tc>
          <w:tcPr>
            <w:tcW w:w="3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r>
      <w:tr>
        <w:trPr>
          <w:trHeight w:val="20"/>
        </w:trPr>
        <w:tc>
          <w:tcPr>
            <w:tcW w:w="3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27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Asian</w:t>
            </w:r>
          </w:p>
        </w:tc>
        <w:tc>
          <w:tcPr>
            <w:tcW w:w="14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7"/>
              </w:rPr>
              <w:t>8.07%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8.74%</w:t>
            </w:r>
          </w:p>
        </w:tc>
        <w:tc>
          <w:tcPr>
            <w:tcW w:w="17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0.67%</w:t>
            </w:r>
          </w:p>
        </w:tc>
      </w:tr>
      <w:tr>
        <w:trPr>
          <w:trHeight w:val="223"/>
        </w:trPr>
        <w:tc>
          <w:tcPr>
            <w:tcW w:w="2740" w:type="dxa"/>
            <w:vAlign w:val="bottom"/>
            <w:tcBorders>
              <w:left w:val="single" w:sz="8" w:color="auto"/>
              <w:bottom w:val="single" w:sz="8" w:color="auto"/>
              <w:right w:val="single" w:sz="8" w:color="auto"/>
            </w:tcBorders>
            <w:gridSpan w:val="5"/>
            <w:shd w:val="clear" w:color="auto" w:fill="E2EFDA"/>
          </w:tcPr>
          <w:p>
            <w:pPr>
              <w:ind w:left="120"/>
              <w:spacing w:after="0"/>
              <w:rPr>
                <w:sz w:val="20"/>
                <w:szCs w:val="20"/>
                <w:color w:val="auto"/>
              </w:rPr>
            </w:pPr>
            <w:r>
              <w:rPr>
                <w:rFonts w:ascii="Arial" w:cs="Arial" w:eastAsia="Arial" w:hAnsi="Arial"/>
                <w:sz w:val="18"/>
                <w:szCs w:val="18"/>
                <w:color w:val="auto"/>
              </w:rPr>
              <w:t>Black / African American</w:t>
            </w:r>
          </w:p>
        </w:tc>
        <w:tc>
          <w:tcPr>
            <w:tcW w:w="1460" w:type="dxa"/>
            <w:vAlign w:val="bottom"/>
            <w:tcBorders>
              <w:bottom w:val="single" w:sz="8" w:color="auto"/>
              <w:right w:val="single" w:sz="8" w:color="auto"/>
            </w:tcBorders>
            <w:shd w:val="clear" w:color="auto" w:fill="E2EFDA"/>
          </w:tcPr>
          <w:p>
            <w:pPr>
              <w:jc w:val="center"/>
              <w:ind w:right="30"/>
              <w:spacing w:after="0"/>
              <w:rPr>
                <w:sz w:val="20"/>
                <w:szCs w:val="20"/>
                <w:color w:val="auto"/>
              </w:rPr>
            </w:pPr>
            <w:r>
              <w:rPr>
                <w:rFonts w:ascii="Arial" w:cs="Arial" w:eastAsia="Arial" w:hAnsi="Arial"/>
                <w:sz w:val="18"/>
                <w:szCs w:val="18"/>
                <w:color w:val="auto"/>
              </w:rPr>
              <w:t>25.26%</w:t>
            </w:r>
          </w:p>
        </w:tc>
        <w:tc>
          <w:tcPr>
            <w:tcW w:w="1400" w:type="dxa"/>
            <w:vAlign w:val="bottom"/>
            <w:tcBorders>
              <w:bottom w:val="single" w:sz="8" w:color="auto"/>
              <w:right w:val="single" w:sz="8" w:color="auto"/>
            </w:tcBorders>
            <w:shd w:val="clear" w:color="auto" w:fill="E2EFDA"/>
          </w:tcPr>
          <w:p>
            <w:pPr>
              <w:jc w:val="center"/>
              <w:spacing w:after="0"/>
              <w:rPr>
                <w:sz w:val="20"/>
                <w:szCs w:val="20"/>
                <w:color w:val="auto"/>
              </w:rPr>
            </w:pPr>
            <w:r>
              <w:rPr>
                <w:rFonts w:ascii="Arial" w:cs="Arial" w:eastAsia="Arial" w:hAnsi="Arial"/>
                <w:sz w:val="18"/>
                <w:szCs w:val="18"/>
                <w:color w:val="auto"/>
              </w:rPr>
              <w:t>26.94%</w:t>
            </w:r>
          </w:p>
        </w:tc>
        <w:tc>
          <w:tcPr>
            <w:tcW w:w="1700" w:type="dxa"/>
            <w:vAlign w:val="bottom"/>
            <w:tcBorders>
              <w:bottom w:val="single" w:sz="8" w:color="auto"/>
              <w:right w:val="single" w:sz="8" w:color="auto"/>
            </w:tcBorders>
            <w:shd w:val="clear" w:color="auto" w:fill="E2EFDA"/>
          </w:tcPr>
          <w:p>
            <w:pPr>
              <w:jc w:val="center"/>
              <w:ind w:right="10"/>
              <w:spacing w:after="0"/>
              <w:rPr>
                <w:sz w:val="20"/>
                <w:szCs w:val="20"/>
                <w:color w:val="auto"/>
              </w:rPr>
            </w:pPr>
            <w:r>
              <w:rPr>
                <w:rFonts w:ascii="Arial" w:cs="Arial" w:eastAsia="Arial" w:hAnsi="Arial"/>
                <w:sz w:val="18"/>
                <w:szCs w:val="18"/>
                <w:color w:val="auto"/>
              </w:rPr>
              <w:t>1.68</w:t>
            </w:r>
          </w:p>
        </w:tc>
      </w:tr>
      <w:tr>
        <w:trPr>
          <w:trHeight w:val="223"/>
        </w:trPr>
        <w:tc>
          <w:tcPr>
            <w:tcW w:w="2740" w:type="dxa"/>
            <w:vAlign w:val="bottom"/>
            <w:tcBorders>
              <w:left w:val="single" w:sz="8" w:color="auto"/>
              <w:bottom w:val="single" w:sz="8" w:color="auto"/>
              <w:right w:val="single" w:sz="8" w:color="auto"/>
            </w:tcBorders>
            <w:gridSpan w:val="5"/>
            <w:shd w:val="clear" w:color="auto" w:fill="FCE4D6"/>
          </w:tcPr>
          <w:p>
            <w:pPr>
              <w:ind w:left="120"/>
              <w:spacing w:after="0"/>
              <w:rPr>
                <w:sz w:val="20"/>
                <w:szCs w:val="20"/>
                <w:color w:val="auto"/>
              </w:rPr>
            </w:pPr>
            <w:r>
              <w:rPr>
                <w:rFonts w:ascii="Arial" w:cs="Arial" w:eastAsia="Arial" w:hAnsi="Arial"/>
                <w:sz w:val="18"/>
                <w:szCs w:val="18"/>
                <w:color w:val="auto"/>
              </w:rPr>
              <w:t>Hispanic / Latinx</w:t>
            </w:r>
          </w:p>
        </w:tc>
        <w:tc>
          <w:tcPr>
            <w:tcW w:w="1460" w:type="dxa"/>
            <w:vAlign w:val="bottom"/>
            <w:tcBorders>
              <w:bottom w:val="single" w:sz="8" w:color="auto"/>
              <w:right w:val="single" w:sz="8" w:color="auto"/>
            </w:tcBorders>
            <w:shd w:val="clear" w:color="auto" w:fill="FCE4D6"/>
          </w:tcPr>
          <w:p>
            <w:pPr>
              <w:jc w:val="center"/>
              <w:ind w:right="30"/>
              <w:spacing w:after="0"/>
              <w:rPr>
                <w:sz w:val="20"/>
                <w:szCs w:val="20"/>
                <w:color w:val="auto"/>
              </w:rPr>
            </w:pPr>
            <w:r>
              <w:rPr>
                <w:rFonts w:ascii="Arial" w:cs="Arial" w:eastAsia="Arial" w:hAnsi="Arial"/>
                <w:sz w:val="18"/>
                <w:szCs w:val="18"/>
                <w:color w:val="auto"/>
              </w:rPr>
              <w:t>29.53%</w:t>
            </w:r>
          </w:p>
        </w:tc>
        <w:tc>
          <w:tcPr>
            <w:tcW w:w="1400" w:type="dxa"/>
            <w:vAlign w:val="bottom"/>
            <w:tcBorders>
              <w:bottom w:val="single" w:sz="8" w:color="auto"/>
              <w:right w:val="single" w:sz="8" w:color="auto"/>
            </w:tcBorders>
            <w:shd w:val="clear" w:color="auto" w:fill="FCE4D6"/>
          </w:tcPr>
          <w:p>
            <w:pPr>
              <w:jc w:val="center"/>
              <w:spacing w:after="0"/>
              <w:rPr>
                <w:sz w:val="20"/>
                <w:szCs w:val="20"/>
                <w:color w:val="auto"/>
              </w:rPr>
            </w:pPr>
            <w:r>
              <w:rPr>
                <w:rFonts w:ascii="Arial" w:cs="Arial" w:eastAsia="Arial" w:hAnsi="Arial"/>
                <w:sz w:val="18"/>
                <w:szCs w:val="18"/>
                <w:color w:val="auto"/>
              </w:rPr>
              <w:t>24.88%</w:t>
            </w:r>
          </w:p>
        </w:tc>
        <w:tc>
          <w:tcPr>
            <w:tcW w:w="1700" w:type="dxa"/>
            <w:vAlign w:val="bottom"/>
            <w:tcBorders>
              <w:bottom w:val="single" w:sz="8" w:color="auto"/>
              <w:right w:val="single" w:sz="8" w:color="auto"/>
            </w:tcBorders>
            <w:shd w:val="clear" w:color="auto" w:fill="FCE4D6"/>
          </w:tcPr>
          <w:p>
            <w:pPr>
              <w:jc w:val="center"/>
              <w:ind w:right="10"/>
              <w:spacing w:after="0"/>
              <w:rPr>
                <w:sz w:val="20"/>
                <w:szCs w:val="20"/>
                <w:color w:val="auto"/>
              </w:rPr>
            </w:pPr>
            <w:r>
              <w:rPr>
                <w:rFonts w:ascii="Arial" w:cs="Arial" w:eastAsia="Arial" w:hAnsi="Arial"/>
                <w:sz w:val="18"/>
                <w:szCs w:val="18"/>
                <w:color w:val="auto"/>
              </w:rPr>
              <w:t>(4.65)%</w:t>
            </w:r>
          </w:p>
        </w:tc>
      </w:tr>
      <w:tr>
        <w:trPr>
          <w:trHeight w:val="188"/>
        </w:trPr>
        <w:tc>
          <w:tcPr>
            <w:tcW w:w="2740" w:type="dxa"/>
            <w:vAlign w:val="bottom"/>
            <w:tcBorders>
              <w:left w:val="single" w:sz="8" w:color="auto"/>
              <w:right w:val="single" w:sz="8" w:color="auto"/>
            </w:tcBorders>
            <w:gridSpan w:val="5"/>
          </w:tcPr>
          <w:p>
            <w:pPr>
              <w:ind w:left="120"/>
              <w:spacing w:after="0" w:line="188" w:lineRule="exact"/>
              <w:rPr>
                <w:sz w:val="20"/>
                <w:szCs w:val="20"/>
                <w:color w:val="auto"/>
              </w:rPr>
            </w:pPr>
            <w:r>
              <w:rPr>
                <w:rFonts w:ascii="Arial" w:cs="Arial" w:eastAsia="Arial" w:hAnsi="Arial"/>
                <w:sz w:val="18"/>
                <w:szCs w:val="18"/>
                <w:color w:val="auto"/>
              </w:rPr>
              <w:t>Native Hawaiian / Pacific</w:t>
            </w:r>
          </w:p>
        </w:tc>
        <w:tc>
          <w:tcPr>
            <w:tcW w:w="1460" w:type="dxa"/>
            <w:vAlign w:val="bottom"/>
            <w:tcBorders>
              <w:right w:val="single" w:sz="8" w:color="auto"/>
            </w:tcBorders>
          </w:tcPr>
          <w:p>
            <w:pPr>
              <w:jc w:val="center"/>
              <w:ind w:right="30"/>
              <w:spacing w:after="0" w:line="188" w:lineRule="exact"/>
              <w:rPr>
                <w:sz w:val="20"/>
                <w:szCs w:val="20"/>
                <w:color w:val="auto"/>
              </w:rPr>
            </w:pPr>
            <w:r>
              <w:rPr>
                <w:rFonts w:ascii="Arial" w:cs="Arial" w:eastAsia="Arial" w:hAnsi="Arial"/>
                <w:sz w:val="18"/>
                <w:szCs w:val="18"/>
                <w:color w:val="auto"/>
                <w:w w:val="97"/>
              </w:rPr>
              <w:t>0.35%</w:t>
            </w:r>
          </w:p>
        </w:tc>
        <w:tc>
          <w:tcPr>
            <w:tcW w:w="140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7"/>
              </w:rPr>
              <w:t>0.18%</w:t>
            </w:r>
          </w:p>
        </w:tc>
        <w:tc>
          <w:tcPr>
            <w:tcW w:w="1700" w:type="dxa"/>
            <w:vAlign w:val="bottom"/>
            <w:tcBorders>
              <w:right w:val="single" w:sz="8" w:color="auto"/>
            </w:tcBorders>
          </w:tcPr>
          <w:p>
            <w:pPr>
              <w:jc w:val="center"/>
              <w:ind w:right="10"/>
              <w:spacing w:after="0" w:line="188" w:lineRule="exact"/>
              <w:rPr>
                <w:sz w:val="20"/>
                <w:szCs w:val="20"/>
                <w:color w:val="auto"/>
              </w:rPr>
            </w:pPr>
            <w:r>
              <w:rPr>
                <w:rFonts w:ascii="Arial" w:cs="Arial" w:eastAsia="Arial" w:hAnsi="Arial"/>
                <w:sz w:val="18"/>
                <w:szCs w:val="18"/>
                <w:color w:val="auto"/>
              </w:rPr>
              <w:t>(0.17)%</w:t>
            </w:r>
          </w:p>
        </w:tc>
      </w:tr>
      <w:tr>
        <w:trPr>
          <w:trHeight w:val="217"/>
        </w:trPr>
        <w:tc>
          <w:tcPr>
            <w:tcW w:w="27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Islander</w:t>
            </w:r>
          </w:p>
        </w:tc>
        <w:tc>
          <w:tcPr>
            <w:tcW w:w="146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182"/>
        </w:trPr>
        <w:tc>
          <w:tcPr>
            <w:tcW w:w="2740" w:type="dxa"/>
            <w:vAlign w:val="bottom"/>
            <w:tcBorders>
              <w:left w:val="single" w:sz="8" w:color="auto"/>
              <w:right w:val="single" w:sz="8" w:color="auto"/>
            </w:tcBorders>
            <w:gridSpan w:val="5"/>
          </w:tcPr>
          <w:p>
            <w:pPr>
              <w:ind w:left="120"/>
              <w:spacing w:after="0" w:line="182" w:lineRule="exact"/>
              <w:rPr>
                <w:sz w:val="20"/>
                <w:szCs w:val="20"/>
                <w:color w:val="auto"/>
              </w:rPr>
            </w:pPr>
            <w:r>
              <w:rPr>
                <w:rFonts w:ascii="Arial" w:cs="Arial" w:eastAsia="Arial" w:hAnsi="Arial"/>
                <w:sz w:val="18"/>
                <w:szCs w:val="18"/>
                <w:color w:val="auto"/>
              </w:rPr>
              <w:t>Two or More Races or</w:t>
            </w:r>
          </w:p>
        </w:tc>
        <w:tc>
          <w:tcPr>
            <w:tcW w:w="1460" w:type="dxa"/>
            <w:vAlign w:val="bottom"/>
            <w:tcBorders>
              <w:right w:val="single" w:sz="8" w:color="auto"/>
            </w:tcBorders>
          </w:tcPr>
          <w:p>
            <w:pPr>
              <w:jc w:val="center"/>
              <w:ind w:right="30"/>
              <w:spacing w:after="0" w:line="182" w:lineRule="exact"/>
              <w:rPr>
                <w:sz w:val="20"/>
                <w:szCs w:val="20"/>
                <w:color w:val="auto"/>
              </w:rPr>
            </w:pPr>
            <w:r>
              <w:rPr>
                <w:rFonts w:ascii="Arial" w:cs="Arial" w:eastAsia="Arial" w:hAnsi="Arial"/>
                <w:sz w:val="18"/>
                <w:szCs w:val="18"/>
                <w:color w:val="auto"/>
                <w:w w:val="97"/>
              </w:rPr>
              <w:t>2.54%</w:t>
            </w:r>
          </w:p>
        </w:tc>
        <w:tc>
          <w:tcPr>
            <w:tcW w:w="14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3.40%</w:t>
            </w:r>
          </w:p>
        </w:tc>
        <w:tc>
          <w:tcPr>
            <w:tcW w:w="1700" w:type="dxa"/>
            <w:vAlign w:val="bottom"/>
            <w:tcBorders>
              <w:right w:val="single" w:sz="8" w:color="auto"/>
            </w:tcBorders>
          </w:tcPr>
          <w:p>
            <w:pPr>
              <w:jc w:val="center"/>
              <w:ind w:right="10"/>
              <w:spacing w:after="0" w:line="182" w:lineRule="exact"/>
              <w:rPr>
                <w:sz w:val="20"/>
                <w:szCs w:val="20"/>
                <w:color w:val="auto"/>
              </w:rPr>
            </w:pPr>
            <w:r>
              <w:rPr>
                <w:rFonts w:ascii="Arial" w:cs="Arial" w:eastAsia="Arial" w:hAnsi="Arial"/>
                <w:sz w:val="18"/>
                <w:szCs w:val="18"/>
                <w:color w:val="auto"/>
              </w:rPr>
              <w:t>0.86%</w:t>
            </w:r>
          </w:p>
        </w:tc>
      </w:tr>
      <w:tr>
        <w:trPr>
          <w:trHeight w:val="217"/>
        </w:trPr>
        <w:tc>
          <w:tcPr>
            <w:tcW w:w="27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Ethnicities</w:t>
            </w:r>
          </w:p>
        </w:tc>
        <w:tc>
          <w:tcPr>
            <w:tcW w:w="146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17"/>
        </w:trPr>
        <w:tc>
          <w:tcPr>
            <w:tcW w:w="27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White</w:t>
            </w:r>
          </w:p>
        </w:tc>
        <w:tc>
          <w:tcPr>
            <w:tcW w:w="14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32.06%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32.83%</w:t>
            </w:r>
          </w:p>
        </w:tc>
        <w:tc>
          <w:tcPr>
            <w:tcW w:w="17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0.77%</w:t>
            </w:r>
          </w:p>
        </w:tc>
      </w:tr>
      <w:tr>
        <w:trPr>
          <w:trHeight w:val="223"/>
        </w:trPr>
        <w:tc>
          <w:tcPr>
            <w:tcW w:w="27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I do not wish to answer</w:t>
            </w:r>
          </w:p>
        </w:tc>
        <w:tc>
          <w:tcPr>
            <w:tcW w:w="14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7"/>
              </w:rPr>
              <w:t>2.19%</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2.91%</w:t>
            </w:r>
          </w:p>
        </w:tc>
        <w:tc>
          <w:tcPr>
            <w:tcW w:w="17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0.72%</w:t>
            </w:r>
          </w:p>
        </w:tc>
      </w:tr>
      <w:tr>
        <w:trPr>
          <w:trHeight w:val="223"/>
        </w:trPr>
        <w:tc>
          <w:tcPr>
            <w:tcW w:w="27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w:t>
            </w: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100.00%</w:t>
            </w:r>
          </w:p>
        </w:tc>
        <w:tc>
          <w:tcPr>
            <w:tcW w:w="1700" w:type="dxa"/>
            <w:vAlign w:val="bottom"/>
            <w:tcBorders>
              <w:bottom w:val="single" w:sz="8" w:color="auto"/>
              <w:right w:val="single" w:sz="8" w:color="auto"/>
            </w:tcBorders>
          </w:tcPr>
          <w:p>
            <w:pPr>
              <w:spacing w:after="0"/>
              <w:rPr>
                <w:sz w:val="19"/>
                <w:szCs w:val="19"/>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Health &amp; Safety</w:t>
      </w:r>
    </w:p>
    <w:p>
      <w:pPr>
        <w:spacing w:after="0" w:line="220" w:lineRule="exact"/>
        <w:rPr>
          <w:sz w:val="20"/>
          <w:szCs w:val="20"/>
          <w:color w:val="auto"/>
        </w:rPr>
      </w:pPr>
    </w:p>
    <w:p>
      <w:pPr>
        <w:ind w:right="220" w:firstLine="749"/>
        <w:spacing w:after="0"/>
        <w:rPr>
          <w:sz w:val="20"/>
          <w:szCs w:val="20"/>
          <w:color w:val="auto"/>
        </w:rPr>
      </w:pPr>
      <w:r>
        <w:rPr>
          <w:rFonts w:ascii="Arial" w:cs="Arial" w:eastAsia="Arial" w:hAnsi="Arial"/>
          <w:sz w:val="18"/>
          <w:szCs w:val="18"/>
          <w:color w:val="auto"/>
        </w:rPr>
        <w:t>Vroom takes a comprehensive approach to workplace health and safety. During 2021, we continued to focus significant efforts on preventing the spread of COVID-19, especially given the in-person nature of the work of many of Vroom’s employees, including our reconditioning, titling, and document support staff.</w:t>
      </w:r>
    </w:p>
    <w:p>
      <w:pPr>
        <w:spacing w:after="0" w:line="189" w:lineRule="exact"/>
        <w:rPr>
          <w:sz w:val="20"/>
          <w:szCs w:val="20"/>
          <w:color w:val="auto"/>
        </w:rPr>
      </w:pPr>
    </w:p>
    <w:p>
      <w:pPr>
        <w:ind w:right="80" w:firstLine="749"/>
        <w:spacing w:after="0" w:line="246" w:lineRule="auto"/>
        <w:rPr>
          <w:sz w:val="20"/>
          <w:szCs w:val="20"/>
          <w:color w:val="auto"/>
        </w:rPr>
      </w:pPr>
      <w:r>
        <w:rPr>
          <w:rFonts w:ascii="Arial" w:cs="Arial" w:eastAsia="Arial" w:hAnsi="Arial"/>
          <w:sz w:val="18"/>
          <w:szCs w:val="18"/>
          <w:color w:val="auto"/>
        </w:rPr>
        <w:t>In response to the COVID-19 disruptions, we implemented a number of measures to protect the health and safety of our workforce. These measures include restrictions on non-essential business travel, the institution of work-from-home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policies wherever feasible and the implementation of strategies for workplace safety at our facilities. We are following and require all of our on-site vendors to follow the guidance from public health officials and government agencies, including implementation of enhanced cleaning measures, social distancing guidelines, wearing of masks, eliminating non-essential vendor / guest visitation, and requiring temperature checks and health attestations prior to entering buildings. Seating, signage, and cleaning materials have been added to ensure adherence to best practices for employee health and safety during this pandemic. In addition, we have leased additional office space to ensure sufficient in-office capacity while providing adequate spacing of our employees. Where feasible, we operate on a rotating team schedule to reduce exposure and also require any diagnosed or exposed employees to self-isolate for up to two weeks. In response to the COVID-19 pandemic, a cross functional working group was formed to focus on COVID-related matters of space and remote work and continues to meet bi-weekly to ensure up-to-date safety protocols and efficient responses to new information.</w:t>
      </w:r>
    </w:p>
    <w:p>
      <w:pPr>
        <w:spacing w:after="0" w:line="193"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aim to create a working environment where our workforce is empowered and encouraged to make safety a priority. We integrate safety and risk management into our daily operations by focusing on robust training for all employees. With respect to our logistics teams, in 2021, we experienced significant growth and that pressure tested our focus on creating a safe working environment. We initiated our linehaul group during the year, purchasing new tractor trailer car haulers and hiring drivers with commercial driver's licenses, or CDL drivers. With more than 900,000 miles driven in 2021, our CDL drivers finished the year without a single incident reportable to the Department of Transportation. Our last mile group transported over 25,000 vehicles also without such reportable incidents. Adding nearly 100 new drivers in the year, we’re proud of our record of training and safety. As an organization, Vroom finished 2021 with an OSHA recordable rate of 1.60, which we consider a strong safety result.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&amp; Rewards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Compensation</w:t>
      </w:r>
    </w:p>
    <w:p>
      <w:pPr>
        <w:spacing w:after="0" w:line="198"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Our compensation philosophy is driven by the desire to attract and retain top talent, while ensuring that compensation aligns with our corporate and financial objectives and the long-term interests of our stockholders. We have developed a pay structure that offers a competitive total compensation package including base salary, bonus, equity, and other position-specific incentives. Annual bonus plans are tied to both company and individual performance factors.</w:t>
      </w:r>
    </w:p>
    <w:p>
      <w:pPr>
        <w:spacing w:after="0" w:line="191" w:lineRule="exact"/>
        <w:rPr>
          <w:sz w:val="20"/>
          <w:szCs w:val="20"/>
          <w:color w:val="auto"/>
        </w:rPr>
      </w:pPr>
    </w:p>
    <w:p>
      <w:pPr>
        <w:ind w:right="220" w:firstLine="644"/>
        <w:spacing w:after="0"/>
        <w:rPr>
          <w:sz w:val="20"/>
          <w:szCs w:val="20"/>
          <w:color w:val="auto"/>
        </w:rPr>
      </w:pPr>
      <w:r>
        <w:rPr>
          <w:rFonts w:ascii="Arial" w:cs="Arial" w:eastAsia="Arial" w:hAnsi="Arial"/>
          <w:sz w:val="18"/>
          <w:szCs w:val="18"/>
          <w:color w:val="auto"/>
        </w:rPr>
        <w:t>Our comprehensive benefit plans offer medical, dental and vision insurance and long and short-term disability, as well as flexible spending accounts and other voluntary coverage to all of our employees. We routinely benchmark our salaries and benefits against market peers to ensure our total rewards package remains competitive.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 &amp; Talent Development</w:t>
      </w:r>
    </w:p>
    <w:p>
      <w:pPr>
        <w:spacing w:after="0" w:line="220"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A key part of Vroom’s operating philosophy is ensuring that employees are learning and developing as well as providing input into Vroom’s daily operations. In addition to a standard engagement survey and formal feedback tool, Vroom has implemented a number of systems designed to improve feedback to and from employees. They are described below: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160" w:type="dxa"/>
            <w:vAlign w:val="bottom"/>
            <w:gridSpan w:val="3"/>
          </w:tcPr>
          <w:p>
            <w:pPr>
              <w:spacing w:after="0"/>
              <w:rPr>
                <w:rFonts w:ascii="Arial" w:cs="Arial" w:eastAsia="Arial" w:hAnsi="Arial"/>
                <w:sz w:val="14"/>
                <w:szCs w:val="14"/>
                <w:color w:val="0563C1"/>
              </w:rPr>
            </w:pPr>
            <w:hyperlink w:anchor="page2">
              <w:r>
                <w:rPr>
                  <w:rFonts w:ascii="Arial" w:cs="Arial" w:eastAsia="Arial" w:hAnsi="Arial"/>
                  <w:sz w:val="14"/>
                  <w:szCs w:val="14"/>
                  <w:color w:val="0563C1"/>
                </w:rPr>
                <w:t>Table of Contents</w:t>
              </w:r>
            </w:hyperlink>
          </w:p>
        </w:tc>
        <w:tc>
          <w:tcPr>
            <w:tcW w:w="6640" w:type="dxa"/>
            <w:vAlign w:val="bottom"/>
          </w:tcPr>
          <w:p>
            <w:pPr>
              <w:spacing w:after="0"/>
              <w:rPr>
                <w:sz w:val="14"/>
                <w:szCs w:val="14"/>
                <w:color w:val="auto"/>
              </w:rPr>
            </w:pPr>
          </w:p>
        </w:tc>
      </w:tr>
      <w:tr>
        <w:trPr>
          <w:trHeight w:val="152"/>
        </w:trPr>
        <w:tc>
          <w:tcPr>
            <w:tcW w:w="480" w:type="dxa"/>
            <w:vAlign w:val="bottom"/>
            <w:tcBorders>
              <w:top w:val="single" w:sz="8" w:color="0563C1"/>
            </w:tcBorders>
          </w:tcPr>
          <w:p>
            <w:pPr>
              <w:spacing w:after="0"/>
              <w:rPr>
                <w:sz w:val="13"/>
                <w:szCs w:val="13"/>
                <w:color w:val="auto"/>
              </w:rPr>
            </w:pPr>
          </w:p>
        </w:tc>
        <w:tc>
          <w:tcPr>
            <w:tcW w:w="640" w:type="dxa"/>
            <w:vAlign w:val="bottom"/>
            <w:tcBorders>
              <w:top w:val="single" w:sz="8" w:color="0563C1"/>
              <w:bottom w:val="single" w:sz="8" w:color="auto"/>
            </w:tcBorders>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tcPr>
          <w:p>
            <w:pPr>
              <w:spacing w:after="0"/>
              <w:rPr>
                <w:sz w:val="13"/>
                <w:szCs w:val="13"/>
                <w:color w:val="auto"/>
              </w:rPr>
            </w:pPr>
          </w:p>
        </w:tc>
      </w:tr>
      <w:tr>
        <w:trPr>
          <w:trHeight w:val="280"/>
        </w:trPr>
        <w:tc>
          <w:tcPr>
            <w:tcW w:w="480" w:type="dxa"/>
            <w:vAlign w:val="bottom"/>
            <w:tcBorders>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System / Tool</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 / Purpose</w:t>
            </w:r>
          </w:p>
        </w:tc>
      </w:tr>
      <w:tr>
        <w:trPr>
          <w:trHeight w:val="199"/>
        </w:trPr>
        <w:tc>
          <w:tcPr>
            <w:tcW w:w="48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6640" w:type="dxa"/>
            <w:vAlign w:val="bottom"/>
            <w:tcBorders>
              <w:bottom w:val="single" w:sz="8" w:color="auto"/>
              <w:right w:val="single" w:sz="8" w:color="auto"/>
            </w:tcBorders>
          </w:tcPr>
          <w:p>
            <w:pPr>
              <w:spacing w:after="0"/>
              <w:rPr>
                <w:sz w:val="17"/>
                <w:szCs w:val="17"/>
                <w:color w:val="auto"/>
              </w:rPr>
            </w:pPr>
          </w:p>
        </w:tc>
      </w:tr>
      <w:tr>
        <w:trPr>
          <w:trHeight w:val="239"/>
        </w:trPr>
        <w:tc>
          <w:tcPr>
            <w:tcW w:w="48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Pit Crew Meetings</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Frequent small group meetings between employees and a senior leader in the</w:t>
            </w:r>
          </w:p>
        </w:tc>
      </w:tr>
      <w:tr>
        <w:trPr>
          <w:trHeight w:val="175"/>
        </w:trPr>
        <w:tc>
          <w:tcPr>
            <w:tcW w:w="48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tcBorders>
              <w:right w:val="single" w:sz="8" w:color="auto"/>
            </w:tcBorders>
          </w:tcPr>
          <w:p>
            <w:pPr>
              <w:spacing w:after="0"/>
              <w:rPr>
                <w:sz w:val="15"/>
                <w:szCs w:val="15"/>
                <w:color w:val="auto"/>
              </w:rPr>
            </w:pPr>
          </w:p>
        </w:tc>
        <w:tc>
          <w:tcPr>
            <w:tcW w:w="664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organization to share business updates and surface ideas for improvements in</w:t>
            </w:r>
          </w:p>
        </w:tc>
      </w:tr>
      <w:tr>
        <w:trPr>
          <w:trHeight w:val="217"/>
        </w:trPr>
        <w:tc>
          <w:tcPr>
            <w:tcW w:w="4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business and employee experience.</w:t>
            </w:r>
          </w:p>
        </w:tc>
      </w:tr>
      <w:tr>
        <w:trPr>
          <w:trHeight w:val="202"/>
        </w:trPr>
        <w:tc>
          <w:tcPr>
            <w:tcW w:w="48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6640" w:type="dxa"/>
            <w:vAlign w:val="bottom"/>
            <w:tcBorders>
              <w:bottom w:val="single" w:sz="8" w:color="auto"/>
              <w:right w:val="single" w:sz="8" w:color="auto"/>
            </w:tcBorders>
          </w:tcPr>
          <w:p>
            <w:pPr>
              <w:spacing w:after="0"/>
              <w:rPr>
                <w:sz w:val="17"/>
                <w:szCs w:val="17"/>
                <w:color w:val="auto"/>
              </w:rPr>
            </w:pPr>
          </w:p>
        </w:tc>
      </w:tr>
      <w:tr>
        <w:trPr>
          <w:trHeight w:val="236"/>
        </w:trPr>
        <w:tc>
          <w:tcPr>
            <w:tcW w:w="48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Town Hall Style Meetings with Chief</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Quarterly town-hall style meetings where business results are shared and</w:t>
            </w:r>
          </w:p>
        </w:tc>
      </w:tr>
      <w:tr>
        <w:trPr>
          <w:trHeight w:val="176"/>
        </w:trPr>
        <w:tc>
          <w:tcPr>
            <w:tcW w:w="48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gridSpan w:val="2"/>
          </w:tcPr>
          <w:p>
            <w:pPr>
              <w:ind w:left="80"/>
              <w:spacing w:after="0" w:line="176" w:lineRule="exact"/>
              <w:rPr>
                <w:sz w:val="20"/>
                <w:szCs w:val="20"/>
                <w:color w:val="auto"/>
              </w:rPr>
            </w:pPr>
            <w:r>
              <w:rPr>
                <w:rFonts w:ascii="Arial" w:cs="Arial" w:eastAsia="Arial" w:hAnsi="Arial"/>
                <w:sz w:val="18"/>
                <w:szCs w:val="18"/>
                <w:color w:val="auto"/>
              </w:rPr>
              <w:t>Executive Officer</w:t>
            </w:r>
          </w:p>
        </w:tc>
        <w:tc>
          <w:tcPr>
            <w:tcW w:w="664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employees submit questions to the Chief Executive Officer and Senior</w:t>
            </w:r>
          </w:p>
        </w:tc>
      </w:tr>
      <w:tr>
        <w:trPr>
          <w:trHeight w:val="217"/>
        </w:trPr>
        <w:tc>
          <w:tcPr>
            <w:tcW w:w="4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Leadership Team regarding a wide range of topics.</w:t>
            </w:r>
          </w:p>
        </w:tc>
      </w:tr>
      <w:tr>
        <w:trPr>
          <w:trHeight w:val="203"/>
        </w:trPr>
        <w:tc>
          <w:tcPr>
            <w:tcW w:w="48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6640" w:type="dxa"/>
            <w:vAlign w:val="bottom"/>
            <w:tcBorders>
              <w:bottom w:val="single" w:sz="8" w:color="auto"/>
              <w:right w:val="single" w:sz="8" w:color="auto"/>
            </w:tcBorders>
          </w:tcPr>
          <w:p>
            <w:pPr>
              <w:spacing w:after="0"/>
              <w:rPr>
                <w:sz w:val="17"/>
                <w:szCs w:val="17"/>
                <w:color w:val="auto"/>
              </w:rPr>
            </w:pPr>
          </w:p>
        </w:tc>
      </w:tr>
      <w:tr>
        <w:trPr>
          <w:trHeight w:val="236"/>
        </w:trPr>
        <w:tc>
          <w:tcPr>
            <w:tcW w:w="48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Check Engine System</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 anonymous forum for uncovering problems or challenges in the business that</w:t>
            </w:r>
          </w:p>
        </w:tc>
      </w:tr>
      <w:tr>
        <w:trPr>
          <w:trHeight w:val="217"/>
        </w:trPr>
        <w:tc>
          <w:tcPr>
            <w:tcW w:w="4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then addressed by appropriate parties.</w:t>
            </w:r>
          </w:p>
        </w:tc>
      </w:tr>
      <w:tr>
        <w:trPr>
          <w:trHeight w:val="203"/>
        </w:trPr>
        <w:tc>
          <w:tcPr>
            <w:tcW w:w="48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6640" w:type="dxa"/>
            <w:vAlign w:val="bottom"/>
            <w:tcBorders>
              <w:bottom w:val="single" w:sz="8" w:color="auto"/>
              <w:right w:val="single" w:sz="8" w:color="auto"/>
            </w:tcBorders>
          </w:tcPr>
          <w:p>
            <w:pPr>
              <w:spacing w:after="0"/>
              <w:rPr>
                <w:sz w:val="17"/>
                <w:szCs w:val="17"/>
                <w:color w:val="auto"/>
              </w:rPr>
            </w:pPr>
          </w:p>
        </w:tc>
      </w:tr>
      <w:tr>
        <w:trPr>
          <w:trHeight w:val="236"/>
        </w:trPr>
        <w:tc>
          <w:tcPr>
            <w:tcW w:w="48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Pit Crew Feedback</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 always-on, multi-rater feedback tool that allows managers to collect feedback</w:t>
            </w:r>
          </w:p>
        </w:tc>
      </w:tr>
      <w:tr>
        <w:trPr>
          <w:trHeight w:val="217"/>
        </w:trPr>
        <w:tc>
          <w:tcPr>
            <w:tcW w:w="4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from their employee’s key stakeholders at the times when it’s most pertinent.</w:t>
            </w:r>
          </w:p>
        </w:tc>
      </w:tr>
      <w:tr>
        <w:trPr>
          <w:trHeight w:val="203"/>
        </w:trPr>
        <w:tc>
          <w:tcPr>
            <w:tcW w:w="48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6640" w:type="dxa"/>
            <w:vAlign w:val="bottom"/>
            <w:tcBorders>
              <w:bottom w:val="single" w:sz="8" w:color="auto"/>
              <w:right w:val="single" w:sz="8" w:color="auto"/>
            </w:tcBorders>
          </w:tcPr>
          <w:p>
            <w:pPr>
              <w:spacing w:after="0"/>
              <w:rPr>
                <w:sz w:val="17"/>
                <w:szCs w:val="17"/>
                <w:color w:val="auto"/>
              </w:rPr>
            </w:pPr>
          </w:p>
        </w:tc>
      </w:tr>
      <w:tr>
        <w:trPr>
          <w:trHeight w:val="236"/>
        </w:trPr>
        <w:tc>
          <w:tcPr>
            <w:tcW w:w="48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PaceSetter Awards</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Quarterly awards that highlight employees in the business who exemplify</w:t>
            </w:r>
          </w:p>
        </w:tc>
      </w:tr>
      <w:tr>
        <w:trPr>
          <w:trHeight w:val="175"/>
        </w:trPr>
        <w:tc>
          <w:tcPr>
            <w:tcW w:w="48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tcBorders>
              <w:right w:val="single" w:sz="8" w:color="auto"/>
            </w:tcBorders>
          </w:tcPr>
          <w:p>
            <w:pPr>
              <w:spacing w:after="0"/>
              <w:rPr>
                <w:sz w:val="15"/>
                <w:szCs w:val="15"/>
                <w:color w:val="auto"/>
              </w:rPr>
            </w:pPr>
          </w:p>
        </w:tc>
        <w:tc>
          <w:tcPr>
            <w:tcW w:w="664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Vroom’s values. These awards show appreciation while also setting an example</w:t>
            </w:r>
          </w:p>
        </w:tc>
      </w:tr>
      <w:tr>
        <w:trPr>
          <w:trHeight w:val="217"/>
        </w:trPr>
        <w:tc>
          <w:tcPr>
            <w:tcW w:w="4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for employee interactions.</w:t>
            </w:r>
          </w:p>
        </w:tc>
      </w:tr>
      <w:tr>
        <w:trPr>
          <w:trHeight w:val="203"/>
        </w:trPr>
        <w:tc>
          <w:tcPr>
            <w:tcW w:w="48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6640" w:type="dxa"/>
            <w:vAlign w:val="bottom"/>
            <w:tcBorders>
              <w:bottom w:val="single" w:sz="8" w:color="auto"/>
              <w:right w:val="single" w:sz="8" w:color="auto"/>
            </w:tcBorders>
          </w:tcPr>
          <w:p>
            <w:pPr>
              <w:spacing w:after="0"/>
              <w:rPr>
                <w:sz w:val="17"/>
                <w:szCs w:val="17"/>
                <w:color w:val="auto"/>
              </w:rPr>
            </w:pPr>
          </w:p>
        </w:tc>
      </w:tr>
      <w:tr>
        <w:trPr>
          <w:trHeight w:val="236"/>
        </w:trPr>
        <w:tc>
          <w:tcPr>
            <w:tcW w:w="48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Mission, Vision, Values</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Chief Executive Officer and Chief People and Culture Officer meet with all</w:t>
            </w:r>
          </w:p>
        </w:tc>
      </w:tr>
      <w:tr>
        <w:trPr>
          <w:trHeight w:val="176"/>
        </w:trPr>
        <w:tc>
          <w:tcPr>
            <w:tcW w:w="48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tcBorders>
              <w:right w:val="single" w:sz="8" w:color="auto"/>
            </w:tcBorders>
          </w:tcPr>
          <w:p>
            <w:pPr>
              <w:spacing w:after="0"/>
              <w:rPr>
                <w:sz w:val="15"/>
                <w:szCs w:val="15"/>
                <w:color w:val="auto"/>
              </w:rPr>
            </w:pPr>
          </w:p>
        </w:tc>
        <w:tc>
          <w:tcPr>
            <w:tcW w:w="664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new hires in interactive sessions to discuss Vroom’s Mission, Vision, and Values</w:t>
            </w:r>
          </w:p>
        </w:tc>
      </w:tr>
      <w:tr>
        <w:trPr>
          <w:trHeight w:val="217"/>
        </w:trPr>
        <w:tc>
          <w:tcPr>
            <w:tcW w:w="4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detail.</w:t>
            </w:r>
          </w:p>
        </w:tc>
      </w:tr>
      <w:tr>
        <w:trPr>
          <w:trHeight w:val="203"/>
        </w:trPr>
        <w:tc>
          <w:tcPr>
            <w:tcW w:w="48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664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Company offers a number of developmental programs in addition to standard training on compliance-oriented topics. Offerings include content on managing bias, providing effective feedback, utilizing compensation tools, and thoughtful self-evaluation. We look forward to providing even more growth opportunities for the team in 2022.</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20"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seek to protect our intellectual property rights, including our intellectual property rights in our technology, through trademark, trade secret and copyright law, as well as confidentiality agreements, procedures and other contractual commitments and other legal rights. We generally enter into confidentiality agreements and invention assignment agreements with our employees and consultants to control access to, and clarify ownership of, our proprietary information.</w:t>
      </w:r>
    </w:p>
    <w:p>
      <w:pPr>
        <w:spacing w:after="0" w:line="189" w:lineRule="exact"/>
        <w:rPr>
          <w:sz w:val="20"/>
          <w:szCs w:val="20"/>
          <w:color w:val="auto"/>
        </w:rPr>
      </w:pPr>
    </w:p>
    <w:p>
      <w:pPr>
        <w:ind w:right="180" w:firstLine="636"/>
        <w:spacing w:after="0" w:line="216" w:lineRule="auto"/>
        <w:rPr>
          <w:sz w:val="20"/>
          <w:szCs w:val="20"/>
          <w:color w:val="auto"/>
        </w:rPr>
      </w:pPr>
      <w:r>
        <w:rPr>
          <w:rFonts w:ascii="Arial" w:cs="Arial" w:eastAsia="Arial" w:hAnsi="Arial"/>
          <w:sz w:val="18"/>
          <w:szCs w:val="18"/>
          <w:color w:val="auto"/>
        </w:rPr>
        <w:t>As of the date of this Annual Report on Form 10-K, we do not own any U.S. or foreign patents and do not have any U.S. or foreign patent applications pending, except for certain U.S. patents and pending U.S. patent applications we acquired as part of the CarStory acquisition. We own 13 registrations for our trademarks in the United States, including Vroom®, V &amp; Design®, Vroom Get In®, TDA®, DealerLane®, Texas Direct®, Flag and Highway Logo and Sell Us Your Car®; and we hold registered trademarks in Colombia, Chile, the European Union, the United Kingdom, Singapore, Mexico, Canada and Peru for the Vroom</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trademark and have a number of pending applications to register the Vroom</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trademark in other foreign jurisdictions. We continually review our branding strategies and technology development efforts to assess the existence, registrability, and patentability of new intellectual property.</w:t>
      </w:r>
    </w:p>
    <w:p>
      <w:pPr>
        <w:spacing w:after="0" w:line="192" w:lineRule="exact"/>
        <w:rPr>
          <w:sz w:val="20"/>
          <w:szCs w:val="20"/>
          <w:color w:val="auto"/>
        </w:rPr>
      </w:pPr>
    </w:p>
    <w:p>
      <w:pPr>
        <w:ind w:right="120" w:firstLine="644"/>
        <w:spacing w:after="0" w:line="225" w:lineRule="auto"/>
        <w:rPr>
          <w:sz w:val="20"/>
          <w:szCs w:val="20"/>
          <w:color w:val="auto"/>
        </w:rPr>
      </w:pPr>
      <w:r>
        <w:rPr>
          <w:rFonts w:ascii="Arial" w:cs="Arial" w:eastAsia="Arial" w:hAnsi="Arial"/>
          <w:sz w:val="18"/>
          <w:szCs w:val="18"/>
          <w:color w:val="auto"/>
        </w:rPr>
        <w:t>As part of the CarStory acquisition, we acquired 19 U.S. patents and ten pending U.S. patent applications. In addition, we acquired ten trademark registrations and two applications for trademark registration in the United States, Canada, and Europe, including for VAST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CARSTORY</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98" w:lineRule="exact"/>
        <w:rPr>
          <w:sz w:val="20"/>
          <w:szCs w:val="20"/>
          <w:color w:val="auto"/>
        </w:rPr>
      </w:pPr>
    </w:p>
    <w:p>
      <w:pPr>
        <w:ind w:right="140" w:firstLine="644"/>
        <w:spacing w:after="0" w:line="246"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or misappropriated. Further, the laws of certain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0" w:name="page21"/>
    <w:bookmarkEnd w:id="2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countries do not protect proprietary rights to the same extent as the laws of the United States, and, therefore, in certain jurisdictions, we may be unable to protect our proprietary technology, brands, or other intellectual property.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22222"/>
        </w:rPr>
        <w:t>Government Regulation</w:t>
      </w:r>
    </w:p>
    <w:p>
      <w:pPr>
        <w:spacing w:after="0" w:line="220"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222222"/>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the U.S. Department of Transportation, the U.S. Occupational Health and Safety Administration, the U.S. Department of Justice and the U.S. Federal Communications Commission. Additionally, we are subject to regulation by individual state dealer licensing authorities, state consumer protection agencies and state financial regulatory agencies. From time to time, we have been subject to audits, requests for information, investigations and other inquiries from our regulators related to customer complaints. As we have encountered operational challenges in keeping up with our rapid growth, during the past six months there has been an increase in customer complaints, leading to an increase in such regulatory inquiries. We endeavor to promptly respond to any such inquiries and cooperate with our regulators.</w:t>
      </w:r>
    </w:p>
    <w:p>
      <w:pPr>
        <w:spacing w:after="0" w:line="189"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222222"/>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States of Texas, Florida and Arizona and all of our vehicle transactions are conducted under our Texas, Florida and Arizona licenses. We believe that our activities in other states are not subject to such states’ vehicle dealer licensing laws; however, regulators in such states could seek to require us to maintain a used vehicle dealer license in order to engage in activities in that state. In addition, we intend to obtain a used vehicle dealer license in certain additional states to maximize operational flexibility and efficiency, enhance our customer experience and invest in relationships with state regulators.</w:t>
      </w:r>
    </w:p>
    <w:p>
      <w:pPr>
        <w:spacing w:after="0" w:line="194"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222222"/>
        </w:rPr>
        <w:t>Most states regulate retail installment sales, including setting a maximum interest rate and caps on certain fees or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and we have obtained a retail installment seller license in Florida in connection with our Florida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recently obtained a Pennsylvania installment seller license and expect to resume offering financing to Pennsylvania customers in the future. In addition, we may elect to obtain sales finance or installment seller licenses in certain other states in which our customers reside in order to maximize operational flexibility and efficiency, enhance our customer experience and invest in relationships with state regulators. For example, in January 2021, Vroom filed a consumer credit notice in Indiana to allow greater flexibility to market to Indiana consumers.</w:t>
      </w:r>
    </w:p>
    <w:p>
      <w:pPr>
        <w:spacing w:after="0" w:line="190" w:lineRule="exact"/>
        <w:rPr>
          <w:sz w:val="20"/>
          <w:szCs w:val="20"/>
          <w:color w:val="auto"/>
        </w:rPr>
      </w:pPr>
    </w:p>
    <w:p>
      <w:pPr>
        <w:ind w:right="120" w:firstLine="636"/>
        <w:spacing w:after="0" w:line="246" w:lineRule="auto"/>
        <w:rPr>
          <w:sz w:val="20"/>
          <w:szCs w:val="20"/>
          <w:color w:val="auto"/>
        </w:rPr>
      </w:pPr>
      <w:r>
        <w:rPr>
          <w:rFonts w:ascii="Arial" w:cs="Arial" w:eastAsia="Arial" w:hAnsi="Arial"/>
          <w:sz w:val="18"/>
          <w:szCs w:val="18"/>
          <w:color w:val="222222"/>
        </w:rPr>
        <w:t>In addition, the ongoing expansion of our proprietary logistics operations exposes us to greater regulation from the U.S. Department of Transportation and state transportation regulators.</w:t>
      </w:r>
    </w:p>
    <w:p>
      <w:pPr>
        <w:spacing w:after="0" w:line="183"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222222"/>
        </w:rPr>
        <w:t xml:space="preserve">UACC's financing operations are subject to U.S. federal, state, and local laws and regulations regarding origination, acquiring motor vehicle installment sales contracts from retail sellers, credit bureau reporting, servicing, debt collection practices, and securitization transactions. Certain states require UACC to have a sales finance license, consumer credit license, or similar applicable license. </w:t>
      </w:r>
      <w:r>
        <w:rPr>
          <w:rFonts w:ascii="Arial" w:cs="Arial" w:eastAsia="Arial" w:hAnsi="Arial"/>
          <w:sz w:val="18"/>
          <w:szCs w:val="18"/>
          <w:color w:val="000000"/>
        </w:rPr>
        <w:t>UACC has</w:t>
      </w:r>
      <w:r>
        <w:rPr>
          <w:rFonts w:ascii="Arial" w:cs="Arial" w:eastAsia="Arial" w:hAnsi="Arial"/>
          <w:sz w:val="18"/>
          <w:szCs w:val="18"/>
          <w:color w:val="222222"/>
        </w:rPr>
        <w:t xml:space="preserve"> </w:t>
      </w:r>
      <w:r>
        <w:rPr>
          <w:rFonts w:ascii="Arial" w:cs="Arial" w:eastAsia="Arial" w:hAnsi="Arial"/>
          <w:sz w:val="18"/>
          <w:szCs w:val="18"/>
          <w:color w:val="000000"/>
        </w:rPr>
        <w:t xml:space="preserve">obtained licenses in all states as required. </w:t>
      </w:r>
      <w:r>
        <w:rPr>
          <w:rFonts w:ascii="Arial" w:cs="Arial" w:eastAsia="Arial" w:hAnsi="Arial"/>
          <w:sz w:val="18"/>
          <w:szCs w:val="18"/>
          <w:color w:val="222222"/>
        </w:rPr>
        <w:t>In addition, UACC is subject to enforcement by the Consumer Financial Protection Bureau</w:t>
      </w:r>
      <w:r>
        <w:rPr>
          <w:rFonts w:ascii="Arial" w:cs="Arial" w:eastAsia="Arial" w:hAnsi="Arial"/>
          <w:sz w:val="18"/>
          <w:szCs w:val="18"/>
          <w:color w:val="000000"/>
        </w:rPr>
        <w:t xml:space="preserve"> </w:t>
      </w:r>
      <w:r>
        <w:rPr>
          <w:rFonts w:ascii="Arial" w:cs="Arial" w:eastAsia="Arial" w:hAnsi="Arial"/>
          <w:sz w:val="18"/>
          <w:szCs w:val="18"/>
          <w:color w:val="222222"/>
        </w:rPr>
        <w:t>(“CFPB”) and state consumer protection agencies, including state attorney general offices and state financial regulatory agencies.</w:t>
      </w:r>
    </w:p>
    <w:p>
      <w:pPr>
        <w:spacing w:after="0" w:line="189" w:lineRule="exact"/>
        <w:rPr>
          <w:sz w:val="20"/>
          <w:szCs w:val="20"/>
          <w:color w:val="auto"/>
        </w:rPr>
      </w:pPr>
    </w:p>
    <w:p>
      <w:pPr>
        <w:ind w:right="20" w:firstLine="636"/>
        <w:spacing w:after="0" w:line="261" w:lineRule="auto"/>
        <w:rPr>
          <w:sz w:val="20"/>
          <w:szCs w:val="20"/>
          <w:color w:val="auto"/>
        </w:rPr>
      </w:pPr>
      <w:r>
        <w:rPr>
          <w:rFonts w:ascii="Arial" w:cs="Arial" w:eastAsia="Arial" w:hAnsi="Arial"/>
          <w:sz w:val="17"/>
          <w:szCs w:val="17"/>
          <w:color w:val="222222"/>
        </w:rPr>
        <w:t>We are not operating in the Commonwealth of Massachusetts due to its prohibition on the use of temporary tags, which we typically provide to our customers upon delivery. Although for a portion of 2021, Vroom tested a solution to sell vehicles in Massachusetts and provide customers with vehicle registration and permanent tags upon delivery, we determined that it was not currently practical for us to continue.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1" w:name="page22"/>
    <w:bookmarkEnd w:id="2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ind w:right="100" w:firstLine="644"/>
        <w:spacing w:after="0" w:line="237" w:lineRule="auto"/>
        <w:rPr>
          <w:sz w:val="20"/>
          <w:szCs w:val="20"/>
          <w:color w:val="auto"/>
        </w:rPr>
      </w:pPr>
      <w:r>
        <w:rPr>
          <w:rFonts w:ascii="Arial" w:cs="Arial" w:eastAsia="Arial" w:hAnsi="Arial"/>
          <w:sz w:val="18"/>
          <w:szCs w:val="18"/>
          <w:color w:val="222222"/>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information-reporting requirements, unencumbered internet access to our platform, the design and operation of websites and internet neutrality. We also are subject to laws and regulations affecting public companies, including securities laws and Nasdaq rules.</w:t>
      </w:r>
    </w:p>
    <w:p>
      <w:pPr>
        <w:spacing w:after="0" w:line="191" w:lineRule="exact"/>
        <w:rPr>
          <w:sz w:val="20"/>
          <w:szCs w:val="20"/>
          <w:color w:val="auto"/>
        </w:rPr>
      </w:pPr>
    </w:p>
    <w:p>
      <w:pPr>
        <w:ind w:right="40" w:firstLine="644"/>
        <w:spacing w:after="0" w:line="246" w:lineRule="auto"/>
        <w:rPr>
          <w:sz w:val="20"/>
          <w:szCs w:val="20"/>
          <w:color w:val="auto"/>
        </w:rPr>
      </w:pPr>
      <w:r>
        <w:rPr>
          <w:rFonts w:ascii="Arial" w:cs="Arial" w:eastAsia="Arial" w:hAnsi="Arial"/>
          <w:sz w:val="18"/>
          <w:szCs w:val="18"/>
          <w:color w:val="222222"/>
        </w:rPr>
        <w:t>Additionally, we are subject to Federal, State and local laws and regulations, and other government actions, related to the COVID-19 pandemic.</w:t>
      </w:r>
    </w:p>
    <w:p>
      <w:pPr>
        <w:spacing w:after="0" w:line="183" w:lineRule="exact"/>
        <w:rPr>
          <w:sz w:val="20"/>
          <w:szCs w:val="20"/>
          <w:color w:val="auto"/>
        </w:rPr>
      </w:pPr>
    </w:p>
    <w:p>
      <w:pPr>
        <w:ind w:firstLine="644"/>
        <w:spacing w:after="0" w:line="235" w:lineRule="auto"/>
        <w:rPr>
          <w:sz w:val="20"/>
          <w:szCs w:val="20"/>
          <w:color w:val="auto"/>
        </w:rPr>
      </w:pPr>
      <w:r>
        <w:rPr>
          <w:rFonts w:ascii="Arial" w:cs="Arial" w:eastAsia="Arial" w:hAnsi="Arial"/>
          <w:sz w:val="18"/>
          <w:szCs w:val="18"/>
          <w:color w:val="222222"/>
        </w:rPr>
        <w:t>For a discussion of the various risks we face from regulation and compliance matters, see “Risk Factors—Risks Related to Laws and Regulations—Failure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“—We operate in a highly regulated industry and are subject to a wide range of federal, state and local laws and regulations. Failure to comply with these laws and regulations could have a material adverse effect on our business, financial condition and results of operations”; “—</w:t>
      </w:r>
      <w:r>
        <w:rPr>
          <w:rFonts w:ascii="Arial" w:cs="Arial" w:eastAsia="Arial" w:hAnsi="Arial"/>
          <w:sz w:val="18"/>
          <w:szCs w:val="18"/>
          <w:color w:val="000000"/>
        </w:rPr>
        <w:t>If we fail to comply with the Telephone Consumer Protection Act, we may face</w:t>
      </w:r>
      <w:r>
        <w:rPr>
          <w:rFonts w:ascii="Arial" w:cs="Arial" w:eastAsia="Arial" w:hAnsi="Arial"/>
          <w:sz w:val="18"/>
          <w:szCs w:val="18"/>
          <w:color w:val="222222"/>
        </w:rPr>
        <w:t xml:space="preserve"> </w:t>
      </w:r>
      <w:r>
        <w:rPr>
          <w:rFonts w:ascii="Arial" w:cs="Arial" w:eastAsia="Arial" w:hAnsi="Arial"/>
          <w:sz w:val="18"/>
          <w:szCs w:val="18"/>
          <w:color w:val="000000"/>
        </w:rPr>
        <w:t>significant damages, which could harm our business, financial condition and results of operations</w:t>
      </w:r>
      <w:r>
        <w:rPr>
          <w:rFonts w:ascii="Arial" w:cs="Arial" w:eastAsia="Arial" w:hAnsi="Arial"/>
          <w:sz w:val="18"/>
          <w:szCs w:val="18"/>
          <w:color w:val="222222"/>
        </w:rPr>
        <w:t>”; “—Government regulation of the internet</w:t>
      </w:r>
      <w:r>
        <w:rPr>
          <w:rFonts w:ascii="Arial" w:cs="Arial" w:eastAsia="Arial" w:hAnsi="Arial"/>
          <w:sz w:val="18"/>
          <w:szCs w:val="18"/>
          <w:color w:val="000000"/>
        </w:rPr>
        <w:t xml:space="preserve"> </w:t>
      </w:r>
      <w:r>
        <w:rPr>
          <w:rFonts w:ascii="Arial" w:cs="Arial" w:eastAsia="Arial" w:hAnsi="Arial"/>
          <w:sz w:val="18"/>
          <w:szCs w:val="18"/>
          <w:color w:val="222222"/>
        </w:rPr>
        <w:t>and ecommerce is evolving, and unfavorable changes or failure by us to comply with these regulations could substantially harm our business, financial condition and results of operations”; “Risk Factors—Risks Related to Our Use of Data and Technology—We are subject to risks related to online payment methods”; “Risk Factors—Risks Related to Our Growth and Strategy—</w:t>
      </w:r>
      <w:r>
        <w:rPr>
          <w:rFonts w:ascii="Arial" w:cs="Arial" w:eastAsia="Arial" w:hAnsi="Arial"/>
          <w:sz w:val="18"/>
          <w:szCs w:val="18"/>
          <w:color w:val="000000"/>
        </w:rPr>
        <w:t>We are expanding our proprietary</w:t>
      </w:r>
      <w:r>
        <w:rPr>
          <w:rFonts w:ascii="Arial" w:cs="Arial" w:eastAsia="Arial" w:hAnsi="Arial"/>
          <w:sz w:val="18"/>
          <w:szCs w:val="18"/>
          <w:color w:val="222222"/>
        </w:rPr>
        <w:t xml:space="preserve"> </w:t>
      </w:r>
      <w:r>
        <w:rPr>
          <w:rFonts w:ascii="Arial" w:cs="Arial" w:eastAsia="Arial" w:hAnsi="Arial"/>
          <w:sz w:val="18"/>
          <w:szCs w:val="18"/>
          <w:color w:val="000000"/>
        </w:rPr>
        <w:t>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r>
        <w:rPr>
          <w:rFonts w:ascii="Arial" w:cs="Arial" w:eastAsia="Arial" w:hAnsi="Arial"/>
          <w:sz w:val="18"/>
          <w:szCs w:val="18"/>
          <w:color w:val="222222"/>
        </w:rPr>
        <w:t>” and “Risk</w:t>
      </w:r>
      <w:r>
        <w:rPr>
          <w:rFonts w:ascii="Arial" w:cs="Arial" w:eastAsia="Arial" w:hAnsi="Arial"/>
          <w:sz w:val="18"/>
          <w:szCs w:val="18"/>
          <w:color w:val="000000"/>
        </w:rPr>
        <w:t xml:space="preserve"> </w:t>
      </w:r>
      <w:r>
        <w:rPr>
          <w:rFonts w:ascii="Arial" w:cs="Arial" w:eastAsia="Arial" w:hAnsi="Arial"/>
          <w:sz w:val="18"/>
          <w:szCs w:val="18"/>
          <w:color w:val="222222"/>
        </w:rPr>
        <w:t>Factors—Risks Related to the COVID-19 Pandemic—The full extent of the future impact of the COVID-19 pandemic is uncertain and may have an adverse effect on our business, financial condition and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right="80" w:firstLine="636"/>
        <w:spacing w:after="0" w:line="241"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www.vroom.com</w:t>
      </w:r>
      <w:r>
        <w:rPr>
          <w:rFonts w:ascii="Arial" w:cs="Arial" w:eastAsia="Arial" w:hAnsi="Arial"/>
          <w:sz w:val="18"/>
          <w:szCs w:val="18"/>
          <w:color w:val="auto"/>
        </w:rPr>
        <w:t xml:space="preserve">. The information contained on, or that can be accessed through, our website is deemed not to be incorporated in this Annual Report on Form 10-K or to be part of this Annual Report on Form 10-K or any other report filed with the SEC. </w:t>
      </w:r>
      <w:r>
        <w:rPr>
          <w:rFonts w:ascii="Arial" w:cs="Arial" w:eastAsia="Arial" w:hAnsi="Arial"/>
          <w:sz w:val="18"/>
          <w:szCs w:val="18"/>
          <w:color w:val="222222"/>
        </w:rPr>
        <w:t>Our Annual Report on Form 10-K, Quarterly Reports on Form 10-Q and Current Reports on Form 8-K, as well as any amendments to</w:t>
      </w:r>
      <w:r>
        <w:rPr>
          <w:rFonts w:ascii="Arial" w:cs="Arial" w:eastAsia="Arial" w:hAnsi="Arial"/>
          <w:sz w:val="18"/>
          <w:szCs w:val="18"/>
          <w:color w:val="auto"/>
        </w:rPr>
        <w:t xml:space="preserve"> </w:t>
      </w:r>
      <w:r>
        <w:rPr>
          <w:rFonts w:ascii="Arial" w:cs="Arial" w:eastAsia="Arial" w:hAnsi="Arial"/>
          <w:sz w:val="18"/>
          <w:szCs w:val="18"/>
          <w:color w:val="222222"/>
        </w:rPr>
        <w:t xml:space="preserve">those reports, are available free of charge through our website as soon as reasonably practicable after we file them with, or furnish them to, the SEC. The SEC maintains a website at </w:t>
      </w:r>
      <w:r>
        <w:rPr>
          <w:rFonts w:ascii="Arial" w:cs="Arial" w:eastAsia="Arial" w:hAnsi="Arial"/>
          <w:sz w:val="18"/>
          <w:szCs w:val="18"/>
          <w:color w:val="000000"/>
        </w:rPr>
        <w:t>www.sec.gov</w:t>
      </w:r>
      <w:r>
        <w:rPr>
          <w:rFonts w:ascii="Arial" w:cs="Arial" w:eastAsia="Arial" w:hAnsi="Arial"/>
          <w:sz w:val="18"/>
          <w:szCs w:val="18"/>
          <w:color w:val="222222"/>
        </w:rPr>
        <w:t xml:space="preserve"> that contains reports, proxy statements, and other information regarding SEC registrants, including Vroom Inc.</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2" w:name="page23"/>
    <w:bookmarkEnd w:id="2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40" w:firstLine="636"/>
        <w:spacing w:after="0"/>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risks and uncertainties described below, together with the financial and other information contained in this Annual Report on Form 10-K, before you decide to purchase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9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The full extent of the future impact of the COVID-19 pandemic is uncertain and may have an adverse effect on our business, financial condition and results of operations.</w:t>
      </w:r>
    </w:p>
    <w:p>
      <w:pPr>
        <w:spacing w:after="0" w:line="162"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Governmental authorities around the world have implemented measures to reduce the spread of COVID-19. These measures have adversely affected workforces, customers, supply chains, consumer sentiment, economies, and financial markets, and, along with decreased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consumer spending, led to an economic downturn across many global economies.</w:t>
      </w:r>
    </w:p>
    <w:p>
      <w:pPr>
        <w:spacing w:after="0" w:line="25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COVID-19 pandemic rapidly escalated in the United States, creating significant uncertainty and economic disruption, and leading to record levels of unemployment nationally. Numerous state and local jurisdictions imposed, and others in the future may impose, shelter-in-place orders, quarantines, shut-downs or restrictions on operations of non-essential businesses, and similar government orders and restrictions on their residents to control the spread of COVID-19. While such orders or restrictions have been lifted in many jurisdictions, certain of those orders have been or may be re-instated, new orders have been imposed and future orders may be imposed as the COVID-19 pandemic continues and new variants of the virus surface. Such orders or restrictions resulted in temporary facility closures (including certain of our third-party VRCs), work stoppages, slowdowns and travel restrictions, among other effects, thereby adversely impacting our operations. While vaccination efforts have led to the lifting of many of the shut-down orders and restrictions across the country, due to the evolving nature of the COVID-19 crisis, including the spread of new variants of the virus, and the uncertainties surrounding the efficacy of vaccines and other treatments for COVID-19, including with respect to the success of vaccination efforts, we continue to monitor the situation closely and assess the impact on our business.</w:t>
      </w:r>
    </w:p>
    <w:p>
      <w:pPr>
        <w:spacing w:after="0" w:line="191" w:lineRule="exact"/>
        <w:rPr>
          <w:sz w:val="20"/>
          <w:szCs w:val="20"/>
          <w:color w:val="auto"/>
        </w:rPr>
      </w:pPr>
    </w:p>
    <w:p>
      <w:pPr>
        <w:ind w:right="40" w:firstLine="761"/>
        <w:spacing w:after="0" w:line="235" w:lineRule="auto"/>
        <w:rPr>
          <w:sz w:val="20"/>
          <w:szCs w:val="20"/>
          <w:color w:val="auto"/>
        </w:rPr>
      </w:pPr>
      <w:r>
        <w:rPr>
          <w:rFonts w:ascii="Arial" w:cs="Arial" w:eastAsia="Arial" w:hAnsi="Arial"/>
          <w:sz w:val="18"/>
          <w:szCs w:val="18"/>
          <w:color w:val="auto"/>
        </w:rPr>
        <w:t>In response to the COVID-19 disruptions, we implemented a number of measures designed to protect the health and safety of our workforce. These measures included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limiting the number of employees in our office facilities, implementation of enhanced cleaning measures, social distancing guidelines, wearing of masks, eliminating non-essential vendor / guest visitation, and requiring health attestations and temperature checks prior to entering facilities, in each case subject to local requirements.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before returning to work. The TDA dealership, our Stafford, TX reconditioning center and our back-office facility in Houston continued to remain open during the year ended December 31, 2021 and through the date of this Annual Report on Form 10-K. However, the nature of work has been greatly altered by COVID-19 and related protocols which have, in turn, broadly shifted employee sentiment regarding in-person work, compensation, and flexibility. While all of our offices were open and available through most of 2021, we generally discouraged in-person work for any roles where an in-person presence was not critical in an effort to maximize space and prioritize safety for those who did require a physical presence. We are now beginning to encourage a broader return to the office for employees who have selected to work in a hybrid or in-person model. All actions will be taken in accordance with updated state and local health and safety guidance and requirements for in-office work. Nevertheless, the unpredictable nature of the virus, its treatment and worker sentiment may further delay routine in-person work and reduce the effectiveness of efforts aimed at improving employee retention; there can be no assurance that there will not be future material disruptions in our workforce. The various workforce health and safety measures we have taken have led to increased operating expenses and future health and safety measures may lead to further increases.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23" w:name="page24"/>
    <w:bookmarkEnd w:id="2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In addition, since early March 2020, UACC has worked, and continues to work, with borrowers impacted by COVID-19 on an individual basis to provide deferments, due date changes, late fee waivers and other assistance programs. Certain governmental authorities, including United States federal, state or local governments, could also enact laws, regulations, executive orders or other guidance that allow borrowers to forego making scheduled payments for some period of time and some states have enacted executive orders that preclude creditors from exercising certain rights or taking certain actions with respect to motor vehicle contracts, including repossession or liquidation of vehicles. UACC’s assistance programs and any such governmental programs, if enacted, expanded or continued, could materially and adversely impact our business, financial condition and results of operations.</w:t>
      </w:r>
    </w:p>
    <w:p>
      <w:pPr>
        <w:spacing w:after="0" w:line="18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pandemic and the effectiveness of actions taken to contain the spread of COVID-19 or treat its impact, including the efficacy of vaccines and other treatments for COVID-19, including with respect to the success of vaccination efforts, and the resistance of new variants of the virus to vaccines, among others. The ultimate consequences of the COVID-19 pandemic cannot be predicted with certainty, but it could have a material effect on our business, operating results, financial condition and prospects.</w:t>
      </w:r>
    </w:p>
    <w:p>
      <w:pPr>
        <w:spacing w:after="0" w:line="191"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In addition to the COVID-19 disruptions described above, the pandemic may also have the effect of heightening many of the other risks described herein, including risks relating to changes in consumer demand; our limited operating history; our ability to generate sufficient revenue to generate positive cash flow; the operation of TDA;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167" w:lineRule="exact"/>
        <w:rPr>
          <w:sz w:val="20"/>
          <w:szCs w:val="20"/>
          <w:color w:val="auto"/>
        </w:rPr>
      </w:pPr>
    </w:p>
    <w:p>
      <w:pPr>
        <w:ind w:right="2700" w:firstLine="2727"/>
        <w:spacing w:after="0" w:line="482" w:lineRule="auto"/>
        <w:rPr>
          <w:sz w:val="20"/>
          <w:szCs w:val="20"/>
          <w:color w:val="auto"/>
        </w:rPr>
      </w:pPr>
      <w:r>
        <w:rPr>
          <w:rFonts w:ascii="Arial" w:cs="Arial" w:eastAsia="Arial" w:hAnsi="Arial"/>
          <w:sz w:val="18"/>
          <w:szCs w:val="18"/>
          <w:b w:val="1"/>
          <w:bCs w:val="1"/>
          <w:color w:val="auto"/>
        </w:rPr>
        <w:t xml:space="preserve">Risks Related to Our Financial Condition and Results of Operations </w:t>
      </w: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1" w:lineRule="exact"/>
        <w:rPr>
          <w:sz w:val="20"/>
          <w:szCs w:val="20"/>
          <w:color w:val="auto"/>
        </w:rPr>
      </w:pPr>
    </w:p>
    <w:p>
      <w:pPr>
        <w:ind w:right="240" w:firstLine="761"/>
        <w:spacing w:after="0" w:line="236"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$1,148.8 million as of December 31, 2021. We incurred net losses of $370.9 million and $202.8 million for the years ended December 31, 2021 and 2020, respectively. We may incur significant losses in the future for a number of reasons, including our inability to reduce costs, acquire and appropriately price vehicle inventory, provide the exceptional customer experience needed to attract customers or identify and respond to emerging trends in the used car industry; a slowdown in demand for used vehicles and our related value-added products; weakness in the automotive retail industry generally; general economic conditions; global pandemics; and increasing competition, as well as other risks described in this Annual Report on Form 10-K, and we may encounter unforeseen expenses, difficulties, complications and delays in achieving profitability.</w:t>
      </w:r>
    </w:p>
    <w:p>
      <w:pPr>
        <w:spacing w:after="0" w:line="194"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Additionally, we expect to continue to incur losses as we invest in and strive to grow our business. We expect our operating expenses to increase in the future as we invest in the UACC business and develop it into a captive finance operation, increase our investment in our proprietary logistics operations, increase our advertising and marketing efforts to build our brand, continue to invest in technology development, increase hiring and expand our operating infrastructure. In addition, we continue to incur significant legal, accounting, compliance and other expenses as a public company. As a result of these increased expenditures, we will have to generate and sustain increased revenue to offset our operating expenses and achieve and maintain profitability. In addition, if we reduce variable costs to respond to losses, this may limit our ability to grow our sales volume and revenues. Our ecommerce gross profit per unit increased by $441, or 25.0%, from the year ended December 31, 2020 to December 31, 2021. To reduce our losses, we will need to increase our gross profit per unit by lowering our costs per unit by, among other things, increasing efficiencies in reconditioning and logistics, which we may be unable to do. Accordingly, we may not achieve or maintain profitability and we may continue to incur significant losses in the future.</w:t>
      </w:r>
    </w:p>
    <w:p>
      <w:pPr>
        <w:spacing w:after="0" w:line="17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 and our revenue growth rate may decline.</w:t>
      </w:r>
    </w:p>
    <w:p>
      <w:pPr>
        <w:spacing w:after="0" w:line="162"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We cannot assure you that we will generate sufficient revenue to offset the cost of maintaining our platform and maintaining and growing our business. Although our revenue grew from $1.4 billion for the year ended December 31, 2020 to $3.2 billion for the year ended December 31, 2021, our revenue growth rate may decline in the future because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4" w:name="page25"/>
    <w:bookmarkEnd w:id="2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variety of factors, including our inability to acquire and appropriately price vehicle inventory, provide the exceptional customer experience needed to attract customers or execute effective marketing campaigns to increase traffic to our platform; a slowdown in demand for used vehicles and our related value-added products; weakness in the automotive retail industry generally; general economic conditions; and increasing competition. We cannot assure you that our revenue will continue to grow or will not decline. You should not consider our historical revenue growth as indicative of our future performance. If our revenue growth rate declines, our business, financial condition and results of operations will be materially and adversely affected.</w:t>
      </w:r>
    </w:p>
    <w:p>
      <w:pPr>
        <w:spacing w:after="0" w:line="191"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Further, going forward we expect to make significant investments to further develop and expand our business, and these investments may not result in increased revenue or growth on a timely basis or at all. For example, we expect to continue to expend substantial financial and other resources on developing our captive finance operation, increased marketing and other efforts to acquire and retain customers, expanding our customer experience team, developing our technology and data analytics capabilities, adding new features and functionality to our website, mobile application development and expansion of our reconditioning and proprietary logistics operations. These investments may not result in increased revenue or growth in our business. If we cannot successfully earn revenue at a rate that exceeds the costs associated with our business, we will not be able to generate positive cash flow on a sustained basis and our revenue growth rate may decline. Additionally, we base our expenses and investment plans on our estimates of revenue and gross profit. If our assumptions prove to be wrong, we may spend more than we anticipate or may generate less revenue than anticipated. If we fail to continue to grow our revenue, our business, financial condition and results of operations could be materially and adversely affected.</w:t>
      </w:r>
    </w:p>
    <w:p>
      <w:pPr>
        <w:spacing w:after="0" w:line="373"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39"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As of December 31, 2021, we had outstanding $ 512.8 million aggregate principal amount of borrowings under our 2020 Vehicle Floorplan Facility and $625.0 million aggregate principal amount of our 0.75% Convertible Senior Notes due 2026. Our interest expense was $17.7 million for the year ended December 31, 2021 related to the Vehicle Floorplan.</w:t>
      </w:r>
    </w:p>
    <w:p>
      <w:pPr>
        <w:spacing w:after="0" w:line="189"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2020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191"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In addition, our indebtedness under our 2020 Vehicle Floorplan Facility bears interest at variable rates. Because we have variable rate debt, fluctuations in interest rates may affect our cash flows or business, financial condition and results of operations. In light of the Federal Reserve's stated intention to increase the federal funds rate in 2022, we expect to pay higher interest under our 2020 Vehicle Floorplan Facility and incur higher interest expense in 2022 compared to 2021. We may attempt to minimize interest rate risk and lower our overall borrowing costs through the utilization of derivative financial instruments, primarily interest rate swaps.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62" w:lineRule="exact"/>
        <w:rPr>
          <w:sz w:val="20"/>
          <w:szCs w:val="20"/>
          <w:color w:val="auto"/>
        </w:rPr>
      </w:pPr>
    </w:p>
    <w:p>
      <w:pPr>
        <w:jc w:val="both"/>
        <w:ind w:right="540" w:firstLine="636"/>
        <w:spacing w:after="0"/>
        <w:rPr>
          <w:sz w:val="20"/>
          <w:szCs w:val="20"/>
          <w:color w:val="auto"/>
        </w:rPr>
      </w:pPr>
      <w:r>
        <w:rPr>
          <w:rFonts w:ascii="Arial" w:cs="Arial" w:eastAsia="Arial" w:hAnsi="Arial"/>
          <w:sz w:val="18"/>
          <w:szCs w:val="18"/>
          <w:color w:val="auto"/>
        </w:rPr>
        <w:t>As of December 31, 2021, we, including our subsidiaries, had approximately $1,123.4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189" w:lineRule="exact"/>
        <w:rPr>
          <w:sz w:val="20"/>
          <w:szCs w:val="20"/>
          <w:color w:val="auto"/>
        </w:rPr>
      </w:pPr>
    </w:p>
    <w:p>
      <w:pPr>
        <w:ind w:left="2040" w:hanging="505"/>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98" w:lineRule="exact"/>
        <w:rPr>
          <w:rFonts w:ascii="Arial" w:cs="Arial" w:eastAsia="Arial" w:hAnsi="Arial"/>
          <w:sz w:val="18"/>
          <w:szCs w:val="18"/>
          <w:color w:val="auto"/>
        </w:rPr>
      </w:pPr>
    </w:p>
    <w:p>
      <w:pPr>
        <w:ind w:left="2040" w:hanging="505"/>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98" w:lineRule="exact"/>
        <w:rPr>
          <w:rFonts w:ascii="Arial" w:cs="Arial" w:eastAsia="Arial" w:hAnsi="Arial"/>
          <w:sz w:val="18"/>
          <w:szCs w:val="18"/>
          <w:color w:val="auto"/>
        </w:rPr>
      </w:pPr>
    </w:p>
    <w:p>
      <w:pPr>
        <w:ind w:left="2040" w:right="40" w:hanging="505"/>
        <w:spacing w:after="0" w:line="246" w:lineRule="auto"/>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83" w:lineRule="exact"/>
        <w:rPr>
          <w:rFonts w:ascii="Arial" w:cs="Arial" w:eastAsia="Arial" w:hAnsi="Arial"/>
          <w:sz w:val="18"/>
          <w:szCs w:val="18"/>
          <w:color w:val="auto"/>
        </w:rPr>
      </w:pPr>
    </w:p>
    <w:p>
      <w:pPr>
        <w:ind w:left="2040" w:hanging="505"/>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98" w:lineRule="exact"/>
        <w:rPr>
          <w:rFonts w:ascii="Arial" w:cs="Arial" w:eastAsia="Arial" w:hAnsi="Arial"/>
          <w:sz w:val="18"/>
          <w:szCs w:val="18"/>
          <w:color w:val="auto"/>
        </w:rPr>
      </w:pPr>
    </w:p>
    <w:p>
      <w:pPr>
        <w:ind w:left="2040" w:right="920" w:hanging="505"/>
        <w:spacing w:after="0" w:line="246" w:lineRule="auto"/>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0.75% convertible senior notes due 2026; and</w:t>
      </w:r>
    </w:p>
    <w:p>
      <w:pPr>
        <w:spacing w:after="0" w:line="183" w:lineRule="exact"/>
        <w:rPr>
          <w:rFonts w:ascii="Arial" w:cs="Arial" w:eastAsia="Arial" w:hAnsi="Arial"/>
          <w:sz w:val="18"/>
          <w:szCs w:val="18"/>
          <w:color w:val="auto"/>
        </w:rPr>
      </w:pPr>
    </w:p>
    <w:p>
      <w:pPr>
        <w:ind w:left="2040" w:right="220" w:hanging="505"/>
        <w:spacing w:after="0" w:line="246" w:lineRule="auto"/>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83" w:lineRule="exact"/>
        <w:rPr>
          <w:sz w:val="20"/>
          <w:szCs w:val="20"/>
          <w:color w:val="auto"/>
        </w:rPr>
      </w:pPr>
    </w:p>
    <w:p>
      <w:pPr>
        <w:ind w:right="260" w:firstLine="636"/>
        <w:spacing w:after="0" w:line="23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6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On June 18, 2021, we issued $625.0 million aggregate principal amount of 0.75% Convertible Senior Notes due 2026 (the “Notes”).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177"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may require additional capital to pursue our business objectives and respond to business opportunities, challenges or unforeseen circumstances, including to increase our marketing expenditures to improve our brand awareness, build and maintain our inventory of used vehicles, develop our captive finance operation, develop new products or services or further improve existing products and services, expand and enhance our operating and proprietary logistics infrastructure and acquire complementary businesses and technologies. Accordingly, we may need to engage in additional equity or debt financings at the Vroom or UACC level to secure additional funds.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and to respond to business opportunities, challenges or unforeseen circumstances could be significantly limited, and our business, financial condition and results of operations could be materially and adversely affected.</w:t>
      </w:r>
    </w:p>
    <w:p>
      <w:pPr>
        <w:spacing w:after="0" w:line="169"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2020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182"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2020 Vehicle Floorplan Facility. Outstanding borrowings are due as financed vehicles are sold, and the 2020 Vehicle Floorplan Facility is secured by our vehicle inventory and certain other assets. If we are unable to maintain our 2020 Vehicle Floorplan Facility, which expires in March 2023,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new funding arrangements may be at higher interest rates or subject to other less favorable terms.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Resources—Vehicle Financing.”</w:t>
      </w:r>
    </w:p>
    <w:p>
      <w:pPr>
        <w:spacing w:after="0" w:line="171"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16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generally exhibit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 Given the current strong market demand for used vehicles and our rapid growth, our results of operations have not reflected these historical macro trends in the most recent historical periods.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98" w:lineRule="exact"/>
        <w:rPr>
          <w:sz w:val="20"/>
          <w:szCs w:val="20"/>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our captive finance operation;</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macroeconomic conditions, including the impact of the COVID-19 pandemic;</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impact and timing of any federal economic stimulus checks;</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98" w:lineRule="exact"/>
        <w:rPr>
          <w:rFonts w:ascii="Arial" w:cs="Arial" w:eastAsia="Arial" w:hAnsi="Arial"/>
          <w:sz w:val="18"/>
          <w:szCs w:val="18"/>
          <w:color w:val="auto"/>
        </w:rPr>
      </w:pPr>
    </w:p>
    <w:p>
      <w:pPr>
        <w:ind w:left="1040" w:hanging="39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98" w:lineRule="exact"/>
        <w:rPr>
          <w:rFonts w:ascii="Arial" w:cs="Arial" w:eastAsia="Arial" w:hAnsi="Arial"/>
          <w:sz w:val="18"/>
          <w:szCs w:val="18"/>
          <w:color w:val="auto"/>
        </w:rPr>
      </w:pPr>
    </w:p>
    <w:p>
      <w:pPr>
        <w:jc w:val="center"/>
        <w:ind w:left="5520" w:right="720" w:hanging="4877"/>
        <w:spacing w:after="0" w:line="496" w:lineRule="auto"/>
        <w:tabs>
          <w:tab w:leader="none" w:pos="10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ind w:left="1040" w:hanging="397"/>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claims against us.</w:t>
      </w:r>
    </w:p>
    <w:p>
      <w:pPr>
        <w:spacing w:after="0" w:line="198"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Growth and Strategy</w:t>
      </w:r>
    </w:p>
    <w:p>
      <w:pPr>
        <w:spacing w:after="0" w:line="18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and, if we continue to grow rapidly, we may not be able to manage our growth effectively.</w:t>
      </w:r>
    </w:p>
    <w:p>
      <w:pPr>
        <w:spacing w:after="0" w:line="162" w:lineRule="exact"/>
        <w:rPr>
          <w:sz w:val="20"/>
          <w:szCs w:val="20"/>
          <w:color w:val="auto"/>
        </w:rPr>
      </w:pPr>
    </w:p>
    <w:p>
      <w:pPr>
        <w:jc w:val="both"/>
        <w:ind w:right="60" w:firstLine="636"/>
        <w:spacing w:after="0"/>
        <w:rPr>
          <w:sz w:val="20"/>
          <w:szCs w:val="20"/>
          <w:color w:val="auto"/>
        </w:rPr>
      </w:pPr>
      <w:r>
        <w:rPr>
          <w:rFonts w:ascii="Arial" w:cs="Arial" w:eastAsia="Arial" w:hAnsi="Arial"/>
          <w:sz w:val="18"/>
          <w:szCs w:val="18"/>
          <w:color w:val="auto"/>
        </w:rPr>
        <w:t>Our revenue grew from $1.4 billion for the year ended December 31, 2020 to $3.2 billion for the year ended December 31, 2021. We expect that, in the future, even if our revenue continues to increase, our rate of growth may decline. In any event, we will not be able to grow as fast or at all if we do not:</w:t>
      </w:r>
    </w:p>
    <w:p>
      <w:pPr>
        <w:spacing w:after="0" w:line="189" w:lineRule="exact"/>
        <w:rPr>
          <w:sz w:val="20"/>
          <w:szCs w:val="20"/>
          <w:color w:val="auto"/>
        </w:rPr>
      </w:pPr>
    </w:p>
    <w:p>
      <w:pPr>
        <w:ind w:left="1020" w:right="320" w:hanging="503"/>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183"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 in and develop our captive financing capabilities;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invest in and enhance the quality of our logistics operations, including our customer delivery experience;</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vehicle reconditioning capacity to satisfy increasing unit value; and</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the functionality of our website and mobile applications to facilitate fully digital transactions.</w:t>
      </w:r>
    </w:p>
    <w:p>
      <w:pPr>
        <w:spacing w:after="0" w:line="198"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Our business has grown rapidly as new customers have purchased vehicles and value-added products from us. However, our business is relatively new and has operated at substantial scale for only a limited period of time. Given this limited history, it is difficult to predict whether we will be able to maintain or grow our business. Our historical revenue growth should not be considered indicative of our future performance. We have encountered, and will continue to encounter, risks and difficulties frequently experienced by growing companies in rapidly changing industries, including difficulties in our ability to achieve market acceptance of our platform and attract customers, as well as increasing competition and increasing expenses as we continue to grow our business. We also expect that our business will evolve in ways that may be difficult to predict. For example, over time our investments that are intended to drive new customer traffic to our website may be less productive than expected. In the event of this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395"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Our recent, rapid growth has placed and may continue to place significant demands on our management and our operational and financial resources. In addition to our significant growth in sales and revenues, we have experienced significant growth in the number of customers on our platform as well as the amount of data that we analyze. Although we have hired additional personnel, our operations have not kept pace with our top-line growth, which has resulted in backlogs in our operations that have adversely affected our customer experience. We expect to continue hiring additional personnel to support our continued rapid growth. In addition, our organizational structure is becoming more complex as we add staff and expand our business focus,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8" w:name="page29"/>
    <w:bookmarkEnd w:id="2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220"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several years, we brought in a new senior leadership team that has refocused our strategy, accelerated our growth and committed us to pursue a path to profitability. To execute this strategy, we have invested, and continue to invest, in enhancing our foundational systems as we scale our business, including design and expansion of website functionality and features, mobile application development, advancement and deployment of sophisticated data analytics, lean manufacturing technology and logistics network management, and work on all such foundational systems is ongoing. Fundamental to our continued growth and path to profitability is the further development of the functionality of our website and mobile applications to facilitate fully digital transactions and reduce the need for continued investments in staffing for the sales and sales support functions.</w:t>
      </w:r>
    </w:p>
    <w:p>
      <w:pPr>
        <w:spacing w:after="0" w:line="194"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These types of activities and investments subject us to various costs and risks, including increased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16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77"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We experienced disruptions across our logistics network at the outset of the COVID-19 pandemic, with a reduced number of third-party providers available to deliver our vehicles, which resulted in a slowdown of inventory being picked up and delivered to our VRCs and in sold units being delivered to customers. In addition, our transportation costs increased as the remaining carriers increased prices.</w:t>
      </w:r>
    </w:p>
    <w:p>
      <w:pPr>
        <w:spacing w:after="0" w:line="189"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In response to these disruptions, and to further enhance the quality of our logistics operations and our customer experience, we have been accelerating our investment in our proprietary logistics operations, including expanding our owned vehicle fleet. Additionally, as of December 31, 2021, we have opened 31 last mile hubs around the country at third-party facilities, through which we will coordinate directly with our customers to schedule deliveries in an effort to further strengthen our customer experience. Initially we prioritized investment in our last mile delivery operations and, more recently, have been investing in short-haul trucks to make regional deliveries from our last mile hubs, and line-haul vehicles for hub-to-hub shipments on high-volume routes. These investments will require additional capital expenditures and operating expenses, increase our current risks and expose us to new risks. These risks include local and federal regulations, vehicular crashes, injury, insufficient internal capacity, taxes, license and registration fees, insurance premiums, self-insurance levels, difficulty in recruiting and retaining qualified drivers, maintaining the truck fleet, disruption of our technology systems, equipment supply, equipment quality, and increasing equipment and operational and overhead costs. Our failure to successfully manage the expansion of our logistics operations could cause delays and increase costs in our inbound and outbound shipping, which may adversely affect our operating results and financial condition.</w:t>
      </w:r>
    </w:p>
    <w:p>
      <w:pPr>
        <w:spacing w:after="0" w:line="16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162"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Currently, our third-party value-added products consist of finance and protection products, which includes third-party financing of customers’ vehicle purchases, as well as other value -added products, such as vehicle service contracts, GAP protection and tire and wheel coverage. If we introduce new value-added products or expand existing offerings on our platform, such as insurance referral services,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and management personnel to cover these markets and complying with complicated regulations that apply to these markets. In addition, we may not successfully demonstrate the value of these value-added products to customers, and failure to do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so would compromise our ability to successfully expand into these additional revenue streams. Any of these risks, if realized, could materially and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for key components of our business, which exposes us to increased risks.</w:t>
      </w:r>
    </w:p>
    <w:p>
      <w:pPr>
        <w:spacing w:after="0" w:line="220"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In line with our hybrid asset-light business strategy, many components of our business, including our reconditioning facilities, our logistics operations, our customer financing and our customer experience teams primarily have been provided by third parties. We carefully select our third-party vendors, but we cannot control their actions. If our vendors fail to perform as we expect, our operations and reputation could suffer if the failure harms the vendors’ ability to serve us and our customers. One or more of these third-party vendors may experience financial distress, staffing shortages or liquidity challenges, file for bankruptcy protection, go out of business, undergo a change of control, or suffer disruptions in their business due to the COVID-19 pandemic. The use of third-party vendors represents an inherent risk to our Company that could have a material adverse effect on our business, financial condition and results of operations.</w:t>
      </w:r>
    </w:p>
    <w:p>
      <w:pPr>
        <w:spacing w:after="0" w:line="16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Our future growth and profitability relies heavily on the effectiveness and efficiency of our marketing and branding efforts, and these efforts may not be successful.</w:t>
      </w:r>
    </w:p>
    <w:p>
      <w:pPr>
        <w:spacing w:after="0" w:line="162"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growth and profitability will depend in part on:</w:t>
      </w:r>
    </w:p>
    <w:p>
      <w:pPr>
        <w:spacing w:after="0" w:line="191"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national television advertising campaigns;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performance-based digital marketing efforts;</w:t>
      </w:r>
    </w:p>
    <w:p>
      <w:pPr>
        <w:spacing w:after="0" w:line="198"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and efficiency of our online advertising and search marketing programs in generating consumer awareness of, and sales on, our platform;</w:t>
      </w:r>
    </w:p>
    <w:p>
      <w:pPr>
        <w:spacing w:after="0" w:line="183"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183"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direct-to-consumer advertising to reduce our dependency on third-party aggregation websites.</w:t>
      </w:r>
    </w:p>
    <w:p>
      <w:pPr>
        <w:spacing w:after="0" w:line="239" w:lineRule="exact"/>
        <w:rPr>
          <w:sz w:val="20"/>
          <w:szCs w:val="20"/>
          <w:color w:val="auto"/>
        </w:rPr>
      </w:pPr>
    </w:p>
    <w:p>
      <w:pPr>
        <w:ind w:firstLine="636"/>
        <w:spacing w:after="0" w:line="228" w:lineRule="auto"/>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includes national television campaigns, and performance marketing through digital platforms, including both auto-centric lead generation platforms and broader consumer-facing platforms. We also strategically use targeted radio campaigns and billboards and other local advertising in key markets, and we are expanding our national marketing efforts featuring Sell Us Your Car</w:t>
      </w:r>
      <w:r>
        <w:rPr>
          <w:rFonts w:ascii="Arial" w:cs="Arial" w:eastAsia="Arial" w:hAnsi="Arial"/>
          <w:sz w:val="24"/>
          <w:szCs w:val="24"/>
          <w:color w:val="auto"/>
          <w:vertAlign w:val="superscript"/>
        </w:rPr>
        <w:t>®</w:t>
      </w:r>
      <w:r>
        <w:rPr>
          <w:rFonts w:ascii="Arial" w:cs="Arial" w:eastAsia="Arial" w:hAnsi="Arial"/>
          <w:sz w:val="18"/>
          <w:szCs w:val="18"/>
          <w:color w:val="auto"/>
        </w:rPr>
        <w:t>. As such, a significant component of our marketing spend involves the use of various marketing techniques, including programmatic ad-buying, interest targeting, retargeting and email nurturing. Future growth and profitability will depend in part on the cost and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19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Additionally, our business model relies on our ability to grow rapidly and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growth may suffer and our business, financial condition and results of operations could be materially and adversely affected.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6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Our success will depend, in part, on our ability to grow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such as our recent acquisition of UACC, and our earlier acquisition of the CarStory business. The identification of suitable acquisition candidates can be difficult, time-consuming and costly, and we may not be able to successfully complete identified acquisitions. The risks we face in connection with acquisitions include:</w:t>
      </w:r>
    </w:p>
    <w:p>
      <w:pPr>
        <w:spacing w:after="0" w:line="191"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reactions to the acquisition by an acquired company’s customers;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98"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83"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183"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183" w:lineRule="exact"/>
        <w:rPr>
          <w:rFonts w:ascii="Arial" w:cs="Arial" w:eastAsia="Arial" w:hAnsi="Arial"/>
          <w:sz w:val="18"/>
          <w:szCs w:val="18"/>
          <w:color w:val="auto"/>
        </w:rPr>
      </w:pPr>
    </w:p>
    <w:p>
      <w:pPr>
        <w:ind w:left="1020" w:right="68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02"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83" w:lineRule="exact"/>
        <w:rPr>
          <w:sz w:val="20"/>
          <w:szCs w:val="20"/>
          <w:color w:val="auto"/>
        </w:rPr>
      </w:pPr>
    </w:p>
    <w:p>
      <w:pPr>
        <w:ind w:right="200" w:firstLine="636"/>
        <w:spacing w:after="0" w:line="23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Operations</w:t>
      </w:r>
    </w:p>
    <w:p>
      <w:pPr>
        <w:spacing w:after="0" w:line="19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162"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and third-party service providers operate our VRCs, and a number of our third-party VRCs also host our last-mile delivery hubs. If we are unable to maintain our relationship with our third-party service providers, such service providers cease to provide the services we need, or such service providers are unable to effectively deliver our services to our standards on timelines and at the prices we have negotiated, and we are unable to contract with alternative providers, increase our supply from existing providers, or replace such service providers with a proprietary VRC (which may require significant time and investment), we could experience a decrease in the finished goods output sufficient to scale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business, a decline in quality of our reconditioning services, delays in listing our inventory, additional expenses, delivery delays and loss of potential and existing customers and related revenues, which may materially and adversely affect our business, financial condition and results of operations. In addition, we are currently experiencing reconditioning constraints due to labor shortages and elevated demand at third-party supply chain partners, which negatively affects our cost structure and throughput. These risks are exacerbated by the fact that slightly more than half of our current third-party VRCs are primarily operated by one third-party provider and, due to recent changes in the reconditioning market, we expect the volume serviced by that provider to increase in the near term.</w:t>
      </w:r>
    </w:p>
    <w:p>
      <w:pPr>
        <w:spacing w:after="0" w:line="191"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Moreover, our future growth and profitability depends in part on scaling our reconditioning and last-mile delivery operations and expanding the geographic reach of those operations in order to reduce shipping costs. We have expanded our reconditioning capacity primarily through third-party VRC locations and, as we continue to scale our business, we intend to add additional proprietary VRCs to our integrated hybrid network to ensure adequate capacity. However, there can be no guarantee that we will be able to add additional proprietary VRCs quickly enough to address our capacity needs.</w:t>
      </w:r>
    </w:p>
    <w:p>
      <w:pPr>
        <w:spacing w:after="0" w:line="189"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One of our third party VRC providers, Adesa U.S., which also hosts a number of our last-mile hubs, recently announced a change of control transaction pursuant to which Adesa is being acquired by a competitor of Vroom. Adesa has communicated its intent to discontinue its third-party reconditioning services, which will require us to replace Adesa’s capacity with increased capacity at our other existing providers, new providers, or additional proprietary VRCs, and relocate the affected last-mile hubs. If for any reason we are unable to replace such reconditioning capacity and expand our reconditioning operations as planned, we could experience operational delays and a decrease in planned inventory. A failure to relocate the affected last-mile hubs could delay our continued expansion of our last-mile operations and hurt our customer experience. A failure to successfully manage the transition away from Adesa or to otherwise manage the risks associated with the operation of our VRCs by us and our third-party service providers could have a material adverse effect on our business, financial condition and results of operations.</w:t>
      </w:r>
    </w:p>
    <w:p>
      <w:pPr>
        <w:spacing w:after="0" w:line="193"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Additionally, we and our third-party vendors are required to obtain approvals, permits and licenses from state regulators and local municipalities to operate our VRCs. There could be delays in obtaining the requisite approvals, permits, financing and licenses to operate our VRCs or we may not be able to obtain them at all. If we or our vendors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167"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i w:val="1"/>
          <w:iCs w:val="1"/>
          <w:color w:val="auto"/>
        </w:rPr>
        <w:t>We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39"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Although we are expanding our proprietary logistics network, we still heavily rely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quality or fulfillment of these products.</w:t>
      </w:r>
    </w:p>
    <w:p>
      <w:pPr>
        <w:spacing w:after="0" w:line="162" w:lineRule="exact"/>
        <w:rPr>
          <w:sz w:val="20"/>
          <w:szCs w:val="20"/>
          <w:color w:val="auto"/>
        </w:rPr>
      </w:pPr>
    </w:p>
    <w:p>
      <w:pPr>
        <w:ind w:right="120" w:firstLine="636"/>
        <w:spacing w:after="0" w:line="236" w:lineRule="auto"/>
        <w:rPr>
          <w:sz w:val="20"/>
          <w:szCs w:val="20"/>
          <w:color w:val="auto"/>
        </w:rPr>
      </w:pPr>
      <w:r>
        <w:rPr>
          <w:rFonts w:ascii="Arial" w:cs="Arial" w:eastAsia="Arial" w:hAnsi="Arial"/>
          <w:sz w:val="18"/>
          <w:szCs w:val="18"/>
          <w:color w:val="auto"/>
        </w:rPr>
        <w:t>We have historically relied on third-party lenders to finance all of our customers’ vehicle purchases. We will continue to rely on third-party lenders as we integrate and develop UACC into a full captive lending operation. We also offer value-added products to our customers through a third-party service provider, such as vehicle service contracts, GAP protection and tire and wheel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2" w:name="page33"/>
    <w:bookmarkEnd w:id="3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such third-party service providers to comply with applicable legal requirements could cause us financial or reputational harm.</w:t>
      </w:r>
    </w:p>
    <w:p>
      <w:pPr>
        <w:spacing w:after="0" w:line="198" w:lineRule="exact"/>
        <w:rPr>
          <w:sz w:val="20"/>
          <w:szCs w:val="20"/>
          <w:color w:val="auto"/>
        </w:rPr>
      </w:pPr>
    </w:p>
    <w:p>
      <w:pPr>
        <w:ind w:right="260" w:firstLine="636"/>
        <w:spacing w:after="0" w:line="253" w:lineRule="auto"/>
        <w:rPr>
          <w:sz w:val="20"/>
          <w:szCs w:val="20"/>
          <w:color w:val="auto"/>
        </w:rPr>
      </w:pPr>
      <w:r>
        <w:rPr>
          <w:rFonts w:ascii="Arial" w:cs="Arial" w:eastAsia="Arial" w:hAnsi="Arial"/>
          <w:sz w:val="17"/>
          <w:szCs w:val="17"/>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81" w:lineRule="exact"/>
        <w:rPr>
          <w:sz w:val="20"/>
          <w:szCs w:val="20"/>
          <w:color w:val="auto"/>
        </w:rPr>
      </w:pPr>
    </w:p>
    <w:p>
      <w:pPr>
        <w:ind w:right="220" w:firstLine="636"/>
        <w:spacing w:after="0"/>
        <w:rPr>
          <w:sz w:val="20"/>
          <w:szCs w:val="20"/>
          <w:color w:val="auto"/>
        </w:rPr>
      </w:pPr>
      <w:r>
        <w:rPr>
          <w:rFonts w:ascii="Arial" w:cs="Arial" w:eastAsia="Arial" w:hAnsi="Arial"/>
          <w:sz w:val="18"/>
          <w:szCs w:val="18"/>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167"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177"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9% of our inventory. In addition, more than half of our third-party reconditioning services are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 In addition, any such unforeseen events or circumstances, changes in demographics and population or severe weather conditions or other catastrophic events in any of the states where UACC has a high concentration of borrowers could result in payment delays and increased risk of losses and could materially and adversely affect our revenues and results of operations.</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16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key employees or senior management, including our Chief Executive Officer, Paul J. Hennessy, could materially and adversely affect our ability to execute our business plan and strategy, and we may not be able to find adequate replacements on a timely basis, or at all.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attracting well-qualified employees or retaining and motivating existing employees, our business, financial condition and results of operations could be materially and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Customer Experience</w:t>
      </w:r>
    </w:p>
    <w:p>
      <w:pPr>
        <w:spacing w:after="0" w:line="198"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139" w:lineRule="exact"/>
        <w:rPr>
          <w:sz w:val="20"/>
          <w:szCs w:val="20"/>
          <w:color w:val="auto"/>
        </w:rPr>
      </w:pPr>
    </w:p>
    <w:p>
      <w:pPr>
        <w:ind w:right="180" w:firstLine="636"/>
        <w:spacing w:after="0"/>
        <w:rPr>
          <w:sz w:val="20"/>
          <w:szCs w:val="20"/>
          <w:color w:val="auto"/>
        </w:rPr>
      </w:pPr>
      <w:r>
        <w:rPr>
          <w:rFonts w:ascii="Arial" w:cs="Arial" w:eastAsia="Arial" w:hAnsi="Arial"/>
          <w:sz w:val="18"/>
          <w:szCs w:val="18"/>
          <w:color w:val="auto"/>
        </w:rPr>
        <w:t>We have entered into several outsourcing arrangements with third parties related to our customer experience teams, including with respect to our customer inquiries, sales, purchases, financing, document support, customer service and other customer experience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3" w:name="page34"/>
    <w:bookmarkEnd w:id="3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37"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Currently, the substantial majority of inquiries, sales, purchases and financings of our vehicles in our ecommerce business are conducted by phone through a third-party customer experience center located in Detroit, Michigan. Thus, the customer experience center is fundamental to the success of our business. As a result, the success of our business and our customer experience is partially dependent on a third party over which we have limited control. If the third party’s systems and operations fail or if the third party is otherwise unable to perform its sales function, we would be limited in our ability to complete customer transactions, which would make it more difficult to sell vehicles and value-added products through our platform.</w:t>
      </w:r>
    </w:p>
    <w:p>
      <w:pPr>
        <w:spacing w:after="0" w:line="191"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also rely on other third parties to provide customer service, document support and other important customer experience operations and face challenges in maintaining the quality of our customer experience. If the customer experience center or any of these third parties are unable to perform to our standards or to provide the level of service required or expected by our customers, or we are unable to renegotiate our agreements with them on attractive terms or at all, or if we are unable to contract with alternative third-party providers, our business, financial 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sales and results of operations are materially affected by our customer experience, our reputation and our brand.</w:t>
      </w:r>
    </w:p>
    <w:p>
      <w:pPr>
        <w:spacing w:after="0" w:line="220"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growth makes maintaining the quality of our customer experience more difficult, and we have encountered operational challenges in keeping up with our rapid growth over the past two years. Backlogs in our business developed as there was more sales volume than we had the capacity to manage, resulting in delays in processing transactions, including delays in titling and registering vehicles purchased by our customers, which have adversely affected our customer experience and have led to increased calls to our customer service teams, who have had difficulty keeping up with the increased call volume. If we cannot adequately address these challenges and deliver a positive customer experience through completion of the transaction, our brand and our business will suffer.</w:t>
      </w:r>
    </w:p>
    <w:p>
      <w:pPr>
        <w:spacing w:after="0" w:line="191" w:lineRule="exact"/>
        <w:rPr>
          <w:sz w:val="20"/>
          <w:szCs w:val="20"/>
          <w:color w:val="auto"/>
        </w:rPr>
      </w:pPr>
    </w:p>
    <w:p>
      <w:pPr>
        <w:ind w:right="280" w:firstLine="636"/>
        <w:spacing w:after="0" w:line="236" w:lineRule="auto"/>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including on consumer platforms such as the Better Business Bureau, consumer facing blogs and social media websites, could diminish consumer confidence in our platform and adversely affect our brand. The growing use of social media increases the speed with which information and opinions can be shared and thus the speed with which our reputation can be damaged. If we fail to deliver the desired customer experience, or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the UACC Business</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integrate the UACC business into Vroom’s business and develop UACC into a captive lending operation for Vroom.</w:t>
      </w:r>
    </w:p>
    <w:p>
      <w:pPr>
        <w:spacing w:after="0" w:line="162"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On February 1, 2022, we completed our acquisition of UACC. Vroom and UACC will need to successfully integrate their operations and ultimately develop UACC into a captive lending operation for Vroom. The integration will require significant efforts from each company, additional investments in technology and operations to scale the combined operations and the development of full credit spectrum lending capabilities at UACC. The integration of UACC may also divert management’s time and resources from our core business, which could impair our relationships with our current employees, customers and strategic partners and disrupt our operations. The failure to successfully achieve such integration would undermine our ability to realize the benefits we expect to receive from the transaction, and our business and financial condition may be harmed as a result.</w:t>
      </w:r>
    </w:p>
    <w:p>
      <w:pPr>
        <w:spacing w:after="0" w:line="1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We may not realize the anticipated benefits of the acquisition of UACC or realization of those benefits could take longer than anticipated.</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34" w:name="page35"/>
    <w:bookmarkEnd w:id="3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0"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acquired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In addition, we expect to maintain an asset-light funding approach through the use of forward flow arrangements and off-balance sheet securitization transactions. Achieving these benefits will require the successful integration, development and operation of the combined businesses and it is not certain that we will succeed in those efforts. If we fail to successfully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loan origination practices and debt collection practices.</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6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UACC provides indirect financing to customers and typically sells the receivables related to the financing contract. For example, UACC has entered into various arrangements to sell automotive finance receivables that it originates, including through future securitizations, and expects to enter into loan sales to financing partners and other new arrangements in the future. If UACC is not able to sell receivables under these current or future arrangements for a variety of reasons, including because it has reached its capacity under the arrangements, its financing partners exercise constructive or other termination rights before it reaches capacity, market disruption or it reaches the scheduled expiration date of the commitment, and it is not able to enter into new arrangements on similar terms, it may not have adequate liquidity and our business, financial condition and results of operations may be adversely affected. Furthermore, if its financing partners do not purchase these receivables, we could be subject to the risk that some of these receivables are not paid when due and be forced to incur unexpected asset write-offs and bad-debt expense.</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62"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spacing w:after="0" w:line="189" w:lineRule="exact"/>
        <w:rPr>
          <w:sz w:val="20"/>
          <w:szCs w:val="20"/>
          <w:color w:val="auto"/>
        </w:rPr>
      </w:pPr>
    </w:p>
    <w:p>
      <w:pPr>
        <w:ind w:right="100" w:firstLine="636"/>
        <w:spacing w:after="0" w:line="237" w:lineRule="auto"/>
        <w:rPr>
          <w:sz w:val="20"/>
          <w:szCs w:val="20"/>
          <w:color w:val="auto"/>
        </w:rPr>
      </w:pPr>
      <w:r>
        <w:rPr>
          <w:rFonts w:ascii="Arial" w:cs="Arial" w:eastAsia="Arial" w:hAnsi="Arial"/>
          <w:sz w:val="18"/>
          <w:szCs w:val="18"/>
          <w:color w:val="auto"/>
        </w:rPr>
        <w:t>Although UACC successfully completed a securitization in each of 2020, 2021 and February 2022, there can be no assurance that UACC will be able to complete additional securitizations, particularly if the securitization markets become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67"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b w:val="1"/>
          <w:bCs w:val="1"/>
          <w:i w:val="1"/>
          <w:iCs w:val="1"/>
          <w:color w:val="auto"/>
        </w:rPr>
        <w:t>UACC may experience greater credit losses or prepayments in any interests it holds in automotive finance receivables than it anticipates and its credit scoring systems may not effectively forecast its automotive receivables loss rates. Higher than anticipated credit losses or prepayments or the inability to effectively forecast loss rates may negatively impact its operating results.</w:t>
      </w:r>
    </w:p>
    <w:p>
      <w:pPr>
        <w:spacing w:after="0" w:line="182"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Until UACC sells automotive finance receivables, and to the extent its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Credit losses are inherent in the automotive finance receivables business and could have a material adverse effect on our results of operations.</w:t>
      </w:r>
    </w:p>
    <w:p>
      <w:pPr>
        <w:spacing w:after="0" w:line="189" w:lineRule="exact"/>
        <w:rPr>
          <w:sz w:val="20"/>
          <w:szCs w:val="20"/>
          <w:color w:val="auto"/>
        </w:rPr>
      </w:pPr>
    </w:p>
    <w:p>
      <w:pPr>
        <w:ind w:right="660" w:firstLine="636"/>
        <w:spacing w:after="0" w:line="246"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and may provide an allowance for loan losses and value beneficial ownership interests based on a number of factors. Although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3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management may establish an allowance for loan losses and value beneficial ownership interests based on analysis it believes is appropriate, this may not be adequate. For example, if economic conditions were to deteriorate unexpectedly, additional loan losses not incorporated in the existing allowance or valuation may occur. Several variables have affected UACC’s recent loss and delinquency rates, including general economic conditions and market interest rates, and are likely to differ in the future. In particular, given the impact the COVID-19 pandemic has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w:t>
      </w:r>
    </w:p>
    <w:p>
      <w:pPr>
        <w:spacing w:after="0" w:line="189"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global outbreak of COVID-19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 on its balance sheet until it sells them in securitization transactions or, in the future, through loan sales to its financing partners or other arrangements, and to the extent those receivables fail to perform during its holding period, they may become ineligible for sale. As a result, our business, results of operations, and financial condition may be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Cybersecurity and Privacy</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16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We collect, store, process, and use personal information and other customer data, and rely in part on third parties that are not directly under our control, including our third-party customer experience teams, to manage certain areas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Any failure or perceived failure to maintain the security of personal and other data that is provided to us by customers, employees and vendors could harm our reputation and brand and expose us to a risk of loss or litigation and possible liability, any of which could adversely affect our business, financial condition, and results of operations.</w:t>
      </w:r>
    </w:p>
    <w:p>
      <w:pPr>
        <w:spacing w:after="0" w:line="194"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and regulations regarding privacy, cybersecurity and the collection, use and disclosure of personal information and other data. The scope and interpretation of these laws continue to evolve and may be inconsistent across jurisdictions. New laws also may be enacted.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governmental enforcement actions, litigation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 We carry out ongoing efforts to implement a number of security controls to mitigate these risks.</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77"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Threat actors are increasingly sophisticated and can operate large-scale complex automated attacks. Similar to most IT systems and companies, there is a consistent threat from cyber-attacks, viruses, malicious software, physical break-ins, theft, ransomware, phishing, social engineering, unintentional employee error or malfeasance, system availability, and other security breaches. Further, third-party hosts or service providers are also a source of security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3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concerns as it relates to failures of their own security systems and infrastructure. Our technology infrastructure may be subject to increased risk of slowdown or interruption as a result of integration with third-party services, including cloud services, and/or failures by such third parties, which are beyond our control.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w:t>
      </w:r>
    </w:p>
    <w:p>
      <w:pPr>
        <w:spacing w:after="0" w:line="189"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w:t>
      </w:r>
    </w:p>
    <w:p>
      <w:pPr>
        <w:spacing w:after="0" w:line="172" w:lineRule="exact"/>
        <w:rPr>
          <w:sz w:val="20"/>
          <w:szCs w:val="20"/>
          <w:color w:val="auto"/>
        </w:rPr>
      </w:pPr>
    </w:p>
    <w:p>
      <w:pPr>
        <w:ind w:right="2860" w:firstLine="2857"/>
        <w:spacing w:after="0" w:line="482" w:lineRule="auto"/>
        <w:rPr>
          <w:sz w:val="20"/>
          <w:szCs w:val="20"/>
          <w:color w:val="auto"/>
        </w:rPr>
      </w:pPr>
      <w:r>
        <w:rPr>
          <w:rFonts w:ascii="Arial" w:cs="Arial" w:eastAsia="Arial" w:hAnsi="Arial"/>
          <w:sz w:val="18"/>
          <w:szCs w:val="18"/>
          <w:b w:val="1"/>
          <w:bCs w:val="1"/>
          <w:color w:val="auto"/>
        </w:rPr>
        <w:t xml:space="preserve">Risks Related to Our Industry and General Economic Conditions </w:t>
      </w:r>
      <w:r>
        <w:rPr>
          <w:rFonts w:ascii="Arial" w:cs="Arial" w:eastAsia="Arial" w:hAnsi="Arial"/>
          <w:sz w:val="18"/>
          <w:szCs w:val="18"/>
          <w:b w:val="1"/>
          <w:bCs w:val="1"/>
          <w:i w:val="1"/>
          <w:iCs w:val="1"/>
          <w:color w:val="auto"/>
        </w:rPr>
        <w:t>Our business is sensitive to changes in the prices of new and used vehicles.</w:t>
      </w:r>
    </w:p>
    <w:p>
      <w:pPr>
        <w:spacing w:after="0" w:line="1"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 During the COVID-19 pandemic, we have experienced unprecedented market conditions, caused in part by supply chain dislocations, a shortage of microchips and associated delays in new car manufacturing, which increased demand for used vehicles, putting downward pressure on supply and upward pressure on used vehicle pricing. This volatility creates risks around our ability to appropriately price our vehicles and maintain our sales margins. There can be no assurance for how long these market conditions will continue.</w:t>
      </w:r>
    </w:p>
    <w:p>
      <w:pPr>
        <w:spacing w:after="0" w:line="193"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167"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177"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acquire vehicles for sale from consumers, auctions, rental car companies, OEMs and dealers. There can be no assurance that the supply of desirable used vehicles will be sufficient to meet our needs. We purchased approximately 69% of our inventory from consumers in 2021. If our brand is damaged, or consumers otherwise are unwilling to transact with us, we may not be able to source sufficient inventory, or may have to source inventory from lower margin channels. In addition, we purchase a significant amount of our inventory from certain third-party auction sources. If these third parties are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194"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3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16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sell inventory. Failure to expeditiously sell our inventory could have a material adverse effect on our business, financial condition and results of operations.</w:t>
      </w:r>
    </w:p>
    <w:p>
      <w:pPr>
        <w:spacing w:after="0" w:line="16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gross profit per unit and materially and adversely affect our business, financial condition and results of operations. The rate at which customers return vehicles increased in recent periods and there can be no assurance that return rates will remain similar to our historical levels. Vehicles returned continue to depreciate in value and if return rates continue to increase, our revenue, business, financial condition and results of operations could be materially and adversely affected.</w:t>
      </w:r>
    </w:p>
    <w:p>
      <w:pPr>
        <w:spacing w:after="0" w:line="19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current and future competitors may include:</w:t>
      </w:r>
    </w:p>
    <w:p>
      <w:pPr>
        <w:spacing w:after="0" w:line="198"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98"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98"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Motors’ recently launched platform, CarBravo, a new online used-vehicle marketplace for GM-branded vehicles aimed at competing with online dealerships;</w:t>
      </w:r>
    </w:p>
    <w:p>
      <w:pPr>
        <w:spacing w:after="0" w:line="183" w:lineRule="exact"/>
        <w:rPr>
          <w:rFonts w:ascii="Arial" w:cs="Arial" w:eastAsia="Arial" w:hAnsi="Arial"/>
          <w:sz w:val="18"/>
          <w:szCs w:val="18"/>
          <w:color w:val="auto"/>
        </w:rPr>
      </w:pPr>
    </w:p>
    <w:p>
      <w:pPr>
        <w:ind w:left="1020" w:right="54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automotive finance companies launching online ecommerce businesses, such as Chase Auto Preferred, CapitalOne Auto Navigator and Rocket Auto;</w:t>
      </w:r>
    </w:p>
    <w:p>
      <w:pPr>
        <w:spacing w:after="0" w:line="223" w:lineRule="exact"/>
        <w:rPr>
          <w:rFonts w:ascii="Arial" w:cs="Arial" w:eastAsia="Arial" w:hAnsi="Arial"/>
          <w:sz w:val="18"/>
          <w:szCs w:val="18"/>
          <w:color w:val="auto"/>
        </w:rPr>
      </w:pPr>
    </w:p>
    <w:p>
      <w:pPr>
        <w:ind w:left="1020" w:right="40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 consignment websites such as CarLotz; and</w:t>
      </w:r>
    </w:p>
    <w:p>
      <w:pPr>
        <w:spacing w:after="0" w:line="183"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Enterprise Car Sales.</w:t>
      </w:r>
    </w:p>
    <w:p>
      <w:pPr>
        <w:spacing w:after="0" w:line="183"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Internet and online automotive sites could change their models to directly compete with us, such as Google, Amazon, AutoTrader.com, Edmunds.com, KBB.com, Autobytel.com, TrueCar.com, CarGurus and Cars.com. In addition, automobile manufacturers such as Ford and Volkswagen could change their sales models in a fashion similar to General Motors or otherwise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8" w:name="page39"/>
    <w:bookmarkEnd w:id="3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37" w:lineRule="exact"/>
        <w:rPr>
          <w:sz w:val="20"/>
          <w:szCs w:val="20"/>
          <w:color w:val="auto"/>
        </w:rPr>
      </w:pPr>
    </w:p>
    <w:p>
      <w:pPr>
        <w:ind w:right="180" w:firstLine="636"/>
        <w:spacing w:after="0"/>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189"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191" w:lineRule="exact"/>
        <w:rPr>
          <w:sz w:val="20"/>
          <w:szCs w:val="20"/>
          <w:color w:val="auto"/>
        </w:rPr>
      </w:pPr>
    </w:p>
    <w:p>
      <w:pPr>
        <w:ind w:right="140" w:firstLine="636"/>
        <w:spacing w:after="0" w:line="237"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191"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220"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220"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191" w:lineRule="exact"/>
        <w:rPr>
          <w:sz w:val="20"/>
          <w:szCs w:val="20"/>
          <w:color w:val="auto"/>
        </w:rPr>
      </w:pPr>
    </w:p>
    <w:p>
      <w:pPr>
        <w:ind w:left="1020" w:right="20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temporary tags or title and registration;</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198" w:lineRule="exact"/>
        <w:rPr>
          <w:sz w:val="20"/>
          <w:szCs w:val="20"/>
          <w:color w:val="auto"/>
        </w:rPr>
      </w:pPr>
    </w:p>
    <w:p>
      <w:pPr>
        <w:ind w:right="620" w:firstLine="636"/>
        <w:spacing w:after="0" w:line="246"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16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77"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 In addition, such periods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w:t>
      </w:r>
    </w:p>
    <w:p>
      <w:pPr>
        <w:spacing w:after="0" w:line="189"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rising interest rates, the cost of energy and gasoline, the availability and cost of consumer credit, reductions in consumer confidence and fears of recession, stock market volatility, increased regulation and increased unemployment. Increased environmental regulation has made, and may in the future make, used vehicles more expensive and less desirable for consumers.</w:t>
      </w:r>
    </w:p>
    <w:p>
      <w:pPr>
        <w:spacing w:after="0" w:line="189" w:lineRule="exact"/>
        <w:rPr>
          <w:sz w:val="20"/>
          <w:szCs w:val="20"/>
          <w:color w:val="auto"/>
        </w:rPr>
      </w:pPr>
    </w:p>
    <w:p>
      <w:pPr>
        <w:ind w:right="580" w:firstLine="636"/>
        <w:spacing w:after="0"/>
        <w:rPr>
          <w:sz w:val="20"/>
          <w:szCs w:val="20"/>
          <w:color w:val="auto"/>
        </w:rPr>
      </w:pPr>
      <w:r>
        <w:rPr>
          <w:rFonts w:ascii="Arial" w:cs="Arial" w:eastAsia="Arial" w:hAnsi="Arial"/>
          <w:sz w:val="18"/>
          <w:szCs w:val="18"/>
          <w:color w:val="auto"/>
        </w:rPr>
        <w:t>In addition, changing trends in consumer tastes, negative business and economic conditions and market volatility may make it difficult for us to accurately forecast vehicle demand trends, which could cause us to increase our inventory carrying costs and could materially and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220" w:lineRule="exact"/>
        <w:rPr>
          <w:sz w:val="20"/>
          <w:szCs w:val="20"/>
          <w:color w:val="auto"/>
        </w:rPr>
      </w:pPr>
    </w:p>
    <w:p>
      <w:pPr>
        <w:ind w:right="40" w:firstLine="636"/>
        <w:spacing w:after="0" w:line="234" w:lineRule="auto"/>
        <w:rPr>
          <w:sz w:val="20"/>
          <w:szCs w:val="20"/>
          <w:color w:val="auto"/>
        </w:rPr>
      </w:pPr>
      <w:r>
        <w:rPr>
          <w:rFonts w:ascii="Arial" w:cs="Arial" w:eastAsia="Arial" w:hAnsi="Arial"/>
          <w:sz w:val="18"/>
          <w:szCs w:val="18"/>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w:t>
      </w:r>
    </w:p>
    <w:p>
      <w:pPr>
        <w:spacing w:after="0" w:line="5" w:lineRule="exact"/>
        <w:rPr>
          <w:sz w:val="20"/>
          <w:szCs w:val="20"/>
          <w:color w:val="auto"/>
        </w:rPr>
      </w:pPr>
    </w:p>
    <w:p>
      <w:pPr>
        <w:ind w:right="100" w:firstLine="8"/>
        <w:spacing w:after="0" w:line="246"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force us to incur increased costs and (v) expose us to litigation and adverse publicity related to the sale of recalled vehicles, which could have a material adverse effect on our business, financial condition and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177" w:lineRule="exact"/>
        <w:rPr>
          <w:sz w:val="20"/>
          <w:szCs w:val="20"/>
          <w:color w:val="auto"/>
        </w:rPr>
      </w:pPr>
    </w:p>
    <w:p>
      <w:pPr>
        <w:ind w:right="120" w:firstLine="636"/>
        <w:spacing w:after="0" w:line="246"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0" w:name="page41"/>
    <w:bookmarkEnd w:id="4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operate and by the U.S. federal government. The titling and registration of vehicles and the sale of value-added products also are regulated by state laws, and such laws can vary significantly from state to state. Regulations governing the used vehicle industry generally do not contemplate our ecommerce business model.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the U.S. Department of Transportation (“DOT”), the U.S. Occupational Health and Safety Administration, the U.S. Department of Justice and the U.S. Federal Communications Commission ("FCC"). Additionally, we are subject to regulation by individual state dealer licensing authorities, state consumer protection agencies and state financial regulatory agencies. From time to time, we have been subject to audits, requests for information, investigations and other inquiries from our regulators related to customer complaints. As we have encountered operational challenges in keeping up with our rapid growth, during the past six months there has been an increase in customer complaints, leading to an increase in such regulatory inquiries. We endeavor to promptly respond to any such inquiries and cooperate with our regulators. Failure to satisfy regulators in response to such inquiries could lead to financial penalties and restrictions on our operations. Such an outcome could have a material adverse effect on our business, financial condition and results of operations.</w:t>
      </w:r>
    </w:p>
    <w:p>
      <w:pPr>
        <w:spacing w:after="0" w:line="200" w:lineRule="exact"/>
        <w:rPr>
          <w:sz w:val="20"/>
          <w:szCs w:val="20"/>
          <w:color w:val="auto"/>
        </w:rPr>
      </w:pPr>
    </w:p>
    <w:p>
      <w:pPr>
        <w:ind w:right="200" w:firstLine="636"/>
        <w:spacing w:after="0" w:line="237"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States of Texas, Florida and Arizona and all of our vehicle transactions are conducted under our Texas, Florida and Arizona licenses. We believe that our activities in other states are not subject to their vehicle dealer licensing laws; however, regulators in such states could seek to require us to maintain a used vehicle dealer license in order to engage in activities in that state.</w:t>
      </w:r>
    </w:p>
    <w:p>
      <w:pPr>
        <w:spacing w:after="0" w:line="191"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Most states regulate retail installment sales, including setting a maximum interest rate and caps on certain fees or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 retail installment seller license in Florida in connection with our Florida dealer license, and filed the required notice in Arizona in connection with our Arizona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recently obtained a Pennsylvania installment seller license and expect to resume offering financing to Pennsylvania customers in the future.</w:t>
      </w:r>
    </w:p>
    <w:p>
      <w:pPr>
        <w:spacing w:after="0" w:line="193"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Any failure to renew or maintain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191"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Our proprietary logistics operations are subject to regulation by the DOT and by the states through which our vehicles travel. Transport vehicle dimensions, transport vehicle conditions, driver motor vehicle record history, driver alcohol and drug testing, and driver hours of service are also subject to both federal and state regulation. More restrictive limitations on vehicle weight and size, condition, trailer length and configuration, methods of measurement, driver qualifications, or driver hours of service would increase our operating expenses and may adversely affect our financial condition, operating results, and cash flows. If we fail to comply with the DOT regulations or if those regulations become more stringent, we could be subject to increased inspections, audits, or compliance burdens. Regulatory authorities could take remedial action including imposing fines, suspending, or shutting down our transportation operations. If any of these events occur, our business, financial condition and results of operations would be adversely affected.</w:t>
      </w:r>
    </w:p>
    <w:p>
      <w:pPr>
        <w:spacing w:after="0" w:line="194"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UACC's financing operations are subject to U.S. federal, state, and local laws and regulations regarding origination, acquiring motor vehicle installment sales contracts from retail sellers, credit bureau reporting, servicing, debt collection practices, and securitization transactions. Certain states require UACC to have a sales finance license, consumer credit license, or similar applicable license. UACC has obtained licenses in all states as required. In addition,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41" w:name="page42"/>
    <w:bookmarkEnd w:id="4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UACC is subject to enforcement by the CFPB and state consumer protection agencies, including state attorney general offices and state financial regulatory agencies.</w:t>
      </w:r>
    </w:p>
    <w:p>
      <w:pPr>
        <w:spacing w:after="0" w:line="183" w:lineRule="exact"/>
        <w:rPr>
          <w:sz w:val="20"/>
          <w:szCs w:val="20"/>
          <w:color w:val="auto"/>
        </w:rPr>
      </w:pPr>
    </w:p>
    <w:p>
      <w:pPr>
        <w:ind w:right="180" w:firstLine="636"/>
        <w:spacing w:after="0" w:line="238"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and logistics,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89"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We are also subject to laws and regulations affecting public companies, including securities laws and Nasdaq listing rules. The violation of any of these laws or regulations could result in administrative, civil or criminal penalties or in a cease-and-desist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189" w:lineRule="exact"/>
        <w:rPr>
          <w:sz w:val="20"/>
          <w:szCs w:val="20"/>
          <w:color w:val="auto"/>
        </w:rPr>
      </w:pPr>
    </w:p>
    <w:p>
      <w:pPr>
        <w:ind w:right="160" w:firstLine="636"/>
        <w:spacing w:after="0" w:line="246" w:lineRule="auto"/>
        <w:rPr>
          <w:sz w:val="20"/>
          <w:szCs w:val="20"/>
          <w:color w:val="auto"/>
        </w:rPr>
      </w:pPr>
      <w:r>
        <w:rPr>
          <w:rFonts w:ascii="Arial" w:cs="Arial" w:eastAsia="Arial" w:hAnsi="Arial"/>
          <w:sz w:val="18"/>
          <w:szCs w:val="18"/>
          <w:color w:val="auto"/>
        </w:rPr>
        <w:t>Additionally, we are subject to Federal, State and local laws and regulations and other government actions related to the COVID-19 pandemic.</w:t>
      </w:r>
    </w:p>
    <w:p>
      <w:pPr>
        <w:spacing w:after="0" w:line="183"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182"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200"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We expect that industry standards, laws and regulations will continue to develop regarding privacy, data protection and information security in many jurisdictions, including the California Consumer Privacy Act (the “CCPA”), as amended and expanded by the California Privacy Rights Act (“CPRA”) effective January 1, 2023, the Virginia Consumer Data Protection Act, which goes into effect January 1, 2023, and the Colorado Privacy Act, which goes into effect July 1, 2023. Complying with these evolving obligations is costly. For instance, expanding definitions and interpretations of what constitutes “personal data” (or the equivalent) within the United States may increase our compliance costs and legal liability. Additionally, the CPRA creates a new California data protection agency specifically tasked to enforce the CCPA, which would likely result in increased regulatory scrutiny of California businesses in the areas of data protection and security. The substantive requirements for businesses subject to the CPRA will become enforceable on July 1, 2023.</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2" w:name="page43"/>
    <w:bookmarkEnd w:id="4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40" w:firstLine="636"/>
        <w:spacing w:after="0" w:line="237" w:lineRule="auto"/>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67"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162"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We utilize telephone calls as a means of responding to and communicating with customers interested in purchasing, trading in and/or selling vehicles and value-added products. Potential customers can submit their contact information, including phone number, via our website or third-party listing sites to express their interest in purchasing a vehicle, selling a vehicle, or obtaining financing terms. We currently engage third-party customer experience centers to respond to these inquiries and further communicate with potential customers concerning sales, purchases and financings of our vehicles through our platform. We send text messages to customers concerning the status of their order, and we intend to expand our use of texting as a means of communicating with our customers.</w:t>
      </w:r>
    </w:p>
    <w:p>
      <w:pPr>
        <w:spacing w:after="0" w:line="191"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The Telephone Consumer Protection Act (the “TCPA”), as interpreted and implemented by the FCC and U.S. courts, imposes significant restrictions on the use of autodialed telephone calls, pre-recorded messages, and text messages to residential and mobile telephone numbers as a means of communication when prior consent of the person being contacted has not been obtained. Violations of the TCPA may be enforced by the FCC or by individuals through litigation, including class actions. Statutory penalties for TCPA violations range from $500 to $1,500 per violation, which has been interpreted to mean per phone call or text message.</w:t>
      </w:r>
    </w:p>
    <w:p>
      <w:pPr>
        <w:spacing w:after="0" w:line="189" w:lineRule="exact"/>
        <w:rPr>
          <w:sz w:val="20"/>
          <w:szCs w:val="20"/>
          <w:color w:val="auto"/>
        </w:rPr>
      </w:pPr>
    </w:p>
    <w:p>
      <w:pPr>
        <w:ind w:right="60" w:firstLine="636"/>
        <w:spacing w:after="0" w:line="253" w:lineRule="auto"/>
        <w:rPr>
          <w:sz w:val="20"/>
          <w:szCs w:val="20"/>
          <w:color w:val="auto"/>
        </w:rPr>
      </w:pPr>
      <w:r>
        <w:rPr>
          <w:rFonts w:ascii="Arial" w:cs="Arial" w:eastAsia="Arial" w:hAnsi="Arial"/>
          <w:sz w:val="17"/>
          <w:szCs w:val="17"/>
          <w:color w:val="auto"/>
        </w:rPr>
        <w:t>While we have implemented processes and procedures to comply with the TCPA, if we or the third parties on which we rely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15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62" w:lineRule="exact"/>
        <w:rPr>
          <w:sz w:val="20"/>
          <w:szCs w:val="20"/>
          <w:color w:val="auto"/>
        </w:rPr>
      </w:pPr>
    </w:p>
    <w:p>
      <w:pPr>
        <w:ind w:right="40" w:firstLine="636"/>
        <w:spacing w:after="0" w:line="235"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and proposed regulations such as the CCPA may increase our costs of compliance.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200"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3" w:name="page44"/>
    <w:bookmarkEnd w:id="4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Use of Data and Technology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are dependent on our ability to correctly appraise and price vehicles we buy and sell.</w:t>
      </w:r>
    </w:p>
    <w:p>
      <w:pPr>
        <w:spacing w:after="0" w:line="220"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OEMs and dealers.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220"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90"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162"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to shop for used vehicles and increase the number of transactions with us that are completed by those users. The shift to mobile technology by our users may harm our business in the following ways:</w:t>
      </w:r>
    </w:p>
    <w:p>
      <w:pPr>
        <w:spacing w:after="0" w:line="189" w:lineRule="exact"/>
        <w:rPr>
          <w:sz w:val="20"/>
          <w:szCs w:val="20"/>
          <w:color w:val="auto"/>
        </w:rPr>
      </w:pPr>
    </w:p>
    <w:p>
      <w:pPr>
        <w:ind w:left="1020" w:right="240" w:hanging="376"/>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left="1020" w:hanging="376"/>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183" w:lineRule="exact"/>
        <w:rPr>
          <w:rFonts w:ascii="Arial" w:cs="Arial" w:eastAsia="Arial" w:hAnsi="Arial"/>
          <w:sz w:val="18"/>
          <w:szCs w:val="18"/>
          <w:color w:val="auto"/>
        </w:rPr>
      </w:pPr>
    </w:p>
    <w:p>
      <w:pPr>
        <w:ind w:left="1020" w:hanging="376"/>
        <w:spacing w:after="0" w:line="23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related to consumer protection, such as the Federal Trade Commission Act and similar state regulations, and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191"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or use our mobile apps, our business, financial condition and results of operations could be harmed.</w:t>
      </w:r>
    </w:p>
    <w:p>
      <w:pPr>
        <w:spacing w:after="0" w:line="16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177" w:lineRule="exact"/>
        <w:rPr>
          <w:sz w:val="20"/>
          <w:szCs w:val="20"/>
          <w:color w:val="auto"/>
        </w:rPr>
      </w:pPr>
    </w:p>
    <w:p>
      <w:pPr>
        <w:ind w:right="60" w:firstLine="636"/>
        <w:spacing w:after="0" w:line="250" w:lineRule="auto"/>
        <w:rPr>
          <w:sz w:val="20"/>
          <w:szCs w:val="20"/>
          <w:color w:val="auto"/>
        </w:rPr>
      </w:pPr>
      <w:r>
        <w:rPr>
          <w:rFonts w:ascii="Arial" w:cs="Arial" w:eastAsia="Arial" w:hAnsi="Arial"/>
          <w:sz w:val="17"/>
          <w:szCs w:val="17"/>
          <w:color w:val="auto"/>
        </w:rPr>
        <w:t>We depend in part on internet search engines, such as Google, Bing and Yahoo!, vehicle listing sites and social networking sites such as Facebook and Instagram to drive traffic to our platform.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177"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customers, or if customers decline to open our emails or other messages, our revenues could be materially and adversely affected. Any changes in how webmail applications organize and prioritize email may reduce the number of customers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customers and may reduce the likelihood of that customer opening our emails.</w:t>
      </w:r>
    </w:p>
    <w:p>
      <w:pPr>
        <w:spacing w:after="0" w:line="192" w:lineRule="exact"/>
        <w:rPr>
          <w:sz w:val="20"/>
          <w:szCs w:val="20"/>
          <w:color w:val="auto"/>
        </w:rPr>
      </w:pPr>
    </w:p>
    <w:p>
      <w:pPr>
        <w:ind w:right="100" w:firstLine="636"/>
        <w:spacing w:after="0" w:line="236" w:lineRule="auto"/>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5" w:name="page46"/>
    <w:bookmarkEnd w:id="4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177"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calculate state taxes and fees associated with our vehicle sales and acquisitions,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ransomware, denial-of-service attacks, acts of terrorism, human error, vandalism or sabotage, financial insolvency, bankruptcy and similar events. The failure of these systems to perform as designed, the failure to maintain or update these systems as necessary, the vulnerability of these systems to ransomware, other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169"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162"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189" w:lineRule="exact"/>
        <w:rPr>
          <w:sz w:val="20"/>
          <w:szCs w:val="20"/>
          <w:color w:val="auto"/>
        </w:rPr>
      </w:pPr>
    </w:p>
    <w:p>
      <w:pPr>
        <w:ind w:right="20" w:firstLine="644"/>
        <w:spacing w:after="0" w:line="236"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17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62" w:lineRule="exact"/>
        <w:rPr>
          <w:sz w:val="20"/>
          <w:szCs w:val="20"/>
          <w:color w:val="auto"/>
        </w:rPr>
      </w:pPr>
    </w:p>
    <w:p>
      <w:pPr>
        <w:ind w:right="100" w:firstLine="644"/>
        <w:spacing w:after="0" w:line="238"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189" w:lineRule="exact"/>
        <w:rPr>
          <w:sz w:val="20"/>
          <w:szCs w:val="20"/>
          <w:color w:val="auto"/>
        </w:rPr>
      </w:pPr>
    </w:p>
    <w:p>
      <w:pPr>
        <w:ind w:right="240" w:firstLine="644"/>
        <w:spacing w:after="0" w:line="238" w:lineRule="auto"/>
        <w:rPr>
          <w:sz w:val="20"/>
          <w:szCs w:val="20"/>
          <w:color w:val="auto"/>
        </w:rPr>
      </w:pPr>
      <w:r>
        <w:rPr>
          <w:rFonts w:ascii="Arial" w:cs="Arial" w:eastAsia="Arial" w:hAnsi="Arial"/>
          <w:sz w:val="18"/>
          <w:szCs w:val="18"/>
          <w:color w:val="auto"/>
        </w:rPr>
        <w:t>Vroom operates a data center at a colocation facility in Houston, Texas, which connects all of Vroom’s offices and our Vroom VRC. UACC operates separate data centers at a colocation facility in California and in Texas to support its operations. Our data centers are vulnerable to damage or interruption from fire, flood, power loss, telecommunications failures, terrorist attacks, acts of war, electronic and physical break-ins, computer viruses, ransomware, earthquakes and similar events. The occurrence of any of these events could render communications between Vroom offices inoperable 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results of operations could be harmed. 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94" w:lineRule="exact"/>
        <w:rPr>
          <w:sz w:val="20"/>
          <w:szCs w:val="20"/>
          <w:color w:val="auto"/>
        </w:rPr>
      </w:pPr>
    </w:p>
    <w:p>
      <w:pPr>
        <w:ind w:right="160" w:firstLine="644"/>
        <w:spacing w:after="0"/>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162"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89" w:lineRule="exact"/>
        <w:rPr>
          <w:sz w:val="20"/>
          <w:szCs w:val="20"/>
          <w:color w:val="auto"/>
        </w:rPr>
      </w:pPr>
    </w:p>
    <w:p>
      <w:pPr>
        <w:ind w:right="20" w:firstLine="636"/>
        <w:spacing w:after="0" w:line="252" w:lineRule="auto"/>
        <w:rPr>
          <w:sz w:val="20"/>
          <w:szCs w:val="20"/>
          <w:color w:val="auto"/>
        </w:rPr>
      </w:pPr>
      <w:r>
        <w:rPr>
          <w:rFonts w:ascii="Arial" w:cs="Arial" w:eastAsia="Arial" w:hAnsi="Arial"/>
          <w:sz w:val="17"/>
          <w:szCs w:val="17"/>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81" w:lineRule="exact"/>
        <w:rPr>
          <w:sz w:val="20"/>
          <w:szCs w:val="20"/>
          <w:color w:val="auto"/>
        </w:rPr>
      </w:pPr>
    </w:p>
    <w:p>
      <w:pPr>
        <w:ind w:right="160" w:firstLine="636"/>
        <w:spacing w:after="0" w:line="238" w:lineRule="auto"/>
        <w:rPr>
          <w:sz w:val="20"/>
          <w:szCs w:val="20"/>
          <w:color w:val="auto"/>
        </w:rPr>
      </w:pPr>
      <w:r>
        <w:rPr>
          <w:rFonts w:ascii="Arial" w:cs="Arial" w:eastAsia="Arial" w:hAnsi="Arial"/>
          <w:sz w:val="18"/>
          <w:szCs w:val="18"/>
          <w:color w:val="auto"/>
        </w:rPr>
        <w:t>We are currently the registrant of the vroom.com and texasdirectauto.com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91" w:lineRule="exact"/>
        <w:rPr>
          <w:sz w:val="20"/>
          <w:szCs w:val="20"/>
          <w:color w:val="auto"/>
        </w:rPr>
      </w:pPr>
    </w:p>
    <w:p>
      <w:pPr>
        <w:ind w:right="20" w:firstLine="636"/>
        <w:spacing w:after="0" w:line="213" w:lineRule="auto"/>
        <w:rPr>
          <w:sz w:val="20"/>
          <w:szCs w:val="20"/>
          <w:color w:val="auto"/>
        </w:rPr>
      </w:pPr>
      <w:r>
        <w:rPr>
          <w:rFonts w:ascii="Arial" w:cs="Arial" w:eastAsia="Arial" w:hAnsi="Arial"/>
          <w:sz w:val="18"/>
          <w:szCs w:val="18"/>
          <w:color w:val="auto"/>
        </w:rPr>
        <w:t>In addition, we have certain trademarks that are important to our business, such as the Vroom</w:t>
      </w:r>
      <w:r>
        <w:rPr>
          <w:rFonts w:ascii="Arial" w:cs="Arial" w:eastAsia="Arial" w:hAnsi="Arial"/>
          <w:sz w:val="24"/>
          <w:szCs w:val="24"/>
          <w:color w:val="auto"/>
          <w:vertAlign w:val="superscript"/>
        </w:rPr>
        <w:t>®</w:t>
      </w:r>
      <w:r>
        <w:rPr>
          <w:rFonts w:ascii="Arial" w:cs="Arial" w:eastAsia="Arial" w:hAnsi="Arial"/>
          <w:sz w:val="18"/>
          <w:szCs w:val="18"/>
          <w:color w:val="auto"/>
        </w:rPr>
        <w:t>, Sell Us Your Car</w:t>
      </w:r>
      <w:r>
        <w:rPr>
          <w:rFonts w:ascii="Arial" w:cs="Arial" w:eastAsia="Arial" w:hAnsi="Arial"/>
          <w:sz w:val="24"/>
          <w:szCs w:val="24"/>
          <w:color w:val="auto"/>
          <w:vertAlign w:val="superscript"/>
        </w:rPr>
        <w:t>®</w:t>
      </w:r>
      <w:r>
        <w:rPr>
          <w:rFonts w:ascii="Arial" w:cs="Arial" w:eastAsia="Arial" w:hAnsi="Arial"/>
          <w:sz w:val="18"/>
          <w:szCs w:val="18"/>
          <w:color w:val="auto"/>
        </w:rPr>
        <w:t>, CarStory</w:t>
      </w:r>
      <w:r>
        <w:rPr>
          <w:rFonts w:ascii="Arial" w:cs="Arial" w:eastAsia="Arial" w:hAnsi="Arial"/>
          <w:sz w:val="24"/>
          <w:szCs w:val="24"/>
          <w:color w:val="auto"/>
          <w:vertAlign w:val="superscript"/>
        </w:rPr>
        <w:t>®</w:t>
      </w:r>
      <w:r>
        <w:rPr>
          <w:rFonts w:ascii="Arial" w:cs="Arial" w:eastAsia="Arial" w:hAnsi="Arial"/>
          <w:sz w:val="18"/>
          <w:szCs w:val="18"/>
          <w:color w:val="auto"/>
        </w:rPr>
        <w:t>, and Vast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(including Canada and Europe), it is possible that others may assert senior rights to similar trademarks, in the U.S. and internationally, and seek to prevent our use and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registration of our trademarks in certain jurisdictions. Our pending trademark or service mark applications may not result in such marks being registered.</w:t>
      </w:r>
    </w:p>
    <w:p>
      <w:pPr>
        <w:spacing w:after="0" w:line="183"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189"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Effective protection of patents is expensive and difficult to maintain, both in terms of application and registration costs as well as the costs of defending and enforcing those rights.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16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7"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1" w:lineRule="exact"/>
        <w:rPr>
          <w:sz w:val="20"/>
          <w:szCs w:val="20"/>
          <w:color w:val="auto"/>
        </w:rPr>
      </w:pPr>
    </w:p>
    <w:p>
      <w:pPr>
        <w:ind w:right="280" w:firstLine="636"/>
        <w:spacing w:after="0" w:line="238"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77" w:lineRule="exact"/>
        <w:rPr>
          <w:sz w:val="20"/>
          <w:szCs w:val="20"/>
          <w:color w:val="auto"/>
        </w:rPr>
      </w:pPr>
    </w:p>
    <w:p>
      <w:pPr>
        <w:ind w:right="120" w:firstLine="636"/>
        <w:spacing w:after="0" w:line="246"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83" w:lineRule="exact"/>
        <w:rPr>
          <w:sz w:val="20"/>
          <w:szCs w:val="20"/>
          <w:color w:val="auto"/>
        </w:rPr>
      </w:pPr>
    </w:p>
    <w:p>
      <w:pPr>
        <w:ind w:right="400" w:firstLine="686"/>
        <w:spacing w:after="0" w:line="274"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elsewhere in this Annual Report on Form 10-K, as well as the following:</w:t>
      </w:r>
    </w:p>
    <w:p>
      <w:pPr>
        <w:spacing w:after="0" w:line="161"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48" w:name="page49"/>
    <w:bookmarkEnd w:id="4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left="1020" w:right="36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unrest and wars, such as the current situation with Ukraine and Russia, which could delay and disrupt our business, and if such political unrest escalates or leads to disruptions in the financial markets or puts further pressure on global supply chains, it could heighten many of the other risk factors included in this Item 1A; and</w:t>
      </w:r>
    </w:p>
    <w:p>
      <w:pPr>
        <w:spacing w:after="0" w:line="189"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United States and global economies or financial markets, including those resulting from natural disasters, terrorist attacks, global pandemics, and responses to such events.</w:t>
      </w:r>
    </w:p>
    <w:p>
      <w:pPr>
        <w:spacing w:after="0" w:line="183"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89"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We have recently experienced significant declines in the market price of our common stock, and it could continue to decline in the future. Further declines in our stock price could, among other things, make it more difficult to raise capital on terms acceptable to us, or at all, make it difficult for our investors to sell their shares of common stock, and lead to a goodwill impairment.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 Item 3. “Legal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220"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9" w:name="page50"/>
    <w:bookmarkEnd w:id="4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16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62"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16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may dilute your ownership of us and could adversely affect our stock price.</w:t>
      </w:r>
    </w:p>
    <w:p>
      <w:pPr>
        <w:spacing w:after="0" w:line="16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We may issue additional capital stock in the future that will result in dilution to all other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w:t>
      </w:r>
    </w:p>
    <w:p>
      <w:pPr>
        <w:spacing w:after="0" w:line="162" w:lineRule="exact"/>
        <w:rPr>
          <w:sz w:val="20"/>
          <w:szCs w:val="20"/>
          <w:color w:val="auto"/>
        </w:rPr>
      </w:pPr>
    </w:p>
    <w:p>
      <w:pPr>
        <w:ind w:right="120" w:firstLine="636"/>
        <w:spacing w:after="0" w:line="236"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December 31, 2021, we had reserved 2,777,619 shares of our common stock for issuance under our equity incentive plans. The indenture for our Notes does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62"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Other than shares held by our affiliates, stockholders who held our capital stock prior to completion of our IPO now hold freely tradable shares of our common stock without restriction or further registration requirements under the Securities Act, and therefore they may take steps to sell their shares or otherwise secure the unrecognized gains on those shares. Additionally, any shares of common stock held by our affiliates are eligible for resale pursuant to Rule 144 under the Securities Act, subject to the volume, manner of sale, holding period and other limitations of Rule 144.</w:t>
      </w:r>
    </w:p>
    <w:p>
      <w:pPr>
        <w:spacing w:after="0" w:line="189"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A registration statement on Form S-8 is being filed to register shares of our common stock issued or reserved for issuance under our 2020 Incentive Award Plan and Second Amended and Restated 2014 Equity Incentive Plan. Subject to the satisfaction of vesting conditions, shares registered under the registration statement on Form S-8 will be available for resale immediately in the public market without restriction.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60" w:firstLine="636"/>
        <w:spacing w:after="0" w:line="246" w:lineRule="auto"/>
        <w:rPr>
          <w:sz w:val="20"/>
          <w:szCs w:val="20"/>
          <w:color w:val="auto"/>
        </w:rPr>
      </w:pPr>
      <w:r>
        <w:rPr>
          <w:rFonts w:ascii="Arial" w:cs="Arial" w:eastAsia="Arial" w:hAnsi="Arial"/>
          <w:sz w:val="18"/>
          <w:szCs w:val="18"/>
          <w:color w:val="auto"/>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unable to predict the timing of or the effect that such sales may have on the prevailing market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22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As a public company, we face significant legal, accounting, administrative and other costs and expenses. We are subject to the Exchange Act, the rules and regulations implemented by the SEC, the Sarbanes-Oxley Act, the Wall Street Reform and Consumer Protection Act of 2020 (the “Dodd-Frank Act”), the Public Company Accounting Oversight Board (“PCAOB”) and Nasdaq rules and standards, each of which imposes additional reporting and other obligations on public companies. As a public company, we are required to, among other things:</w:t>
      </w:r>
    </w:p>
    <w:p>
      <w:pPr>
        <w:spacing w:after="0" w:line="191" w:lineRule="exact"/>
        <w:rPr>
          <w:sz w:val="20"/>
          <w:szCs w:val="20"/>
          <w:color w:val="auto"/>
        </w:rPr>
      </w:pP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98" w:lineRule="exact"/>
        <w:rPr>
          <w:rFonts w:ascii="Arial" w:cs="Arial" w:eastAsia="Arial" w:hAnsi="Arial"/>
          <w:sz w:val="18"/>
          <w:szCs w:val="18"/>
          <w:color w:val="auto"/>
        </w:rPr>
      </w:pP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98" w:lineRule="exact"/>
        <w:rPr>
          <w:rFonts w:ascii="Arial" w:cs="Arial" w:eastAsia="Arial" w:hAnsi="Arial"/>
          <w:sz w:val="18"/>
          <w:szCs w:val="18"/>
          <w:color w:val="auto"/>
        </w:rPr>
      </w:pPr>
    </w:p>
    <w:p>
      <w:pPr>
        <w:ind w:left="1020" w:right="640" w:hanging="376"/>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financial and accounting personnel and other experienced accounting and finance staff with the expertise to address complex accounting matters applicable to public companies;</w:t>
      </w:r>
    </w:p>
    <w:p>
      <w:pPr>
        <w:spacing w:after="0" w:line="183" w:lineRule="exact"/>
        <w:rPr>
          <w:rFonts w:ascii="Arial" w:cs="Arial" w:eastAsia="Arial" w:hAnsi="Arial"/>
          <w:sz w:val="18"/>
          <w:szCs w:val="18"/>
          <w:color w:val="auto"/>
        </w:rPr>
      </w:pP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institute comprehensive financial reporting and disclosure compliance procedures;</w:t>
      </w:r>
    </w:p>
    <w:p>
      <w:pPr>
        <w:spacing w:after="0" w:line="193" w:lineRule="exact"/>
        <w:rPr>
          <w:rFonts w:ascii="Arial" w:cs="Arial" w:eastAsia="Arial" w:hAnsi="Arial"/>
          <w:sz w:val="18"/>
          <w:szCs w:val="18"/>
          <w:color w:val="auto"/>
        </w:rPr>
      </w:pP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involve and retain outside counsel and accountants to assist us with the activities listed above;</w:t>
      </w: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98" w:lineRule="exact"/>
        <w:rPr>
          <w:rFonts w:ascii="Arial" w:cs="Arial" w:eastAsia="Arial" w:hAnsi="Arial"/>
          <w:sz w:val="18"/>
          <w:szCs w:val="18"/>
          <w:color w:val="auto"/>
        </w:rPr>
      </w:pP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new internal policies, including those relating to trading in our securities and disclosure controls and procedures;</w:t>
      </w:r>
    </w:p>
    <w:p>
      <w:pPr>
        <w:spacing w:after="0" w:line="198" w:lineRule="exact"/>
        <w:rPr>
          <w:rFonts w:ascii="Arial" w:cs="Arial" w:eastAsia="Arial" w:hAnsi="Arial"/>
          <w:sz w:val="18"/>
          <w:szCs w:val="18"/>
          <w:color w:val="auto"/>
        </w:rPr>
      </w:pP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Nasdaq’s listing standards; and</w:t>
      </w:r>
    </w:p>
    <w:p>
      <w:pPr>
        <w:spacing w:after="0" w:line="198" w:lineRule="exact"/>
        <w:rPr>
          <w:rFonts w:ascii="Arial" w:cs="Arial" w:eastAsia="Arial" w:hAnsi="Arial"/>
          <w:sz w:val="18"/>
          <w:szCs w:val="18"/>
          <w:color w:val="auto"/>
        </w:rPr>
      </w:pPr>
    </w:p>
    <w:p>
      <w:pPr>
        <w:ind w:left="1020" w:hanging="37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198" w:lineRule="exact"/>
        <w:rPr>
          <w:sz w:val="20"/>
          <w:szCs w:val="20"/>
          <w:color w:val="auto"/>
        </w:rPr>
      </w:pPr>
    </w:p>
    <w:p>
      <w:pPr>
        <w:ind w:right="60" w:firstLine="636"/>
        <w:spacing w:after="0" w:line="252"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81" w:lineRule="exact"/>
        <w:rPr>
          <w:sz w:val="20"/>
          <w:szCs w:val="20"/>
          <w:color w:val="auto"/>
        </w:rPr>
      </w:pPr>
    </w:p>
    <w:p>
      <w:pPr>
        <w:ind w:right="160" w:firstLine="636"/>
        <w:spacing w:after="0" w:line="237" w:lineRule="auto"/>
        <w:rPr>
          <w:sz w:val="20"/>
          <w:szCs w:val="20"/>
          <w:color w:val="auto"/>
        </w:rPr>
      </w:pPr>
      <w:r>
        <w:rPr>
          <w:rFonts w:ascii="Arial" w:cs="Arial" w:eastAsia="Arial" w:hAnsi="Arial"/>
          <w:sz w:val="18"/>
          <w:szCs w:val="18"/>
          <w:color w:val="auto"/>
        </w:rPr>
        <w:t>In addition, the need to continue to develop the corporate infrastructure demanded of a public company may also divert management’s attention from implementing our business strategy,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89" w:lineRule="exact"/>
        <w:rPr>
          <w:sz w:val="20"/>
          <w:szCs w:val="20"/>
          <w:color w:val="auto"/>
        </w:rPr>
      </w:pPr>
    </w:p>
    <w:p>
      <w:pPr>
        <w:jc w:val="both"/>
        <w:ind w:right="40" w:firstLine="636"/>
        <w:spacing w:after="0"/>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1" w:name="page52"/>
    <w:bookmarkEnd w:id="5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difficult for us to attract and retain qualified people to serve on our board of directors, our board committees or as executive officers.</w:t>
      </w:r>
    </w:p>
    <w:p>
      <w:pPr>
        <w:spacing w:after="0" w:line="37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experience additional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85"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91"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beginning with this annual report for the year ended December 31, 2021,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Our compliance with Section 404(a) will require that we incur substantial expenses and expend significant management efforts.</w:t>
      </w:r>
    </w:p>
    <w:p>
      <w:pPr>
        <w:spacing w:after="0" w:line="189"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We previously identified and disclosed certain material weaknesses in our internal control over financial reporting in our Annual Report on Form 10-K for the year ended December 31, 2020. These material weaknesses have since been remediated, but additional material weaknesses or significant deficiencies may be discovered in the future. If we identify additional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71"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77"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189" w:lineRule="exact"/>
        <w:rPr>
          <w:sz w:val="20"/>
          <w:szCs w:val="20"/>
          <w:color w:val="auto"/>
        </w:rPr>
      </w:pPr>
    </w:p>
    <w:p>
      <w:pPr>
        <w:ind w:left="1020" w:right="660" w:hanging="376"/>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183" w:lineRule="exact"/>
        <w:rPr>
          <w:rFonts w:ascii="Arial" w:cs="Arial" w:eastAsia="Arial" w:hAnsi="Arial"/>
          <w:sz w:val="18"/>
          <w:szCs w:val="18"/>
          <w:color w:val="auto"/>
        </w:rPr>
      </w:pPr>
    </w:p>
    <w:p>
      <w:pPr>
        <w:ind w:left="1020" w:right="320" w:hanging="376"/>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183" w:lineRule="exact"/>
        <w:rPr>
          <w:rFonts w:ascii="Arial" w:cs="Arial" w:eastAsia="Arial" w:hAnsi="Arial"/>
          <w:sz w:val="18"/>
          <w:szCs w:val="18"/>
          <w:color w:val="auto"/>
        </w:rPr>
      </w:pPr>
    </w:p>
    <w:p>
      <w:pPr>
        <w:ind w:left="1020" w:right="280" w:hanging="376"/>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183" w:lineRule="exact"/>
        <w:rPr>
          <w:rFonts w:ascii="Arial" w:cs="Arial" w:eastAsia="Arial" w:hAnsi="Arial"/>
          <w:sz w:val="18"/>
          <w:szCs w:val="18"/>
          <w:color w:val="auto"/>
        </w:rPr>
      </w:pPr>
    </w:p>
    <w:p>
      <w:pPr>
        <w:ind w:left="1020" w:hanging="376"/>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98" w:lineRule="exact"/>
        <w:rPr>
          <w:rFonts w:ascii="Arial" w:cs="Arial" w:eastAsia="Arial" w:hAnsi="Arial"/>
          <w:sz w:val="18"/>
          <w:szCs w:val="18"/>
          <w:color w:val="auto"/>
        </w:rPr>
      </w:pPr>
    </w:p>
    <w:p>
      <w:pPr>
        <w:ind w:left="1020" w:hanging="376"/>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52" w:name="page53"/>
    <w:bookmarkEnd w:id="5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ind w:left="1020" w:right="140" w:hanging="376"/>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183" w:lineRule="exact"/>
        <w:rPr>
          <w:rFonts w:ascii="Arial" w:cs="Arial" w:eastAsia="Arial" w:hAnsi="Arial"/>
          <w:sz w:val="18"/>
          <w:szCs w:val="18"/>
          <w:color w:val="auto"/>
        </w:rPr>
      </w:pPr>
    </w:p>
    <w:p>
      <w:pPr>
        <w:ind w:left="1020" w:right="300" w:hanging="376"/>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183" w:lineRule="exact"/>
        <w:rPr>
          <w:rFonts w:ascii="Arial" w:cs="Arial" w:eastAsia="Arial" w:hAnsi="Arial"/>
          <w:sz w:val="18"/>
          <w:szCs w:val="18"/>
          <w:color w:val="auto"/>
        </w:rPr>
      </w:pPr>
    </w:p>
    <w:p>
      <w:pPr>
        <w:ind w:left="1020" w:right="160" w:hanging="376"/>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83"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94" w:lineRule="exact"/>
        <w:rPr>
          <w:sz w:val="20"/>
          <w:szCs w:val="20"/>
          <w:color w:val="auto"/>
        </w:rPr>
      </w:pPr>
    </w:p>
    <w:p>
      <w:pPr>
        <w:jc w:val="both"/>
        <w:ind w:right="220" w:firstLine="636"/>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6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82" w:lineRule="exact"/>
        <w:rPr>
          <w:sz w:val="20"/>
          <w:szCs w:val="20"/>
          <w:color w:val="auto"/>
        </w:rPr>
      </w:pPr>
    </w:p>
    <w:p>
      <w:pPr>
        <w:ind w:right="60" w:firstLine="636"/>
        <w:spacing w:after="0" w:line="248"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8"/>
        <w:spacing w:after="0" w:line="236"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6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162" w:lineRule="exact"/>
        <w:rPr>
          <w:sz w:val="20"/>
          <w:szCs w:val="20"/>
          <w:color w:val="auto"/>
        </w:rPr>
      </w:pPr>
    </w:p>
    <w:p>
      <w:pPr>
        <w:ind w:right="100" w:firstLine="636"/>
        <w:spacing w:after="0" w:line="261" w:lineRule="auto"/>
        <w:rPr>
          <w:sz w:val="20"/>
          <w:szCs w:val="20"/>
          <w:color w:val="auto"/>
        </w:rPr>
      </w:pPr>
      <w:r>
        <w:rPr>
          <w:rFonts w:ascii="Arial" w:cs="Arial" w:eastAsia="Arial" w:hAnsi="Arial"/>
          <w:sz w:val="17"/>
          <w:szCs w:val="17"/>
          <w:color w:val="auto"/>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0" w:firstLine="636"/>
        <w:spacing w:after="0" w:line="261"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do not have any control over these analysts. Currently, thirteen analysts cover our company. If the number of analysts that cover us declines, demand for our common stock could decrease and our common stock price and trading volume may decline.</w:t>
      </w:r>
    </w:p>
    <w:p>
      <w:pPr>
        <w:spacing w:after="0" w:line="172" w:lineRule="exact"/>
        <w:rPr>
          <w:sz w:val="20"/>
          <w:szCs w:val="20"/>
          <w:color w:val="auto"/>
        </w:rPr>
      </w:pPr>
    </w:p>
    <w:p>
      <w:pPr>
        <w:ind w:right="180" w:firstLine="636"/>
        <w:spacing w:after="0"/>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9" w:lineRule="exact"/>
        <w:rPr>
          <w:sz w:val="20"/>
          <w:szCs w:val="20"/>
          <w:color w:val="auto"/>
        </w:rPr>
      </w:pPr>
    </w:p>
    <w:p>
      <w:pPr>
        <w:ind w:right="160" w:firstLine="636"/>
        <w:spacing w:after="0" w:line="238"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Tax Matters</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162"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As of December 31, 2021 we had U.S. federal net operating loss (“NOL”) carryforwards of $893.4 million, the utilization of which may be limited annually due to certain change in ownership provisions of Section 382 of the Internal Revenue Code of 1986, as amended (the “Code”). Some of our U.S. federal NOL carryforwards will begin to expire in 2028, with the remaining losses having no expiration. Please refer to Note 17 to our consolidated financial statements appearing elsewhere in this Annual Report on Form 10-K for a further discussion of the carryforward of our NOLs. As of December 31, 2021, we maintain a full valuation allowance of $216.0 million for our net deferred tax assets.</w:t>
      </w:r>
    </w:p>
    <w:p>
      <w:pPr>
        <w:spacing w:after="0" w:line="191"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2015 and 2021,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220"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In addition, the U.S. government may enact significant changes to the taxation of business entities including, among others, an increase in the corporate income tax rate and the imposition of minimum taxes. The likelihood of these changes being enacted or implemented is unclear. We are currently unable to predict whether such changes will occur and, if so, the ultimate impact on our business. Further, we are subject to the examination of our income and other tax returns by the IRS and state and local tax authorities, which could have an impact on our business, financial condition and results of operations.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77" w:lineRule="exact"/>
        <w:rPr>
          <w:sz w:val="20"/>
          <w:szCs w:val="20"/>
          <w:color w:val="auto"/>
        </w:rPr>
      </w:pPr>
    </w:p>
    <w:p>
      <w:pPr>
        <w:ind w:right="180" w:firstLine="636"/>
        <w:spacing w:after="0"/>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4" w:name="page55"/>
    <w:bookmarkEnd w:id="5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believe these lawsuits are without merit and intend to vigorously contest these claims. See Part I, Item 3. “Legal Proceedings” for more information about this class action and other legal proceedings to which we are subject.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recognize impairment charges related to goodwill, identified intangible assets and fixed assets.</w:t>
      </w:r>
    </w:p>
    <w:p>
      <w:pPr>
        <w:spacing w:after="0" w:line="220" w:lineRule="exact"/>
        <w:rPr>
          <w:sz w:val="20"/>
          <w:szCs w:val="20"/>
          <w:color w:val="auto"/>
        </w:rPr>
      </w:pPr>
    </w:p>
    <w:p>
      <w:pPr>
        <w:ind w:right="60" w:firstLine="636"/>
        <w:spacing w:after="0" w:line="237" w:lineRule="auto"/>
        <w:rPr>
          <w:sz w:val="20"/>
          <w:szCs w:val="20"/>
          <w:color w:val="auto"/>
        </w:rPr>
      </w:pPr>
      <w:r>
        <w:rPr>
          <w:rFonts w:ascii="Arial" w:cs="Arial" w:eastAsia="Arial" w:hAnsi="Arial"/>
          <w:sz w:val="18"/>
          <w:szCs w:val="18"/>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If, as a result of a general economic slowdown or deterioration in one or more of the markets in which we operate or in our financial performance or future outlook, or if the estimated fair value of our long-lived assets decreases, we may determine that one or more of our long-lived assets is impaired. An impairment charge would be determined based on the estimated fair value of the assets and any such impairment charge could have a material adverse effect on our business, financial condition and results of operations.</w:t>
      </w:r>
    </w:p>
    <w:p>
      <w:pPr>
        <w:spacing w:after="0" w:line="16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and to interruption by manmade problems such as terrorism.</w:t>
      </w:r>
    </w:p>
    <w:p>
      <w:pPr>
        <w:spacing w:after="0" w:line="162"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 financial condition and operating results, and our insurance coverage may be insufficient to compensate us for losses that may occur. Global climate change is resulting in certain types of natural disasters occurring more frequently or with more intense effects.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20"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162" w:lineRule="exact"/>
        <w:rPr>
          <w:sz w:val="20"/>
          <w:szCs w:val="20"/>
          <w:color w:val="auto"/>
        </w:rPr>
      </w:pPr>
    </w:p>
    <w:p>
      <w:pPr>
        <w:ind w:right="160" w:firstLine="636"/>
        <w:spacing w:after="0" w:line="238" w:lineRule="auto"/>
        <w:rPr>
          <w:sz w:val="20"/>
          <w:szCs w:val="20"/>
          <w:color w:val="auto"/>
        </w:rPr>
      </w:pPr>
      <w:r>
        <w:rPr>
          <w:rFonts w:ascii="Arial" w:cs="Arial" w:eastAsia="Arial" w:hAnsi="Arial"/>
          <w:sz w:val="18"/>
          <w:szCs w:val="18"/>
          <w:color w:val="auto"/>
        </w:rPr>
        <w:t>From time to time we provide public guidance on our expected operating and financial results for future periods. Any such guidance will be comprised of forward-looking statements subject to the risks and uncertainties described in this Annual Report on Form 10-K and in our other public filings and public statements. Any such guidance is prepared by our management and is qualified by, and subject to, the assumptions and the other information contained or referred to in the relevant release and the factors described under “Special Note Regarding Forward-Looking Statements” in this Annual Report on Form 10-K and our current and periodic reports filed with the SEC.</w:t>
      </w:r>
    </w:p>
    <w:p>
      <w:pPr>
        <w:spacing w:after="0" w:line="189" w:lineRule="exact"/>
        <w:rPr>
          <w:sz w:val="20"/>
          <w:szCs w:val="20"/>
          <w:color w:val="auto"/>
        </w:rPr>
      </w:pPr>
    </w:p>
    <w:p>
      <w:pPr>
        <w:ind w:right="220" w:firstLine="636"/>
        <w:spacing w:after="0" w:line="246" w:lineRule="auto"/>
        <w:rPr>
          <w:sz w:val="20"/>
          <w:szCs w:val="20"/>
          <w:color w:val="auto"/>
        </w:rPr>
      </w:pPr>
      <w:r>
        <w:rPr>
          <w:rFonts w:ascii="Arial" w:cs="Arial" w:eastAsia="Arial" w:hAnsi="Arial"/>
          <w:sz w:val="18"/>
          <w:szCs w:val="18"/>
          <w:color w:val="auto"/>
        </w:rPr>
        <w:t>Guidance is based upon a number of assumptions and estimates that, although presented with numerical specificity, are inherently subject to business, economic and competitive uncertainties and contingencies, many of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191"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common stock.</w:t>
      </w:r>
    </w:p>
    <w:p>
      <w:pPr>
        <w:spacing w:after="0" w:line="220"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9"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ind w:right="260" w:firstLine="636"/>
        <w:spacing w:after="0" w:line="238" w:lineRule="auto"/>
        <w:rPr>
          <w:sz w:val="20"/>
          <w:szCs w:val="20"/>
          <w:color w:val="auto"/>
        </w:rPr>
      </w:pPr>
      <w:r>
        <w:rPr>
          <w:rFonts w:ascii="Arial" w:cs="Arial" w:eastAsia="Arial" w:hAnsi="Arial"/>
          <w:sz w:val="18"/>
          <w:szCs w:val="18"/>
          <w:color w:val="auto"/>
        </w:rPr>
        <w:t>Our corporate headquarters is located in New York, New York, and consists of approximately 22,549 square feet of space under a lease that expires in May 2025. We also lease office space outside Houston, Texas, which we use to support our administrative functions, under leases that expire in November 2024 and December 2022. We use these facilities for finance, legal, human resources, information technology, engineering, sales and marketing and other administrative functions, all of which support our Ecommerce and Wholesale segments.</w:t>
      </w:r>
    </w:p>
    <w:p>
      <w:pPr>
        <w:spacing w:after="0" w:line="189" w:lineRule="exact"/>
        <w:rPr>
          <w:sz w:val="20"/>
          <w:szCs w:val="20"/>
          <w:color w:val="auto"/>
        </w:rPr>
      </w:pPr>
    </w:p>
    <w:p>
      <w:pPr>
        <w:ind w:right="260" w:firstLine="636"/>
        <w:spacing w:after="0" w:line="246" w:lineRule="auto"/>
        <w:rPr>
          <w:sz w:val="20"/>
          <w:szCs w:val="20"/>
          <w:color w:val="auto"/>
        </w:rPr>
      </w:pPr>
      <w:r>
        <w:rPr>
          <w:rFonts w:ascii="Arial" w:cs="Arial" w:eastAsia="Arial" w:hAnsi="Arial"/>
          <w:sz w:val="18"/>
          <w:szCs w:val="18"/>
          <w:color w:val="auto"/>
        </w:rPr>
        <w:t>Additionally, we operate our Vroom VRC located outside Houston, Texas, under leases that expire in December 2023. We use our Vroom VRC to recondition vehicles, which supports our TDA and Ecommerce segments.</w:t>
      </w:r>
    </w:p>
    <w:p>
      <w:pPr>
        <w:spacing w:after="0" w:line="183" w:lineRule="exact"/>
        <w:rPr>
          <w:sz w:val="20"/>
          <w:szCs w:val="20"/>
          <w:color w:val="auto"/>
        </w:rPr>
      </w:pPr>
    </w:p>
    <w:p>
      <w:pPr>
        <w:ind w:right="640" w:firstLine="636"/>
        <w:spacing w:after="0" w:line="246" w:lineRule="auto"/>
        <w:rPr>
          <w:sz w:val="20"/>
          <w:szCs w:val="20"/>
          <w:color w:val="auto"/>
        </w:rPr>
      </w:pPr>
      <w:r>
        <w:rPr>
          <w:rFonts w:ascii="Arial" w:cs="Arial" w:eastAsia="Arial" w:hAnsi="Arial"/>
          <w:sz w:val="18"/>
          <w:szCs w:val="18"/>
          <w:color w:val="auto"/>
        </w:rPr>
        <w:t>We also operate the TDA dealership outside Houston, Texas, which supports our TDA segment, under a lease that expires in September 2024.</w:t>
      </w:r>
    </w:p>
    <w:p>
      <w:pPr>
        <w:spacing w:after="0" w:line="183" w:lineRule="exact"/>
        <w:rPr>
          <w:sz w:val="20"/>
          <w:szCs w:val="20"/>
          <w:color w:val="auto"/>
        </w:rPr>
      </w:pPr>
    </w:p>
    <w:p>
      <w:pPr>
        <w:ind w:right="80" w:firstLine="636"/>
        <w:spacing w:after="0" w:line="246" w:lineRule="auto"/>
        <w:rPr>
          <w:sz w:val="20"/>
          <w:szCs w:val="20"/>
          <w:color w:val="auto"/>
        </w:rPr>
      </w:pPr>
      <w:r>
        <w:rPr>
          <w:rFonts w:ascii="Arial" w:cs="Arial" w:eastAsia="Arial" w:hAnsi="Arial"/>
          <w:sz w:val="18"/>
          <w:szCs w:val="18"/>
          <w:color w:val="auto"/>
        </w:rPr>
        <w:t>We believe our existing and planned facilities are sufficient for our current needs and that, should it be needed, suitable additional or alternative space will be available to accommodate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ongoing.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200" w:lineRule="exact"/>
        <w:rPr>
          <w:sz w:val="20"/>
          <w:szCs w:val="20"/>
          <w:color w:val="auto"/>
        </w:rPr>
      </w:pPr>
    </w:p>
    <w:p>
      <w:pPr>
        <w:ind w:right="20" w:firstLine="636"/>
        <w:spacing w:after="0" w:line="236" w:lineRule="auto"/>
        <w:rPr>
          <w:sz w:val="20"/>
          <w:szCs w:val="20"/>
          <w:color w:val="auto"/>
        </w:rPr>
      </w:pPr>
      <w:r>
        <w:rPr>
          <w:rFonts w:ascii="Arial" w:cs="Arial" w:eastAsia="Arial" w:hAnsi="Arial"/>
          <w:sz w:val="18"/>
          <w:szCs w:val="18"/>
          <w:color w:val="auto"/>
        </w:rPr>
        <w:t>In August 2021, one of the Company’s stockholders filed a derivative lawsuit on behalf of the Company in the U.S. District Court for the Southern District of New York against certain of the Company’s officers and directors, and nominally against the Company, alleging a violation of the federal securities laws and breach of fiduciary duty to the Company based on the same general course of conduct alleged in In re: Vroom, Inc. Securities Litigation. This lawsuit is captioned Rainey v. Hennessy et al., Case No. 21-cv-6933. The Court deemed this case “related” to In re: Vroom, Inc. Securities Litigation and stayed all proceedings pending final resolution of In re: Vroom, Inc. Securities Litigation. On November 8, 2021, a similar purported shareholder derivative lawsuit captioned Salli v. Hennessy et al., Case No. 1:21-cv-09237, was filed against the Company (as a nominal defendant only) and certain of our directors and officers in the U.S. District Court for the Southern District of New York, alleging breach of fiduciary duty, related violations of Delaware law, and breaches of various provisions of the Exchange Act. The lawsuit is based on the same general course of conduct alleged in In re: Vroom, Inc. Securities Litigation and Rainey. On December 2, 2021, the court consolidated Rainey and Salli under the case caption In re Vroom, Inc. Shareholder Derivative Litigation, Case No. 21-cv-6933, approved the parties’ stipulation that the case would remain stayed pending final resolution of In re: Vroom, Inc. Securities Litigation. On January 28, 2022, a similar purported shareholder derivative lawsuit captioned McDonough v. Hennessy et al., Case No. 22-cv-752,</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7" w:name="page58"/>
    <w:bookmarkEnd w:id="5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was filed against the Company (as a nominal defendant only) and certain of our directors and officers in the U.S. District Court for the Southern District of New York, alleging breach of fiduciary duty and breach of various provisions of the Exchange Act. The lawsuit is based on the same general course of conduct alleged in In re: Vroom, Inc. Securities Litigation. On February 1, 2022, a similar purported shareholder derivative lawsuit captioned Yunayev v. Hennessy et al., Case No. 22-cv-862, was filed against the Company (as a nominal defendant only) and certain of our directors and officers in the U.S. District Court for the Southern District of New York, alleging breach of fiduciary duty and breach of various provisions of the Exchange Act. The lawsuit is based on the same general course of conduct alleged in In re: Vroom, Inc. Securities Litigation. The McDonough and Yunayev suits are in preliminary stages and there have been no substantive developments in either matter.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Annual Report on Form</w:t>
      </w:r>
    </w:p>
    <w:p>
      <w:pPr>
        <w:spacing w:after="0"/>
        <w:rPr>
          <w:sz w:val="20"/>
          <w:szCs w:val="20"/>
          <w:color w:val="auto"/>
        </w:rPr>
      </w:pPr>
      <w:r>
        <w:rPr>
          <w:rFonts w:ascii="Arial" w:cs="Arial" w:eastAsia="Arial" w:hAnsi="Arial"/>
          <w:sz w:val="18"/>
          <w:szCs w:val="18"/>
          <w:color w:val="auto"/>
        </w:rPr>
        <w:t>10-K.</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780" w:type="dxa"/>
            <w:vAlign w:val="bottom"/>
            <w:gridSpan w:val="5"/>
          </w:tcPr>
          <w:p>
            <w:pPr>
              <w:ind w:left="920"/>
              <w:spacing w:after="0"/>
              <w:rPr>
                <w:sz w:val="20"/>
                <w:szCs w:val="20"/>
                <w:color w:val="auto"/>
              </w:rPr>
            </w:pPr>
            <w:r>
              <w:rPr>
                <w:rFonts w:ascii="Arial" w:cs="Arial" w:eastAsia="Arial" w:hAnsi="Arial"/>
                <w:sz w:val="18"/>
                <w:szCs w:val="18"/>
                <w:b w:val="1"/>
                <w:bCs w:val="1"/>
                <w:color w:val="auto"/>
              </w:rPr>
              <w:t>Age</w:t>
            </w:r>
          </w:p>
        </w:tc>
        <w:tc>
          <w:tcPr>
            <w:tcW w:w="6400" w:type="dxa"/>
            <w:vAlign w:val="bottom"/>
            <w:gridSpan w:val="7"/>
          </w:tcPr>
          <w:p>
            <w:pPr>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169"/>
        </w:trPr>
        <w:tc>
          <w:tcPr>
            <w:tcW w:w="500" w:type="dxa"/>
            <w:vAlign w:val="bottom"/>
            <w:tcBorders>
              <w:top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Robert J. Mylod, Jr.</w:t>
            </w: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55</w:t>
            </w:r>
          </w:p>
        </w:tc>
        <w:tc>
          <w:tcPr>
            <w:tcW w:w="500" w:type="dxa"/>
            <w:vAlign w:val="bottom"/>
            <w:tcBorders>
              <w:right w:val="single" w:sz="8" w:color="CCEEFF"/>
            </w:tcBorders>
            <w:shd w:val="clear" w:color="auto" w:fill="CCEEFF"/>
          </w:tcPr>
          <w:p>
            <w:pPr>
              <w:spacing w:after="0"/>
              <w:rPr>
                <w:sz w:val="18"/>
                <w:szCs w:val="18"/>
                <w:color w:val="auto"/>
              </w:rPr>
            </w:pPr>
          </w:p>
        </w:tc>
        <w:tc>
          <w:tcPr>
            <w:tcW w:w="20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Chairperson of the Board</w:t>
            </w:r>
          </w:p>
        </w:tc>
        <w:tc>
          <w:tcPr>
            <w:tcW w:w="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0" w:type="dxa"/>
            <w:vAlign w:val="bottom"/>
            <w:gridSpan w:val="4"/>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Scott A. Dahnke</w:t>
            </w:r>
          </w:p>
        </w:tc>
        <w:tc>
          <w:tcPr>
            <w:tcW w:w="178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56</w:t>
            </w:r>
          </w:p>
        </w:tc>
        <w:tc>
          <w:tcPr>
            <w:tcW w:w="6400" w:type="dxa"/>
            <w:vAlign w:val="bottom"/>
            <w:gridSpan w:val="7"/>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5"/>
            <w:vMerge w:val="continue"/>
          </w:tcPr>
          <w:p>
            <w:pPr>
              <w:spacing w:after="0"/>
              <w:rPr>
                <w:sz w:val="17"/>
                <w:szCs w:val="17"/>
                <w:color w:val="auto"/>
              </w:rPr>
            </w:pPr>
          </w:p>
        </w:tc>
        <w:tc>
          <w:tcPr>
            <w:tcW w:w="640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Michael J. Farello</w:t>
            </w: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57</w:t>
            </w: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Director</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40" w:type="dxa"/>
            <w:vAlign w:val="bottom"/>
            <w:gridSpan w:val="2"/>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20" w:type="dxa"/>
            <w:vAlign w:val="bottom"/>
            <w:gridSpan w:val="3"/>
          </w:tcPr>
          <w:p>
            <w:pPr>
              <w:spacing w:after="0"/>
              <w:rPr>
                <w:sz w:val="20"/>
                <w:szCs w:val="20"/>
                <w:color w:val="auto"/>
              </w:rPr>
            </w:pPr>
            <w:r>
              <w:rPr>
                <w:rFonts w:ascii="Arial" w:cs="Arial" w:eastAsia="Arial" w:hAnsi="Arial"/>
                <w:sz w:val="18"/>
                <w:szCs w:val="18"/>
                <w:color w:val="auto"/>
              </w:rPr>
              <w:t>Laura W. Lang</w:t>
            </w:r>
          </w:p>
        </w:tc>
        <w:tc>
          <w:tcPr>
            <w:tcW w:w="178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66</w:t>
            </w:r>
          </w:p>
        </w:tc>
        <w:tc>
          <w:tcPr>
            <w:tcW w:w="6400" w:type="dxa"/>
            <w:vAlign w:val="bottom"/>
            <w:gridSpan w:val="7"/>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5"/>
            <w:vMerge w:val="continue"/>
          </w:tcPr>
          <w:p>
            <w:pPr>
              <w:spacing w:after="0"/>
              <w:rPr>
                <w:sz w:val="17"/>
                <w:szCs w:val="17"/>
                <w:color w:val="auto"/>
              </w:rPr>
            </w:pPr>
          </w:p>
        </w:tc>
        <w:tc>
          <w:tcPr>
            <w:tcW w:w="640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Laura G. O’Shaughnessy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44</w:t>
            </w: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Director</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40" w:type="dxa"/>
            <w:vAlign w:val="bottom"/>
            <w:gridSpan w:val="2"/>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Paula B. Pretlow</w:t>
            </w:r>
          </w:p>
        </w:tc>
        <w:tc>
          <w:tcPr>
            <w:tcW w:w="1780" w:type="dxa"/>
            <w:vAlign w:val="bottom"/>
            <w:gridSpan w:val="5"/>
          </w:tcPr>
          <w:p>
            <w:pPr>
              <w:jc w:val="right"/>
              <w:ind w:right="500"/>
              <w:spacing w:after="0"/>
              <w:rPr>
                <w:sz w:val="20"/>
                <w:szCs w:val="20"/>
                <w:color w:val="auto"/>
              </w:rPr>
            </w:pPr>
            <w:r>
              <w:rPr>
                <w:rFonts w:ascii="Arial" w:cs="Arial" w:eastAsia="Arial" w:hAnsi="Arial"/>
                <w:sz w:val="18"/>
                <w:szCs w:val="18"/>
                <w:color w:val="auto"/>
              </w:rPr>
              <w:t>66</w:t>
            </w:r>
          </w:p>
        </w:tc>
        <w:tc>
          <w:tcPr>
            <w:tcW w:w="6400" w:type="dxa"/>
            <w:vAlign w:val="bottom"/>
            <w:gridSpan w:val="7"/>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Frederick O. Terrell</w:t>
            </w:r>
          </w:p>
        </w:tc>
        <w:tc>
          <w:tcPr>
            <w:tcW w:w="1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67</w:t>
            </w: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Director</w:t>
            </w:r>
          </w:p>
        </w:tc>
        <w:tc>
          <w:tcPr>
            <w:tcW w:w="11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Paul J. Hennessy</w:t>
            </w:r>
          </w:p>
        </w:tc>
        <w:tc>
          <w:tcPr>
            <w:tcW w:w="178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57</w:t>
            </w:r>
          </w:p>
        </w:tc>
        <w:tc>
          <w:tcPr>
            <w:tcW w:w="6400" w:type="dxa"/>
            <w:vAlign w:val="bottom"/>
            <w:gridSpan w:val="7"/>
            <w:vMerge w:val="restart"/>
          </w:tcPr>
          <w:p>
            <w:pPr>
              <w:spacing w:after="0"/>
              <w:rPr>
                <w:sz w:val="20"/>
                <w:szCs w:val="20"/>
                <w:color w:val="auto"/>
              </w:rPr>
            </w:pPr>
            <w:r>
              <w:rPr>
                <w:rFonts w:ascii="Arial" w:cs="Arial" w:eastAsia="Arial" w:hAnsi="Arial"/>
                <w:sz w:val="18"/>
                <w:szCs w:val="18"/>
                <w:color w:val="auto"/>
              </w:rPr>
              <w:t>Chief Executive Officer, Director</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5"/>
            <w:vMerge w:val="continue"/>
          </w:tcPr>
          <w:p>
            <w:pPr>
              <w:spacing w:after="0"/>
              <w:rPr>
                <w:sz w:val="17"/>
                <w:szCs w:val="17"/>
                <w:color w:val="auto"/>
              </w:rPr>
            </w:pPr>
          </w:p>
        </w:tc>
        <w:tc>
          <w:tcPr>
            <w:tcW w:w="640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Robert R. Krakowiak</w:t>
            </w:r>
          </w:p>
        </w:tc>
        <w:tc>
          <w:tcPr>
            <w:tcW w:w="1260" w:type="dxa"/>
            <w:vAlign w:val="bottom"/>
            <w:shd w:val="clear" w:color="auto" w:fill="D0EEFF"/>
          </w:tcPr>
          <w:p>
            <w:pPr>
              <w:spacing w:after="0"/>
              <w:rPr>
                <w:sz w:val="18"/>
                <w:szCs w:val="18"/>
                <w:color w:val="auto"/>
              </w:rPr>
            </w:pPr>
          </w:p>
        </w:tc>
        <w:tc>
          <w:tcPr>
            <w:tcW w:w="1080" w:type="dxa"/>
            <w:vAlign w:val="bottom"/>
            <w:gridSpan w:val="2"/>
            <w:shd w:val="clear" w:color="auto" w:fill="D0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51</w:t>
            </w:r>
          </w:p>
        </w:tc>
        <w:tc>
          <w:tcPr>
            <w:tcW w:w="500" w:type="dxa"/>
            <w:vAlign w:val="bottom"/>
            <w:tcBorders>
              <w:right w:val="single" w:sz="8" w:color="D0EEFF"/>
            </w:tcBorders>
            <w:shd w:val="clear" w:color="auto" w:fill="D0EEFF"/>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shd w:val="clear" w:color="auto" w:fill="CCEEFF"/>
              </w:rPr>
              <w:t>Chief Financial Officer</w:t>
            </w:r>
          </w:p>
        </w:tc>
        <w:tc>
          <w:tcPr>
            <w:tcW w:w="840" w:type="dxa"/>
            <w:vAlign w:val="bottom"/>
            <w:gridSpan w:val="2"/>
            <w:shd w:val="clear" w:color="auto" w:fill="D0EEFF"/>
          </w:tcPr>
          <w:p>
            <w:pPr>
              <w:spacing w:after="0"/>
              <w:rPr>
                <w:sz w:val="18"/>
                <w:szCs w:val="18"/>
                <w:color w:val="auto"/>
              </w:rPr>
            </w:pPr>
          </w:p>
        </w:tc>
        <w:tc>
          <w:tcPr>
            <w:tcW w:w="2460" w:type="dxa"/>
            <w:vAlign w:val="bottom"/>
            <w:shd w:val="clear" w:color="auto" w:fill="D0EEFF"/>
          </w:tcPr>
          <w:p>
            <w:pPr>
              <w:spacing w:after="0"/>
              <w:rPr>
                <w:sz w:val="18"/>
                <w:szCs w:val="18"/>
                <w:color w:val="auto"/>
              </w:rPr>
            </w:pPr>
          </w:p>
        </w:tc>
        <w:tc>
          <w:tcPr>
            <w:tcW w:w="1360" w:type="dxa"/>
            <w:vAlign w:val="bottom"/>
            <w:shd w:val="clear" w:color="auto" w:fill="D0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D0EEFF"/>
          </w:tcPr>
          <w:p>
            <w:pPr>
              <w:spacing w:after="0"/>
              <w:rPr>
                <w:sz w:val="14"/>
                <w:szCs w:val="14"/>
                <w:color w:val="auto"/>
              </w:rPr>
            </w:pPr>
          </w:p>
        </w:tc>
        <w:tc>
          <w:tcPr>
            <w:tcW w:w="1160" w:type="dxa"/>
            <w:vAlign w:val="bottom"/>
            <w:shd w:val="clear" w:color="auto" w:fill="D0EEFF"/>
          </w:tcPr>
          <w:p>
            <w:pPr>
              <w:spacing w:after="0"/>
              <w:rPr>
                <w:sz w:val="14"/>
                <w:szCs w:val="14"/>
                <w:color w:val="auto"/>
              </w:rPr>
            </w:pPr>
          </w:p>
        </w:tc>
        <w:tc>
          <w:tcPr>
            <w:tcW w:w="1260" w:type="dxa"/>
            <w:vAlign w:val="bottom"/>
            <w:shd w:val="clear" w:color="auto" w:fill="D0EEFF"/>
          </w:tcPr>
          <w:p>
            <w:pPr>
              <w:spacing w:after="0"/>
              <w:rPr>
                <w:sz w:val="14"/>
                <w:szCs w:val="14"/>
                <w:color w:val="auto"/>
              </w:rPr>
            </w:pPr>
          </w:p>
        </w:tc>
        <w:tc>
          <w:tcPr>
            <w:tcW w:w="920" w:type="dxa"/>
            <w:vAlign w:val="bottom"/>
            <w:shd w:val="clear" w:color="auto" w:fill="D0EEFF"/>
          </w:tcPr>
          <w:p>
            <w:pPr>
              <w:spacing w:after="0"/>
              <w:rPr>
                <w:sz w:val="14"/>
                <w:szCs w:val="14"/>
                <w:color w:val="auto"/>
              </w:rPr>
            </w:pPr>
          </w:p>
        </w:tc>
        <w:tc>
          <w:tcPr>
            <w:tcW w:w="160" w:type="dxa"/>
            <w:vAlign w:val="bottom"/>
            <w:shd w:val="clear" w:color="auto" w:fill="D0EEFF"/>
          </w:tcPr>
          <w:p>
            <w:pPr>
              <w:spacing w:after="0"/>
              <w:rPr>
                <w:sz w:val="14"/>
                <w:szCs w:val="14"/>
                <w:color w:val="auto"/>
              </w:rPr>
            </w:pPr>
          </w:p>
        </w:tc>
        <w:tc>
          <w:tcPr>
            <w:tcW w:w="180" w:type="dxa"/>
            <w:vAlign w:val="bottom"/>
            <w:shd w:val="clear" w:color="auto" w:fill="D0EEFF"/>
          </w:tcPr>
          <w:p>
            <w:pPr>
              <w:spacing w:after="0"/>
              <w:rPr>
                <w:sz w:val="14"/>
                <w:szCs w:val="14"/>
                <w:color w:val="auto"/>
              </w:rPr>
            </w:pPr>
          </w:p>
        </w:tc>
        <w:tc>
          <w:tcPr>
            <w:tcW w:w="20" w:type="dxa"/>
            <w:vAlign w:val="bottom"/>
            <w:shd w:val="clear" w:color="auto" w:fill="D0EEFF"/>
          </w:tcPr>
          <w:p>
            <w:pPr>
              <w:spacing w:after="0"/>
              <w:rPr>
                <w:sz w:val="14"/>
                <w:szCs w:val="14"/>
                <w:color w:val="auto"/>
              </w:rPr>
            </w:pPr>
          </w:p>
        </w:tc>
        <w:tc>
          <w:tcPr>
            <w:tcW w:w="500" w:type="dxa"/>
            <w:vAlign w:val="bottom"/>
            <w:tcBorders>
              <w:right w:val="single" w:sz="8" w:color="D0EEFF"/>
            </w:tcBorders>
            <w:shd w:val="clear" w:color="auto" w:fill="D0EEFF"/>
          </w:tcPr>
          <w:p>
            <w:pPr>
              <w:spacing w:after="0"/>
              <w:rPr>
                <w:sz w:val="14"/>
                <w:szCs w:val="14"/>
                <w:color w:val="auto"/>
              </w:rPr>
            </w:pPr>
          </w:p>
        </w:tc>
        <w:tc>
          <w:tcPr>
            <w:tcW w:w="620" w:type="dxa"/>
            <w:vAlign w:val="bottom"/>
            <w:shd w:val="clear" w:color="auto" w:fill="D0EEFF"/>
          </w:tcPr>
          <w:p>
            <w:pPr>
              <w:spacing w:after="0"/>
              <w:rPr>
                <w:sz w:val="14"/>
                <w:szCs w:val="14"/>
                <w:color w:val="auto"/>
              </w:rPr>
            </w:pPr>
          </w:p>
        </w:tc>
        <w:tc>
          <w:tcPr>
            <w:tcW w:w="300" w:type="dxa"/>
            <w:vAlign w:val="bottom"/>
            <w:shd w:val="clear" w:color="auto" w:fill="D0EEFF"/>
          </w:tcPr>
          <w:p>
            <w:pPr>
              <w:spacing w:after="0"/>
              <w:rPr>
                <w:sz w:val="14"/>
                <w:szCs w:val="14"/>
                <w:color w:val="auto"/>
              </w:rPr>
            </w:pPr>
          </w:p>
        </w:tc>
        <w:tc>
          <w:tcPr>
            <w:tcW w:w="820" w:type="dxa"/>
            <w:vAlign w:val="bottom"/>
            <w:shd w:val="clear" w:color="auto" w:fill="D0EEFF"/>
          </w:tcPr>
          <w:p>
            <w:pPr>
              <w:spacing w:after="0"/>
              <w:rPr>
                <w:sz w:val="14"/>
                <w:szCs w:val="14"/>
                <w:color w:val="auto"/>
              </w:rPr>
            </w:pPr>
          </w:p>
        </w:tc>
        <w:tc>
          <w:tcPr>
            <w:tcW w:w="260" w:type="dxa"/>
            <w:vAlign w:val="bottom"/>
            <w:shd w:val="clear" w:color="auto" w:fill="D0EEFF"/>
          </w:tcPr>
          <w:p>
            <w:pPr>
              <w:spacing w:after="0"/>
              <w:rPr>
                <w:sz w:val="14"/>
                <w:szCs w:val="14"/>
                <w:color w:val="auto"/>
              </w:rPr>
            </w:pPr>
          </w:p>
        </w:tc>
        <w:tc>
          <w:tcPr>
            <w:tcW w:w="580" w:type="dxa"/>
            <w:vAlign w:val="bottom"/>
            <w:shd w:val="clear" w:color="auto" w:fill="D0EEFF"/>
          </w:tcPr>
          <w:p>
            <w:pPr>
              <w:spacing w:after="0"/>
              <w:rPr>
                <w:sz w:val="14"/>
                <w:szCs w:val="14"/>
                <w:color w:val="auto"/>
              </w:rPr>
            </w:pPr>
          </w:p>
        </w:tc>
        <w:tc>
          <w:tcPr>
            <w:tcW w:w="2460" w:type="dxa"/>
            <w:vAlign w:val="bottom"/>
            <w:shd w:val="clear" w:color="auto" w:fill="D0EEFF"/>
          </w:tcPr>
          <w:p>
            <w:pPr>
              <w:spacing w:after="0"/>
              <w:rPr>
                <w:sz w:val="14"/>
                <w:szCs w:val="14"/>
                <w:color w:val="auto"/>
              </w:rPr>
            </w:pPr>
          </w:p>
        </w:tc>
        <w:tc>
          <w:tcPr>
            <w:tcW w:w="1360" w:type="dxa"/>
            <w:vAlign w:val="bottom"/>
            <w:shd w:val="clear" w:color="auto" w:fill="D0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Thomas H. Shortt</w:t>
            </w:r>
          </w:p>
        </w:tc>
        <w:tc>
          <w:tcPr>
            <w:tcW w:w="1780" w:type="dxa"/>
            <w:vAlign w:val="bottom"/>
            <w:gridSpan w:val="5"/>
          </w:tcPr>
          <w:p>
            <w:pPr>
              <w:jc w:val="right"/>
              <w:ind w:right="500"/>
              <w:spacing w:after="0"/>
              <w:rPr>
                <w:sz w:val="20"/>
                <w:szCs w:val="20"/>
                <w:color w:val="auto"/>
              </w:rPr>
            </w:pPr>
            <w:r>
              <w:rPr>
                <w:rFonts w:ascii="Arial" w:cs="Arial" w:eastAsia="Arial" w:hAnsi="Arial"/>
                <w:sz w:val="18"/>
                <w:szCs w:val="18"/>
                <w:color w:val="auto"/>
              </w:rPr>
              <w:t>53</w:t>
            </w:r>
          </w:p>
        </w:tc>
        <w:tc>
          <w:tcPr>
            <w:tcW w:w="6400" w:type="dxa"/>
            <w:vAlign w:val="bottom"/>
            <w:gridSpan w:val="7"/>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Mark E. Roszkowski</w:t>
            </w: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51</w:t>
            </w:r>
          </w:p>
        </w:tc>
        <w:tc>
          <w:tcPr>
            <w:tcW w:w="500" w:type="dxa"/>
            <w:vAlign w:val="bottom"/>
            <w:tcBorders>
              <w:right w:val="single" w:sz="8" w:color="CCEEFF"/>
            </w:tcBorders>
            <w:shd w:val="clear" w:color="auto" w:fill="CCEEFF"/>
          </w:tcPr>
          <w:p>
            <w:pPr>
              <w:spacing w:after="0"/>
              <w:rPr>
                <w:sz w:val="18"/>
                <w:szCs w:val="18"/>
                <w:color w:val="auto"/>
              </w:rPr>
            </w:pPr>
          </w:p>
        </w:tc>
        <w:tc>
          <w:tcPr>
            <w:tcW w:w="5040" w:type="dxa"/>
            <w:vAlign w:val="bottom"/>
            <w:gridSpan w:val="6"/>
            <w:vMerge w:val="restart"/>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Chief Strategy Officer and General Manager of Vroom Financial</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5040" w:type="dxa"/>
            <w:vAlign w:val="bottom"/>
            <w:gridSpan w:val="6"/>
            <w:vMerge w:val="continue"/>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Patricia Moran</w:t>
            </w:r>
          </w:p>
        </w:tc>
        <w:tc>
          <w:tcPr>
            <w:tcW w:w="178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62</w:t>
            </w:r>
          </w:p>
        </w:tc>
        <w:tc>
          <w:tcPr>
            <w:tcW w:w="6400" w:type="dxa"/>
            <w:vAlign w:val="bottom"/>
            <w:gridSpan w:val="7"/>
            <w:vMerge w:val="restart"/>
          </w:tcPr>
          <w:p>
            <w:pPr>
              <w:spacing w:after="0"/>
              <w:rPr>
                <w:sz w:val="20"/>
                <w:szCs w:val="20"/>
                <w:color w:val="auto"/>
              </w:rPr>
            </w:pPr>
            <w:r>
              <w:rPr>
                <w:rFonts w:ascii="Arial" w:cs="Arial" w:eastAsia="Arial" w:hAnsi="Arial"/>
                <w:sz w:val="18"/>
                <w:szCs w:val="18"/>
                <w:color w:val="auto"/>
              </w:rPr>
              <w:t>Chief Legal Officer and Secretary</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5"/>
            <w:vMerge w:val="continue"/>
          </w:tcPr>
          <w:p>
            <w:pPr>
              <w:spacing w:after="0"/>
              <w:rPr>
                <w:sz w:val="17"/>
                <w:szCs w:val="17"/>
                <w:color w:val="auto"/>
              </w:rPr>
            </w:pPr>
          </w:p>
        </w:tc>
        <w:tc>
          <w:tcPr>
            <w:tcW w:w="640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C. Denise Stott</w:t>
            </w: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54</w:t>
            </w:r>
          </w:p>
        </w:tc>
        <w:tc>
          <w:tcPr>
            <w:tcW w:w="500" w:type="dxa"/>
            <w:vAlign w:val="bottom"/>
            <w:tcBorders>
              <w:right w:val="single" w:sz="8" w:color="CCEEFF"/>
            </w:tcBorders>
            <w:shd w:val="clear" w:color="auto" w:fill="CCEEFF"/>
          </w:tcPr>
          <w:p>
            <w:pPr>
              <w:spacing w:after="0"/>
              <w:rPr>
                <w:sz w:val="18"/>
                <w:szCs w:val="18"/>
                <w:color w:val="auto"/>
              </w:rPr>
            </w:pPr>
          </w:p>
        </w:tc>
        <w:tc>
          <w:tcPr>
            <w:tcW w:w="258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Chief People and Culture Officer</w:t>
            </w:r>
          </w:p>
        </w:tc>
        <w:tc>
          <w:tcPr>
            <w:tcW w:w="2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580" w:type="dxa"/>
            <w:vAlign w:val="bottom"/>
            <w:gridSpan w:val="5"/>
            <w:vMerge w:val="continue"/>
            <w:shd w:val="clear" w:color="auto" w:fill="CCEEFF"/>
          </w:tcPr>
          <w:p>
            <w:pPr>
              <w:spacing w:after="0"/>
              <w:rPr>
                <w:sz w:val="17"/>
                <w:szCs w:val="17"/>
                <w:color w:val="auto"/>
              </w:rPr>
            </w:pPr>
          </w:p>
        </w:tc>
        <w:tc>
          <w:tcPr>
            <w:tcW w:w="38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i w:val="1"/>
          <w:iCs w:val="1"/>
          <w:color w:val="auto"/>
        </w:rPr>
        <w:t xml:space="preserve">Robert J. Mylod, Jr. </w:t>
      </w:r>
      <w:r>
        <w:rPr>
          <w:rFonts w:ascii="Arial" w:cs="Arial" w:eastAsia="Arial" w:hAnsi="Arial"/>
          <w:sz w:val="18"/>
          <w:szCs w:val="18"/>
          <w:color w:val="auto"/>
        </w:rPr>
        <w:t>has served as a member of our board of directors since September 2015. Mr. Mylod is the Managing Partner of Annox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Management, a private investment firm that he founded in 2013. Previously, Mr. Mylod served as Head of Worldwide Strategy &amp; Planning and Vice Chairman for Bookings Holdings, Inc., an online travel services provider, from January 2009 to March 2011 and as its Chief Financial Officer and Vice Chairman from November 2000 to January 2009. He currently serves as the Chair of the board of directors and a member of the compensation committee of Booking Holdings, Inc. Mr. Mylod also currently serves as a member of the board of directors and of the audit committee of Redfin Corporation, an online real estate company. He is also a member of the board of directors of several private companies. Mr. Mylod holds a Bachelor of Arts in English from the University of Michigan and a Master of Business Administration from the University of Chicago Booth School. We believe that Mr. Mylod’s experience as a venture capital investor and a senior finance executive, including having served as the chief financial officer and vice chairman of a large publicly traded online services provider, qualifies him to serve on our board of directors.</w:t>
      </w:r>
    </w:p>
    <w:p>
      <w:pPr>
        <w:sectPr>
          <w:pgSz w:w="11900" w:h="16838" w:orient="portrait"/>
          <w:cols w:equalWidth="0" w:num="1">
            <w:col w:w="11180"/>
          </w:cols>
          <w:pgMar w:left="320" w:top="144" w:right="3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type w:val="continuous"/>
        </w:sectPr>
      </w:pPr>
    </w:p>
    <w:bookmarkStart w:id="58" w:name="page59"/>
    <w:bookmarkEnd w:id="5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Scott A. Dahnke </w:t>
      </w:r>
      <w:r>
        <w:rPr>
          <w:rFonts w:ascii="Arial" w:cs="Arial" w:eastAsia="Arial" w:hAnsi="Arial"/>
          <w:sz w:val="18"/>
          <w:szCs w:val="18"/>
          <w:color w:val="auto"/>
        </w:rPr>
        <w:t>has served on our board of directors since July 2015. Since 2016, Mr. Dahnke has served as co-Chief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L </w:t>
      </w:r>
      <w:r>
        <w:rPr>
          <w:rFonts w:ascii="Arial" w:cs="Arial" w:eastAsia="Arial" w:hAnsi="Arial"/>
          <w:sz w:val="18"/>
          <w:szCs w:val="18"/>
          <w:color w:val="auto"/>
        </w:rPr>
        <w:t>Catterton, a consumer-focused private equity firm, after previously serving as Managing Partner from 2003 to 2015. Prior to that, he was</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of Deutsche Bank Capital Partners, the former private equity division of Deutsche Bank AG, from 2002 to 2003, and Managing Director of AEA Investors from 1998 to 2002. Previously, Mr. Dahnke was Chief Executive Officer of infoGROUP (formerly known as InfoUSA), a provider of data and data-driven marketing services, from 1997 to 1998. Prior to joining infoGROUP, Mr. Dahnke served clients on an array of strategic and operational issues as a Partner at McKinsey &amp; Company. His early career also includes experience in the Merger Department of Goldman, Sachs &amp; Co. and with General Motors. Mr. Dahnke currently serves as Chairperson of the board of directors and of the compensation committee and as a member of the nominations, corporate governance and social responsibility committee of Williams Sonoma Inc., as well as serving as a director of several private companies. From September 2011 to May 2019, Mr. Dahnke served on the board of directors of Noodles &amp; Company and from June 2020 to March 2021 he served on the board of directors of Norwegian Cruise Lines Holdings Ltd. Mr. Dahnke holds a Bachelor of Science from the University of Notre Dame and a Master of Business Administration from Harvard Business School. We believe Mr. Dahnke’s experience in private equity investment and expertise in the ecommerce, retail and consumer industry, along with his service as a director at numerous companies, qualifies him to serve on our board of directors.</w:t>
      </w:r>
    </w:p>
    <w:p>
      <w:pPr>
        <w:spacing w:after="0" w:line="167"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Michael Farello </w:t>
      </w:r>
      <w:r>
        <w:rPr>
          <w:rFonts w:ascii="Arial" w:cs="Arial" w:eastAsia="Arial" w:hAnsi="Arial"/>
          <w:sz w:val="18"/>
          <w:szCs w:val="18"/>
          <w:color w:val="auto"/>
        </w:rPr>
        <w:t>has served on our board of directors since July 2015. Since 2006, Mr. Farello has served as Managing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 a consumer-focused private equity firm. Prior to this, he served as an executive at Dell Technologies, Inc., a global end-to-end technology provider, from 2002 to 2005, and spent twelve years at McKinsey &amp; Company, a management consulting firm. Mr. Farello currently serves as a member of the board of directors of several private companies including FlashParking, Inc. and Hydrow Inc. Mr. Farello holds a Bachelor of Science from Stanford University and a Master of Business Administration from Harvard Business School. We believe Mr. Farello’s experience in private equity investments and expertise in the consumer sector, along with his service as a director at numerous companies, qualifies him to serve on our board of directors.</w:t>
      </w:r>
    </w:p>
    <w:p>
      <w:pPr>
        <w:spacing w:after="0" w:line="1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Laura W. Lang </w:t>
      </w:r>
      <w:r>
        <w:rPr>
          <w:rFonts w:ascii="Arial" w:cs="Arial" w:eastAsia="Arial" w:hAnsi="Arial"/>
          <w:sz w:val="18"/>
          <w:szCs w:val="18"/>
          <w:color w:val="auto"/>
        </w:rPr>
        <w:t>has served on our board of directors since May 2020. Ms. Lang has served as the Managing Director of Narragansett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Ventures, LLC, a strategic advisory firm focused on digital business transformation and growth investing, since January 2014. Since November 2018, Ms. Lang has also served as an adviser to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Ms. Lang was the Chief Executive Officer of Time Inc., one of the largest branded media companies in the world, until 2013. From 2008 until she joined Time Inc. in 2012, Ms. Lang was Chief Executive Officer of Digitas Inc., a marketing and technology agency and unit of Publicis Groupe S.A. In addition, she headed the company’s pure-play digital agencies, including Razorfish, Big Fuel, Denuo and Phonevalley. Ms. Lang currently serves as a member of the board of directors and the talent and compensation and finance committees of V. F. Corporation, an international apparel and footwear company. She previously served as a member of the board of directors of Care.com Inc. from August 2014 to June 2016, Nutrisystem, Inc. from 2010 to 2012 and Benchmark Electronics, Inc. from 2005 to 2011. Ms. Lang holds a Bachelor of Arts from Tufts University and a Master of Business Administration from the Wharton School of the University of Pennsylvania. We believe Ms. Lang’s extensive leadership experience, digital and media expertise and service on the board of directors of other public companies qualifies her to serve on our board of directors.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Laura G. O’Shaughnessy </w:t>
      </w:r>
      <w:r>
        <w:rPr>
          <w:rFonts w:ascii="Arial" w:cs="Arial" w:eastAsia="Arial" w:hAnsi="Arial"/>
          <w:sz w:val="18"/>
          <w:szCs w:val="18"/>
          <w:color w:val="auto"/>
        </w:rPr>
        <w:t>has served on our board of directors since May 2020. Ms. O’Shaughnessy is a strategic growth and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for a number of direct to consumer brands. Previously she was the Chief Executive Officer of SocialCode, LLC, a technology company that manages digital and social advertising for leading consumer brands, which she co-founded in 2009. In addition, Ms. O’Shaughnessy oversaw business development and product strategy for the Slate Group, an online publisher, where she specialized in advertising product development and strategic partnerships. Ms. O’Shaughnessy currently serves as a member of the board of directors and of the audit committee and governance committee of Acuity Brands, and on the boards of directors of several nonprofits. Ms. O’Shaughnessy holds a Bachelor of Arts in Economics from the University of Chicago and a Master of Business Administration from the MIT Sloan School of Management. We believe Ms. O’Shaughnessy’s leadership experience, including serving in a chief executive officer role, and digital and technology expertise, qualifies her to serve on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Paula B. Pretlow </w:t>
      </w:r>
      <w:r>
        <w:rPr>
          <w:rFonts w:ascii="Arial" w:cs="Arial" w:eastAsia="Arial" w:hAnsi="Arial"/>
          <w:sz w:val="18"/>
          <w:szCs w:val="18"/>
          <w:color w:val="auto"/>
        </w:rPr>
        <w:t>has served on our Board of Directors since April 2021. Ms. Pretlow is a former Senior Vice President of The Capital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management firm, where she led the public fund business development and client relationship group and was also responsible for large client relationships from 1999 until 2011. Prior to joining The Capital Group, she worked for Montgomery Asset Management and Blackrock (formerly Barclays Global Investors). She is a member of the board of directors and the audit committee chair of Ares Dynamic Credit Allocation Fund, Inc., as well as the board of directors and the audit and finance committee of Williams-Sonoma, Inc. She is also a member of the board of directors of Bitwise Industries, an Independent Trustee and audit committee chair for Cion Ares Diversified Credit Fund and a member of the board of directors of Greenlight Financial Technology, Inc. In addition, she currently serves as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member of the Board of Trustees of The Kresge Foundation, The Harry and Jeannette Weinberg Foundation and Northwestern University. Ms. Pretlow holds a Bachelor of Arts in Political Science and a Master of Business Administration, both from Northwestern University, and is a 2017 Fellow of Stanford’s Distinguished Careers Institute. We believe Ms. Pretlow’s leadership experience, including roles in finance and business development, along with her experience as a director, qualify her to serve on our Board of Directors.</w:t>
      </w:r>
    </w:p>
    <w:p>
      <w:pPr>
        <w:spacing w:after="0" w:line="16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i w:val="1"/>
          <w:iCs w:val="1"/>
          <w:color w:val="auto"/>
        </w:rPr>
        <w:t xml:space="preserve">Frederick O. Terrell </w:t>
      </w:r>
      <w:r>
        <w:rPr>
          <w:rFonts w:ascii="Arial" w:cs="Arial" w:eastAsia="Arial" w:hAnsi="Arial"/>
          <w:sz w:val="18"/>
          <w:szCs w:val="18"/>
          <w:color w:val="auto"/>
        </w:rPr>
        <w:t>has served on our Board of Directors since April 2021. Mr. Terrell serves as a Senior Advisor for Centerbridge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L.P., a private investment management firm. He is the former Executive Vice Chairman of Investment Banking and Capital Markets at Credit Suisse, where he was responsible for the bank’s global relationships with some of its most high-profile clients. From 1997 to 2008, he was Founder and Managing Partner of Provender Capital Group, LLC, which made private equity investments in emerging growth-oriented companies on behalf of major institutional investors. He also has an extensive background in corporate finance, capital markets, structured products and asset securitization and from 1992-1997 was Head of Mortgage Finance at CS First Boston. He began his career as an Associate with The First Boston Corporation in 1983 and was promoted to Managing Director in 1993. Mr. Terrell currently serves as a member of the board of directors and the audit committee of ViacomCBS Inc. and as a member of the board of directors and the audit committee and human resources and compensation committee of The Bank of New York Mellon Corporation. He also serves on the board of directors of Mobility Capital Finance, Inc. He is a former member of the boards of directors of the New York Life Insurance Company, Wellchoice, Inc. (formerly Empire Blue Cross Blue Shield) and Carver Bancorp Inc. His not-for-profit experience includes his current service as a member of the Investment Committee of the Rockefeller Foundation, as well as on the boards of the Partnership Fund for New York City, the Planet Word Museum, the Advisory Board for Center for a New American Security and as a member of the Economic Club of New York City and the Council on Foreign Relations. He is a former member of the University Council of Yale University and Board of Advisors for the Yale School of Management. Mr. Terrell holds a Bachelor of Arts from La Verne College, a Master of Arts from Occidental College and a Master of Business Administration from the Yale School of Management. We believe Mr. Terrell’s extensive experience in banking and global finance, including in a large global financial institution, his demonstrated leadership in advising on corporate strategy and complex transactions, as well as his experience as a director, qualify him to serve on our Board of Directors.</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Paul J. Hennessy </w:t>
      </w:r>
      <w:r>
        <w:rPr>
          <w:rFonts w:ascii="Arial" w:cs="Arial" w:eastAsia="Arial" w:hAnsi="Arial"/>
          <w:sz w:val="18"/>
          <w:szCs w:val="18"/>
          <w:color w:val="auto"/>
        </w:rPr>
        <w:t>has served as our Chief Executive Officer and as a member of our board of directors since June 2016. Mr. Hennessy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20 years of global ecommerce leadership experience, previously serving in several leadership roles for Booking Holdings, Inc. (“Booking Holdings”), a world leader in online travel. At Booking Holdings, he most recently served as Chief Executive Officer of Priceline.com, a leading online travel agency for finding discount rates for travel-related purchases, from April 2015 to June 2016, and as Chief Marketing Officer of Booking.com, a leading online service for booking accommodation reservations, from November 2011 to March 2015. Mr. Hennessy also currently serves on the board of directors and the audit committee and compensation committee of Shutterstock Inc. Mr. Hennessy holds a Bachelor of Science in Marketing Management from Dominican College and a Master of Business Administration from Long Island University. Mr. Hennessy was selected to serve on our board of directors based on his deep experience and the perspective he brings as our Chief Executive Officer, as well as his extensive prior ecommerce leadership experience, driving growth strategies and optimizing operations and marketing for profitability.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b w:val="1"/>
          <w:bCs w:val="1"/>
          <w:i w:val="1"/>
          <w:iCs w:val="1"/>
          <w:color w:val="auto"/>
        </w:rPr>
        <w:t xml:space="preserve">Robert R. Krakowiak </w:t>
      </w:r>
      <w:r>
        <w:rPr>
          <w:rFonts w:ascii="Arial" w:cs="Arial" w:eastAsia="Arial" w:hAnsi="Arial"/>
          <w:sz w:val="17"/>
          <w:szCs w:val="17"/>
          <w:color w:val="auto"/>
        </w:rPr>
        <w:t>has served as Chief Financial Officer and Treasurer of Vroom since September 2021. Prior to that he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and Treasurer of Stoneridge Corporation since August 2016 and was appointed as Executive Vice President in October 2018. Prior to joining Stoneridge, Mr. Krakowiak served as Vice President, Treasurer and Investor Relations at Visteon Corporation from</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2012 until August 2016. Prior to that, Mr. Krakowiak held various financial positions at Owens Corning from 2005 to 2012. Mr. Krakowiak holds Bachelor of Science and Master of Science degrees in Electrical Engineering from the University of Michigan and a Master of Business Administration from the University of Chicago Booth School of Business.</w:t>
      </w:r>
    </w:p>
    <w:p>
      <w:pPr>
        <w:spacing w:after="0" w:line="16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 xml:space="preserve">Thomas H. Shortt </w:t>
      </w:r>
      <w:r>
        <w:rPr>
          <w:rFonts w:ascii="Arial" w:cs="Arial" w:eastAsia="Arial" w:hAnsi="Arial"/>
          <w:sz w:val="18"/>
          <w:szCs w:val="18"/>
          <w:color w:val="auto"/>
        </w:rPr>
        <w:t>has served as our Chief Operating Officer since January 2022. Prior to joining Vroom, Mr. Shortt served 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at Walmart Inc. ("Walmart") starting in 2018, where he developed a comprehensive ecommerce supply chain strategy and led improvements through advanced analytics, processes, and systems. Prior to his time at Walmart, Mr. Shortt served as Senior Vice President of Supply Chain at The Home Depot, Inc. starting in 2013, and previously held senior leadership roles overseeing supply chain, fulfillment and logistics, with an emphasis on change management and business transformation, at ACCO Brands Corporation, Unisource, Fisher Scientific and Office Depot. Mr. Shortt holds a Bachelor’s degree in Accounting from the University of Akron.</w:t>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 xml:space="preserve">Mark E. Roszkowski </w:t>
      </w:r>
      <w:r>
        <w:rPr>
          <w:rFonts w:ascii="Arial" w:cs="Arial" w:eastAsia="Arial" w:hAnsi="Arial"/>
          <w:sz w:val="18"/>
          <w:szCs w:val="18"/>
          <w:color w:val="auto"/>
        </w:rPr>
        <w:t>has served as our Chief Strategy Officer and General Manager of Vroom Financial Services since January 2022.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entering this role, Mr. Roszkowski served as our Chief Revenue Officer since February 2019. Prior to joining Vroom, Mr. Roszkowski served as Executive Vice President, Global Head of Corporate Development, Strategy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0" w:name="page61"/>
    <w:bookmarkEnd w:id="6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and Strategic Partnerships of Verizon Media, the media and online businesses division of Verizon Communications Inc., from June 2017 to January 2019. He previously served as Senior Vice President, Global Head of Corporate Development, Strategy and Strategic Partnerships of AOL Inc., a web portal and online service provider, from June 2014 through its sale to Verizon in June 2015 and subsequently until June 2017. Mr. Roszkowski holds a Bachelor of Science in Mechanical Engineering from Worcester Polytechnic Institute, a Master of Science in Mechanical Engineering from the University of Rochester and a Master of Business Administration from Massachusetts Institute of Technology.</w:t>
      </w:r>
    </w:p>
    <w:p>
      <w:pPr>
        <w:spacing w:after="0" w:line="169" w:lineRule="exact"/>
        <w:rPr>
          <w:sz w:val="20"/>
          <w:szCs w:val="20"/>
          <w:color w:val="auto"/>
        </w:rPr>
      </w:pPr>
    </w:p>
    <w:p>
      <w:pPr>
        <w:jc w:val="both"/>
        <w:ind w:right="60"/>
        <w:spacing w:after="0" w:line="241" w:lineRule="auto"/>
        <w:rPr>
          <w:sz w:val="20"/>
          <w:szCs w:val="20"/>
          <w:color w:val="auto"/>
        </w:rPr>
      </w:pPr>
      <w:r>
        <w:rPr>
          <w:rFonts w:ascii="Arial" w:cs="Arial" w:eastAsia="Arial" w:hAnsi="Arial"/>
          <w:sz w:val="18"/>
          <w:szCs w:val="18"/>
          <w:b w:val="1"/>
          <w:bCs w:val="1"/>
          <w:i w:val="1"/>
          <w:iCs w:val="1"/>
          <w:color w:val="auto"/>
        </w:rPr>
        <w:t xml:space="preserve">Patricia Moran </w:t>
      </w:r>
      <w:r>
        <w:rPr>
          <w:rFonts w:ascii="Arial" w:cs="Arial" w:eastAsia="Arial" w:hAnsi="Arial"/>
          <w:sz w:val="18"/>
          <w:szCs w:val="18"/>
          <w:color w:val="auto"/>
        </w:rPr>
        <w:t>has served as our Chief Legal Officer and Secretary since January 2019. Previously, Ms. Moran was a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Legal Officer and Secretary of Greenhill &amp; Co. Inc., a publicly traded, global independent investment bank, from April 2014 to October 2016, and a Senior Advisor from November 2016 to April 2017. Prior to joining Greenhill, Ms. Moran was a Partner at Skadden, Arps, Slate, Meagher &amp; Flom LLP, a leading global law firm where she had a 30-year career and chaired the New York office Diversity Committee. Ms.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Moran has broad experience in corporate governance and corporate transactions, including mergers and acquisitions, private equity, joint ventures, restructurings and corporation finance. Ms. Moran holds a Bachelor of Science from the University of Scranton and a Juris Doctor from the Villanova University School of Law.</w:t>
      </w:r>
    </w:p>
    <w:p>
      <w:pPr>
        <w:spacing w:after="0" w:line="167"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b w:val="1"/>
          <w:bCs w:val="1"/>
          <w:i w:val="1"/>
          <w:iCs w:val="1"/>
          <w:color w:val="auto"/>
        </w:rPr>
        <w:t xml:space="preserve">C. Denise Stott </w:t>
      </w:r>
      <w:r>
        <w:rPr>
          <w:rFonts w:ascii="Arial" w:cs="Arial" w:eastAsia="Arial" w:hAnsi="Arial"/>
          <w:sz w:val="17"/>
          <w:szCs w:val="17"/>
          <w:color w:val="auto"/>
        </w:rPr>
        <w:t>has served as our Chief People and Culture Officer since November 2016. Previously, Ms. Stott was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Human Resources at Undertone, a digital advertising company, from May 2013 to October 2016. Ms. Stott’s tenure at Undertone included leading the human resources function through multiple transformations including acquisitions and the eventual sale to a public company.</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From February 2010 until she joined Undertone, Ms. Stott was Vice President of Human Resources at Yodle, a leader in local online marketing, where she led people development through a focus on talent acquisition, employee engagement, employee training and compensation and benefits. Ms. Stott also served as Senior Vice President of Human Resources for ZenithOptimedia, a media and advertising services provider, from August 2007 to July 2009. Ms. Stott holds a Bachelor of Science in Mathematical Economics from Tulane University and a Master of Business Administration from Vanderbilt University.</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61" w:name="page62"/>
    <w:bookmarkEnd w:id="6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0" w:lineRule="exact"/>
        <w:rPr>
          <w:sz w:val="20"/>
          <w:szCs w:val="20"/>
          <w:color w:val="auto"/>
        </w:rPr>
      </w:pPr>
    </w:p>
    <w:p>
      <w:pPr>
        <w:ind w:firstLine="636"/>
        <w:spacing w:after="0" w:line="246" w:lineRule="auto"/>
        <w:rPr>
          <w:sz w:val="20"/>
          <w:szCs w:val="20"/>
          <w:color w:val="auto"/>
        </w:rPr>
      </w:pPr>
      <w:r>
        <w:rPr>
          <w:rFonts w:ascii="Arial" w:cs="Arial" w:eastAsia="Arial" w:hAnsi="Arial"/>
          <w:sz w:val="18"/>
          <w:szCs w:val="18"/>
          <w:color w:val="auto"/>
        </w:rPr>
        <w:t>On June 9, 2020, our common stock began trading on the Nasdaq Global Select Market under the ticker symbol "VRM." Prior to that date, there was no public trading market for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0" w:lineRule="exact"/>
        <w:rPr>
          <w:sz w:val="20"/>
          <w:szCs w:val="20"/>
          <w:color w:val="auto"/>
        </w:rPr>
      </w:pPr>
    </w:p>
    <w:p>
      <w:pPr>
        <w:ind w:right="200" w:firstLine="636"/>
        <w:spacing w:after="0" w:line="238" w:lineRule="auto"/>
        <w:rPr>
          <w:sz w:val="20"/>
          <w:szCs w:val="20"/>
          <w:color w:val="auto"/>
        </w:rPr>
      </w:pPr>
      <w:r>
        <w:rPr>
          <w:rFonts w:ascii="Arial" w:cs="Arial" w:eastAsia="Arial" w:hAnsi="Arial"/>
          <w:sz w:val="18"/>
          <w:szCs w:val="18"/>
          <w:color w:val="auto"/>
        </w:rPr>
        <w:t>We are authorized to issue up to 500,000,000 shares of common stock and up to 10,000,000 shares of preferred stock. As of February 24, 2022, there were 25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0" w:lineRule="exact"/>
        <w:rPr>
          <w:sz w:val="20"/>
          <w:szCs w:val="20"/>
          <w:color w:val="auto"/>
        </w:rPr>
      </w:pPr>
    </w:p>
    <w:p>
      <w:pPr>
        <w:ind w:right="60" w:firstLine="636"/>
        <w:spacing w:after="0" w:line="246" w:lineRule="auto"/>
        <w:rPr>
          <w:sz w:val="20"/>
          <w:szCs w:val="20"/>
          <w:color w:val="auto"/>
        </w:rPr>
      </w:pPr>
      <w:r>
        <w:rPr>
          <w:rFonts w:ascii="Arial" w:cs="Arial" w:eastAsia="Arial" w:hAnsi="Arial"/>
          <w:sz w:val="18"/>
          <w:szCs w:val="18"/>
          <w:color w:val="auto"/>
        </w:rPr>
        <w:t>We have not declared or paid any cash dividends on our common stock during the fiscal year and do not currently anticipate paying cash dividends in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ind w:right="260" w:firstLine="636"/>
        <w:spacing w:after="0" w:line="250"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or the Exchange Act.</w:t>
      </w:r>
    </w:p>
    <w:p>
      <w:pPr>
        <w:spacing w:after="0" w:line="181" w:lineRule="exact"/>
        <w:rPr>
          <w:sz w:val="20"/>
          <w:szCs w:val="20"/>
          <w:color w:val="auto"/>
        </w:rPr>
      </w:pPr>
    </w:p>
    <w:p>
      <w:pPr>
        <w:jc w:val="both"/>
        <w:ind w:right="240" w:firstLine="636"/>
        <w:spacing w:after="0"/>
        <w:rPr>
          <w:sz w:val="20"/>
          <w:szCs w:val="20"/>
          <w:color w:val="auto"/>
        </w:rPr>
      </w:pPr>
      <w:r>
        <w:rPr>
          <w:rFonts w:ascii="Arial" w:cs="Arial" w:eastAsia="Arial" w:hAnsi="Arial"/>
          <w:sz w:val="18"/>
          <w:szCs w:val="18"/>
          <w:color w:val="auto"/>
        </w:rPr>
        <w:t>The following graph compares the total stockholder return from June 9, 2020, the date on which our common shares commenced trading on the Nasdaq Global Select Market, through December 31, 2021 of (i) our common stock, (ii) the Standard and Poor's 500 Stock Index ("S&amp;P 500") and (iii) the Standard and Poor's 500 Retailing Index ("S&amp;P 500</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62" w:name="page63"/>
    <w:bookmarkEnd w:id="6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Retailing Index"), assuming an initial investment of $100 on June 9, 2020 including reinvestment of dividends where applicable. The results presented below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211455</wp:posOffset>
            </wp:positionV>
            <wp:extent cx="5657850" cy="46977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0" w:lineRule="exact"/>
        <w:rPr>
          <w:sz w:val="20"/>
          <w:szCs w:val="20"/>
          <w:color w:val="auto"/>
        </w:rPr>
      </w:pPr>
    </w:p>
    <w:p>
      <w:pPr>
        <w:ind w:right="100" w:firstLine="636"/>
        <w:spacing w:after="0" w:line="238" w:lineRule="auto"/>
        <w:rPr>
          <w:sz w:val="20"/>
          <w:szCs w:val="20"/>
          <w:color w:val="auto"/>
        </w:rPr>
      </w:pPr>
      <w:r>
        <w:rPr>
          <w:rFonts w:ascii="Arial" w:cs="Arial" w:eastAsia="Arial" w:hAnsi="Arial"/>
          <w:sz w:val="18"/>
          <w:szCs w:val="18"/>
          <w:color w:val="auto"/>
        </w:rPr>
        <w:t>As previously disclosed, on January 7, 2021, we completed the acquisition of 100% of Vast Holdings, Inc. (d/b/a CarStory) and issued 1,072,117 shares of our common stock as partial consideration for the acquisition. In the third quarter of 2021 we cancelled 5,673 of those shares as part of a working capital adjustment, for a total of 1,066,444 shares issued as partial consideration. The issuance of such shares of common stock was made in reliance on Section 4(a)(2) of the Securities Act of 1933, as amended.</w:t>
      </w:r>
    </w:p>
    <w:p>
      <w:pPr>
        <w:spacing w:after="0" w:line="191"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On June 18, 2021, we issued $625,000,000 in aggregate principal amount of 0.750% Convertible Senior Notes due 2026 (the “Notes”) in a private placement to qualified institutional buyers pursuant to Rule 144A of the Securities Act of 1933, as amended. The Notes are convertible into shares of our common stock on the terms set forth in the indenture governing the Notes. The Notes were issued to the initial purchasers in reliance upon Section 4(a)(2) of the Securities Act in transactions not involving any public offering. The Company relied on this exemption from registration based in part on representations made by the initial purchasers in the purchase agreement for the Notes. The Notes were resold by the initial purchasers to persons whom the initial purchasers reasonably believe are “qualified institutional buyers,” as defined</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63" w:name="page64"/>
    <w:bookmarkEnd w:id="6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and in accordance with, Rule 144A under the Securities Act. Any shares of the Company’s common stock that may be issued upon conversion of the Notes will be issued in reliance upon Section 3(a)(9) of the Securities Act as involving an exchange by the Company exclusively with its security holders. Initially, a maximum of 15,621,062 shares of the Company’s common stock may be issued upon conversion of the Notes, based on the initial maximum conversion rate of 24.9937 shares of common stock per $1,000 principal amount of Notes, which is subject to customary anti-dilution adjustment provisions. Additional information relating to the issuance of the Notes was provided in a Current Report on Form 8-K filed with the Securities and Exchange Commission on June 21,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2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sectPr>
      </w:pPr>
    </w:p>
    <w:bookmarkStart w:id="64" w:name="page65"/>
    <w:bookmarkEnd w:id="6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4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65" w:name="page66"/>
    <w:bookmarkEnd w:id="6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 Item 1A of this Annual Report on Form 10-K. Additionally, our historical results are not necessarily indicative of the results that may be expected for any period in the future.</w:t>
      </w:r>
    </w:p>
    <w:p>
      <w:pPr>
        <w:spacing w:after="0" w:line="17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A discussion regarding our financial condition and results of operation for the year ended December 31, 2021 compared to the year ended December 31, 2020 is presented below. A discussion regarding our financial condition and results of operations for the year ended December 31, 2020 compared to the year ended December 31, 2019 is included under “Management’s Discussion and Analysis of Financial Condition and Results of Operations” in our Annual Report on Form 10-K for the year ended December 31, 2020.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83" w:lineRule="exact"/>
        <w:rPr>
          <w:sz w:val="20"/>
          <w:szCs w:val="20"/>
          <w:color w:val="auto"/>
        </w:rPr>
      </w:pPr>
    </w:p>
    <w:p>
      <w:pPr>
        <w:ind w:right="240" w:firstLine="761"/>
        <w:spacing w:after="0"/>
        <w:rPr>
          <w:sz w:val="20"/>
          <w:szCs w:val="20"/>
          <w:color w:val="auto"/>
        </w:rPr>
      </w:pPr>
      <w:r>
        <w:rPr>
          <w:rFonts w:ascii="Arial" w:cs="Arial" w:eastAsia="Arial" w:hAnsi="Arial"/>
          <w:sz w:val="18"/>
          <w:szCs w:val="18"/>
          <w:color w:val="auto"/>
        </w:rPr>
        <w:t>We are driving enduring change in the industry on a national scale. Leveraging the benefits of national scale and local efficiency, we take a vertically integrated, hybrid asset-light approach, that is reinventing all phases of the vehicle buying and selling process, from discovery to delivery and everything in between. Our platform encompasses:</w:t>
      </w:r>
    </w:p>
    <w:p>
      <w:pPr>
        <w:spacing w:after="0" w:line="167" w:lineRule="exact"/>
        <w:rPr>
          <w:sz w:val="20"/>
          <w:szCs w:val="20"/>
          <w:color w:val="auto"/>
        </w:rPr>
      </w:pPr>
    </w:p>
    <w:p>
      <w:pPr>
        <w:ind w:left="1020" w:right="20" w:hanging="249"/>
        <w:spacing w:after="0" w:line="242"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65" w:lineRule="exact"/>
        <w:rPr>
          <w:rFonts w:ascii="Arial" w:cs="Arial" w:eastAsia="Arial" w:hAnsi="Arial"/>
          <w:sz w:val="18"/>
          <w:szCs w:val="18"/>
          <w:color w:val="auto"/>
        </w:rPr>
      </w:pPr>
    </w:p>
    <w:p>
      <w:pPr>
        <w:ind w:left="1020" w:right="100" w:hanging="249"/>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consumers, auctions, rental car companies, OEMs, and dealers. We improve our ability to acquire high-demand vehicles through enhanced supply science across all our sourcing channels and we have expanded our national marketing efforts to drive consumer sourcing. In our reconditioning and logistics operations, we deploy a hybrid asset-light strategy that optimizes a combination of ownership and operation of assets by us with strategic third-party partnerships. As we scale nationally, we continue to leverage our expanding last mile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66" w:lineRule="exact"/>
        <w:rPr>
          <w:rFonts w:ascii="Arial" w:cs="Arial" w:eastAsia="Arial" w:hAnsi="Arial"/>
          <w:sz w:val="18"/>
          <w:szCs w:val="18"/>
          <w:color w:val="auto"/>
        </w:rPr>
      </w:pPr>
    </w:p>
    <w:p>
      <w:pPr>
        <w:ind w:left="1020" w:right="60" w:hanging="249"/>
        <w:spacing w:after="0" w:line="242"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187"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Based on data from Cox Automotive, there were an estimated 40.5 million used vehicle transactions in 2021. The U.S. used automotive market is also highly fragmented, with over 42,000 dealers as of 2020 and millions of peer-to-peer transactions across the country. It also is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66" w:name="page67"/>
    <w:bookmarkEnd w:id="6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Model</w:t>
      </w:r>
    </w:p>
    <w:p>
      <w:pPr>
        <w:spacing w:after="0" w:line="220"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We generate revenue through the sale of used vehicles and value-added products. We sell vehicles directly to consumers primarily through our Ecommerce segment as a licensed dealer. As the largest segment in our business, Ecommerce revenue grew 166.8% from 2020 to 2021, and we expect Ecommerce to continue to outgrow our other segments as it is the core focus of our growth strategy.</w:t>
      </w:r>
    </w:p>
    <w:p>
      <w:pPr>
        <w:spacing w:after="0" w:line="189" w:lineRule="exact"/>
        <w:rPr>
          <w:sz w:val="20"/>
          <w:szCs w:val="20"/>
          <w:color w:val="auto"/>
        </w:rPr>
      </w:pPr>
    </w:p>
    <w:p>
      <w:pPr>
        <w:jc w:val="both"/>
        <w:ind w:right="180" w:firstLine="761"/>
        <w:spacing w:after="0"/>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 Additionally, we generate revenue through the retail sale of used vehicles and value-added products at Houston-based Texas Direct Auto, or TDA.</w:t>
      </w:r>
    </w:p>
    <w:p>
      <w:pPr>
        <w:spacing w:after="0" w:line="189"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For the year ended December 31, 2021, our Ecommerce, Wholesale and TDA segments represented 76.7%, 15.7% and 7.2% of our total revenue, respectively.</w:t>
      </w:r>
    </w:p>
    <w:p>
      <w:pPr>
        <w:spacing w:after="0" w:line="183" w:lineRule="exact"/>
        <w:rPr>
          <w:sz w:val="20"/>
          <w:szCs w:val="20"/>
          <w:color w:val="auto"/>
        </w:rPr>
      </w:pPr>
    </w:p>
    <w:p>
      <w:pPr>
        <w:ind w:right="120" w:firstLine="761"/>
        <w:spacing w:after="0" w:line="253" w:lineRule="auto"/>
        <w:rPr>
          <w:sz w:val="20"/>
          <w:szCs w:val="20"/>
          <w:color w:val="auto"/>
        </w:rPr>
      </w:pPr>
      <w:r>
        <w:rPr>
          <w:rFonts w:ascii="Arial" w:cs="Arial" w:eastAsia="Arial" w:hAnsi="Arial"/>
          <w:sz w:val="17"/>
          <w:szCs w:val="17"/>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finance and protection products sold as part of a vehicle sale. Because we are paid fees on the value-added products we sell, our gross profit on such products is equal to the revenue we generate. See “—Key Operating and Financial Metrics.”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126365</wp:posOffset>
            </wp:positionV>
            <wp:extent cx="5520690" cy="24860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2069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Our profitability depends primarily on increasing unit sales and operating leverage, as well as improving unit economics. We deploy a hybrid asset-light strategy that optimizes a combination of ownership and operation of assets by us with strategic third-party partnerships. Our hybrid approach also applies to the third -party value-added products we sell to customers. Currently, we generate additional revenue streams without directly underwriting vehicle financing or protection products; however, our acquisition of UACC accelerates our strategy to develop a captive financing arm and underwrite vehicle financing for our customers. As we scale, we expect to benefit from efficiencies and operating leverage across our business, including our marketing and technology investments, and our inventory procurement, logistics, reconditioning and sales processes.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source our vehicle inventory from a variety of channels, including consumers, auctions,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predictive data derived from market demand, pricing dynamics, vehicle acquisitions and subsequent sales, and we leverage that data to optimize future vehicle acquisitions, which we believe has been enhanced by the acquisition of CarStory and integration of its advanced data analytics. As we scale, we expect to continue to leverage the data at our disposal to optimize and enhance the volume and selection of vehicles in our inventory and, in turn, drive revenue growth and profitability. We are also exploring and testing third party inventory strategies, which offers the possibility of expanding our sourcing channels through third party sellers while offering us attractive revenue models in an asset light, debt free structure. See “— Other Key Factors and Trends Affecting our Operating Results—Ability to utilize data science to drive revenue growth by cost effectively increasing the volume and selection of vehicles in our inventory.”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22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Utilizing this hybrid approach, we have increased our total reconditioning capacity to approximately 3,400 units per week as of December 31, 2021, with approximately three-fourths from our 37 third-party VRCs. One of our third party VRC providers, Adesa U.S., which also hosts a number of our last-mile hubs, recently announced a change of control transaction pursuant to which Adesa is being acquired by a competitor of Vroom. Adesa has communicated its intent to discontinue its third-party reconditioning serves, which will require us to replace Adesa's capacity with increased capacity at our other existing providers, new providers, or additional proprietary VRCs, and relocate the affected last-mile hubs. Going forward, as we continue to scale our business, we intend to add additional proprietary VRCs to our integrated hybrid network to ensure adequate capacity and support our regional operating model. As we are increasing the number of vehicles in our inventory and expanding our reconditioning capacity, we expect that reconditioning costs and inbound shipping costs per unit will continue to decrease as we benefit from economies of scale and operating leverage in reconditioning costs. See “—Other Key Factors and Trends Affecting our Operating Results—Ability to expand and optimize our reconditioning capacity to satisfy increasing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220"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For our logistics operations, we historically used primarily national third-party carriers, which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We have been accelerating our strategy to optimize our hybrid approach by expanding our proprietary logistics networks due to a confluence of factors, including increased shipping prices and delays during the COVID-19 pandemic from a reduced supply of carriers and increased demand for carriers from competitors, as well as our desire to improve the quality and reliability of our logistics operations and enhance our customer experience. We have been prioritizing investment in our last mile delivery operations, where we can have the greatest impact on the customer experience, and also are investing in short-haul vehicles to make regional deliveries from our last mile hubs, many of which are located at our third-party VRCs, and line-haul vehicles for hub-to-hub shipments on high-volume routes. Consistent with our hybrid approach and the continued development of our regional operating model as we continue to scale our business, we will strategically combine the operation of our expanded proprietary fleet with the use of third-party carriers, which will enable us to accommodate our rapid growth, improve our operating leverage and provide the highest level of customer service. See “—Other Key Factors and Trends Affecting our Operating Results—Ability to expand and develop our logistics network.”</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8" w:name="page69"/>
    <w:bookmarkEnd w:id="6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offerings consist of finance and protection products, such as financing from third-party lenders for our customers’ vehicle purchases, as well as sales of vehicle service contracts, GAP protection and tire and wheel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As a first step in our integration plan, UACC has joined the existing lineup of lenders available on our ecommerce platform as we work to integrate UACC’s services and develop our captive financing operation, which will enable us to provide our customers with automotive financing solutions across the credit spectrum and an enhanced customer experience. See “—Other Key Factors and Trends Affecting our Operating Results—Ability to increase and better monetize value-added products.”</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Our 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480" w:hanging="249"/>
        <w:spacing w:after="0" w:line="25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(76.7% of 2021 revenue; 67.4% of 2020 revenue): The Ecommerce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through our ecommerce platform and fees earned on sales of value-added products associated with those vehicle sales.</w:t>
      </w:r>
    </w:p>
    <w:p>
      <w:pPr>
        <w:spacing w:after="0" w:line="155" w:lineRule="exact"/>
        <w:rPr>
          <w:rFonts w:ascii="Arial" w:cs="Arial" w:eastAsia="Arial" w:hAnsi="Arial"/>
          <w:sz w:val="18"/>
          <w:szCs w:val="18"/>
          <w:color w:val="auto"/>
        </w:rPr>
      </w:pPr>
    </w:p>
    <w:p>
      <w:pPr>
        <w:ind w:left="1020" w:right="580" w:hanging="249"/>
        <w:spacing w:after="0" w:line="27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(15.7% of 2021 revenue; 18.1% of 2020 revenue): The Wholesale segment represents sales of used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wholesale channels.</w:t>
      </w:r>
    </w:p>
    <w:p>
      <w:pPr>
        <w:spacing w:after="0" w:line="140" w:lineRule="exact"/>
        <w:rPr>
          <w:rFonts w:ascii="Arial" w:cs="Arial" w:eastAsia="Arial" w:hAnsi="Arial"/>
          <w:sz w:val="18"/>
          <w:szCs w:val="18"/>
          <w:color w:val="auto"/>
        </w:rPr>
      </w:pPr>
    </w:p>
    <w:p>
      <w:pPr>
        <w:ind w:left="1020" w:right="80" w:hanging="249"/>
        <w:spacing w:after="0" w:line="27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(7.2% of 2021 revenue; 14.4% of 2020 revenue): The TDA segment represents retail sales of used vehicles from TDA and</w:t>
      </w:r>
      <w:r>
        <w:rPr>
          <w:rFonts w:ascii="Arial" w:cs="Arial" w:eastAsia="Arial" w:hAnsi="Arial"/>
          <w:sz w:val="18"/>
          <w:szCs w:val="18"/>
          <w:b w:val="1"/>
          <w:bCs w:val="1"/>
          <w:color w:val="auto"/>
        </w:rPr>
        <w:t xml:space="preserve"> </w:t>
      </w:r>
      <w:r>
        <w:rPr>
          <w:rFonts w:ascii="Arial" w:cs="Arial" w:eastAsia="Arial" w:hAnsi="Arial"/>
          <w:sz w:val="18"/>
          <w:szCs w:val="18"/>
          <w:color w:val="auto"/>
        </w:rPr>
        <w:t>fees earned on sales of value-added products associated with those vehicle sales.</w:t>
      </w:r>
    </w:p>
    <w:p>
      <w:pPr>
        <w:spacing w:after="0" w:line="162"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years ended December 31, 2021,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5"/>
              <w:spacing w:after="0" w:line="169" w:lineRule="exact"/>
              <w:rPr>
                <w:sz w:val="20"/>
                <w:szCs w:val="20"/>
                <w:color w:val="auto"/>
              </w:rPr>
            </w:pPr>
            <w:r>
              <w:rPr>
                <w:rFonts w:ascii="Arial" w:cs="Arial" w:eastAsia="Arial" w:hAnsi="Arial"/>
                <w:sz w:val="14"/>
                <w:szCs w:val="14"/>
                <w:b w:val="1"/>
                <w:bCs w:val="1"/>
                <w:color w:val="auto"/>
                <w:w w:val="94"/>
              </w:rPr>
              <w:t xml:space="preserve">2020 </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line="169"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9"/>
                <w:szCs w:val="19"/>
                <w:b w:val="1"/>
                <w:bCs w:val="1"/>
                <w:color w:val="auto"/>
                <w:vertAlign w:val="superscript"/>
              </w:rPr>
              <w:t>(1)</w:t>
            </w:r>
          </w:p>
        </w:tc>
      </w:tr>
      <w:tr>
        <w:trPr>
          <w:trHeight w:val="210"/>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Ecommerce</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2,442,369</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915,451</w:t>
            </w:r>
          </w:p>
        </w:tc>
        <w:tc>
          <w:tcPr>
            <w:tcW w:w="4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588,114</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498,981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245,580</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213,464</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TDA</w:t>
            </w:r>
          </w:p>
        </w:tc>
        <w:tc>
          <w:tcPr>
            <w:tcW w:w="3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229,872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195,295</w:t>
            </w:r>
          </w:p>
        </w:tc>
        <w:tc>
          <w:tcPr>
            <w:tcW w:w="4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388,504</w:t>
            </w: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13,033</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1,374</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1,739</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3,184,255</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1,357,700</w:t>
            </w:r>
          </w:p>
        </w:tc>
        <w:tc>
          <w:tcPr>
            <w:tcW w:w="4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1,191,821</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Ecommerce</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164,746</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60,861</w:t>
            </w:r>
          </w:p>
        </w:tc>
        <w:tc>
          <w:tcPr>
            <w:tcW w:w="4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32,127</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18,120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(1,432 )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TDA</w:t>
            </w:r>
          </w:p>
        </w:tc>
        <w:tc>
          <w:tcPr>
            <w:tcW w:w="3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11,907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11,677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24,661</w:t>
            </w: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7,326</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439</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731</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202,099</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71,545</w:t>
            </w:r>
          </w:p>
        </w:tc>
        <w:tc>
          <w:tcPr>
            <w:tcW w:w="4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57,859</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-965200</wp:posOffset>
            </wp:positionV>
            <wp:extent cx="939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-965200</wp:posOffset>
            </wp:positionV>
            <wp:extent cx="939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939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939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228" w:lineRule="exact"/>
        <w:rPr>
          <w:sz w:val="20"/>
          <w:szCs w:val="20"/>
          <w:color w:val="auto"/>
        </w:rPr>
      </w:pPr>
    </w:p>
    <w:p>
      <w:pPr>
        <w:ind w:left="1020" w:right="140" w:hanging="503"/>
        <w:spacing w:after="0" w:line="258" w:lineRule="auto"/>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reclassified other revenue and other gross profit related to the vehicle repair service at TDA from the TDA reportable segment to the “All Other” category to conform to current year presentation.</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0" w:lineRule="exact"/>
        <w:rPr>
          <w:sz w:val="20"/>
          <w:szCs w:val="20"/>
          <w:color w:val="auto"/>
        </w:rPr>
      </w:pPr>
    </w:p>
    <w:p>
      <w:pPr>
        <w:ind w:right="360" w:firstLine="761"/>
        <w:spacing w:after="0" w:line="237"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consolidated financial statements and related notes included elsewhere in this Annual Report on Form 10-K.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focus heavily on metrics related to unit economics as improved gross profit per unit is a key element of our growth and profitability strategies.</w:t>
      </w:r>
    </w:p>
    <w:p>
      <w:pPr>
        <w:spacing w:after="0" w:line="198"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17"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Ecommerce units sold</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74,698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34,488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18,945</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ecommerce unit</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1,108</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869</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Gross Profit per ecommerce unit</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1,098</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896</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587</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 per ecommerce unit</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2,206</w:t>
            </w:r>
          </w:p>
        </w:tc>
        <w:tc>
          <w:tcPr>
            <w:tcW w:w="4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1,765</w:t>
            </w:r>
          </w:p>
        </w:tc>
        <w:tc>
          <w:tcPr>
            <w:tcW w:w="4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1,696</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Average monthly unique visitors</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2"/>
              <w:spacing w:after="0" w:line="183" w:lineRule="exact"/>
              <w:rPr>
                <w:sz w:val="20"/>
                <w:szCs w:val="20"/>
                <w:color w:val="auto"/>
              </w:rPr>
            </w:pPr>
            <w:r>
              <w:rPr>
                <w:rFonts w:ascii="Arial" w:cs="Arial" w:eastAsia="Arial" w:hAnsi="Arial"/>
                <w:sz w:val="18"/>
                <w:szCs w:val="18"/>
                <w:color w:val="auto"/>
              </w:rPr>
              <w:t>1,968,656</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969,890</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653,216</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Listed vehicles</w:t>
            </w:r>
          </w:p>
        </w:tc>
        <w:tc>
          <w:tcPr>
            <w:tcW w:w="3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20,686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15,963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4,956</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Ecommerce average days to sale</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-544830</wp:posOffset>
            </wp:positionV>
            <wp:extent cx="93980" cy="160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6002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-544830</wp:posOffset>
            </wp:positionV>
            <wp:extent cx="93980" cy="160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600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through the TDA and Wholesale segments. As we continue to expand our ecommerce business, we expect that ecommerce units sold will continue to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through wholesale channels.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value-added products. We plan to continue to introduce initiatives to increase the attachment rates of value-added products and expand our offerings of value-added products which will grow our Product GPPU. The acquisition of UACC accelerates our strategy to develop a captive financing arm and will enable us to expand our automotive financing solutions across the credit spectrum to support sales growth, improve unit economics and create long-term value for our shareholders. With the captive financing offered by UACC, we will begin to generate product gross profit through the sales of finance receivables we originate and sell in securitization transactions or forward flow arrangements.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20" w:lineRule="exact"/>
        <w:rPr>
          <w:sz w:val="20"/>
          <w:szCs w:val="20"/>
          <w:color w:val="auto"/>
        </w:rPr>
      </w:pPr>
    </w:p>
    <w:p>
      <w:pPr>
        <w:ind w:right="480" w:firstLine="761"/>
        <w:spacing w:after="0" w:line="246"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20" w:lineRule="exact"/>
        <w:rPr>
          <w:sz w:val="20"/>
          <w:szCs w:val="20"/>
          <w:color w:val="auto"/>
        </w:rPr>
      </w:pPr>
    </w:p>
    <w:p>
      <w:pPr>
        <w:ind w:right="200" w:firstLine="761"/>
        <w:spacing w:after="0" w:line="238"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8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220"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We define listed vehicles as the aggregate number of vehicles listed on our platform at any given point in time. Listed vehicles includes vehicles that are available for sale, pending sale and “coming soon”.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through the TDA and Wholesale segments. Ecommerce average days to sale is an important metric because a reduction in the number of days between the acquisition of a vehicle and the delivery of such vehicle typically results in a higher gross profit per unit.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loss from operations, Non-GAAP net loss, Non-GAAP net loss per share and Non-GAAP net loss per share, as adjusted.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94"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EBITDA, Adjusted EBITDA, Adjusted loss from operations, Non-GAAP net loss, Non-GAAP net loss per share and Non-GAAP net loss per share, as adjusted are supplemental performance measures that our management uses to assess our operating performance and the operating leverage in our business. Because EBITDA, Adjusted EBITDA, Adjusted loss from operations, Non-GAAP net loss, Non-GAAP net loss per share and Non-GAAP net loss per share, as adjusted facilitate internal comparisons of our historical operating performance on a more consistent basis, we use these measures for business planning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0"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the one-time, IPO related acceleration of non-cash stock-based compensation expense, the one-time, IPO related non-cash revaluation of a preferred stock warrant, and acquisition related costs. The following table presents a reconciliation of EBITDA and Adjusted EBITDA to net loss, which is the most directly comparable U.S. GAAP measure:</w:t>
      </w:r>
    </w:p>
    <w:p>
      <w:pPr>
        <w:spacing w:after="0" w:line="176"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64"/>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(370,911 )</w:t>
            </w:r>
          </w:p>
        </w:tc>
        <w:tc>
          <w:tcPr>
            <w:tcW w:w="58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(202,799 )</w:t>
            </w: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(142,978 )</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21,948</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9,656</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14,596</w:t>
            </w:r>
          </w:p>
        </w:tc>
      </w:tr>
      <w:tr>
        <w:trPr>
          <w:trHeight w:val="202"/>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(10,341 )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(5,896 )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(5,607 )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754</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168</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13,215</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4,654</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6,157</w:t>
            </w: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(345,335 )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(194,301 )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(127,664 )</w:t>
            </w: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8"/>
                <w:szCs w:val="18"/>
                <w:color w:val="auto"/>
              </w:rPr>
              <w:t>One-time IPO related acceleration of non-cash stock-based compensation</w:t>
            </w:r>
          </w:p>
        </w:tc>
        <w:tc>
          <w:tcPr>
            <w:tcW w:w="340" w:type="dxa"/>
            <w:vAlign w:val="bottom"/>
          </w:tcPr>
          <w:p>
            <w:pPr>
              <w:spacing w:after="0"/>
              <w:rPr>
                <w:sz w:val="15"/>
                <w:szCs w:val="15"/>
                <w:color w:val="auto"/>
              </w:rPr>
            </w:pPr>
          </w:p>
        </w:tc>
        <w:tc>
          <w:tcPr>
            <w:tcW w:w="1160" w:type="dxa"/>
            <w:vAlign w:val="bottom"/>
          </w:tcPr>
          <w:p>
            <w:pPr>
              <w:jc w:val="right"/>
              <w:ind w:right="33"/>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1,262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2"/>
              <w:spacing w:after="0" w:line="183"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One-time IPO related non-cash revaluation of preferred stock warrant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Acquisition related costs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5,090</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(340,245 )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(170,489 )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-573405</wp:posOffset>
            </wp:positionV>
            <wp:extent cx="110553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05535" cy="1543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93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loss from operations</w:t>
      </w:r>
    </w:p>
    <w:p>
      <w:pPr>
        <w:spacing w:after="0" w:line="220" w:lineRule="exact"/>
        <w:rPr>
          <w:sz w:val="20"/>
          <w:szCs w:val="20"/>
          <w:color w:val="auto"/>
        </w:rPr>
      </w:pPr>
    </w:p>
    <w:p>
      <w:pPr>
        <w:ind w:right="240" w:firstLine="761"/>
        <w:spacing w:after="0"/>
        <w:rPr>
          <w:sz w:val="20"/>
          <w:szCs w:val="20"/>
          <w:color w:val="auto"/>
        </w:rPr>
      </w:pPr>
      <w:r>
        <w:rPr>
          <w:rFonts w:ascii="Arial" w:cs="Arial" w:eastAsia="Arial" w:hAnsi="Arial"/>
          <w:sz w:val="18"/>
          <w:szCs w:val="18"/>
          <w:color w:val="auto"/>
        </w:rPr>
        <w:t>We calculate Adjusted loss from operations as loss from operations adjusted to exclude the one-time, IPO related acceleration of non-cash stock-based compensation expense and acquisition related costs. The following table presents a reconciliation of Adjusted loss from operations to loss from operations, which is the most directly comparable U.S. GAAP measure:</w:t>
      </w:r>
    </w:p>
    <w:p>
      <w:pPr>
        <w:spacing w:after="0" w:line="17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(358,615 )</w:t>
            </w:r>
          </w:p>
        </w:tc>
        <w:tc>
          <w:tcPr>
            <w:tcW w:w="58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(178,599 )</w:t>
            </w:r>
          </w:p>
        </w:tc>
        <w:tc>
          <w:tcPr>
            <w:tcW w:w="4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(133,148 )</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Add: One-time IPO related acceleration of non-cash stock based compensation</w:t>
            </w:r>
          </w:p>
        </w:tc>
        <w:tc>
          <w:tcPr>
            <w:tcW w:w="340" w:type="dxa"/>
            <w:vAlign w:val="bottom"/>
          </w:tcPr>
          <w:p>
            <w:pPr>
              <w:spacing w:after="0"/>
              <w:rPr>
                <w:sz w:val="17"/>
                <w:szCs w:val="17"/>
                <w:color w:val="auto"/>
              </w:rPr>
            </w:pP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Add: Acquisition related costs</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5,090</w:t>
            </w: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2,080</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82" w:lineRule="exact"/>
              <w:rPr>
                <w:sz w:val="20"/>
                <w:szCs w:val="20"/>
                <w:color w:val="auto"/>
              </w:rPr>
            </w:pPr>
            <w:r>
              <w:rPr>
                <w:rFonts w:ascii="Arial" w:cs="Arial" w:eastAsia="Arial" w:hAnsi="Arial"/>
                <w:sz w:val="18"/>
                <w:szCs w:val="18"/>
                <w:color w:val="auto"/>
              </w:rPr>
              <w:t>Adjusted loss from operations</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(353,525 )</w:t>
            </w:r>
          </w:p>
        </w:tc>
        <w:tc>
          <w:tcPr>
            <w:tcW w:w="58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(175,257 )</w:t>
            </w:r>
          </w:p>
        </w:tc>
        <w:tc>
          <w:tcPr>
            <w:tcW w:w="4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(133,148 )</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5520"/>
              <w:spacing w:after="0"/>
              <w:rPr>
                <w:sz w:val="20"/>
                <w:szCs w:val="20"/>
                <w:color w:val="auto"/>
              </w:rPr>
            </w:pPr>
            <w:r>
              <w:rPr>
                <w:rFonts w:ascii="Arial" w:cs="Arial" w:eastAsia="Arial" w:hAnsi="Arial"/>
                <w:sz w:val="18"/>
                <w:szCs w:val="18"/>
                <w:color w:val="auto"/>
              </w:rPr>
              <w:t>72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-639445</wp:posOffset>
            </wp:positionV>
            <wp:extent cx="939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-639445</wp:posOffset>
            </wp:positionV>
            <wp:extent cx="939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 Non-GAAP net loss per share and Non-GAAP net loss per share, as adjusted</w:t>
      </w:r>
    </w:p>
    <w:p>
      <w:pPr>
        <w:spacing w:after="0" w:line="220" w:lineRule="exact"/>
        <w:rPr>
          <w:sz w:val="20"/>
          <w:szCs w:val="20"/>
          <w:color w:val="auto"/>
        </w:rPr>
      </w:pPr>
    </w:p>
    <w:p>
      <w:pPr>
        <w:ind w:right="240" w:firstLine="761"/>
        <w:spacing w:after="0" w:line="238" w:lineRule="auto"/>
        <w:rPr>
          <w:sz w:val="20"/>
          <w:szCs w:val="20"/>
          <w:color w:val="auto"/>
        </w:rPr>
      </w:pPr>
      <w:r>
        <w:rPr>
          <w:rFonts w:ascii="Arial" w:cs="Arial" w:eastAsia="Arial" w:hAnsi="Arial"/>
          <w:sz w:val="18"/>
          <w:szCs w:val="18"/>
          <w:color w:val="auto"/>
        </w:rPr>
        <w:t>We calculate Non-GAAP net loss as net loss adjusted to exclude the one-time, IPO related acceleration of non-cash stock-based compensation expense, the one-time, IPO related non-cash revaluation of a preferred stock warrant, and acquisition related costs.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21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gridSpan w:val="6"/>
          </w:tcPr>
          <w:p>
            <w:pPr>
              <w:jc w:val="right"/>
              <w:ind w:right="591"/>
              <w:spacing w:after="0"/>
              <w:rPr>
                <w:sz w:val="20"/>
                <w:szCs w:val="20"/>
                <w:color w:val="auto"/>
              </w:rPr>
            </w:pPr>
            <w:r>
              <w:rPr>
                <w:rFonts w:ascii="Arial" w:cs="Arial" w:eastAsia="Arial" w:hAnsi="Arial"/>
                <w:sz w:val="14"/>
                <w:szCs w:val="14"/>
                <w:b w:val="1"/>
                <w:bCs w:val="1"/>
                <w:color w:val="auto"/>
              </w:rPr>
              <w:t>except share and per share amounts)</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(370,911 )</w:t>
            </w:r>
          </w:p>
        </w:tc>
        <w:tc>
          <w:tcPr>
            <w:tcW w:w="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(202,799 )</w:t>
            </w: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(142,978 )</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(132,750 )</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(370,911 )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(202,799 )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(275,728 )</w:t>
            </w: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8"/>
                <w:szCs w:val="18"/>
                <w:color w:val="auto"/>
              </w:rPr>
              <w:t>Add: One-time IPO related acceleration of non-cash stock based compensation</w:t>
            </w:r>
          </w:p>
        </w:tc>
        <w:tc>
          <w:tcPr>
            <w:tcW w:w="240" w:type="dxa"/>
            <w:vAlign w:val="bottom"/>
          </w:tcPr>
          <w:p>
            <w:pPr>
              <w:spacing w:after="0"/>
              <w:rPr>
                <w:sz w:val="15"/>
                <w:szCs w:val="15"/>
                <w:color w:val="auto"/>
              </w:rPr>
            </w:pPr>
          </w:p>
        </w:tc>
        <w:tc>
          <w:tcPr>
            <w:tcW w:w="1240" w:type="dxa"/>
            <w:vAlign w:val="bottom"/>
          </w:tcPr>
          <w:p>
            <w:pPr>
              <w:jc w:val="right"/>
              <w:ind w:right="13"/>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1,262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 One-time IPO related non-cash revaluation of preferred stock warrant</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Add: Acquisition related costs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5,090</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Non-GAAP net loss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(365,821 )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(178,987 )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(275,728 )</w:t>
            </w: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Weighted-average number of shares outstanding used to compute net loss per</w:t>
            </w:r>
          </w:p>
        </w:tc>
        <w:tc>
          <w:tcPr>
            <w:tcW w:w="24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136,429,791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73,345,569</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8,605,962</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143" w:lineRule="exact"/>
              <w:rPr>
                <w:sz w:val="20"/>
                <w:szCs w:val="20"/>
                <w:color w:val="auto"/>
              </w:rPr>
            </w:pPr>
            <w:r>
              <w:rPr>
                <w:rFonts w:ascii="Arial" w:cs="Arial" w:eastAsia="Arial" w:hAnsi="Arial"/>
                <w:sz w:val="16"/>
                <w:szCs w:val="16"/>
                <w:color w:val="auto"/>
              </w:rPr>
              <w:t>share, basic and diluted</w:t>
            </w:r>
          </w:p>
        </w:tc>
        <w:tc>
          <w:tcPr>
            <w:tcW w:w="2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(2.72 )</w:t>
            </w:r>
          </w:p>
        </w:tc>
        <w:tc>
          <w:tcPr>
            <w:tcW w:w="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(2.76 )</w:t>
            </w: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(32.04 )</w:t>
            </w:r>
          </w:p>
        </w:tc>
        <w:tc>
          <w:tcPr>
            <w:tcW w:w="0" w:type="dxa"/>
            <w:vAlign w:val="bottom"/>
          </w:tcPr>
          <w:p>
            <w:pPr>
              <w:spacing w:after="0"/>
              <w:rPr>
                <w:sz w:val="1"/>
                <w:szCs w:val="1"/>
                <w:color w:val="auto"/>
              </w:rPr>
            </w:pPr>
          </w:p>
        </w:tc>
      </w:tr>
      <w:tr>
        <w:trPr>
          <w:trHeight w:val="155"/>
        </w:trPr>
        <w:tc>
          <w:tcPr>
            <w:tcW w:w="656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7"/>
                <w:szCs w:val="17"/>
                <w:color w:val="auto"/>
              </w:rPr>
              <w:t>Impact of one-time IPO related acceleration of non-cash stock based</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3" w:lineRule="exact"/>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17"/>
                <w:szCs w:val="17"/>
                <w:color w:val="auto"/>
              </w:rPr>
            </w:pPr>
          </w:p>
        </w:tc>
        <w:tc>
          <w:tcPr>
            <w:tcW w:w="12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0.02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Impact of one-time IPO related non-cash revaluation of preferred stock warrant</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Impact of acquisition related costs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0.04</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0.03</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Non-GAAP net loss per share, basic and diluted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(32.04 )</w:t>
            </w: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6"/>
                <w:szCs w:val="16"/>
                <w:color w:val="auto"/>
              </w:rPr>
              <w:t>Non-GAAP net loss per share, as adjusted, basic and diluted</w:t>
            </w:r>
            <w:r>
              <w:rPr>
                <w:rFonts w:ascii="Arial" w:cs="Arial" w:eastAsia="Arial" w:hAnsi="Arial"/>
                <w:sz w:val="21"/>
                <w:szCs w:val="21"/>
                <w:color w:val="auto"/>
                <w:vertAlign w:val="superscript"/>
              </w:rPr>
              <w:t>(a)</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3" w:lineRule="exact"/>
              <w:rPr>
                <w:sz w:val="20"/>
                <w:szCs w:val="20"/>
                <w:color w:val="auto"/>
              </w:rPr>
            </w:pPr>
            <w:r>
              <w:rPr>
                <w:rFonts w:ascii="Arial" w:cs="Arial" w:eastAsia="Arial" w:hAnsi="Arial"/>
                <w:sz w:val="18"/>
                <w:szCs w:val="18"/>
                <w:color w:val="auto"/>
              </w:rPr>
              <w:t>(2.68 )</w:t>
            </w:r>
          </w:p>
        </w:tc>
        <w:tc>
          <w:tcPr>
            <w:tcW w:w="44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(1.37 )</w:t>
            </w:r>
          </w:p>
        </w:tc>
        <w:tc>
          <w:tcPr>
            <w:tcW w:w="48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-2039620</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-2022475</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-2039620</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-2022475</wp:posOffset>
            </wp:positionV>
            <wp:extent cx="93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-1490980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-1473835</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-1490980</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-1473835</wp:posOffset>
            </wp:positionV>
            <wp:extent cx="939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-1122045</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-1105535</wp:posOffset>
            </wp:positionV>
            <wp:extent cx="1028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-1122045</wp:posOffset>
            </wp:positionV>
            <wp:extent cx="939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-1105535</wp:posOffset>
            </wp:positionV>
            <wp:extent cx="93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-839470</wp:posOffset>
            </wp:positionV>
            <wp:extent cx="102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-822325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-839470</wp:posOffset>
            </wp:positionV>
            <wp:extent cx="93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-822325</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-179705</wp:posOffset>
            </wp:positionV>
            <wp:extent cx="1028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-162560</wp:posOffset>
            </wp:positionV>
            <wp:extent cx="102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-179705</wp:posOffset>
            </wp:positionV>
            <wp:extent cx="93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93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09" w:lineRule="exact"/>
        <w:rPr>
          <w:sz w:val="20"/>
          <w:szCs w:val="20"/>
          <w:color w:val="auto"/>
        </w:rPr>
      </w:pPr>
    </w:p>
    <w:p>
      <w:pPr>
        <w:ind w:right="220"/>
        <w:spacing w:after="0" w:line="215" w:lineRule="auto"/>
        <w:rPr>
          <w:sz w:val="20"/>
          <w:szCs w:val="20"/>
          <w:color w:val="auto"/>
        </w:rPr>
      </w:pPr>
      <w:r>
        <w:rPr>
          <w:rFonts w:ascii="Arial" w:cs="Arial" w:eastAsia="Arial" w:hAnsi="Arial"/>
          <w:sz w:val="19"/>
          <w:szCs w:val="19"/>
          <w:color w:val="auto"/>
          <w:vertAlign w:val="superscript"/>
        </w:rPr>
        <w:t>(a)</w:t>
      </w:r>
      <w:r>
        <w:rPr>
          <w:rFonts w:ascii="Arial" w:cs="Arial" w:eastAsia="Arial" w:hAnsi="Arial"/>
          <w:sz w:val="14"/>
          <w:szCs w:val="14"/>
          <w:color w:val="auto"/>
        </w:rPr>
        <w:t>Non-GAAP net loss per share, as adjusted has been computed to give effect to, as of the beginning of each period presented, (i) the shares of common stock issued in connection with our IPO (ii) the automatic conversion of all outstanding shares of redeemable convertible preferred stock into shares of common stock that occurred upon the consummation of our IPO and (iii) the shares of common stock issued in connection with our follow-on public offering. The computation of Non-GAAP net loss per share, as adjusted is as follows:</w:t>
      </w:r>
    </w:p>
    <w:p>
      <w:pPr>
        <w:spacing w:after="0" w:line="100"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Year Ended</w:t>
      </w:r>
    </w:p>
    <w:p>
      <w:pPr>
        <w:jc w:val="center"/>
        <w:ind w:left="6480"/>
        <w:spacing w:after="0"/>
        <w:rPr>
          <w:sz w:val="20"/>
          <w:szCs w:val="20"/>
          <w:color w:val="auto"/>
        </w:rPr>
      </w:pPr>
      <w:r>
        <w:rPr>
          <w:rFonts w:ascii="Arial" w:cs="Arial" w:eastAsia="Arial" w:hAnsi="Arial"/>
          <w:sz w:val="13"/>
          <w:szCs w:val="13"/>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40" w:type="dxa"/>
            <w:vAlign w:val="bottom"/>
            <w:gridSpan w:val="7"/>
          </w:tcPr>
          <w:p>
            <w:pPr>
              <w:jc w:val="right"/>
              <w:ind w:right="809"/>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0" w:type="dxa"/>
            <w:vAlign w:val="bottom"/>
          </w:tcPr>
          <w:p>
            <w:pPr>
              <w:spacing w:after="0"/>
              <w:rPr>
                <w:sz w:val="1"/>
                <w:szCs w:val="1"/>
                <w:color w:val="auto"/>
              </w:rPr>
            </w:pPr>
          </w:p>
        </w:tc>
      </w:tr>
      <w:tr>
        <w:trPr>
          <w:trHeight w:val="177"/>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Non-GAAP net loss</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(365,821 )</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(178,987 )</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(275,728 )</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Arial" w:cs="Arial" w:eastAsia="Arial" w:hAnsi="Arial"/>
                <w:sz w:val="14"/>
                <w:szCs w:val="14"/>
                <w:color w:val="auto"/>
              </w:rPr>
              <w:t>Add: Accretion of redeemable convertible preferred stock</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132,750</w:t>
            </w: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Non-GAAP net loss, as adjusted</w:t>
            </w:r>
          </w:p>
        </w:tc>
        <w:tc>
          <w:tcPr>
            <w:tcW w:w="340" w:type="dxa"/>
            <w:vAlign w:val="bottom"/>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(365,821 )</w:t>
            </w:r>
          </w:p>
        </w:tc>
        <w:tc>
          <w:tcPr>
            <w:tcW w:w="46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(178,987 )</w:t>
            </w:r>
          </w:p>
        </w:tc>
        <w:tc>
          <w:tcPr>
            <w:tcW w:w="48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(142,978 )</w:t>
            </w:r>
          </w:p>
        </w:tc>
        <w:tc>
          <w:tcPr>
            <w:tcW w:w="0" w:type="dxa"/>
            <w:vAlign w:val="bottom"/>
          </w:tcPr>
          <w:p>
            <w:pPr>
              <w:spacing w:after="0"/>
              <w:rPr>
                <w:sz w:val="1"/>
                <w:szCs w:val="1"/>
                <w:color w:val="auto"/>
              </w:rPr>
            </w:pPr>
          </w:p>
        </w:tc>
      </w:tr>
      <w:tr>
        <w:trPr>
          <w:trHeight w:val="156"/>
        </w:trPr>
        <w:tc>
          <w:tcPr>
            <w:tcW w:w="65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6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Weighted-average number of shares outstanding used to compute net loss per share, basic and</w:t>
            </w:r>
          </w:p>
        </w:tc>
        <w:tc>
          <w:tcPr>
            <w:tcW w:w="34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136,429,791</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ind w:right="7"/>
              <w:spacing w:after="0"/>
              <w:rPr>
                <w:sz w:val="20"/>
                <w:szCs w:val="20"/>
                <w:color w:val="auto"/>
              </w:rPr>
            </w:pPr>
            <w:r>
              <w:rPr>
                <w:rFonts w:ascii="Arial" w:cs="Arial" w:eastAsia="Arial" w:hAnsi="Arial"/>
                <w:sz w:val="14"/>
                <w:szCs w:val="14"/>
                <w:color w:val="auto"/>
              </w:rPr>
              <w:t>73,345,569</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8,605,962</w:t>
            </w:r>
          </w:p>
        </w:tc>
        <w:tc>
          <w:tcPr>
            <w:tcW w:w="0" w:type="dxa"/>
            <w:vAlign w:val="bottom"/>
          </w:tcPr>
          <w:p>
            <w:pPr>
              <w:spacing w:after="0"/>
              <w:rPr>
                <w:sz w:val="1"/>
                <w:szCs w:val="1"/>
                <w:color w:val="auto"/>
              </w:rPr>
            </w:pPr>
          </w:p>
        </w:tc>
      </w:tr>
      <w:tr>
        <w:trPr>
          <w:trHeight w:val="170"/>
        </w:trPr>
        <w:tc>
          <w:tcPr>
            <w:tcW w:w="6560" w:type="dxa"/>
            <w:vAlign w:val="bottom"/>
            <w:tcBorders>
              <w:bottom w:val="single" w:sz="8" w:color="CFF0FC"/>
            </w:tcBorders>
            <w:shd w:val="clear" w:color="auto" w:fill="CFF0FC"/>
          </w:tcPr>
          <w:p>
            <w:pPr>
              <w:ind w:left="20"/>
              <w:spacing w:after="0" w:line="110" w:lineRule="exact"/>
              <w:rPr>
                <w:sz w:val="20"/>
                <w:szCs w:val="20"/>
                <w:color w:val="auto"/>
              </w:rPr>
            </w:pPr>
            <w:r>
              <w:rPr>
                <w:rFonts w:ascii="Arial" w:cs="Arial" w:eastAsia="Arial" w:hAnsi="Arial"/>
                <w:sz w:val="12"/>
                <w:szCs w:val="12"/>
                <w:color w:val="auto"/>
              </w:rPr>
              <w:t>diluted</w:t>
            </w: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tcPr>
          <w:p>
            <w:pPr>
              <w:ind w:left="20"/>
              <w:spacing w:after="0" w:line="156" w:lineRule="exact"/>
              <w:rPr>
                <w:sz w:val="20"/>
                <w:szCs w:val="20"/>
                <w:color w:val="auto"/>
              </w:rPr>
            </w:pPr>
            <w:r>
              <w:rPr>
                <w:rFonts w:ascii="Arial" w:cs="Arial" w:eastAsia="Arial" w:hAnsi="Arial"/>
                <w:sz w:val="14"/>
                <w:szCs w:val="14"/>
                <w:color w:val="auto"/>
              </w:rPr>
              <w:t>Add: unweighted adjustment for common stock issued in connection with IPO</w:t>
            </w:r>
          </w:p>
        </w:tc>
        <w:tc>
          <w:tcPr>
            <w:tcW w:w="340" w:type="dxa"/>
            <w:vAlign w:val="bottom"/>
          </w:tcPr>
          <w:p>
            <w:pPr>
              <w:spacing w:after="0"/>
              <w:rPr>
                <w:sz w:val="13"/>
                <w:szCs w:val="13"/>
                <w:color w:val="auto"/>
              </w:rPr>
            </w:pPr>
          </w:p>
        </w:tc>
        <w:tc>
          <w:tcPr>
            <w:tcW w:w="1160" w:type="dxa"/>
            <w:vAlign w:val="bottom"/>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7"/>
              <w:spacing w:after="0" w:line="156" w:lineRule="exact"/>
              <w:rPr>
                <w:sz w:val="20"/>
                <w:szCs w:val="20"/>
                <w:color w:val="auto"/>
              </w:rPr>
            </w:pPr>
            <w:r>
              <w:rPr>
                <w:rFonts w:ascii="Arial" w:cs="Arial" w:eastAsia="Arial" w:hAnsi="Arial"/>
                <w:sz w:val="14"/>
                <w:szCs w:val="14"/>
                <w:color w:val="auto"/>
              </w:rPr>
              <w:t>24,437,500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9"/>
              <w:spacing w:after="0" w:line="156" w:lineRule="exact"/>
              <w:rPr>
                <w:sz w:val="20"/>
                <w:szCs w:val="20"/>
                <w:color w:val="auto"/>
              </w:rPr>
            </w:pPr>
            <w:r>
              <w:rPr>
                <w:rFonts w:ascii="Arial" w:cs="Arial" w:eastAsia="Arial" w:hAnsi="Arial"/>
                <w:sz w:val="14"/>
                <w:szCs w:val="14"/>
                <w:color w:val="auto"/>
              </w:rPr>
              <w:t>24,437,500</w:t>
            </w:r>
          </w:p>
        </w:tc>
        <w:tc>
          <w:tcPr>
            <w:tcW w:w="0" w:type="dxa"/>
            <w:vAlign w:val="bottom"/>
          </w:tcPr>
          <w:p>
            <w:pPr>
              <w:spacing w:after="0"/>
              <w:rPr>
                <w:sz w:val="1"/>
                <w:szCs w:val="1"/>
                <w:color w:val="auto"/>
              </w:rPr>
            </w:pPr>
          </w:p>
        </w:tc>
      </w:tr>
      <w:tr>
        <w:trPr>
          <w:trHeight w:val="153"/>
        </w:trPr>
        <w:tc>
          <w:tcPr>
            <w:tcW w:w="656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Add: unweighted adjustment for conversion of redeemable convertible preferred stock in connection</w:t>
            </w: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with IPO</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7"/>
              <w:spacing w:after="0"/>
              <w:rPr>
                <w:sz w:val="20"/>
                <w:szCs w:val="20"/>
                <w:color w:val="auto"/>
              </w:rPr>
            </w:pPr>
            <w:r>
              <w:rPr>
                <w:rFonts w:ascii="Arial" w:cs="Arial" w:eastAsia="Arial" w:hAnsi="Arial"/>
                <w:sz w:val="14"/>
                <w:szCs w:val="14"/>
                <w:color w:val="auto"/>
              </w:rPr>
              <w:t>85,533,394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85,533,394</w:t>
            </w: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Add: unweighted adjustment for common stock issued in connection with follow-on public offering</w:t>
            </w:r>
          </w:p>
        </w:tc>
        <w:tc>
          <w:tcPr>
            <w:tcW w:w="3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color w:val="auto"/>
              </w:rPr>
              <w:t>10,800,000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10,800,000</w:t>
            </w:r>
          </w:p>
        </w:tc>
        <w:tc>
          <w:tcPr>
            <w:tcW w:w="0" w:type="dxa"/>
            <w:vAlign w:val="bottom"/>
          </w:tcPr>
          <w:p>
            <w:pPr>
              <w:spacing w:after="0"/>
              <w:rPr>
                <w:sz w:val="1"/>
                <w:szCs w:val="1"/>
                <w:color w:val="auto"/>
              </w:rPr>
            </w:pPr>
          </w:p>
        </w:tc>
      </w:tr>
      <w:tr>
        <w:trPr>
          <w:trHeight w:val="153"/>
        </w:trPr>
        <w:tc>
          <w:tcPr>
            <w:tcW w:w="656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Less: Adjustment for the impact of the above items already included in weighted-average number of</w:t>
            </w:r>
          </w:p>
        </w:tc>
        <w:tc>
          <w:tcPr>
            <w:tcW w:w="34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(63,865,903 )</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560" w:type="dxa"/>
            <w:vAlign w:val="bottom"/>
            <w:tcBorders>
              <w:bottom w:val="single" w:sz="8" w:color="CFF0FC"/>
            </w:tcBorders>
            <w:shd w:val="clear" w:color="auto" w:fill="CFF0FC"/>
          </w:tcPr>
          <w:p>
            <w:pPr>
              <w:ind w:left="20"/>
              <w:spacing w:after="0" w:line="157" w:lineRule="exact"/>
              <w:rPr>
                <w:sz w:val="20"/>
                <w:szCs w:val="20"/>
                <w:color w:val="auto"/>
              </w:rPr>
            </w:pPr>
            <w:r>
              <w:rPr>
                <w:rFonts w:ascii="Arial" w:cs="Arial" w:eastAsia="Arial" w:hAnsi="Arial"/>
                <w:sz w:val="14"/>
                <w:szCs w:val="14"/>
                <w:color w:val="auto"/>
              </w:rPr>
              <w:t>shares outstanding for the periods presented</w:t>
            </w:r>
          </w:p>
        </w:tc>
        <w:tc>
          <w:tcPr>
            <w:tcW w:w="3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vMerge w:val="continue"/>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60" w:type="dxa"/>
            <w:vAlign w:val="bottom"/>
          </w:tcPr>
          <w:p>
            <w:pPr>
              <w:ind w:left="20"/>
              <w:spacing w:after="0" w:line="147" w:lineRule="exact"/>
              <w:rPr>
                <w:sz w:val="20"/>
                <w:szCs w:val="20"/>
                <w:color w:val="auto"/>
              </w:rPr>
            </w:pPr>
            <w:r>
              <w:rPr>
                <w:rFonts w:ascii="Arial" w:cs="Arial" w:eastAsia="Arial" w:hAnsi="Arial"/>
                <w:sz w:val="14"/>
                <w:szCs w:val="14"/>
                <w:color w:val="auto"/>
              </w:rPr>
              <w:t>Weighted-average number of shares outstanding used to compute net loss per share, as adjusted,</w:t>
            </w:r>
          </w:p>
        </w:tc>
        <w:tc>
          <w:tcPr>
            <w:tcW w:w="340" w:type="dxa"/>
            <w:vAlign w:val="bottom"/>
          </w:tcPr>
          <w:p>
            <w:pPr>
              <w:spacing w:after="0"/>
              <w:rPr>
                <w:sz w:val="12"/>
                <w:szCs w:val="12"/>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136,429,791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7"/>
              <w:spacing w:after="0"/>
              <w:rPr>
                <w:sz w:val="20"/>
                <w:szCs w:val="20"/>
                <w:color w:val="auto"/>
              </w:rPr>
            </w:pPr>
            <w:r>
              <w:rPr>
                <w:rFonts w:ascii="Arial" w:cs="Arial" w:eastAsia="Arial" w:hAnsi="Arial"/>
                <w:sz w:val="14"/>
                <w:szCs w:val="14"/>
                <w:color w:val="auto"/>
              </w:rPr>
              <w:t>130,250,560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129,376,856</w:t>
            </w:r>
          </w:p>
        </w:tc>
        <w:tc>
          <w:tcPr>
            <w:tcW w:w="0" w:type="dxa"/>
            <w:vAlign w:val="bottom"/>
          </w:tcPr>
          <w:p>
            <w:pPr>
              <w:spacing w:after="0"/>
              <w:rPr>
                <w:sz w:val="1"/>
                <w:szCs w:val="1"/>
                <w:color w:val="auto"/>
              </w:rPr>
            </w:pPr>
          </w:p>
        </w:tc>
      </w:tr>
      <w:tr>
        <w:trPr>
          <w:trHeight w:val="130"/>
        </w:trPr>
        <w:tc>
          <w:tcPr>
            <w:tcW w:w="6560" w:type="dxa"/>
            <w:vAlign w:val="bottom"/>
          </w:tcPr>
          <w:p>
            <w:pPr>
              <w:ind w:left="20"/>
              <w:spacing w:after="0" w:line="110" w:lineRule="exact"/>
              <w:rPr>
                <w:sz w:val="20"/>
                <w:szCs w:val="20"/>
                <w:color w:val="auto"/>
              </w:rPr>
            </w:pPr>
            <w:r>
              <w:rPr>
                <w:rFonts w:ascii="Arial" w:cs="Arial" w:eastAsia="Arial" w:hAnsi="Arial"/>
                <w:sz w:val="12"/>
                <w:szCs w:val="12"/>
                <w:color w:val="auto"/>
              </w:rPr>
              <w:t>basic and diluted</w:t>
            </w: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80" w:type="dxa"/>
            <w:vAlign w:val="bottom"/>
            <w:gridSpan w:val="2"/>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Non-GAAP net loss per share, as adjusted, basic and 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(2.68 )</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(1.37 )</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5520"/>
              <w:spacing w:after="0"/>
              <w:rPr>
                <w:sz w:val="20"/>
                <w:szCs w:val="20"/>
                <w:color w:val="auto"/>
              </w:rPr>
            </w:pPr>
            <w:r>
              <w:rPr>
                <w:rFonts w:ascii="Arial" w:cs="Arial" w:eastAsia="Arial" w:hAnsi="Arial"/>
                <w:sz w:val="18"/>
                <w:szCs w:val="18"/>
                <w:color w:val="auto"/>
              </w:rPr>
              <w:t>73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-1910715</wp:posOffset>
            </wp:positionV>
            <wp:extent cx="110553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05535"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-1593850</wp:posOffset>
            </wp:positionV>
            <wp:extent cx="110553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05535"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-939165</wp:posOffset>
            </wp:positionV>
            <wp:extent cx="93980" cy="2114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2114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-939165</wp:posOffset>
            </wp:positionV>
            <wp:extent cx="93980" cy="2114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2114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UACC</w:t>
      </w:r>
    </w:p>
    <w:p>
      <w:pPr>
        <w:spacing w:after="0" w:line="220"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On February 1, 2022, we completed the acquisition of 100% of Unitas Holdings Corp., the parent corporation of UACC, a leader in automotive finance, for a cash purchase price of approximately $300.0 million, subject to customary purchase price adjustments. This acquisition accelerates our strategy of establishing a captive financing arm and underwriting vehicle financing for our customers.</w:t>
      </w:r>
    </w:p>
    <w:p>
      <w:pPr>
        <w:spacing w:after="0" w:line="189"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We believe that, over time, the UACC platform will unlock the benefits of our captive finance strategy and enable us to increase ecommerce unit sales, expand our penetration of sales to customers across the credit spectrum, accelerate total revenue growth, enhance aggregate gross profit and GPPU, and leverage our fixed cost base. In addition, utilizing UACC’s securitization expertise, we expect loans originated by UACC post-closing to be funded through existing warehouse lines and sold via forward flow arrangements and off-balance sheet securitization transactions. This originate-to-sell strategy is designed to achieve the benefits of a captive financing operation while maintaining an asset-light funding strategy.</w:t>
      </w:r>
    </w:p>
    <w:p>
      <w:pPr>
        <w:spacing w:after="0" w:line="191"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UACC intends to originate and sell finance receivables in securitization transactions and forward flow arrangements for both Vroom automotive customers and its existing network of dealership customers. We will begin to generate ecommerce product revenue on the sale of the finance receivables with Vroom automotive customers. UACC will continue its current operations with the network of dealership customers, which will constitute a separate reporting segment.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20" w:lineRule="exact"/>
        <w:rPr>
          <w:sz w:val="20"/>
          <w:szCs w:val="20"/>
          <w:color w:val="auto"/>
        </w:rPr>
      </w:pPr>
    </w:p>
    <w:p>
      <w:pPr>
        <w:ind w:right="420" w:firstLine="761"/>
        <w:spacing w:after="0" w:line="238" w:lineRule="auto"/>
        <w:rPr>
          <w:sz w:val="20"/>
          <w:szCs w:val="20"/>
          <w:color w:val="auto"/>
        </w:rPr>
      </w:pPr>
      <w:r>
        <w:rPr>
          <w:rFonts w:ascii="Arial" w:cs="Arial" w:eastAsia="Arial" w:hAnsi="Arial"/>
          <w:sz w:val="18"/>
          <w:szCs w:val="18"/>
          <w:color w:val="auto"/>
        </w:rPr>
        <w:t>The COVID-19 pandemic and 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and now exceeds pre-pandemic levels. This recovery has been bolstered by the introduction of COVID-19 vaccines nationwide.</w:t>
      </w:r>
    </w:p>
    <w:p>
      <w:pPr>
        <w:spacing w:after="0" w:line="191"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We believe the effects of the COVID-19 pandemic have reinforced our business model. However, the future impact of the COVID-19 pandemic on our operational and financial performance is currently uncertain and will depend on many factors outside our control, including the severity and duration of the COVID-19 pandemic and the effectiveness of actions taken to contain the spread of COVID-19 or treat its impact. While all of our offices were open and available through most of 2021, we generally discouraged in-person work for any roles where an in-person presence was not critical in an effort to maximize space and prioritize safety for those who did require a physical presence. We are now beginning to encourage a broader return to the office for employees who have selected to work in a hybrid or in-person model. All actions will be taken in accordance with updated state and local health and safety guidance and requirements for in-office work. Nevertheless, the unpredictable nature of the virus, its treatment and worker sentiment may further delay routine in-person work and reduce the effectiveness of efforts aimed at improving employee retention; there can be no assurance that there will not be future material disruptions in our workforce. The various workforce health and safety measures we have taken have led to increased operating expenses and future health and safety measures may lead to further increases. We will continue to monitor and assess the impact of the COVID-19 pandemic on our business and our results of operations and financial condition as the pandemic continues to evolve.</w:t>
      </w:r>
    </w:p>
    <w:p>
      <w:pPr>
        <w:spacing w:after="0" w:line="190" w:lineRule="exact"/>
        <w:rPr>
          <w:sz w:val="20"/>
          <w:szCs w:val="20"/>
          <w:color w:val="auto"/>
        </w:rPr>
      </w:pPr>
    </w:p>
    <w:p>
      <w:pPr>
        <w:ind w:right="240" w:firstLine="764"/>
        <w:spacing w:after="0" w:line="246" w:lineRule="auto"/>
        <w:rPr>
          <w:sz w:val="20"/>
          <w:szCs w:val="20"/>
          <w:color w:val="auto"/>
        </w:rPr>
      </w:pPr>
      <w:r>
        <w:rPr>
          <w:rFonts w:ascii="Arial" w:cs="Arial" w:eastAsia="Arial" w:hAnsi="Arial"/>
          <w:sz w:val="18"/>
          <w:szCs w:val="18"/>
          <w:color w:val="222222"/>
        </w:rPr>
        <w:t>See “Risk Factors—Risks Related to the COVID-19 pandemic—The full extent of the future impact of the COVID-19 pandemic is uncertain and may have an adverse effect on our business,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20" w:lineRule="exact"/>
        <w:rPr>
          <w:sz w:val="20"/>
          <w:szCs w:val="20"/>
          <w:color w:val="auto"/>
        </w:rPr>
      </w:pPr>
    </w:p>
    <w:p>
      <w:pPr>
        <w:ind w:right="380" w:firstLine="761"/>
        <w:spacing w:after="0" w:line="246"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6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Ability to utilize data science to drive revenue growth by cost effectively increasing the volume and selection of vehicles in our inventory</w:t>
      </w:r>
    </w:p>
    <w:p>
      <w:pPr>
        <w:spacing w:after="0" w:line="162"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189" w:lineRule="exact"/>
        <w:rPr>
          <w:sz w:val="20"/>
          <w:szCs w:val="20"/>
          <w:color w:val="auto"/>
        </w:rPr>
      </w:pPr>
    </w:p>
    <w:p>
      <w:pPr>
        <w:ind w:right="180" w:firstLine="761"/>
        <w:spacing w:after="0" w:line="236"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as well as lower-price-point vehicles to take advantage of the expanded sales opportunities to customers across the credit spectrum enabled by the acquisition of UACC. This ability is enabled by our data science capabilities that leverage the growing amount of data at our disposal and generate predictive data analytics that fine-tune our supply and sourcing models. We believe the acquisition of CarStory has enhanced our predictive market data capabilities. As we continue to invest in our operational efficiency and data analytics, we expect that we will continue to cost effectively increase the volume and optimize the selection of our ecommerce inventory. Our data analytics are complex models that incorporate numerous assumptions and predictions about consumer and industry dynamics. As with all predictions, the output of our data analytics is subject to inherent uncertainty and reflects judgment and expertise when providing data-driven decisions based on those analytics.</w:t>
      </w:r>
    </w:p>
    <w:p>
      <w:pPr>
        <w:spacing w:after="0" w:line="168"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Ability to capitalize on the continued migration of vehicle purchasers to ecommerce platforms through data-driven marketing efforts</w:t>
      </w:r>
    </w:p>
    <w:p>
      <w:pPr>
        <w:spacing w:after="0" w:line="162"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on-demand purchases, as well as a demand for ecommerce across more diverse categories, including the used vehicle market. We expect that the ecommerce model for buying and selling used vehicles will continue to grow and such growth may be accelerated by the COVID-19 pandemic. Our ability to continue to benefit from this trend will be an important driver of our future performance.</w:t>
      </w:r>
    </w:p>
    <w:p>
      <w:pPr>
        <w:spacing w:after="0" w:line="189" w:lineRule="exact"/>
        <w:rPr>
          <w:sz w:val="20"/>
          <w:szCs w:val="20"/>
          <w:color w:val="auto"/>
        </w:rPr>
      </w:pPr>
    </w:p>
    <w:p>
      <w:pPr>
        <w:ind w:right="100" w:firstLine="764"/>
        <w:spacing w:after="0" w:line="237"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significantly increased over time,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191"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Data analytics and experimentation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analytics, including the advanced data capabilities from our acquisition of CarStory, to provide an automated pricing platform that delivers real time, market-driven appraisals,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continually experiment and test in order to further refine our approach to enhance the customer experience and drive increased vehicle purchases.</w:t>
      </w:r>
    </w:p>
    <w:p>
      <w:pPr>
        <w:spacing w:after="0" w:line="183"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service and sales support to respond to increased demand. Our ongoing investment in our sales and sales support operations includes investments in people, processes and technology. We are continuing to invest in our processes, to remove friction and increase transaction flow and in technology, to automate and improve our customer experience and drive conversion and consumer sourcing. As we continue to invest in our brand and improve the customer experience, we expect that we will attract more visitors, improve conversion, drive greater sales and increase the percentage of vehicles sourced from consumers.</w:t>
      </w:r>
    </w:p>
    <w:p>
      <w:pPr>
        <w:spacing w:after="0" w:line="191" w:lineRule="exact"/>
        <w:rPr>
          <w:sz w:val="20"/>
          <w:szCs w:val="20"/>
          <w:color w:val="auto"/>
        </w:rPr>
      </w:pPr>
    </w:p>
    <w:p>
      <w:pPr>
        <w:ind w:right="140" w:firstLine="811"/>
        <w:spacing w:after="0" w:line="237" w:lineRule="auto"/>
        <w:rPr>
          <w:sz w:val="20"/>
          <w:szCs w:val="20"/>
          <w:color w:val="auto"/>
        </w:rPr>
      </w:pPr>
      <w:r>
        <w:rPr>
          <w:rFonts w:ascii="Arial" w:cs="Arial" w:eastAsia="Arial" w:hAnsi="Arial"/>
          <w:sz w:val="18"/>
          <w:szCs w:val="18"/>
          <w:color w:val="auto"/>
        </w:rPr>
        <w:t>Total Ecommerce transactions, defined as ecommerce vehicle purchases directly from consumers, including both trade-ins and straight buys, plus ecommerce units sold, increased over 170% in 2021 as compared to 2020. Total Ecommerce transactions represented approximately 143,500 for 2021 compared to 53,000 for 2020 and 26,000 for 2019. The increase was driven by the increase in the percentage of vehicles sourced from consumers, which was driven primarily by expanded Sell Us Your Car® marketing campaigns, and the increase in ecommerce unit sales, which was driven primarily by increased inventory listings, amplified marketing campaigns and expanded reconditioning capacity.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strategically source inventory from consumers, auctions, rental car companies, OEMs and dealers. For the three and twelve months ended December 31, 2021, vehicles sourced from consumers represent approximately 76% and 69% of our retail inventory sold, respectively.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 Throughout 2021, we have experienced unprecedented market conditions, caused in part by supply chain dislocations, a shortage of microchips and associated delays in new car manufacturing, which increased demand for used vehicles, putting downward pressure on supply and upward pressure on used vehicle pricing, and making consumer sourcing even more favorable.</w:t>
      </w:r>
    </w:p>
    <w:p>
      <w:pPr>
        <w:spacing w:after="0" w:line="192"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In order to continue to source vehicles directly from consumers, we continue to expand our national marketing efforts that are focused on our Sell Us Your Car® proposition. In the future, we expect to have the ability to begin inspecting consumer sourced vehicles and making real time adjustments to acquisition pricing as a result of our scaling proprietary logistics operation, which will provide improvements to our overall gross profit per unit over time.</w:t>
      </w:r>
    </w:p>
    <w:p>
      <w:pPr>
        <w:spacing w:after="0" w:line="191" w:lineRule="exact"/>
        <w:rPr>
          <w:sz w:val="20"/>
          <w:szCs w:val="20"/>
          <w:color w:val="auto"/>
        </w:rPr>
      </w:pPr>
    </w:p>
    <w:p>
      <w:pPr>
        <w:ind w:right="260" w:firstLine="761"/>
        <w:spacing w:after="0" w:line="246" w:lineRule="auto"/>
        <w:rPr>
          <w:sz w:val="20"/>
          <w:szCs w:val="20"/>
          <w:color w:val="auto"/>
        </w:rPr>
      </w:pPr>
      <w:r>
        <w:rPr>
          <w:rFonts w:ascii="Arial" w:cs="Arial" w:eastAsia="Arial" w:hAnsi="Arial"/>
          <w:sz w:val="18"/>
          <w:szCs w:val="18"/>
          <w:color w:val="auto"/>
        </w:rPr>
        <w:t>We are also exploring and testing third-party inventory strategies, which offers the possibility of expanding our sourcing channels through third-party sellers while offering us attractive revenue models in an asset light, debt free structure.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220" w:lineRule="exact"/>
        <w:rPr>
          <w:sz w:val="20"/>
          <w:szCs w:val="20"/>
          <w:color w:val="auto"/>
        </w:rPr>
      </w:pPr>
    </w:p>
    <w:p>
      <w:pPr>
        <w:jc w:val="both"/>
        <w:ind w:right="100" w:firstLine="761"/>
        <w:spacing w:after="0" w:line="238"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continue to expand and optimize our reconditioning capacity to satisfy increasing customer demand. We employ a hybrid approach that combines the use of our proprietary VRC and third-party VRCs to best meet our reconditioning needs.</w:t>
      </w:r>
    </w:p>
    <w:p>
      <w:pPr>
        <w:spacing w:after="0" w:line="191"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As we continue to grow our business, we intend to continue to increase reconditioning capacity and operational efficiency through third-party VRC locations and additional proprietary VRCs. Our use of third-party VRCs to recondition vehicles allows us to avoid additional capital expenditures, quickly increase capacity, maintain greater operational flexibility and broaden our geographic footprint to drive lower logistics costs. However, we are currently experiencing reconditioning and logistics constraints due to labor shortages and elevated demand at third-party supply chain partners, which negatively affects our cost structure and throughput. Additionally, one of our third party VRC providers, Adesa U.S., which also hosts a number of our last-mile hubs, recently announced a change of control transaction pursuant to which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Adesa is being acquired by a competitor of Vroom. Adesa has communicated its intent to discontinue its third-party reconditioning serves, which will require us to replace Adesa's capacity with increased capacity at our other existing providers, new providers, or additional proprietary VRCs, and relocate the affected last-mile hubs. Proprietary VRCs will enable us to have increased control over our reconditioning operations, increase capacity as we scale, and support our regional operating model. As we scale, we will seek to optimize the combination of strategic, geographically dispersed, proprietary and third-party VRCs and intend to add additional proprietary VRCs into our integrated hybrid network.</w:t>
      </w:r>
    </w:p>
    <w:p>
      <w:pPr>
        <w:spacing w:after="0" w:line="191"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We have continued to expand our third-party VRC operations and, as of December 31, 2021, have a total of 37 third-party VRCs throughout the U.S. We leverage our data analytics and deep industry experience to strategically select VRC locations where we believe there is the highest supply and demand for our vehicles. We expect that the continued increase in reconditioning capacity and investment in technology will drive greater operational efficiency, higher gross profit per unit and improved unit economics over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220" w:lineRule="exact"/>
        <w:rPr>
          <w:sz w:val="20"/>
          <w:szCs w:val="20"/>
          <w:color w:val="auto"/>
        </w:rPr>
      </w:pPr>
    </w:p>
    <w:p>
      <w:pPr>
        <w:ind w:firstLine="761"/>
        <w:spacing w:after="0" w:line="250" w:lineRule="auto"/>
        <w:rPr>
          <w:sz w:val="20"/>
          <w:szCs w:val="20"/>
          <w:color w:val="auto"/>
        </w:rPr>
      </w:pPr>
      <w:r>
        <w:rPr>
          <w:rFonts w:ascii="Arial" w:cs="Arial" w:eastAsia="Arial" w:hAnsi="Arial"/>
          <w:sz w:val="17"/>
          <w:szCs w:val="17"/>
          <w:color w:val="auto"/>
        </w:rPr>
        <w:t>We historically used primarily national third-party carriers and have optimized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Our VRCs also serve as pooling points to aggregate acquired vehicles and we are using certain VRCs as hubs for staging vehicles for last mile delivery to customers, which we expect to provide an improved experience for customers. As of December 31, 2021, we had 31 hubs and we delivered 61% and 36% of our ecommerce units sold with our proprietary last mile service during the three and twelve months ended December 31, 2021, respectively. We have been accelerating our strategy to optimize our hybrid approach by expanding our proprietary logistics networks due to a confluence of factors, including increased shipping prices and delays during the COVID-19 pandemic from a reduced supply of carriers and increased demand for carriers from competitors, as well as our desire to improve the quality and reliability of our logistics operations and enhance our customer experience. We have been prioritizing investment in our last mile delivery operations, where we can have the greatest impact on the customer experience, and also are investing in short-haul vehicles to make regional deliveries from our last mile hubs, many of which are located at our third-party VRCs, and line-haul vehicles for hub-to-hub shipments on high-volume routes. As we invest in our expanded logistics operations, we expect to incur increased operating expenses and capital expenditures associated with purchasing or leasing fleet vehicles, leasing space for delivery hubs, hiring qualified drivers, and operating and maintaining fleet vehicles, offset in part by reduced third-party logistics expense. Consistent with our hybrid approach and the continued development of our regional operating model as we continue to scale our business, we will strategically combine the operation of our expanded proprietary fleet with the use of third-party carriers, which will enable us to accommodate our rapid growth, improve our operating leverage and provide the highest level of customer service. Over time, as our business scales, we expect that optimizing our logistics network through this hybrid approach will result in improved unit economics, increased profitability and 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enhanced customer experience.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leverage a regional operating model</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As we have scaled our business, we have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reduce our operating expenses, increase our operating leverage and improve our unit economics, while also enhancing our customer experience. The regional operating model will increasingly enhance our approach to each component of our vehicle operations. We believe the efficiencies and cost savings expected to be achieved through the regional operating model will be important components of our path to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financing capabilities</w:t>
      </w:r>
    </w:p>
    <w:p>
      <w:pPr>
        <w:spacing w:after="0" w:line="220" w:lineRule="exact"/>
        <w:rPr>
          <w:sz w:val="20"/>
          <w:szCs w:val="20"/>
          <w:color w:val="auto"/>
        </w:rPr>
      </w:pPr>
    </w:p>
    <w:p>
      <w:pPr>
        <w:ind w:firstLine="761"/>
        <w:spacing w:after="0" w:line="253" w:lineRule="auto"/>
        <w:rPr>
          <w:sz w:val="20"/>
          <w:szCs w:val="20"/>
          <w:color w:val="auto"/>
        </w:rPr>
      </w:pPr>
      <w:r>
        <w:rPr>
          <w:rFonts w:ascii="Arial" w:cs="Arial" w:eastAsia="Arial" w:hAnsi="Arial"/>
          <w:sz w:val="17"/>
          <w:szCs w:val="17"/>
          <w:color w:val="auto"/>
        </w:rPr>
        <w:t>Fees earned on vehicle financing, both through our continued partnerships with third-party lenders and the development of our captive financing capabilities, present an opportunity to grow our business and drive profitability. Strategic partnerships with lenders such as Chase, Ally Financial and Santander provide enhanced revenue streams for us, as well as offering convenience, assurance and efficiency for our customers and have contributed to improvements in Product GPPU. In addition, our recent acquisition of UACC enables us to accelerate the establishment of our captive financing capabilities. We expect that with further investment and our continued integration efforts, the acquisition of UACC will allow us to increase ecommerce unit sales, expand our penetration of sales to customers across the credit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7" w:name="page78"/>
    <w:bookmarkEnd w:id="7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color w:val="auto"/>
        </w:rPr>
        <w:t>spectrum, and accelerate total revenue growth. In addition, we expect captive financing for our customers to lead to improved unit economics, which will accelerate our path to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other value-added products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Additionally, through our on-going data analytics, experimentation and further development of our ecommerce technology, we expect to increase attachment rates of our existing protection products while finding new opportunities to include additional protection products, as well as other value-added products. Because we are paid fees on value-added products we sell, our gross profit is equal to the revenue we generate on such sales. As a result, such sales help drive total gross profit per unit. As we scale our business, we intend to increase the breadth and variety of value-added products offered to customers and improve attachment rates to our vehicle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Given the current strong market demand for used vehicles and our rapid growth, our gross profit per unit has not been in line with these macro trends in the most recent historical periods.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Changing Prices, and Labor Shortages</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We have recently experienced unprecedented market conditions and inflationary pressures, caused in part by supply chain dislocations, a shortage of microchips and associated delays in new car manufacturing, which increased demand for used vehicles, putting downward pressure on supply and upward pressure on used vehicle pricing. This volatility creates risks around our ability to appropriately price our vehicles and maintain our sales margins and may cause our results of operations to fluctuate significantly. We have also experienced reconditioning and logistics constraints due to labor shortages and elevated demand at third-party supply chain partners, which negatively affects our cost structure and throughput. We will continue to actively monitor and develop responses to these disruptions, but depending on duration and severity, these trends could continue to negatively impact our business in 2022.</w:t>
      </w: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16"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89"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183"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As a data-driven company, we acquire inventory based upon demand predicted by our data analytics. Our ASP increased significantly during 2021 primarily due to market appreciation, and we expect ASP to fluctuate in the short-term as a result of market conditions. However, our long-term strategy continues to move us towards lower-priced inventory, which we expect will result in a lower ASP. The acquisition of UACC will enable us to expand our automotive financing solutions across the credit spectrum and we expect to increase our offering of lower-price-point vehicles to take advantage of those capabilities.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1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straight-buy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6"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such as fees earned on customer vehicle financing from third-party lenders and fees earned on sales of other value-added products, such as vehicle service contracts, GAP protection and tire and wheel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191"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w:t>
      </w:r>
    </w:p>
    <w:p>
      <w:pPr>
        <w:spacing w:after="0" w:line="189"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183" w:lineRule="exact"/>
        <w:rPr>
          <w:sz w:val="20"/>
          <w:szCs w:val="20"/>
          <w:color w:val="auto"/>
        </w:rPr>
      </w:pPr>
    </w:p>
    <w:p>
      <w:pPr>
        <w:ind w:right="360" w:firstLine="761"/>
        <w:spacing w:after="0" w:line="234" w:lineRule="auto"/>
        <w:rPr>
          <w:sz w:val="20"/>
          <w:szCs w:val="20"/>
          <w:color w:val="auto"/>
        </w:rPr>
      </w:pPr>
      <w:r>
        <w:rPr>
          <w:rFonts w:ascii="Arial" w:cs="Arial" w:eastAsia="Arial" w:hAnsi="Arial"/>
          <w:sz w:val="18"/>
          <w:szCs w:val="18"/>
          <w:color w:val="auto"/>
        </w:rPr>
        <w:t>With the captive financing offered by UACC, we will begin to generate product revenue through the sales of finance receivables UACC originates and sells in securitization transactions or forward flow arrangements.</w:t>
      </w:r>
    </w:p>
    <w:p>
      <w:pPr>
        <w:spacing w:after="0" w:line="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plan to sell the finance receivables UACC originates to securitization trusts they sponsor and establish, which will issue asset-backed securities. We also plan to sell the finance receivables UACC originates to third parties under forward-flow arrangements. The revenue we are able to generate from these sales will be dependent on the number of finance receivables UACC originates, the average principal balance of the finance receivables, the credit quality of the portfolio, and the price at which they are able to sell them in securitization transactions or to financing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16" w:lineRule="exact"/>
        <w:rPr>
          <w:sz w:val="20"/>
          <w:szCs w:val="20"/>
          <w:color w:val="auto"/>
        </w:rPr>
      </w:pPr>
    </w:p>
    <w:p>
      <w:pPr>
        <w:ind w:right="380" w:firstLine="761"/>
        <w:spacing w:after="0" w:line="246" w:lineRule="auto"/>
        <w:rPr>
          <w:sz w:val="20"/>
          <w:szCs w:val="20"/>
          <w:color w:val="auto"/>
        </w:rPr>
      </w:pPr>
      <w:r>
        <w:rPr>
          <w:rFonts w:ascii="Arial" w:cs="Arial" w:eastAsia="Arial" w:hAnsi="Arial"/>
          <w:sz w:val="18"/>
          <w:szCs w:val="18"/>
          <w:color w:val="auto"/>
        </w:rPr>
        <w:t>Other revenue consists of labor and parts revenue earned by us for vehicle repair services at TDA and, commencing in the first quarter of 2021, revenue from CarStory.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3—Revenue Recognition” to our consolidated financial statements included elsewhere in this Annual Report on Form 10-</w:t>
      </w:r>
    </w:p>
    <w:p>
      <w:pPr>
        <w:spacing w:after="0"/>
        <w:rPr>
          <w:sz w:val="20"/>
          <w:szCs w:val="20"/>
          <w:color w:val="auto"/>
        </w:rPr>
      </w:pPr>
      <w:r>
        <w:rPr>
          <w:rFonts w:ascii="Arial" w:cs="Arial" w:eastAsia="Arial" w:hAnsi="Arial"/>
          <w:sz w:val="18"/>
          <w:szCs w:val="18"/>
          <w:color w:val="auto"/>
        </w:rPr>
        <w:t>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0" w:lineRule="exact"/>
        <w:rPr>
          <w:sz w:val="20"/>
          <w:szCs w:val="20"/>
          <w:color w:val="auto"/>
        </w:rPr>
      </w:pPr>
    </w:p>
    <w:p>
      <w:pPr>
        <w:ind w:right="360" w:firstLine="761"/>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189"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18"/>
          <w:szCs w:val="18"/>
          <w:color w:val="auto"/>
        </w:rPr>
        <w:t>We expect that our SG&amp;A expenses will increase in the future as we expand our operations, including our proprietary logistics and reconditioning operations, integrate and invest in UACC, hire additional employees and continue to increase our marketing spend. However, we believe these increases will be partially offset by operating leverage as our business continues to scale and we gain efficiencies from our investments in technology and process improvements.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and company vehicles;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vehicles related to inbound transportation is included in cost of sales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jc w:val="both"/>
        <w:ind w:right="80" w:firstLine="761"/>
        <w:spacing w:after="0"/>
        <w:rPr>
          <w:sz w:val="20"/>
          <w:szCs w:val="20"/>
          <w:color w:val="auto"/>
        </w:rPr>
      </w:pPr>
      <w:r>
        <w:rPr>
          <w:rFonts w:ascii="Arial" w:cs="Arial" w:eastAsia="Arial" w:hAnsi="Arial"/>
          <w:sz w:val="18"/>
          <w:szCs w:val="18"/>
          <w:color w:val="auto"/>
        </w:rPr>
        <w:t>Our interest expense includes interest expense related to our vehicle floorplan facility with Ally Bank and Ally Financial (the "2020 Vehicle Floorplan Facility"), as discussed below, which is used to finance our inventory, as well as interest expense on our term loan facility, which was repaid in full in December 2019, and interest expense on our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 Facility as well as interest earned on cash and cash equivalents.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bookmarkStart w:id="80" w:name="page81"/>
    <w:bookmarkEnd w:id="8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9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4"/>
          </w:tcPr>
          <w:p>
            <w:pPr>
              <w:jc w:val="center"/>
              <w:ind w:right="7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Retail vehicle, net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2,583,417</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1,072,551</w:t>
            </w:r>
          </w:p>
        </w:tc>
        <w:tc>
          <w:tcPr>
            <w:tcW w:w="12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140.9 %</w:t>
            </w:r>
          </w:p>
        </w:tc>
        <w:tc>
          <w:tcPr>
            <w:tcW w:w="1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1,072,551</w:t>
            </w:r>
          </w:p>
        </w:tc>
        <w:tc>
          <w:tcPr>
            <w:tcW w:w="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952,910</w:t>
            </w:r>
          </w:p>
        </w:tc>
        <w:tc>
          <w:tcPr>
            <w:tcW w:w="118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vehicle</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498,981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245,580</w:t>
            </w:r>
          </w:p>
        </w:tc>
        <w:tc>
          <w:tcPr>
            <w:tcW w:w="1200" w:type="dxa"/>
            <w:vAlign w:val="bottom"/>
            <w:gridSpan w:val="2"/>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103.2 %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245,580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213,464</w:t>
            </w:r>
          </w:p>
        </w:tc>
        <w:tc>
          <w:tcPr>
            <w:tcW w:w="1180" w:type="dxa"/>
            <w:vAlign w:val="bottom"/>
            <w:gridSpan w:val="2"/>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Product, net</w:t>
            </w:r>
          </w:p>
        </w:tc>
        <w:tc>
          <w:tcPr>
            <w:tcW w:w="2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88,824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38,195</w:t>
            </w:r>
          </w:p>
        </w:tc>
        <w:tc>
          <w:tcPr>
            <w:tcW w:w="12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132.6 %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38,195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23,708</w:t>
            </w:r>
          </w:p>
        </w:tc>
        <w:tc>
          <w:tcPr>
            <w:tcW w:w="118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61.1 %</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13,033</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1,374</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848.5 %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1,374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1,739</w:t>
            </w: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7"/>
                <w:szCs w:val="17"/>
                <w:color w:val="auto"/>
              </w:rPr>
            </w:pPr>
          </w:p>
        </w:tc>
        <w:tc>
          <w:tcPr>
            <w:tcW w:w="10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3,184,255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1,357,700</w:t>
            </w:r>
          </w:p>
        </w:tc>
        <w:tc>
          <w:tcPr>
            <w:tcW w:w="120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134.5 %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1,357,700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1,191,821</w:t>
            </w:r>
          </w:p>
        </w:tc>
        <w:tc>
          <w:tcPr>
            <w:tcW w:w="118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2,982,156</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1,286,155</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131.9 %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1,286,155</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1,133,962</w:t>
            </w: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w:t>
            </w:r>
          </w:p>
        </w:tc>
        <w:tc>
          <w:tcPr>
            <w:tcW w:w="220" w:type="dxa"/>
            <w:vAlign w:val="bottom"/>
          </w:tcPr>
          <w:p>
            <w:pPr>
              <w:spacing w:after="0"/>
              <w:rPr>
                <w:sz w:val="17"/>
                <w:szCs w:val="17"/>
                <w:color w:val="auto"/>
              </w:rPr>
            </w:pPr>
          </w:p>
        </w:tc>
        <w:tc>
          <w:tcPr>
            <w:tcW w:w="10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202,099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71,545</w:t>
            </w:r>
          </w:p>
        </w:tc>
        <w:tc>
          <w:tcPr>
            <w:tcW w:w="120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182.5 %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71,545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57,859</w:t>
            </w:r>
          </w:p>
        </w:tc>
        <w:tc>
          <w:tcPr>
            <w:tcW w:w="118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547,823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245,546</w:t>
            </w:r>
          </w:p>
        </w:tc>
        <w:tc>
          <w:tcPr>
            <w:tcW w:w="1200" w:type="dxa"/>
            <w:vAlign w:val="bottom"/>
            <w:gridSpan w:val="2"/>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123.1 %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245,546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184,988</w:t>
            </w:r>
          </w:p>
        </w:tc>
        <w:tc>
          <w:tcPr>
            <w:tcW w:w="1180" w:type="dxa"/>
            <w:vAlign w:val="bottom"/>
            <w:gridSpan w:val="2"/>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12,891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4,598</w:t>
            </w:r>
          </w:p>
        </w:tc>
        <w:tc>
          <w:tcPr>
            <w:tcW w:w="12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180.4 %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6,019</w:t>
            </w:r>
          </w:p>
        </w:tc>
        <w:tc>
          <w:tcPr>
            <w:tcW w:w="1180" w:type="dxa"/>
            <w:vAlign w:val="bottom"/>
            <w:gridSpan w:val="2"/>
          </w:tcPr>
          <w:p>
            <w:pPr>
              <w:jc w:val="right"/>
              <w:ind w:right="13"/>
              <w:spacing w:after="0" w:line="202" w:lineRule="exact"/>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196"/>
        </w:trPr>
        <w:tc>
          <w:tcPr>
            <w:tcW w:w="3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(358,615 )</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(178,599 )</w:t>
            </w: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73"/>
              <w:spacing w:after="0" w:line="196" w:lineRule="exact"/>
              <w:rPr>
                <w:sz w:val="20"/>
                <w:szCs w:val="20"/>
                <w:color w:val="auto"/>
              </w:rPr>
            </w:pPr>
            <w:r>
              <w:rPr>
                <w:rFonts w:ascii="Arial" w:cs="Arial" w:eastAsia="Arial" w:hAnsi="Arial"/>
                <w:sz w:val="18"/>
                <w:szCs w:val="18"/>
                <w:color w:val="auto"/>
              </w:rPr>
              <w:t>100.8 %</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(178,599 )</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(133,148 )</w:t>
            </w:r>
          </w:p>
        </w:tc>
        <w:tc>
          <w:tcPr>
            <w:tcW w:w="10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73"/>
              <w:spacing w:after="0" w:line="196" w:lineRule="exact"/>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21,948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9,656</w:t>
            </w:r>
          </w:p>
        </w:tc>
        <w:tc>
          <w:tcPr>
            <w:tcW w:w="12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127.3 %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9,656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14,596</w:t>
            </w:r>
          </w:p>
        </w:tc>
        <w:tc>
          <w:tcPr>
            <w:tcW w:w="1180" w:type="dxa"/>
            <w:vAlign w:val="bottom"/>
            <w:gridSpan w:val="2"/>
          </w:tcPr>
          <w:p>
            <w:pPr>
              <w:jc w:val="right"/>
              <w:ind w:right="13"/>
              <w:spacing w:after="0" w:line="202" w:lineRule="exact"/>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02"/>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(10,341 )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(5,896 )</w:t>
            </w:r>
          </w:p>
        </w:tc>
        <w:tc>
          <w:tcPr>
            <w:tcW w:w="1200" w:type="dxa"/>
            <w:vAlign w:val="bottom"/>
            <w:gridSpan w:val="2"/>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75.4 %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(5,896 )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(5,607 )</w:t>
            </w:r>
          </w:p>
        </w:tc>
        <w:tc>
          <w:tcPr>
            <w:tcW w:w="1180" w:type="dxa"/>
            <w:vAlign w:val="bottom"/>
            <w:gridSpan w:val="2"/>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Revaluation of stock warrant</w:t>
            </w:r>
          </w:p>
        </w:tc>
        <w:tc>
          <w:tcPr>
            <w:tcW w:w="2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20,470</w:t>
            </w:r>
          </w:p>
        </w:tc>
        <w:tc>
          <w:tcPr>
            <w:tcW w:w="1200" w:type="dxa"/>
            <w:vAlign w:val="bottom"/>
            <w:gridSpan w:val="2"/>
          </w:tcPr>
          <w:p>
            <w:pPr>
              <w:jc w:val="right"/>
              <w:ind w:right="13"/>
              <w:spacing w:after="0" w:line="202"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118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2,561.9 %</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(65 )</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(114 )</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(43.0 )%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(114 )</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(96 )</w:t>
            </w: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(370,157 )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(202,715 )</w:t>
            </w:r>
          </w:p>
        </w:tc>
        <w:tc>
          <w:tcPr>
            <w:tcW w:w="120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82.6 %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(202,715 )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(142,810 )</w:t>
            </w:r>
          </w:p>
        </w:tc>
        <w:tc>
          <w:tcPr>
            <w:tcW w:w="118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754</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84</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797.6 %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84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(370,911 )</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(202,799 )</w:t>
            </w:r>
          </w:p>
        </w:tc>
        <w:tc>
          <w:tcPr>
            <w:tcW w:w="120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82.9 %</w:t>
            </w:r>
          </w:p>
        </w:tc>
        <w:tc>
          <w:tcPr>
            <w:tcW w:w="10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(202,799 )</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(142,978 )</w:t>
            </w:r>
          </w:p>
        </w:tc>
        <w:tc>
          <w:tcPr>
            <w:tcW w:w="1180" w:type="dxa"/>
            <w:vAlign w:val="bottom"/>
            <w:gridSpan w:val="2"/>
          </w:tcPr>
          <w:p>
            <w:pPr>
              <w:jc w:val="right"/>
              <w:ind w:right="73"/>
              <w:spacing w:after="0" w:line="196" w:lineRule="exact"/>
              <w:rPr>
                <w:sz w:val="20"/>
                <w:szCs w:val="20"/>
                <w:color w:val="auto"/>
              </w:rPr>
            </w:pPr>
            <w:r>
              <w:rPr>
                <w:rFonts w:ascii="Arial" w:cs="Arial" w:eastAsia="Arial" w:hAnsi="Arial"/>
                <w:sz w:val="18"/>
                <w:szCs w:val="18"/>
                <w:color w:val="auto"/>
              </w:rPr>
              <w:t>41.8 %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-1736725</wp:posOffset>
            </wp:positionV>
            <wp:extent cx="68580" cy="133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-1736725</wp:posOffset>
            </wp:positionV>
            <wp:extent cx="68580" cy="133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-1736725</wp:posOffset>
            </wp:positionV>
            <wp:extent cx="59690" cy="133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-1736725</wp:posOffset>
            </wp:positionV>
            <wp:extent cx="60325" cy="133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13398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-1736725</wp:posOffset>
            </wp:positionV>
            <wp:extent cx="59690" cy="133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-1470660</wp:posOffset>
            </wp:positionV>
            <wp:extent cx="68580" cy="133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-1470660</wp:posOffset>
            </wp:positionV>
            <wp:extent cx="68580" cy="133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-1470660</wp:posOffset>
            </wp:positionV>
            <wp:extent cx="59690" cy="133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-1470660</wp:posOffset>
            </wp:positionV>
            <wp:extent cx="60325" cy="133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3398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-1470660</wp:posOffset>
            </wp:positionV>
            <wp:extent cx="59690" cy="133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-424815</wp:posOffset>
            </wp:positionV>
            <wp:extent cx="68580" cy="133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-424815</wp:posOffset>
            </wp:positionV>
            <wp:extent cx="68580" cy="133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-424815</wp:posOffset>
            </wp:positionV>
            <wp:extent cx="59690" cy="133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-424815</wp:posOffset>
            </wp:positionV>
            <wp:extent cx="60325" cy="133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13398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-424815</wp:posOffset>
            </wp:positionV>
            <wp:extent cx="59690" cy="133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-159385</wp:posOffset>
            </wp:positionV>
            <wp:extent cx="68580" cy="160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-159385</wp:posOffset>
            </wp:positionV>
            <wp:extent cx="68580" cy="160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-159385</wp:posOffset>
            </wp:positionV>
            <wp:extent cx="59690" cy="160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16002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-159385</wp:posOffset>
            </wp:positionV>
            <wp:extent cx="60325" cy="160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59690" cy="160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1600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480" w:hanging="251"/>
        <w:spacing w:after="0" w:line="25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(76.7% of 2021 revenue; 67.4% of 2020 revenue): The Ecommerce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through our ecommerce platform and fees earned on sales of value-added products associated with those vehicle sales.</w:t>
      </w:r>
    </w:p>
    <w:p>
      <w:pPr>
        <w:spacing w:after="0" w:line="155" w:lineRule="exact"/>
        <w:rPr>
          <w:rFonts w:ascii="Arial" w:cs="Arial" w:eastAsia="Arial" w:hAnsi="Arial"/>
          <w:sz w:val="18"/>
          <w:szCs w:val="18"/>
          <w:color w:val="auto"/>
        </w:rPr>
      </w:pPr>
    </w:p>
    <w:p>
      <w:pPr>
        <w:ind w:left="1020" w:right="580" w:hanging="251"/>
        <w:spacing w:after="0" w:line="27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(15.7% of 2021 revenue; 18.1% of 2020 revenue): The Wholesale segment represents sales of used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wholesale channels.</w:t>
      </w:r>
    </w:p>
    <w:p>
      <w:pPr>
        <w:spacing w:after="0" w:line="140" w:lineRule="exact"/>
        <w:rPr>
          <w:rFonts w:ascii="Arial" w:cs="Arial" w:eastAsia="Arial" w:hAnsi="Arial"/>
          <w:sz w:val="18"/>
          <w:szCs w:val="18"/>
          <w:color w:val="auto"/>
        </w:rPr>
      </w:pPr>
    </w:p>
    <w:p>
      <w:pPr>
        <w:ind w:left="1020" w:right="80" w:hanging="251"/>
        <w:spacing w:after="0" w:line="27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(7.2% of 2021 revenue; 14.4% of 2020 revenue): The TDA segment represents retail sales of used vehicles from TDA and</w:t>
      </w:r>
      <w:r>
        <w:rPr>
          <w:rFonts w:ascii="Arial" w:cs="Arial" w:eastAsia="Arial" w:hAnsi="Arial"/>
          <w:sz w:val="18"/>
          <w:szCs w:val="18"/>
          <w:b w:val="1"/>
          <w:bCs w:val="1"/>
          <w:color w:val="auto"/>
        </w:rPr>
        <w:t xml:space="preserve"> </w:t>
      </w:r>
      <w:r>
        <w:rPr>
          <w:rFonts w:ascii="Arial" w:cs="Arial" w:eastAsia="Arial" w:hAnsi="Arial"/>
          <w:sz w:val="18"/>
          <w:szCs w:val="18"/>
          <w:color w:val="auto"/>
        </w:rPr>
        <w:t>fees earned on sales of value-added products associated with those vehicle sales.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9"/>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gridSpan w:val="4"/>
          </w:tcPr>
          <w:p>
            <w:pPr>
              <w:jc w:val="center"/>
              <w:ind w:right="151"/>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89"/>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rPr>
              <w:t>data and average days to sale)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Ecommerce units sold</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74,698</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34,488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40,210</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116.6 %</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Ecommerce revenue:</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revenue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2,360,368</w:t>
            </w:r>
          </w:p>
        </w:tc>
        <w:tc>
          <w:tcPr>
            <w:tcW w:w="6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884,560</w:t>
            </w:r>
          </w:p>
        </w:tc>
        <w:tc>
          <w:tcPr>
            <w:tcW w:w="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1,475,808</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166.8 %</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82,001</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30,891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51,110</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165.5 %</w:t>
            </w:r>
          </w:p>
        </w:tc>
      </w:tr>
      <w:tr>
        <w:trPr>
          <w:trHeight w:val="23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ecommerce revenue</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2,442,369</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915,451</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1,526,918</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166.8</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5540" w:type="dxa"/>
            <w:vAlign w:val="bottom"/>
          </w:tcPr>
          <w:p>
            <w:pPr>
              <w:ind w:left="20"/>
              <w:spacing w:after="0" w:line="183" w:lineRule="exact"/>
              <w:rPr>
                <w:sz w:val="20"/>
                <w:szCs w:val="20"/>
                <w:color w:val="auto"/>
              </w:rPr>
            </w:pPr>
            <w:r>
              <w:rPr>
                <w:rFonts w:ascii="Arial" w:cs="Arial" w:eastAsia="Arial" w:hAnsi="Arial"/>
                <w:sz w:val="18"/>
                <w:szCs w:val="18"/>
                <w:color w:val="auto"/>
              </w:rPr>
              <w:t>Ecommerce gross profit: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gross profit</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82,745</w:t>
            </w:r>
          </w:p>
        </w:tc>
        <w:tc>
          <w:tcPr>
            <w:tcW w:w="6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29,970</w:t>
            </w:r>
          </w:p>
        </w:tc>
        <w:tc>
          <w:tcPr>
            <w:tcW w:w="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52,775</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176.1 %</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Product gross profit</w:t>
            </w: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82,001</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30,891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51,110</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165.5 %</w:t>
            </w:r>
          </w:p>
        </w:tc>
      </w:tr>
      <w:tr>
        <w:trPr>
          <w:trHeight w:val="23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ecommerce gross profit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164,746</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60,861</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103,885</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170.7</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5540" w:type="dxa"/>
            <w:vAlign w:val="bottom"/>
          </w:tcPr>
          <w:p>
            <w:pPr>
              <w:ind w:left="20"/>
              <w:spacing w:after="0" w:line="183" w:lineRule="exact"/>
              <w:rPr>
                <w:sz w:val="20"/>
                <w:szCs w:val="20"/>
                <w:color w:val="auto"/>
              </w:rPr>
            </w:pPr>
            <w:r>
              <w:rPr>
                <w:rFonts w:ascii="Arial" w:cs="Arial" w:eastAsia="Arial" w:hAnsi="Arial"/>
                <w:sz w:val="18"/>
                <w:szCs w:val="18"/>
                <w:color w:val="auto"/>
              </w:rPr>
              <w:t>Average vehicle selling price per ecommerce unit</w:t>
            </w:r>
          </w:p>
        </w:tc>
        <w:tc>
          <w:tcPr>
            <w:tcW w:w="240" w:type="dxa"/>
            <w:vAlign w:val="bottom"/>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31,599</w:t>
            </w:r>
          </w:p>
        </w:tc>
        <w:tc>
          <w:tcPr>
            <w:tcW w:w="620" w:type="dxa"/>
            <w:vAlign w:val="bottom"/>
            <w:gridSpan w:val="2"/>
          </w:tcPr>
          <w:p>
            <w:pPr>
              <w:jc w:val="right"/>
              <w:ind w:right="210"/>
              <w:spacing w:after="0" w:line="18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8"/>
                <w:szCs w:val="18"/>
                <w:color w:val="auto"/>
              </w:rPr>
              <w:t>25,648</w:t>
            </w:r>
          </w:p>
        </w:tc>
        <w:tc>
          <w:tcPr>
            <w:tcW w:w="50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5,951</w:t>
            </w:r>
          </w:p>
        </w:tc>
        <w:tc>
          <w:tcPr>
            <w:tcW w:w="1400" w:type="dxa"/>
            <w:vAlign w:val="bottom"/>
            <w:gridSpan w:val="3"/>
          </w:tcPr>
          <w:p>
            <w:pPr>
              <w:jc w:val="right"/>
              <w:spacing w:after="0" w:line="183" w:lineRule="exact"/>
              <w:rPr>
                <w:sz w:val="20"/>
                <w:szCs w:val="20"/>
                <w:color w:val="auto"/>
              </w:rPr>
            </w:pPr>
            <w:r>
              <w:rPr>
                <w:rFonts w:ascii="Arial" w:cs="Arial" w:eastAsia="Arial" w:hAnsi="Arial"/>
                <w:sz w:val="18"/>
                <w:szCs w:val="18"/>
                <w:color w:val="auto"/>
              </w:rPr>
              <w:t>23.2 %</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 per ecommerce unit:</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ecommerce unit</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1,108</w:t>
            </w:r>
          </w:p>
        </w:tc>
        <w:tc>
          <w:tcPr>
            <w:tcW w:w="6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869</w:t>
            </w:r>
          </w:p>
        </w:tc>
        <w:tc>
          <w:tcPr>
            <w:tcW w:w="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27.5 %</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gross profit per ecommerce unit</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1,098</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896</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22.5 %</w:t>
            </w:r>
          </w:p>
        </w:tc>
      </w:tr>
      <w:tr>
        <w:trPr>
          <w:trHeight w:val="20"/>
        </w:trPr>
        <w:tc>
          <w:tcPr>
            <w:tcW w:w="55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 per ecommerce unit</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2,206</w:t>
            </w:r>
          </w:p>
        </w:tc>
        <w:tc>
          <w:tcPr>
            <w:tcW w:w="200" w:type="dxa"/>
            <w:vAlign w:val="bottom"/>
          </w:tcPr>
          <w:p>
            <w:pPr>
              <w:spacing w:after="0"/>
              <w:rPr>
                <w:sz w:val="17"/>
                <w:szCs w:val="17"/>
                <w:color w:val="auto"/>
              </w:rPr>
            </w:pPr>
          </w:p>
        </w:tc>
        <w:tc>
          <w:tcPr>
            <w:tcW w:w="42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1,765</w:t>
            </w:r>
          </w:p>
        </w:tc>
        <w:tc>
          <w:tcPr>
            <w:tcW w:w="20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441</w:t>
            </w:r>
          </w:p>
        </w:tc>
        <w:tc>
          <w:tcPr>
            <w:tcW w:w="180" w:type="dxa"/>
            <w:vAlign w:val="bottom"/>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25.0 %</w:t>
            </w:r>
          </w:p>
        </w:tc>
      </w:tr>
      <w:tr>
        <w:trPr>
          <w:trHeight w:val="20"/>
        </w:trPr>
        <w:tc>
          <w:tcPr>
            <w:tcW w:w="5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5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Ecommerce average days to sale</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12.1</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-1379220</wp:posOffset>
            </wp:positionV>
            <wp:extent cx="278574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85745"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-830580</wp:posOffset>
            </wp:positionV>
            <wp:extent cx="2785745"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85745" cy="1543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-287655</wp:posOffset>
            </wp:positionV>
            <wp:extent cx="14541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-287655</wp:posOffset>
            </wp:positionV>
            <wp:extent cx="51435" cy="160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-287655</wp:posOffset>
            </wp:positionV>
            <wp:extent cx="51435" cy="160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-287655</wp:posOffset>
            </wp:positionV>
            <wp:extent cx="43180" cy="160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1600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Ecommerce units sold increased 40,210, or 116.6%, from 34,488 in 2020 to 74,698 in 2021. This increase was driven by higher inventory levels, strong national brand recognition driven by our national advertising campaign and increased marketing spend, and growing consumer acceptance of our business model. The increase was also attributable to strong market demand generally for used vehicles, caused in part by the shortage of microchips and delays in new car manufacturing. Average monthly unique visitors to our website grew from 969,890 in 2020 to 1,968,656 in 2021, representing year over year growth of 103.0%. We expect ecommerce units sold to continue to grow in the future as we increase our inventory selection and marketing efforts, improve conversion and broaden our customer base by expanding our product offerings across the credit spectrum.</w:t>
      </w:r>
    </w:p>
    <w:p>
      <w:pPr>
        <w:spacing w:after="0" w:line="189"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Ecommerce average days to sale increased from 66 days in 2020 to 74 days in 2021. The increase was primarily driven by constraints experienced in sales support in response to accelerating demand and the sale of aged inventory during the first quarter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Ecommerce vehicle revenue increased $1,475.8 million, or 166.8%, from $884.6 million in 2020 to $2,360.4 million in 2021. The increase in ecommerce vehicle revenue was primarily attributable to the 40,210 increase in ecommerce units sold, which increased vehicle revenue by $1,031.3 million, as well as ASP per unit, which increased from $25,648 in 2020 to $31,599 in 2021 and increased vehicle revenue by $ 444.5 million. The increase in ASP per unit was primarily attributable to market appreciation due to increased demand. Although we expect ASP to fluctuate in the short-term as a result of market conditions, our long-term strategy continues to move us toward lower-priced inventory, which we expect will result in a lower ASP. The acquisition of UACC will enable us to expand our automotive financing solutions across the credit spectrum, and we expect to increase our offering of lower-price-point vehicles to take advantage of those capabilities.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jc w:val="both"/>
        <w:ind w:right="140" w:firstLine="761"/>
        <w:spacing w:after="0"/>
        <w:rPr>
          <w:sz w:val="20"/>
          <w:szCs w:val="20"/>
          <w:color w:val="auto"/>
        </w:rPr>
      </w:pPr>
      <w:r>
        <w:rPr>
          <w:rFonts w:ascii="Arial" w:cs="Arial" w:eastAsia="Arial" w:hAnsi="Arial"/>
          <w:sz w:val="18"/>
          <w:szCs w:val="18"/>
          <w:color w:val="auto"/>
        </w:rPr>
        <w:t>Ecommerce product revenue increased $51.1 million, or 165.5%, from $30.9 million in 2020 to $ 82.0 million in 2021. The increase in ecommerce product revenue was primarily attributable to the 40,210 increase in ecommerce units sold, which increased product revenue by $36.0 million and a $202 increase in product revenue per unit, which increased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product revenue by $15.1 million. Product revenue per unit increased from $896 in 2020 to $1,098 in 2021, primarily due to an increase in the average loan size as a result of higher ASP, as well as higher attachment rates on other value added products. We expect ecommerce product revenue will continue to grow driven by the captive financing offered by UACC and the sales of finance receivables we originate and sell in securitization transactions or forward flow arrangements. Additionally, we expect increases in ecommerce units sold, introduction of new value-added products and increased attachment rates will continue to positively affect our product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Ecommerce vehicle gross profit increased $52.7 million, or 176.1%, from $30.0 million in 2020 to $82.7 million in 2021. The increase in vehicle gross profit was primarily attributable to the 40,210 increase in ecommerce units sold, which increased vehicle gross profit by $34.9 million and a $239 increase in vehicle gross profit per unit, which increased vehicle gross profit by $17.8 million. Vehicle gross profit per unit increased from $ 869 in 2020 to $1,108 in 2021, primarily attributable to improvements in reconditioning costs and higher sales margins (sales price less purchase price of vehicles sold). Strong sales margin per unit was driven by a record retail pricing environment during 2021 as well as an increase in vehicles sourced directly from consumers and further improvements in our pricing methodologies, partially offset by high acquisition costs for premium vehicles in the third quarter, combined with the retail depreciation for these vehicles during the fourth quarter of 2021. In the fourth quarter of 2021 we also experienced higher reconditioning costs due to labor shortages and elevated demand at third-party reconditioning partners.</w:t>
      </w:r>
    </w:p>
    <w:p>
      <w:pPr>
        <w:spacing w:after="0" w:line="193"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As we continue to mature our infrastructure and increase and optimize our hybrid network of VRCs, we expect ecommerce vehicle gross profit per unit to increase in the future driven by reduced costs across acquisitions, logistics and reconditioning. However, these improvements may be partially offset by macroeconomic factors, which can lead to rising prices within the used car market and increased logistics and reconditioning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Ecommerce product gross profit increased $51.1 million, or 165.5%, from $30.9 million in 2020 to $82.0 million in 2021. The increase in ecommerce product gross profit was primarily attributable to the 40,210 increase in ecommerce units sold, which increased product gross profit by $36.0 million and a $202 increase in product gross profit per unit, which increased product gross profit by $15.1 million. Product gross profit per unit increased from $896 in 2020 to $1,098 in 2021, primarily due to an increase in the average loan size as a result of higher ASP, as well as higher attachment rates on other value added products. We expect ecommerce product gross profit will continue to grow driven by the captive financing offered by UACC and the sales of finance receivables we originate and sell in securitization transactions or forward flow arrangements. Additionally, we expect increases in ecommerce units sold, introduction of new value-added products and increased attachment rates will continue to positively affect our product gross profit.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except unit data)</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units sold</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37,163</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21,108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16,055</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Wholesale revenue</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498,981</w:t>
            </w:r>
          </w:p>
        </w:tc>
        <w:tc>
          <w:tcPr>
            <w:tcW w:w="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245,580</w:t>
            </w:r>
          </w:p>
        </w:tc>
        <w:tc>
          <w:tcPr>
            <w:tcW w:w="22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253,401</w:t>
            </w: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103.2 %</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gross profit (loss)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18,120</w:t>
            </w:r>
          </w:p>
        </w:tc>
        <w:tc>
          <w:tcPr>
            <w:tcW w:w="6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(1,432 )</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19,552</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1,365.4 %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Average selling price per unit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13,427</w:t>
            </w:r>
          </w:p>
        </w:tc>
        <w:tc>
          <w:tcPr>
            <w:tcW w:w="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11,634</w:t>
            </w:r>
          </w:p>
        </w:tc>
        <w:tc>
          <w:tcPr>
            <w:tcW w:w="22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1,793</w:t>
            </w: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gross profit (loss) per unit</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488</w:t>
            </w:r>
          </w:p>
        </w:tc>
        <w:tc>
          <w:tcPr>
            <w:tcW w:w="6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(68 )</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817.6 %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0"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Wholesale units sold increased 16,055, or 76.1%, from 21,108 in 2020 to 37,163 in 2021, primarily driven by an increase in wholesale units purchased from consumers, a higher number of trade-in vehicles associated with the increase in the number of ecommerce units sold and strong wholesale market demand for used vehicles.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Wholesale revenue increased $253.4 million, or 103.2%, from $245.6 million in 2020 to $499.0 million in 2021. The increase was primarily attributable to the 16,055 increase in wholesale units sold, which increased wholesale revenue by $186.8 million, as well as a higher ASP per wholesale unit, which increased from $11,634 in 2020 to $13,427 in 2021 and increased wholesale revenue by $66.6 million. The increase in ASP per unit was primarily attributable to market appreciation.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 (Loss)</w:t>
      </w:r>
    </w:p>
    <w:p>
      <w:pPr>
        <w:spacing w:after="0" w:line="220"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Wholesale gross profit increased $ 19.5 million from gross loss of $1.4 million in 2020 to gross profit of $18.1 million in 2021. The increase was primarily attributable to a $556 increase in wholesale gross profit per unit as a result of favorable wholesale market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jc w:val="center"/>
              <w:ind w:left="595"/>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6"/>
                <w:szCs w:val="16"/>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 Change</w:t>
            </w:r>
          </w:p>
        </w:tc>
        <w:tc>
          <w:tcPr>
            <w:tcW w:w="3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line="169" w:lineRule="exact"/>
              <w:rPr>
                <w:sz w:val="20"/>
                <w:szCs w:val="20"/>
                <w:color w:val="auto"/>
              </w:rPr>
            </w:pPr>
            <w:r>
              <w:rPr>
                <w:rFonts w:ascii="Arial" w:cs="Arial" w:eastAsia="Arial" w:hAnsi="Arial"/>
                <w:sz w:val="14"/>
                <w:szCs w:val="14"/>
                <w:b w:val="1"/>
                <w:bCs w:val="1"/>
                <w:color w:val="auto"/>
                <w:w w:val="94"/>
              </w:rPr>
              <w:t xml:space="preserve">2020 </w:t>
            </w:r>
            <w:r>
              <w:rPr>
                <w:rFonts w:ascii="Arial" w:cs="Arial" w:eastAsia="Arial" w:hAnsi="Arial"/>
                <w:sz w:val="19"/>
                <w:szCs w:val="19"/>
                <w:b w:val="1"/>
                <w:bCs w:val="1"/>
                <w:color w:val="auto"/>
                <w:w w:val="94"/>
                <w:vertAlign w:val="superscript"/>
              </w:rPr>
              <w:t>(1)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gridSpan w:val="4"/>
          </w:tcPr>
          <w:p>
            <w:pPr>
              <w:jc w:val="center"/>
              <w:ind w:right="151"/>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rPr>
              <w:t>data and average days to sale)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TDA units sold</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7,212</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7,385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(173 )</w:t>
            </w:r>
          </w:p>
        </w:tc>
        <w:tc>
          <w:tcPr>
            <w:tcW w:w="12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TDA revenue: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revenue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223,049</w:t>
            </w:r>
          </w:p>
        </w:tc>
        <w:tc>
          <w:tcPr>
            <w:tcW w:w="6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187,991</w:t>
            </w:r>
          </w:p>
        </w:tc>
        <w:tc>
          <w:tcPr>
            <w:tcW w:w="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35,058</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6,823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7,304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(481 )</w:t>
            </w:r>
          </w:p>
        </w:tc>
        <w:tc>
          <w:tcPr>
            <w:tcW w:w="12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TDA revenue</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229,872</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195,295</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34,577</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w:t>
            </w:r>
          </w:p>
        </w:tc>
        <w:tc>
          <w:tcPr>
            <w:tcW w:w="32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3"/>
        </w:trPr>
        <w:tc>
          <w:tcPr>
            <w:tcW w:w="5540" w:type="dxa"/>
            <w:vAlign w:val="bottom"/>
          </w:tcPr>
          <w:p>
            <w:pPr>
              <w:ind w:left="20"/>
              <w:spacing w:after="0" w:line="183" w:lineRule="exact"/>
              <w:rPr>
                <w:sz w:val="20"/>
                <w:szCs w:val="20"/>
                <w:color w:val="auto"/>
              </w:rPr>
            </w:pPr>
            <w:r>
              <w:rPr>
                <w:rFonts w:ascii="Arial" w:cs="Arial" w:eastAsia="Arial" w:hAnsi="Arial"/>
                <w:sz w:val="18"/>
                <w:szCs w:val="18"/>
                <w:color w:val="auto"/>
              </w:rPr>
              <w:t>TDA gross profit: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gross profit</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5,084</w:t>
            </w:r>
          </w:p>
        </w:tc>
        <w:tc>
          <w:tcPr>
            <w:tcW w:w="6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4,373</w:t>
            </w:r>
          </w:p>
        </w:tc>
        <w:tc>
          <w:tcPr>
            <w:tcW w:w="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Product gross profit</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6,823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7,304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(481 )</w:t>
            </w:r>
          </w:p>
        </w:tc>
        <w:tc>
          <w:tcPr>
            <w:tcW w:w="12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TDA gross profit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11,907</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11,677</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32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3"/>
        </w:trPr>
        <w:tc>
          <w:tcPr>
            <w:tcW w:w="5540" w:type="dxa"/>
            <w:vAlign w:val="bottom"/>
          </w:tcPr>
          <w:p>
            <w:pPr>
              <w:ind w:left="20"/>
              <w:spacing w:after="0" w:line="183" w:lineRule="exact"/>
              <w:rPr>
                <w:sz w:val="20"/>
                <w:szCs w:val="20"/>
                <w:color w:val="auto"/>
              </w:rPr>
            </w:pPr>
            <w:r>
              <w:rPr>
                <w:rFonts w:ascii="Arial" w:cs="Arial" w:eastAsia="Arial" w:hAnsi="Arial"/>
                <w:sz w:val="18"/>
                <w:szCs w:val="18"/>
                <w:color w:val="auto"/>
              </w:rPr>
              <w:t>Average vehicle selling price per TDA unit</w:t>
            </w:r>
          </w:p>
        </w:tc>
        <w:tc>
          <w:tcPr>
            <w:tcW w:w="240" w:type="dxa"/>
            <w:vAlign w:val="bottom"/>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30,927</w:t>
            </w:r>
          </w:p>
        </w:tc>
        <w:tc>
          <w:tcPr>
            <w:tcW w:w="600" w:type="dxa"/>
            <w:vAlign w:val="bottom"/>
            <w:gridSpan w:val="2"/>
          </w:tcPr>
          <w:p>
            <w:pPr>
              <w:jc w:val="right"/>
              <w:ind w:right="170"/>
              <w:spacing w:after="0" w:line="18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25,456</w:t>
            </w:r>
          </w:p>
        </w:tc>
        <w:tc>
          <w:tcPr>
            <w:tcW w:w="46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5,471</w:t>
            </w:r>
          </w:p>
        </w:tc>
        <w:tc>
          <w:tcPr>
            <w:tcW w:w="200" w:type="dxa"/>
            <w:vAlign w:val="bottom"/>
          </w:tcPr>
          <w:p>
            <w:pPr>
              <w:spacing w:after="0"/>
              <w:rPr>
                <w:sz w:val="15"/>
                <w:szCs w:val="15"/>
                <w:color w:val="auto"/>
              </w:rPr>
            </w:pPr>
          </w:p>
        </w:tc>
        <w:tc>
          <w:tcPr>
            <w:tcW w:w="124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 per TDA unit: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TDA unit</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705</w:t>
            </w:r>
          </w:p>
        </w:tc>
        <w:tc>
          <w:tcPr>
            <w:tcW w:w="6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200" w:type="dxa"/>
            <w:vAlign w:val="bottom"/>
          </w:tcPr>
          <w:p>
            <w:pPr>
              <w:spacing w:after="0"/>
              <w:rPr>
                <w:sz w:val="17"/>
                <w:szCs w:val="17"/>
                <w:color w:val="auto"/>
              </w:rPr>
            </w:pPr>
          </w:p>
        </w:tc>
        <w:tc>
          <w:tcPr>
            <w:tcW w:w="12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gross profit per TDA unit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946</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(43 )</w:t>
            </w:r>
          </w:p>
        </w:tc>
        <w:tc>
          <w:tcPr>
            <w:tcW w:w="12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 per TDA unit</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1,651</w:t>
            </w:r>
          </w:p>
        </w:tc>
        <w:tc>
          <w:tcPr>
            <w:tcW w:w="220" w:type="dxa"/>
            <w:vAlign w:val="bottom"/>
          </w:tcPr>
          <w:p>
            <w:pPr>
              <w:spacing w:after="0"/>
              <w:rPr>
                <w:sz w:val="17"/>
                <w:szCs w:val="17"/>
                <w:color w:val="auto"/>
              </w:rPr>
            </w:pP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1,581</w:t>
            </w:r>
          </w:p>
        </w:tc>
        <w:tc>
          <w:tcPr>
            <w:tcW w:w="2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12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TDA average days to sale</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0.0</w:t>
            </w:r>
          </w:p>
        </w:tc>
        <w:tc>
          <w:tcPr>
            <w:tcW w:w="32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-1379220</wp:posOffset>
            </wp:positionV>
            <wp:extent cx="2794635"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94635"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-830580</wp:posOffset>
            </wp:positionV>
            <wp:extent cx="2794635"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94635" cy="15430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-287655</wp:posOffset>
            </wp:positionV>
            <wp:extent cx="2057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-287655</wp:posOffset>
            </wp:positionV>
            <wp:extent cx="51435" cy="160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-287655</wp:posOffset>
            </wp:positionV>
            <wp:extent cx="51435" cy="160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-287655</wp:posOffset>
            </wp:positionV>
            <wp:extent cx="51435" cy="160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160020"/>
                    </a:xfrm>
                    <a:prstGeom prst="rect">
                      <a:avLst/>
                    </a:prstGeom>
                    <a:noFill/>
                  </pic:spPr>
                </pic:pic>
              </a:graphicData>
            </a:graphic>
          </wp:anchor>
        </w:drawing>
      </w:r>
    </w:p>
    <w:p>
      <w:pPr>
        <w:spacing w:after="0" w:line="147" w:lineRule="exact"/>
        <w:rPr>
          <w:sz w:val="20"/>
          <w:szCs w:val="20"/>
          <w:color w:val="auto"/>
        </w:rPr>
      </w:pPr>
    </w:p>
    <w:p>
      <w:pPr>
        <w:ind w:left="1020" w:right="140" w:hanging="503"/>
        <w:spacing w:after="0" w:line="258"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reclassified other revenue and other gross profit related to the vehicle repair service at TDA from the TDA reportable segment to the “All Other” category to conform to current year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220"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TDA units sold decreased 173, or 2.3%, from 7,385 in 2020 to 7,212 in 2021. Despite the strong market demand for used vehicles, the decrease in units is a result of reduced inventory at the TDA location as the ecommerce business continues to scale.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TDA vehicle revenue increased $35.0 million, or 18.6%, from $188.0 million in 2020 to $223.0 million in 2021. The increase in TDA vehicle revenue was primarily due to a higher ASP per unit, as a result of market appreciation, which increased from $25,456 in 2020 to $30,927 in 2021 and increased revenue by $39.5 million, partially offset by the 173 decrease in TDA units sold, which decreased TDA vehicle revenue by $4.5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TDA product revenue decreased $0.5 million, or 6.6%, from $7.3 million in 2020 to $6.8 million in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0"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TDA vehicle gross profit increased $0.7 million, or 16.3%, from $4.4 million in 2020 to $5.1 million in 2021. The increase in vehicle gross profit was primarily attributable to an increase in TDA vehicle gross profit per unit.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TDA product gross profit decreased $0.5 million, or 6.6%, from $7.3 million in 2020 to $6.8 million in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9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Compensation &amp; benefits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204,913</w:t>
            </w:r>
          </w:p>
        </w:tc>
        <w:tc>
          <w:tcPr>
            <w:tcW w:w="70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92,205</w:t>
            </w:r>
          </w:p>
        </w:tc>
        <w:tc>
          <w:tcPr>
            <w:tcW w:w="4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112,708</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122.2 %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Marketing expense</w:t>
            </w: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125,481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62,393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63,088</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101.1 %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Outbound logistics </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85,788</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30,262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55,526</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183.5 %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Occupancy and related costs</w:t>
            </w: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17,448</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10,784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6,664</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61.8 %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24,386</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13,826</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130.9 %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89,807</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39,342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50,465</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128.3 %</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selling, general &amp; administrative expenses</w:t>
            </w: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547,823</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245,546</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302,277</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123.1</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431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431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431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93" w:lineRule="exact"/>
        <w:rPr>
          <w:sz w:val="20"/>
          <w:szCs w:val="20"/>
          <w:color w:val="auto"/>
        </w:rPr>
      </w:pPr>
    </w:p>
    <w:p>
      <w:pPr>
        <w:ind w:left="1020" w:right="60" w:hanging="503"/>
        <w:spacing w:after="0" w:line="258" w:lineRule="auto"/>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175" w:lineRule="exact"/>
        <w:rPr>
          <w:sz w:val="20"/>
          <w:szCs w:val="20"/>
          <w:color w:val="auto"/>
        </w:rPr>
      </w:pPr>
    </w:p>
    <w:p>
      <w:pPr>
        <w:ind w:right="460" w:firstLine="761"/>
        <w:spacing w:after="0" w:line="246" w:lineRule="auto"/>
        <w:rPr>
          <w:sz w:val="20"/>
          <w:szCs w:val="20"/>
          <w:color w:val="auto"/>
        </w:rPr>
      </w:pPr>
      <w:r>
        <w:rPr>
          <w:rFonts w:ascii="Arial" w:cs="Arial" w:eastAsia="Arial" w:hAnsi="Arial"/>
          <w:sz w:val="18"/>
          <w:szCs w:val="18"/>
          <w:color w:val="auto"/>
        </w:rPr>
        <w:t>SG&amp;A expenses increased $302.3 million, or 123.1%, from $245.5 million in 2020 to $547.8 million in 2021. The increase was primarily due to:</w:t>
      </w:r>
    </w:p>
    <w:p>
      <w:pPr>
        <w:spacing w:after="0" w:line="183" w:lineRule="exact"/>
        <w:rPr>
          <w:sz w:val="20"/>
          <w:szCs w:val="20"/>
          <w:color w:val="auto"/>
        </w:rPr>
      </w:pPr>
    </w:p>
    <w:p>
      <w:pPr>
        <w:ind w:left="1140" w:right="380" w:hanging="371"/>
        <w:spacing w:after="0" w:line="246"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$112.7 million increase in compensation and benefits as a result of an increase in headcount and an increase in variable fees for third-party sales and sales support providers as a result of an increase in units sold;</w:t>
      </w:r>
    </w:p>
    <w:p>
      <w:pPr>
        <w:spacing w:after="0" w:line="183" w:lineRule="exact"/>
        <w:rPr>
          <w:rFonts w:ascii="Arial" w:cs="Arial" w:eastAsia="Arial" w:hAnsi="Arial"/>
          <w:sz w:val="18"/>
          <w:szCs w:val="18"/>
          <w:color w:val="auto"/>
        </w:rPr>
      </w:pPr>
    </w:p>
    <w:p>
      <w:pPr>
        <w:ind w:left="1140" w:right="20" w:hanging="37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$63.1 million increase in marketing expense as we expanded our national broad-reach brand advertising, aired our first Super Bowl commercial, produced new commercials, and increased performance and online marketing as we continue to grow our listed inventory;</w:t>
      </w:r>
    </w:p>
    <w:p>
      <w:pPr>
        <w:spacing w:after="0" w:line="189" w:lineRule="exact"/>
        <w:rPr>
          <w:rFonts w:ascii="Arial" w:cs="Arial" w:eastAsia="Arial" w:hAnsi="Arial"/>
          <w:sz w:val="18"/>
          <w:szCs w:val="18"/>
          <w:color w:val="auto"/>
        </w:rPr>
      </w:pPr>
    </w:p>
    <w:p>
      <w:pPr>
        <w:ind w:left="1140" w:right="560" w:hanging="37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$55.5 million increase in outbound logistics costs attributable to the growth in ecommerce units sold, which increased outbound logistics costs by $35.3 million, and increases in market rates of logistics providers, which increased outbound logistics costs by $20.2 million;</w:t>
      </w:r>
    </w:p>
    <w:p>
      <w:pPr>
        <w:spacing w:after="0" w:line="189" w:lineRule="exact"/>
        <w:rPr>
          <w:rFonts w:ascii="Arial" w:cs="Arial" w:eastAsia="Arial" w:hAnsi="Arial"/>
          <w:sz w:val="18"/>
          <w:szCs w:val="18"/>
          <w:color w:val="auto"/>
        </w:rPr>
      </w:pPr>
    </w:p>
    <w:p>
      <w:pPr>
        <w:ind w:left="1140" w:right="80" w:hanging="37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$13.8 million increase in professional fees primarily related to acquisition related costs incurred in connection with the acquisition of UACC and increased consulting expenses primarily in the corporate, marketing and engineering departments as well as increased legal fees; and</w:t>
      </w:r>
    </w:p>
    <w:p>
      <w:pPr>
        <w:spacing w:after="0" w:line="189" w:lineRule="exact"/>
        <w:rPr>
          <w:rFonts w:ascii="Arial" w:cs="Arial" w:eastAsia="Arial" w:hAnsi="Arial"/>
          <w:sz w:val="18"/>
          <w:szCs w:val="18"/>
          <w:color w:val="auto"/>
        </w:rPr>
      </w:pPr>
    </w:p>
    <w:p>
      <w:pPr>
        <w:ind w:left="1140" w:right="320" w:hanging="37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$50.5 million increase in other SG&amp;A expenses primarily related to volume-based fees for software licenses and other variable expenses as our business continues to scale as well as additional insurance costs associated with being a publicly traded company and growing inventory.</w:t>
      </w:r>
    </w:p>
    <w:p>
      <w:pPr>
        <w:spacing w:after="0" w:line="189"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Total SG&amp;A expenses per total ecommerce transaction, defined as ecommerce vehicle purchases directly from consumers plus ecommerce units sold, decreased from $4,633 for the year ended December 31, 2020 to $3,818 for the year ended December 31, 2021, primarily due to operating leverage as our business continues to scale, partially offset by increases in market rates of logistics providers and acquisition related costs incurred in connection with the acquisition of UACC.</w:t>
      </w:r>
    </w:p>
    <w:p>
      <w:pPr>
        <w:spacing w:after="0" w:line="191"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We expect SG&amp;A expenses to increase in the future as we continue to scale our business, integrate and invest in UACC, invest in and improve our customer experience, and continue expanding our proprietary logistics and reconditioning hybrid networks. However, we believe these increases will be partially offset by operating leverage as our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business continues to scale and we gain efficiencies from our investments in technology and process improvements. SG&amp;A expenses may also continue to be negatively impacted by macroeconomic factors such as rising prices particularly within compensation and benefits and outbound logistics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Depreciation and amortization expenses increased $8.3 million, or 180.4%%, from $4.6 million in 2020 to $12.9 million in 2021. The increase was primarily due to amortization expense of intangible assets acquired as part of the acquisition of the CarStory business on January 7, 2021, depreciation of short-haul and line-haul vehicles acquired for our proprietary logistics network and increased depreciation expense as we continue to develop our internal use software.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Interest expense increased $12.2 million, or 127.3%, from $9.7 million in 2020 to $ 21.9 million in 2021. The increase was primarily attributable to a higher outstanding balance of the 2020 Vehicle Floorplan Facility due to the increase in vehicle inventory levels as the business continues to scale, which increased interest expense $7.9 million and interest expense incurred on the Notes, which increased interest expense $4.3 million. Interest expense may increase in the future as a result of the Federal Reserve's plans to raise interest rates throughout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Interest income increased $4.4 million, or 75.4%, from $5.9 million in 2020 to $10.3 million in 2021. The increase in interest income was primarily driven by higher cash and cash equivalent balances as a result of the issuance of the Notes.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ind w:right="180" w:firstLine="761"/>
        <w:spacing w:after="0"/>
        <w:rPr>
          <w:sz w:val="20"/>
          <w:szCs w:val="20"/>
          <w:color w:val="auto"/>
        </w:rPr>
      </w:pPr>
      <w:r>
        <w:rPr>
          <w:rFonts w:ascii="Arial" w:cs="Arial" w:eastAsia="Arial" w:hAnsi="Arial"/>
          <w:sz w:val="18"/>
          <w:szCs w:val="18"/>
          <w:color w:val="auto"/>
        </w:rPr>
        <w:t>As of December 31, 2021, we had cash and cash equivalents of $1.1 billion. Our primary source of liquidity is cash generated through financing activities. On February 1, 2022 we completed the acquisition of UACC for a cash purchase price of approximately $300.0 million, subject to customary purchase price adjustments.</w:t>
      </w:r>
    </w:p>
    <w:p>
      <w:pPr>
        <w:spacing w:after="0" w:line="18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On June 11, 2020, we completed our IPO in which we sold 24,437,500 shares of our common stock for proceeds of $504.0 million, net of the underwriting discount and before deducting offering expenses. On September 15, 2020, we completed our follow-on public offering in which we sold 10,800,000 shares of common stock for proceeds of $569.5 million, net of the underwriting discount and before deducting offering expenses. On June 18, 2021, we issued $625.0 million aggregate principal amount of the Notes for net proceeds of $608.9 million.</w:t>
      </w:r>
    </w:p>
    <w:p>
      <w:pPr>
        <w:spacing w:after="0" w:line="191" w:lineRule="exact"/>
        <w:rPr>
          <w:sz w:val="20"/>
          <w:szCs w:val="20"/>
          <w:color w:val="auto"/>
        </w:rPr>
      </w:pPr>
    </w:p>
    <w:p>
      <w:pPr>
        <w:jc w:val="both"/>
        <w:ind w:right="200" w:firstLine="761"/>
        <w:spacing w:after="0"/>
        <w:rPr>
          <w:sz w:val="20"/>
          <w:szCs w:val="20"/>
          <w:color w:val="auto"/>
        </w:rPr>
      </w:pPr>
      <w:r>
        <w:rPr>
          <w:rFonts w:ascii="Arial" w:cs="Arial" w:eastAsia="Arial" w:hAnsi="Arial"/>
          <w:sz w:val="18"/>
          <w:szCs w:val="18"/>
          <w:color w:val="auto"/>
        </w:rPr>
        <w:t>We anticipate that our existing cash and cash equivalents and the 2020 Vehicle Floorplan Facility will be sufficient to support our working capital and capital expenditure requirements for at least the next twelve months from the date of this Annual Report on Form 10-K. We intend to use cash flows provided by UACC's operations to reinvest in the development of UACC into a full captive financing arm.</w:t>
      </w:r>
    </w:p>
    <w:p>
      <w:pPr>
        <w:spacing w:after="0" w:line="189"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We have experienced a continued increase in the use of cash as our business scaled and we continue to expand our operations. Our future capital requirements will depend on many factors, including our rate of revenue growth, our efforts to reduce costs per unit, integration and investment costs for the acquisition of UACC, the expansion of our inventory, sales and marketing activities, and investment in our reconditioning, logistics and customer experience operations. To finance our long term growth and capital expenditures, we expect to use our cash and cash equivalents, borrowings under our vehicle floorplan facilities and debt and equity financing. Currently, we finance approximately 25% of our retail inventory with our cash and cash equivalents. We expect this percentage to decrease as we intend to utilize more of the capacity of our vehicle floorplan facility to finance the expansion of our retail inventory. We have no significant debt maturities due until 2026.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generate sufficient revenues, raise additional capital through debt or equity financings, and/or reduce operating costs could have a material adverse effect on our ability to meet our short and long-term liquidity needs and achieve our intended long-term business objectives.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6" w:name="page87"/>
    <w:bookmarkEnd w:id="8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June 18, 2021, we issued $625.0 million aggregate principal amount of the Notes pursuant to an indenture between us and U.S.</w:t>
      </w: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98"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191"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Each $1,000 principal amount of the Notes will initially be convertible into 17.8527 shares of our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certain circumstances:</w:t>
      </w:r>
    </w:p>
    <w:p>
      <w:pPr>
        <w:spacing w:after="0" w:line="191" w:lineRule="exact"/>
        <w:rPr>
          <w:sz w:val="20"/>
          <w:szCs w:val="20"/>
          <w:color w:val="auto"/>
        </w:rPr>
      </w:pPr>
    </w:p>
    <w:p>
      <w:pPr>
        <w:ind w:left="1020" w:right="200" w:hanging="503"/>
        <w:spacing w:after="0" w:line="23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86"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w:t>
      </w:r>
    </w:p>
    <w:p>
      <w:pPr>
        <w:ind w:left="1020" w:right="200"/>
        <w:spacing w:after="0" w:line="246" w:lineRule="auto"/>
        <w:rPr>
          <w:rFonts w:ascii="Arial" w:cs="Arial" w:eastAsia="Arial" w:hAnsi="Arial"/>
          <w:sz w:val="18"/>
          <w:szCs w:val="18"/>
          <w:color w:val="auto"/>
        </w:rPr>
      </w:pPr>
      <w:r>
        <w:rPr>
          <w:rFonts w:ascii="Arial" w:cs="Arial" w:eastAsia="Arial" w:hAnsi="Arial"/>
          <w:sz w:val="18"/>
          <w:szCs w:val="18"/>
          <w:color w:val="auto"/>
        </w:rPr>
        <w:t>$1,000 principal amount of the Notes for each day of that ten consecutive trading day period was less than 98% of the product of the last reported sale price of our common stock and the conversion rate of the Notes on such trading day;</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call any or all of the Notes for redemption; or</w:t>
      </w:r>
    </w:p>
    <w:p>
      <w:pPr>
        <w:spacing w:after="0" w:line="198" w:lineRule="exact"/>
        <w:rPr>
          <w:rFonts w:ascii="Arial" w:cs="Arial" w:eastAsia="Arial" w:hAnsi="Arial"/>
          <w:sz w:val="18"/>
          <w:szCs w:val="18"/>
          <w:color w:val="auto"/>
        </w:rPr>
      </w:pPr>
    </w:p>
    <w:p>
      <w:pPr>
        <w:ind w:left="1020" w:right="50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183"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We may settle conversions by paying or delivering, as applicable, cash, shares of our common stock or a combination of cash and shares of our common stock, at our election.</w:t>
      </w:r>
    </w:p>
    <w:p>
      <w:pPr>
        <w:spacing w:after="0" w:line="183"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We may not redeem the Notes prior to July 6, 2024. On or after July 6, 2024, we may redeem all or any portion of the Notes for cash equal to 100% of the principal amount of the Notes being redeemed plus any accrued and unpaid interest if the last reported sale price of our common stock has been at least 130% of the conversion price then in effect for at least 20 trading days (whether or not consecutive) during any 30 consecutive trading day period.</w:t>
      </w:r>
    </w:p>
    <w:p>
      <w:pPr>
        <w:spacing w:after="0" w:line="191"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If we undergo a fundamental change (as defined in the Indenture), subject to certain conditions, holders of the Notes may require us to repurchase for cash all or any portion of their Notes at a repurchase price equal to 100% of the principal amount of the Notes plus any accrued and unpaid interest. In addition, if specific corporate events occur prior to the maturity date or if we issue a notice of redemption, we will increase the conversion rate by pre-defined amounts for a holder who elects to convert their Notes in connection with such a corporate event. During the year ended December 31, 2021, the conditions allowing holders of the Notes to convert were not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As of December 31, 2021, we finance our inventory primarily through the 2020 Vehicle Floorplan Facility with Ally Bank and Ally Financial (together, "Ally"), which was amended in December 2021 and provides a committed credit line of up to $700.0 million.</w:t>
      </w:r>
    </w:p>
    <w:p>
      <w:pPr>
        <w:spacing w:after="0" w:line="183"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$187.2 million was available under this facility as of December 31, 2021. In February 2022, we amended the 2020 Vehicle Floorplan Facility to extend the maturity date to March 31, 2023. We are required to pay an availability fee on the average unused capacity from the prior quarter if it was greater than 50% of the calculated floorplan allowance, as defined. We are subject to financial covenants that require us to maintain a certain level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of equity in the vehicles that are financed, to maintain at least 7.5% of the credit line in cash and cash equivalents and to maintain 10% of the monthly daily floorplan principal balance outstanding on deposit with Ally Bank. We were required to pay an upfront commitment fee upon execution of the amendment.</w:t>
      </w:r>
    </w:p>
    <w:p>
      <w:pPr>
        <w:spacing w:after="0" w:line="189"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Outstanding borrowings are due as the vehicles financed are sold, or in any event, on the maturity date. The amended 2020 Vehicle Floorplan Facility bears interest at a rate equal to the Prime Rate, announced per annum by Ally Bank, plus 105 basis points. We are party to a Credit Balance Agreement that permits us to deposit cash with Ally for the purpose of reducing the amount of interest payable for borrowings under the 2020 Vehicle Floorplan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are planning to sell finance receivables originated by UACC through forward flow arrangements and asset-backed securitization transactions. In February 2022, we completed a securitization transaction of finance receivables originated by our wholly owned subsidiary UACC. The securitization has been structured as an off-balance sheet transaction in which UACC sold approximately $318.5 million in principal balance of auto loans to a securitization trust and received proceeds from the issuance and sale of rated notes and unrated residual certificates and retained a 5% vertical risk retention interest in each class of notes and certificates. The Company recognized a gain on the sale upon transfer in an amount equal to the fair value of the net proceeds received less the carrying amount of the finance receivables sold.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0"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We enter into various noncancelable operating lease agreements for office space, the Company’s reconditioning facility, the TDA retail location, the Company’s Sell Us Your Car centers, parking lots, other facilities, and equipment used in the normal course of business. Operating lease obligations were $16.5 million, with $7.3 million payable within 12 months. See "Note 12—Leases,” to our consolidated financial statements included elsewhere in this Annual Report on Form 10-K for further detail of our obligations and the timing of expected future payments.</w:t>
      </w:r>
    </w:p>
    <w:p>
      <w:pPr>
        <w:spacing w:after="0" w:line="16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years ended December 31, 2021, 2020, and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19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6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0"/>
        </w:trPr>
        <w:tc>
          <w:tcPr>
            <w:tcW w:w="6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217"/>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(568,688 )</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(355,254 )</w:t>
            </w:r>
          </w:p>
        </w:tc>
        <w:tc>
          <w:tcPr>
            <w:tcW w:w="5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(215,636 )</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(104,288 )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(11,329 )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(3,528 )</w:t>
            </w:r>
          </w:p>
        </w:tc>
      </w:tr>
      <w:tr>
        <w:trPr>
          <w:trHeight w:val="203"/>
        </w:trPr>
        <w:tc>
          <w:tcPr>
            <w:tcW w:w="6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797,712</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1,237,035</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275,242</w:t>
            </w: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 and cash equivalents and restricted cash</w:t>
            </w:r>
          </w:p>
        </w:tc>
        <w:tc>
          <w:tcPr>
            <w:tcW w:w="380" w:type="dxa"/>
            <w:vAlign w:val="bottom"/>
          </w:tcPr>
          <w:p>
            <w:pPr>
              <w:spacing w:after="0"/>
              <w:rPr>
                <w:sz w:val="17"/>
                <w:szCs w:val="17"/>
                <w:color w:val="auto"/>
              </w:rPr>
            </w:pPr>
          </w:p>
        </w:tc>
        <w:tc>
          <w:tcPr>
            <w:tcW w:w="11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124,736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7"/>
              <w:spacing w:after="0" w:line="196" w:lineRule="exact"/>
              <w:rPr>
                <w:sz w:val="20"/>
                <w:szCs w:val="20"/>
                <w:color w:val="auto"/>
              </w:rPr>
            </w:pPr>
            <w:r>
              <w:rPr>
                <w:rFonts w:ascii="Arial" w:cs="Arial" w:eastAsia="Arial" w:hAnsi="Arial"/>
                <w:sz w:val="18"/>
                <w:szCs w:val="18"/>
                <w:color w:val="auto"/>
              </w:rPr>
              <w:t>870,452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56,078</w:t>
            </w:r>
          </w:p>
        </w:tc>
      </w:tr>
      <w:tr>
        <w:trPr>
          <w:trHeight w:val="203"/>
        </w:trPr>
        <w:tc>
          <w:tcPr>
            <w:tcW w:w="6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and restricted cash at beginning of period</w:t>
            </w: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1,090,039</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219,587</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163,509</w:t>
            </w: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1,214,775</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line="196" w:lineRule="exact"/>
              <w:rPr>
                <w:sz w:val="20"/>
                <w:szCs w:val="20"/>
                <w:color w:val="auto"/>
              </w:rPr>
            </w:pPr>
            <w:r>
              <w:rPr>
                <w:rFonts w:ascii="Arial" w:cs="Arial" w:eastAsia="Arial" w:hAnsi="Arial"/>
                <w:sz w:val="18"/>
                <w:szCs w:val="18"/>
                <w:color w:val="auto"/>
              </w:rPr>
              <w:t>1,090,039</w:t>
            </w:r>
          </w:p>
        </w:tc>
        <w:tc>
          <w:tcPr>
            <w:tcW w:w="5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219,587</w:t>
            </w:r>
          </w:p>
        </w:tc>
      </w:tr>
      <w:tr>
        <w:trPr>
          <w:trHeight w:val="20"/>
        </w:trPr>
        <w:tc>
          <w:tcPr>
            <w:tcW w:w="6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-424815</wp:posOffset>
            </wp:positionV>
            <wp:extent cx="93980" cy="133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13398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-424815</wp:posOffset>
            </wp:positionV>
            <wp:extent cx="93980" cy="133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3398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93980" cy="160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16002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93980" cy="1600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1600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61"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Net cash flows used in operating activities increased $213.4 million, or 60.1%, from $355.3 million in 2020 to $568.7 million in 2021. The increase is primarily attributable to $167.8 million in incremental net loss after reconciling adjustments in 2021 as compared to 2020 as well as an increase in working capital, primarily related to higher inventory levels as we continue to scale our business, resulting in an increase in the use of cash of $45.6 million.</w:t>
      </w:r>
    </w:p>
    <w:p>
      <w:pPr>
        <w:spacing w:after="0" w:line="232"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We finance substantially all our inventories with the Vehicle Floorplan Facility. In accordance with U.S. GAAP, we report all cash flows arising in connection with the Vehicle Floorplan Facility, as a financing activity in our consolidated statement of cash flows.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61"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Net cash flows used in investing activities increased $93.0 million, from $ 11.3 million in 2020 to $104.3 million in 2021, primarily as a result of the acquisition of the CarStory business in January 2021 which resulted in cash outflow of $ 75.9 million, the acquisition of short-haul and line-haul vehicles for our proprietary logistics network and an increase in capitalized software development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Net cash flows provided by financing activities decreased $ 439.3 million from $1,237.0 million in 2020 to $797.7 million in 2021. The decrease was primarily related to net proceeds of $568.0 million received upon completion of the follow-on public offering, $497.2 million received upon completion of the IPO, and $21.7 million related to the net issuance of Series H preferred stock in 2020. The decrease was partially offset by net proceeds of $608.9 million received upon issuance of the Notes as well as a net increase of $30.2 million related to our Vehicle Floorplan in 2021.</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191"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our estimates, particularly those noted above that require consideration of forecasted financial information, in the near to medium term. The ultimate impact will depend on numerous evolving factors that we may not be able to accurately predict, including the duration and extent of the pandemic, the impact of federal, state, local and foreign governmental actions, consumer behavior in response to the pandemic and other economic and operational conditions we may face.</w:t>
      </w:r>
    </w:p>
    <w:p>
      <w:pPr>
        <w:spacing w:after="0" w:line="189" w:lineRule="exact"/>
        <w:rPr>
          <w:sz w:val="20"/>
          <w:szCs w:val="20"/>
          <w:color w:val="auto"/>
        </w:rPr>
      </w:pPr>
    </w:p>
    <w:p>
      <w:pPr>
        <w:jc w:val="both"/>
        <w:ind w:right="300" w:firstLine="636"/>
        <w:spacing w:after="0" w:line="238"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financial condition and results of operations. For further information, see “Note 2—Summary of Significant Accounting Policies” to our consolidated financial statements included elsewhere in this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60" w:firstLine="636"/>
        <w:spacing w:after="0" w:line="236" w:lineRule="auto"/>
        <w:rPr>
          <w:sz w:val="20"/>
          <w:szCs w:val="20"/>
          <w:color w:val="auto"/>
        </w:rPr>
      </w:pPr>
      <w:r>
        <w:rPr>
          <w:rFonts w:ascii="Arial" w:cs="Arial" w:eastAsia="Arial" w:hAnsi="Arial"/>
          <w:sz w:val="18"/>
          <w:szCs w:val="18"/>
          <w:color w:val="auto"/>
        </w:rPr>
        <w:t>We account for business combinations using the acquisition method of accounting, which requires all assets acquired and liabilities assumed to be recorded at their respective fair values at the date of acquisition. Any excess consideration over the fair value of assets acquired and liabilities assumed is recognized as goodwill. The determination of the acquisition date fair value of the assets acquired and liabilities assumed requires significant estimates and assumptions, such as, if applicable, forecasted revenue growth rates and operating cash flows, royalty rates, customer attrition rates, obsolescence rates of developed technology, and discount rates. These estimates are inherently uncertain and subject to refinement. We use a discounted cash flow ("DCF") method under the income approach to measure the fair value of these intangible assets. Under this approach, the Company estimates future cash flows and discounts these cash flows at a rate of return that reflects the Company’s relative risk. When estimating the significant assumptions to be used in the valuation we include consideration of current industry information, market and economic trends, historical results of the acquired business and other relevant factors. These significant assumptions are forward-looking and could be affected by future economic and market conditions. We engage the assistance of valuation specialists in connection with determining fair values of assets acquired and liabilities assumed in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260" w:firstLine="636"/>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9"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We have three reporting units: Ecommerce, Wholesale and TDA. In performing our annual goodwill impairment test, we first review qualitative factors to determine whether it is more likely than not that the fair value of a reporting unit is less than its carrying amount. If, after assessing qualitative factors, we determine that it is more likely than not that the fair value of a reporting unit is more than 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189"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an individual reporting unit is influenced by a number of factors, inclusive of the carrying value of the reporting unit’s goodwill, the significance of the excess of the reporting unit’s estimated fair value over carrying value at the last quantitative assessment date, and the amount of time in between quantitative fair value assessments and the date of acquisition. If we perform a quantitative assessment of an individual reporting unit’s goodwill, our impairment calculations contain uncertainties because they require management to make assumptions and to apply judgment when estimating future cash flows and asset fair values. The quantitative goodwill impairment test requires a determination of whether the estimated fair value of a reporting unit is less than its carrying value. We estimate the fair value of our reporting units using an income valuation approach. The income valuation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valuation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We base our estimates and assumptions on our knowledge of the automotive and ecommerce industries, our recent performance, our expectations of future performance and other assumptions we believe to be reasonable. Actual future results may differ from those estimates. A material change in the underlying assumptions could result in an impairment of goodwill. We also make certain judgments and assumptions in allocating shared assets and liabilities to determine the carrying values for each of our reporting units.</w:t>
      </w:r>
    </w:p>
    <w:p>
      <w:pPr>
        <w:spacing w:after="0" w:line="199" w:lineRule="exact"/>
        <w:rPr>
          <w:sz w:val="20"/>
          <w:szCs w:val="20"/>
          <w:color w:val="auto"/>
        </w:rPr>
      </w:pPr>
    </w:p>
    <w:p>
      <w:pPr>
        <w:ind w:right="80" w:firstLine="636"/>
        <w:spacing w:after="0" w:line="236" w:lineRule="auto"/>
        <w:rPr>
          <w:sz w:val="20"/>
          <w:szCs w:val="20"/>
          <w:color w:val="auto"/>
        </w:rPr>
      </w:pPr>
      <w:r>
        <w:rPr>
          <w:rFonts w:ascii="Arial" w:cs="Arial" w:eastAsia="Arial" w:hAnsi="Arial"/>
          <w:sz w:val="18"/>
          <w:szCs w:val="18"/>
          <w:color w:val="auto"/>
        </w:rPr>
        <w:t>As of October 1, 2021, the carrying value of goodwill was $158.8 million, of which $152.9 million is allocated to the Ecommerce reporting unit. In connection with the annual goodwill impairment test as of October 1, 2021, we performed a quantitative impairment assessment for the Ecommerce reporting unit. The results of the quantitative test indicated that the fair value of the Ecommerce reporting unit exceeded carrying value and that the Ecommerce reporting unit was not at risk of failing the quantitative impairment test. A 10% decrease in the estimated fair value would not have resulted in a different conclusion. Additionally, as of December 31, 2021, we performed an interim goodwill impairment assessment due to the decline in our and comparable companies’ stock prices. As a result of the interim goodwill impairment test, management determined that the estimated fair value of the Ecommerce reporting unit exceeded its carrying value by 50% and no impairment was recorded. The quantitative interim impairment test was performed utilizing the discounted cash flow method described above. A 10% decrease in the estimated fair value at December 31, 2021 would not have resulted in a different conclusion.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goodwill impairment was determined to exist for the years ended December 31, 2021, 2020, and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0" w:name="page91"/>
    <w:bookmarkEnd w:id="9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0" w:lineRule="exact"/>
        <w:rPr>
          <w:sz w:val="20"/>
          <w:szCs w:val="20"/>
          <w:color w:val="auto"/>
        </w:rPr>
      </w:pPr>
    </w:p>
    <w:p>
      <w:pPr>
        <w:jc w:val="both"/>
        <w:ind w:right="340" w:firstLine="761"/>
        <w:spacing w:after="0"/>
        <w:rPr>
          <w:sz w:val="20"/>
          <w:szCs w:val="20"/>
          <w:color w:val="auto"/>
        </w:rPr>
      </w:pPr>
      <w:r>
        <w:rPr>
          <w:rFonts w:ascii="Arial" w:cs="Arial" w:eastAsia="Arial" w:hAnsi="Arial"/>
          <w:sz w:val="18"/>
          <w:szCs w:val="18"/>
          <w:color w:val="auto"/>
        </w:rPr>
        <w:t>See “Note 2—Summary of Significant Accounting Policies” to our consolidated financial statements included elsewhere in this Annual Report on Form 10-K for a discussion about new accounting pronouncements adopted and not yet adopted as of the date of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12"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2" w:lineRule="exact"/>
        <w:rPr>
          <w:sz w:val="20"/>
          <w:szCs w:val="20"/>
          <w:color w:val="auto"/>
        </w:rPr>
      </w:pPr>
    </w:p>
    <w:p>
      <w:pPr>
        <w:ind w:right="240" w:firstLine="761"/>
        <w:spacing w:after="0" w:line="227" w:lineRule="auto"/>
        <w:rPr>
          <w:sz w:val="20"/>
          <w:szCs w:val="20"/>
          <w:color w:val="auto"/>
        </w:rPr>
      </w:pPr>
      <w:r>
        <w:rPr>
          <w:rFonts w:ascii="Arial" w:cs="Arial" w:eastAsia="Arial" w:hAnsi="Arial"/>
          <w:sz w:val="18"/>
          <w:szCs w:val="18"/>
          <w:color w:val="auto"/>
        </w:rPr>
        <w:t>As of December 31, 2021, we had an outstanding balance under the 2020 Vehicle Floorplan Facility of $512.8 million. The 2020 Vehicle Floorplan Facility bears interest at a rate equal to the Prime Rate, announced per annum by Ally Bank, plus 105 basis points. A hypothetical 10% change in interest rates during the year ended December 31, 2021 would result in a change to interest expense of $1.7 million.</w:t>
      </w:r>
    </w:p>
    <w:p>
      <w:pPr>
        <w:spacing w:after="0" w:line="81" w:lineRule="exact"/>
        <w:rPr>
          <w:sz w:val="20"/>
          <w:szCs w:val="20"/>
          <w:color w:val="auto"/>
        </w:rPr>
      </w:pPr>
    </w:p>
    <w:p>
      <w:pPr>
        <w:ind w:right="380" w:firstLine="761"/>
        <w:spacing w:after="0" w:line="235" w:lineRule="auto"/>
        <w:rPr>
          <w:sz w:val="20"/>
          <w:szCs w:val="20"/>
          <w:color w:val="auto"/>
        </w:rPr>
      </w:pPr>
      <w:r>
        <w:rPr>
          <w:rFonts w:ascii="Arial" w:cs="Arial" w:eastAsia="Arial" w:hAnsi="Arial"/>
          <w:sz w:val="18"/>
          <w:szCs w:val="18"/>
          <w:color w:val="auto"/>
        </w:rPr>
        <w:t>As of December 31, 2021, we had an outstanding principal balance on our Notes of $625.0 million. As the interest rate on the Notes is fixed, we do not have exposure to interest rate risk.</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161"/>
        </w:trPr>
        <w:tc>
          <w:tcPr>
            <w:tcW w:w="10460" w:type="dxa"/>
            <w:vAlign w:val="bottom"/>
            <w:gridSpan w:val="9"/>
          </w:tcPr>
          <w:p>
            <w:pPr>
              <w:spacing w:after="0"/>
              <w:rPr>
                <w:rFonts w:ascii="Arial" w:cs="Arial" w:eastAsia="Arial" w:hAnsi="Arial"/>
                <w:sz w:val="14"/>
                <w:szCs w:val="14"/>
                <w:color w:val="0563C1"/>
              </w:rPr>
            </w:pPr>
            <w:hyperlink w:anchor="page2">
              <w:r>
                <w:rPr>
                  <w:rFonts w:ascii="Arial" w:cs="Arial" w:eastAsia="Arial" w:hAnsi="Arial"/>
                  <w:sz w:val="14"/>
                  <w:szCs w:val="14"/>
                  <w:color w:val="0563C1"/>
                </w:rPr>
                <w:t>Table of Contents</w:t>
              </w:r>
            </w:hyperlink>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0563C1"/>
            </w:tcBorders>
            <w:shd w:val="clear" w:color="auto" w:fill="0563C1"/>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6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93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04"/>
        </w:trPr>
        <w:tc>
          <w:tcPr>
            <w:tcW w:w="10460" w:type="dxa"/>
            <w:vAlign w:val="bottom"/>
            <w:gridSpan w:val="9"/>
          </w:tcPr>
          <w:p>
            <w:pPr>
              <w:ind w:left="20"/>
              <w:spacing w:after="0"/>
              <w:rPr>
                <w:rFonts w:ascii="Arial" w:cs="Arial" w:eastAsia="Arial" w:hAnsi="Arial"/>
                <w:sz w:val="18"/>
                <w:szCs w:val="18"/>
                <w:color w:val="0563C1"/>
              </w:rPr>
            </w:pPr>
            <w:hyperlink w:anchor="page93">
              <w:r>
                <w:rPr>
                  <w:rFonts w:ascii="Arial" w:cs="Arial" w:eastAsia="Arial" w:hAnsi="Arial"/>
                  <w:sz w:val="18"/>
                  <w:szCs w:val="18"/>
                  <w:color w:val="0563C1"/>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563C1"/>
              </w:rPr>
              <w:t xml:space="preserve"> </w:t>
            </w:r>
            <w:r>
              <w:rPr>
                <w:rFonts w:ascii="Arial" w:cs="Arial" w:eastAsia="Arial" w:hAnsi="Arial"/>
                <w:sz w:val="18"/>
                <w:szCs w:val="18"/>
                <w:color w:val="000000"/>
              </w:rPr>
              <w:t>ID 238</w:t>
            </w: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480" w:type="dxa"/>
            <w:vAlign w:val="bottom"/>
            <w:tcBorders>
              <w:left w:val="single" w:sz="8" w:color="0563C1"/>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tcBorders>
              <w:bottom w:val="single" w:sz="8" w:color="0563C1"/>
            </w:tcBorders>
            <w:gridSpan w:val="5"/>
          </w:tcPr>
          <w:p>
            <w:pPr>
              <w:ind w:left="20"/>
              <w:spacing w:after="0" w:line="182" w:lineRule="exact"/>
              <w:rPr>
                <w:rFonts w:ascii="Arial" w:cs="Arial" w:eastAsia="Arial" w:hAnsi="Arial"/>
                <w:sz w:val="18"/>
                <w:szCs w:val="18"/>
                <w:color w:val="0563C1"/>
                <w:w w:val="99"/>
              </w:rPr>
            </w:pPr>
            <w:hyperlink w:anchor="page96">
              <w:r>
                <w:rPr>
                  <w:rFonts w:ascii="Arial" w:cs="Arial" w:eastAsia="Arial" w:hAnsi="Arial"/>
                  <w:sz w:val="18"/>
                  <w:szCs w:val="18"/>
                  <w:color w:val="0563C1"/>
                  <w:w w:val="99"/>
                </w:rPr>
                <w:t>Consolidated Balance Sheets as of December 31, 2021 and 2020</w:t>
              </w:r>
            </w:hyperlink>
          </w:p>
        </w:tc>
        <w:tc>
          <w:tcPr>
            <w:tcW w:w="520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0460" w:type="dxa"/>
            <w:vAlign w:val="bottom"/>
            <w:gridSpan w:val="9"/>
          </w:tcPr>
          <w:p>
            <w:pPr>
              <w:ind w:left="20"/>
              <w:spacing w:after="0" w:line="182" w:lineRule="exact"/>
              <w:rPr>
                <w:rFonts w:ascii="Arial" w:cs="Arial" w:eastAsia="Arial" w:hAnsi="Arial"/>
                <w:sz w:val="18"/>
                <w:szCs w:val="18"/>
                <w:color w:val="0563C1"/>
              </w:rPr>
            </w:pPr>
            <w:hyperlink w:anchor="page97">
              <w:r>
                <w:rPr>
                  <w:rFonts w:ascii="Arial" w:cs="Arial" w:eastAsia="Arial" w:hAnsi="Arial"/>
                  <w:sz w:val="18"/>
                  <w:szCs w:val="18"/>
                  <w:color w:val="0563C1"/>
                </w:rPr>
                <w:t>Consolidated Statements of Operations for the Years Ended December 31, 2021, 2020 and 2019</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3480" w:type="dxa"/>
            <w:vAlign w:val="bottom"/>
            <w:tcBorders>
              <w:left w:val="single" w:sz="8" w:color="0000EE"/>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200" w:type="dxa"/>
            <w:vAlign w:val="bottom"/>
            <w:gridSpan w:val="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60" w:type="dxa"/>
            <w:vAlign w:val="bottom"/>
            <w:gridSpan w:val="9"/>
          </w:tcPr>
          <w:p>
            <w:pPr>
              <w:ind w:left="20"/>
              <w:spacing w:after="0" w:line="182" w:lineRule="exact"/>
              <w:rPr>
                <w:rFonts w:ascii="Arial" w:cs="Arial" w:eastAsia="Arial" w:hAnsi="Arial"/>
                <w:sz w:val="18"/>
                <w:szCs w:val="18"/>
                <w:color w:val="0563C1"/>
              </w:rPr>
            </w:pPr>
            <w:hyperlink w:anchor="page98">
              <w:r>
                <w:rPr>
                  <w:rFonts w:ascii="Arial" w:cs="Arial" w:eastAsia="Arial" w:hAnsi="Arial"/>
                  <w:sz w:val="18"/>
                  <w:szCs w:val="18"/>
                  <w:color w:val="0563C1"/>
                </w:rPr>
                <w:t>Consolidated Statements of Changes in Redeemable Convertible Preferred Stock and Stockholders' Equity (Deficit) for the Years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55"/>
        </w:trPr>
        <w:tc>
          <w:tcPr>
            <w:tcW w:w="3480" w:type="dxa"/>
            <w:vAlign w:val="bottom"/>
            <w:tcBorders>
              <w:top w:val="single" w:sz="8" w:color="0563C1"/>
              <w:bottom w:val="single" w:sz="8" w:color="0563C1"/>
            </w:tcBorders>
            <w:gridSpan w:val="2"/>
          </w:tcPr>
          <w:p>
            <w:pPr>
              <w:ind w:left="20"/>
              <w:spacing w:after="0" w:line="156" w:lineRule="exact"/>
              <w:rPr>
                <w:rFonts w:ascii="Arial" w:cs="Arial" w:eastAsia="Arial" w:hAnsi="Arial"/>
                <w:sz w:val="18"/>
                <w:szCs w:val="18"/>
                <w:color w:val="0563C1"/>
                <w:w w:val="99"/>
              </w:rPr>
            </w:pPr>
            <w:hyperlink w:anchor="page98">
              <w:r>
                <w:rPr>
                  <w:rFonts w:ascii="Arial" w:cs="Arial" w:eastAsia="Arial" w:hAnsi="Arial"/>
                  <w:sz w:val="18"/>
                  <w:szCs w:val="18"/>
                  <w:color w:val="0563C1"/>
                  <w:w w:val="99"/>
                </w:rPr>
                <w:t>Ended December 31, 2021, 2020 and 2019</w:t>
              </w:r>
            </w:hyperlink>
          </w:p>
        </w:tc>
        <w:tc>
          <w:tcPr>
            <w:tcW w:w="6860" w:type="dxa"/>
            <w:vAlign w:val="bottom"/>
            <w:tcBorders>
              <w:top w:val="single" w:sz="8" w:color="0563C1"/>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460" w:type="dxa"/>
            <w:vAlign w:val="bottom"/>
            <w:gridSpan w:val="9"/>
          </w:tcPr>
          <w:p>
            <w:pPr>
              <w:ind w:left="20"/>
              <w:spacing w:after="0" w:line="182" w:lineRule="exact"/>
              <w:rPr>
                <w:rFonts w:ascii="Arial" w:cs="Arial" w:eastAsia="Arial" w:hAnsi="Arial"/>
                <w:sz w:val="18"/>
                <w:szCs w:val="18"/>
                <w:color w:val="0563C1"/>
              </w:rPr>
            </w:pPr>
            <w:hyperlink w:anchor="page99">
              <w:r>
                <w:rPr>
                  <w:rFonts w:ascii="Arial" w:cs="Arial" w:eastAsia="Arial" w:hAnsi="Arial"/>
                  <w:sz w:val="18"/>
                  <w:szCs w:val="18"/>
                  <w:color w:val="0563C1"/>
                </w:rPr>
                <w:t>Consolidated Statements of Cash Flows for the Years Ended December 31, 2021, 2020 and 2019</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7780" w:type="dxa"/>
            <w:vAlign w:val="bottom"/>
            <w:tcBorders>
              <w:top w:val="single" w:sz="8" w:color="0563C1"/>
            </w:tcBorders>
            <w:gridSpan w:val="7"/>
          </w:tcPr>
          <w:p>
            <w:pPr>
              <w:ind w:left="20"/>
              <w:spacing w:after="0" w:line="182" w:lineRule="exact"/>
              <w:rPr>
                <w:rFonts w:ascii="Arial" w:cs="Arial" w:eastAsia="Arial" w:hAnsi="Arial"/>
                <w:sz w:val="18"/>
                <w:szCs w:val="18"/>
                <w:color w:val="0563C1"/>
              </w:rPr>
            </w:pPr>
            <w:hyperlink w:anchor="page101">
              <w:r>
                <w:rPr>
                  <w:rFonts w:ascii="Arial" w:cs="Arial" w:eastAsia="Arial" w:hAnsi="Arial"/>
                  <w:sz w:val="18"/>
                  <w:szCs w:val="18"/>
                  <w:color w:val="0563C1"/>
                </w:rPr>
                <w:t>Notes to Consolidated Financial Statements</w:t>
              </w:r>
            </w:hyperlink>
          </w:p>
        </w:tc>
        <w:tc>
          <w:tcPr>
            <w:tcW w:w="26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858"/>
        </w:trPr>
        <w:tc>
          <w:tcPr>
            <w:tcW w:w="3520" w:type="dxa"/>
            <w:vAlign w:val="bottom"/>
            <w:tcBorders>
              <w:top w:val="single" w:sz="8" w:color="0563C1"/>
            </w:tcBorders>
            <w:gridSpan w:val="3"/>
          </w:tcPr>
          <w:p>
            <w:pPr>
              <w:spacing w:after="0"/>
              <w:rPr>
                <w:sz w:val="24"/>
                <w:szCs w:val="24"/>
                <w:color w:val="auto"/>
              </w:rPr>
            </w:pPr>
          </w:p>
        </w:tc>
        <w:tc>
          <w:tcPr>
            <w:tcW w:w="4200" w:type="dxa"/>
            <w:vAlign w:val="bottom"/>
            <w:gridSpan w:val="3"/>
          </w:tcPr>
          <w:p>
            <w:pPr>
              <w:jc w:val="right"/>
              <w:ind w:right="200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Vroom,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consolidated balance sheets of Vroom, Inc. and its subsidiaries (the “Company”) as of December 31, 2021 and 2020, and the related consolidated statements of operations, of changes in redeemable convertible preferred stock and stockholders’ equity (deficit)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9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3" w:name="page94"/>
    <w:bookmarkEnd w:id="9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detection of unauthorized acquisition, use, or disposition of the company’s assets that could have a material effect on the financial statements.</w:t>
      </w:r>
    </w:p>
    <w:p>
      <w:pPr>
        <w:spacing w:after="0" w:line="18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 Interim Impairment Assessment for the Ecommerce Reporting Unit</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As described in Notes 2 and 7 to the consolidated financial statements, the Company’s goodwill balance was $158.8 million as of December 31, 2021, and the goodwill associated with the Ecommerce reporting unit was $152.9 million. Goodwill is tested for impairment annually as of October 1, or whenever events or changes in circumstances indicate that an impairment may exist. As disclosed by management, the quantitative goodwill impairment test requires a determination of whether the estimated fair value of a reporting unit is less than its carrying value. Management estimates the fair value of the reporting units using an income valuation approach. The income valuation approach is applied using the discounted cash flow method which requires management to (1) estimate future cash flows for a discrete projection period,</w:t>
      </w:r>
    </w:p>
    <w:p>
      <w:pPr>
        <w:spacing w:after="0" w:line="3" w:lineRule="exact"/>
        <w:rPr>
          <w:sz w:val="20"/>
          <w:szCs w:val="20"/>
          <w:color w:val="auto"/>
        </w:rPr>
      </w:pPr>
    </w:p>
    <w:p>
      <w:pPr>
        <w:ind w:right="140" w:firstLine="8"/>
        <w:spacing w:after="0" w:line="236"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estimate the terminal value, which reflects the remaining value that the reporting unit is expected to generate beyond the projection period, and (3) discount those amounts to present value at a discount rate which is based on a weighted average cost of capital that considers the relative risk of the cash flows. The income valuation approach requires the use of significant estimates and assumptions by management, relating to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An interim goodwill impairment assessment was performed as of December 31, 2021 due to the decline in the Company’s and comparable companies’ stock price. As a result of the interim goodwill impairment assessment, management determined that the estimated fair value of the Ecommerce reporting unit exceeded its carrying value and no impairment was recorded.</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the interim goodwill impairment assessment for the Ecommerce reporting unit is a critical audit matter are (i) the significant judgment by management when developing the fair value of the Ecommerce reporting unit; (ii) a high degree of auditor judgment, subjectivity, and effort in performing procedures and evaluating management’s significant assumptions related to revenue growth rates and the exit revenue multiple; and (iii) the audit effort involved the use of professionals with specialized skill and knowledge.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4" w:name="page95"/>
    <w:bookmarkEnd w:id="9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interim goodwill impairment assessment, including controls over the valuation of the Ecommerce reporting unit. These procedures also included, among others (i) testing management's process for developing the fair value of the Ecommerce reporting unit; (ii) evaluating the appropriateness of the discounted cash flow method; (iii) testing the completeness and accuracy of underlying data used in the discounted cash flow method; and (iv) evaluating the reasonableness of the significant assumptions used by management related to revenue growth rates and the exit revenue multiple. Evaluating management’s assumptions related to revenue growth rates and the exit revenue multiple involved evaluating whether the assumptions used by management were reasonable considering (i) the current and past performance of the Ecommerce reporting unit; (ii) 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discounted cash flow method and the reasonableness of the exit revenue multiple significant assumption.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28,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95" w:name="page96"/>
    <w:bookmarkEnd w:id="9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5"/>
                <w:szCs w:val="15"/>
                <w:color w:val="auto"/>
              </w:rPr>
            </w:pPr>
          </w:p>
        </w:tc>
      </w:tr>
      <w:tr>
        <w:trPr>
          <w:trHeight w:val="189"/>
        </w:trPr>
        <w:tc>
          <w:tcPr>
            <w:tcW w:w="7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2020</w:t>
            </w:r>
          </w:p>
        </w:tc>
      </w:tr>
      <w:tr>
        <w:trPr>
          <w:trHeight w:val="183"/>
        </w:trPr>
        <w:tc>
          <w:tcPr>
            <w:tcW w:w="75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1,132,325</w:t>
            </w:r>
          </w:p>
        </w:tc>
        <w:tc>
          <w:tcPr>
            <w:tcW w:w="68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1,056,213</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82,450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33,826</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$8,889 and $2,803, respectively</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105,433</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60,576</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Inventory</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726,384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423,647</w:t>
            </w:r>
          </w:p>
        </w:tc>
      </w:tr>
      <w:tr>
        <w:trPr>
          <w:trHeight w:val="18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55,700</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23,617</w:t>
            </w:r>
          </w:p>
        </w:tc>
      </w:tr>
      <w:tr>
        <w:trPr>
          <w:trHeight w:val="183"/>
        </w:trPr>
        <w:tc>
          <w:tcPr>
            <w:tcW w:w="7540" w:type="dxa"/>
            <w:vAlign w:val="bottom"/>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40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2,102,292</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1,597,879</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37,042</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15,092</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28,207</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158,817</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78,172</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15,359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17,137</w:t>
            </w:r>
          </w:p>
        </w:tc>
      </w:tr>
      <w:tr>
        <w:trPr>
          <w:trHeight w:val="18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25,033</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15,742</w:t>
            </w:r>
          </w:p>
        </w:tc>
      </w:tr>
      <w:tr>
        <w:trPr>
          <w:trHeight w:val="183"/>
        </w:trPr>
        <w:tc>
          <w:tcPr>
            <w:tcW w:w="7540" w:type="dxa"/>
            <w:vAlign w:val="bottom"/>
          </w:tcPr>
          <w:p>
            <w:pPr>
              <w:ind w:left="20"/>
              <w:spacing w:after="0" w:line="183" w:lineRule="exact"/>
              <w:rPr>
                <w:sz w:val="20"/>
                <w:szCs w:val="20"/>
                <w:color w:val="auto"/>
              </w:rPr>
            </w:pPr>
            <w:r>
              <w:rPr>
                <w:rFonts w:ascii="Arial" w:cs="Arial" w:eastAsia="Arial" w:hAnsi="Arial"/>
                <w:sz w:val="16"/>
                <w:szCs w:val="16"/>
                <w:color w:val="auto"/>
              </w:rPr>
              <w:t>Total assets</w:t>
            </w:r>
          </w:p>
        </w:tc>
        <w:tc>
          <w:tcPr>
            <w:tcW w:w="400" w:type="dxa"/>
            <w:vAlign w:val="bottom"/>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2,366,750</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1,724,056</w:t>
            </w:r>
          </w:p>
        </w:tc>
      </w:tr>
      <w:tr>
        <w:trPr>
          <w:trHeight w:val="20"/>
        </w:trPr>
        <w:tc>
          <w:tcPr>
            <w:tcW w:w="7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54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52,651</w:t>
            </w:r>
          </w:p>
        </w:tc>
        <w:tc>
          <w:tcPr>
            <w:tcW w:w="68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32,925</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121,508</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59,405</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Vehicle floorplan</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512,801</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329,231</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75,803</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24,822</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current</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6,889</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6,052</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57,604</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30,275</w:t>
            </w:r>
          </w:p>
        </w:tc>
      </w:tr>
      <w:tr>
        <w:trPr>
          <w:trHeight w:val="183"/>
        </w:trPr>
        <w:tc>
          <w:tcPr>
            <w:tcW w:w="75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4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827,256</w:t>
            </w: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482,710</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610,618</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9,592</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12,093</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4,090</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2,151</w:t>
            </w:r>
          </w:p>
        </w:tc>
      </w:tr>
      <w:tr>
        <w:trPr>
          <w:trHeight w:val="183"/>
        </w:trPr>
        <w:tc>
          <w:tcPr>
            <w:tcW w:w="75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1,451,556</w:t>
            </w: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496,954</w:t>
            </w:r>
          </w:p>
        </w:tc>
      </w:tr>
      <w:tr>
        <w:trPr>
          <w:trHeight w:val="183"/>
        </w:trPr>
        <w:tc>
          <w:tcPr>
            <w:tcW w:w="7540" w:type="dxa"/>
            <w:vAlign w:val="bottom"/>
          </w:tcPr>
          <w:p>
            <w:pPr>
              <w:ind w:left="20"/>
              <w:spacing w:after="0" w:line="183" w:lineRule="exact"/>
              <w:rPr>
                <w:sz w:val="20"/>
                <w:szCs w:val="20"/>
                <w:color w:val="auto"/>
              </w:rPr>
            </w:pPr>
            <w:r>
              <w:rPr>
                <w:rFonts w:ascii="Arial" w:cs="Arial" w:eastAsia="Arial" w:hAnsi="Arial"/>
                <w:sz w:val="16"/>
                <w:szCs w:val="16"/>
                <w:color w:val="auto"/>
              </w:rPr>
              <w:t>Commitments and contingencies (Note 11)</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64"/>
        </w:trPr>
        <w:tc>
          <w:tcPr>
            <w:tcW w:w="7540" w:type="dxa"/>
            <w:vAlign w:val="bottom"/>
          </w:tcPr>
          <w:p>
            <w:pPr>
              <w:ind w:left="20"/>
              <w:spacing w:after="0" w:line="164" w:lineRule="exact"/>
              <w:rPr>
                <w:sz w:val="20"/>
                <w:szCs w:val="20"/>
                <w:color w:val="auto"/>
              </w:rPr>
            </w:pPr>
            <w:r>
              <w:rPr>
                <w:rFonts w:ascii="Arial" w:cs="Arial" w:eastAsia="Arial" w:hAnsi="Arial"/>
                <w:sz w:val="16"/>
                <w:szCs w:val="16"/>
                <w:color w:val="auto"/>
              </w:rPr>
              <w:t>Common stock, $0.001 par value; 500,000,000 shares authorized as of December 31, 2021 and</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7540" w:type="dxa"/>
            <w:vAlign w:val="bottom"/>
          </w:tcPr>
          <w:p>
            <w:pPr>
              <w:ind w:left="20"/>
              <w:spacing w:after="0" w:line="162" w:lineRule="exact"/>
              <w:rPr>
                <w:sz w:val="20"/>
                <w:szCs w:val="20"/>
                <w:color w:val="auto"/>
              </w:rPr>
            </w:pPr>
            <w:r>
              <w:rPr>
                <w:rFonts w:ascii="Arial" w:cs="Arial" w:eastAsia="Arial" w:hAnsi="Arial"/>
                <w:sz w:val="16"/>
                <w:szCs w:val="16"/>
                <w:color w:val="auto"/>
              </w:rPr>
              <w:t>December 31, 2020; 137,092,891 and 134,043,969 shares issued and outstanding as of December</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7"/>
        </w:trPr>
        <w:tc>
          <w:tcPr>
            <w:tcW w:w="7540" w:type="dxa"/>
            <w:vAlign w:val="bottom"/>
          </w:tcPr>
          <w:p>
            <w:pPr>
              <w:ind w:left="20"/>
              <w:spacing w:after="0"/>
              <w:rPr>
                <w:sz w:val="20"/>
                <w:szCs w:val="20"/>
                <w:color w:val="auto"/>
              </w:rPr>
            </w:pPr>
            <w:r>
              <w:rPr>
                <w:rFonts w:ascii="Arial" w:cs="Arial" w:eastAsia="Arial" w:hAnsi="Arial"/>
                <w:sz w:val="16"/>
                <w:szCs w:val="16"/>
                <w:color w:val="auto"/>
              </w:rPr>
              <w:t>31, 2021 and December 31, 2020, respectively</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2,063,841</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2,004,841</w:t>
            </w: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(1,148,782 )</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(777,871 )</w:t>
            </w:r>
          </w:p>
        </w:tc>
      </w:tr>
      <w:tr>
        <w:trPr>
          <w:trHeight w:val="183"/>
        </w:trPr>
        <w:tc>
          <w:tcPr>
            <w:tcW w:w="75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915,194</w:t>
            </w: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1,227,102</w:t>
            </w:r>
          </w:p>
        </w:tc>
      </w:tr>
      <w:tr>
        <w:trPr>
          <w:trHeight w:val="183"/>
        </w:trPr>
        <w:tc>
          <w:tcPr>
            <w:tcW w:w="754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400" w:type="dxa"/>
            <w:vAlign w:val="bottom"/>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2,366,750</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1,724,056</w:t>
            </w:r>
          </w:p>
        </w:tc>
      </w:tr>
      <w:tr>
        <w:trPr>
          <w:trHeight w:val="20"/>
        </w:trPr>
        <w:tc>
          <w:tcPr>
            <w:tcW w:w="7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-3554095</wp:posOffset>
            </wp:positionV>
            <wp:extent cx="102870" cy="1257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1257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-2825115</wp:posOffset>
            </wp:positionV>
            <wp:extent cx="102870" cy="1511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1511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-1093470</wp:posOffset>
            </wp:positionV>
            <wp:extent cx="102870" cy="1257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1257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-150495</wp:posOffset>
            </wp:positionV>
            <wp:extent cx="102870" cy="1511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15113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6" w:name="page97"/>
    <w:bookmarkEnd w:id="9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9"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2,583,417</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1,072,551</w:t>
            </w:r>
          </w:p>
        </w:tc>
        <w:tc>
          <w:tcPr>
            <w:tcW w:w="5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952,910</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498,981</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245,580</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213,464</w:t>
            </w:r>
          </w:p>
        </w:tc>
        <w:tc>
          <w:tcPr>
            <w:tcW w:w="0" w:type="dxa"/>
            <w:vAlign w:val="bottom"/>
          </w:tcPr>
          <w:p>
            <w:pPr>
              <w:spacing w:after="0"/>
              <w:rPr>
                <w:sz w:val="1"/>
                <w:szCs w:val="1"/>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36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88,824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38,195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23,708</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13,033</w:t>
            </w: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1,374</w:t>
            </w:r>
          </w:p>
        </w:tc>
        <w:tc>
          <w:tcPr>
            <w:tcW w:w="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line="183" w:lineRule="exact"/>
              <w:rPr>
                <w:sz w:val="20"/>
                <w:szCs w:val="20"/>
                <w:color w:val="auto"/>
              </w:rPr>
            </w:pPr>
            <w:r>
              <w:rPr>
                <w:rFonts w:ascii="Arial" w:cs="Arial" w:eastAsia="Arial" w:hAnsi="Arial"/>
                <w:sz w:val="16"/>
                <w:szCs w:val="16"/>
                <w:color w:val="auto"/>
              </w:rPr>
              <w:t>Total revenue</w:t>
            </w:r>
          </w:p>
        </w:tc>
        <w:tc>
          <w:tcPr>
            <w:tcW w:w="360" w:type="dxa"/>
            <w:vAlign w:val="bottom"/>
          </w:tcPr>
          <w:p>
            <w:pPr>
              <w:spacing w:after="0"/>
              <w:rPr>
                <w:sz w:val="15"/>
                <w:szCs w:val="15"/>
                <w:color w:val="auto"/>
              </w:rPr>
            </w:pPr>
          </w:p>
        </w:tc>
        <w:tc>
          <w:tcPr>
            <w:tcW w:w="12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3,184,255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1,357,700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1,191,821</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Cost of sales</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2,982,156</w:t>
            </w: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1,286,155</w:t>
            </w:r>
          </w:p>
        </w:tc>
        <w:tc>
          <w:tcPr>
            <w:tcW w:w="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1,133,962</w:t>
            </w: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line="183" w:lineRule="exact"/>
              <w:rPr>
                <w:sz w:val="20"/>
                <w:szCs w:val="20"/>
                <w:color w:val="auto"/>
              </w:rPr>
            </w:pPr>
            <w:r>
              <w:rPr>
                <w:rFonts w:ascii="Arial" w:cs="Arial" w:eastAsia="Arial" w:hAnsi="Arial"/>
                <w:sz w:val="16"/>
                <w:szCs w:val="16"/>
                <w:color w:val="auto"/>
              </w:rPr>
              <w:t>Total gross profit</w:t>
            </w:r>
          </w:p>
        </w:tc>
        <w:tc>
          <w:tcPr>
            <w:tcW w:w="360" w:type="dxa"/>
            <w:vAlign w:val="bottom"/>
          </w:tcPr>
          <w:p>
            <w:pPr>
              <w:spacing w:after="0"/>
              <w:rPr>
                <w:sz w:val="15"/>
                <w:szCs w:val="15"/>
                <w:color w:val="auto"/>
              </w:rPr>
            </w:pPr>
          </w:p>
        </w:tc>
        <w:tc>
          <w:tcPr>
            <w:tcW w:w="12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202,099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71,545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57,859</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547,823</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245,546</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184,988</w:t>
            </w:r>
          </w:p>
        </w:tc>
        <w:tc>
          <w:tcPr>
            <w:tcW w:w="0" w:type="dxa"/>
            <w:vAlign w:val="bottom"/>
          </w:tcPr>
          <w:p>
            <w:pPr>
              <w:spacing w:after="0"/>
              <w:rPr>
                <w:sz w:val="1"/>
                <w:szCs w:val="1"/>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12,891</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4,598</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6,019</w:t>
            </w: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(358,615 )</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(178,599 )</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(133,148 )</w:t>
            </w:r>
          </w:p>
        </w:tc>
        <w:tc>
          <w:tcPr>
            <w:tcW w:w="0" w:type="dxa"/>
            <w:vAlign w:val="bottom"/>
          </w:tcPr>
          <w:p>
            <w:pPr>
              <w:spacing w:after="0"/>
              <w:rPr>
                <w:sz w:val="1"/>
                <w:szCs w:val="1"/>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21,948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9,656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14,596</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(10,341 )</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(5,896 )</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(5,607 )</w:t>
            </w:r>
          </w:p>
        </w:tc>
        <w:tc>
          <w:tcPr>
            <w:tcW w:w="0" w:type="dxa"/>
            <w:vAlign w:val="bottom"/>
          </w:tcPr>
          <w:p>
            <w:pPr>
              <w:spacing w:after="0"/>
              <w:rPr>
                <w:sz w:val="1"/>
                <w:szCs w:val="1"/>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6"/>
                <w:szCs w:val="16"/>
                <w:color w:val="auto"/>
              </w:rPr>
              <w:t>Revaluation of preferred stock warrant</w:t>
            </w:r>
          </w:p>
        </w:tc>
        <w:tc>
          <w:tcPr>
            <w:tcW w:w="36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20,470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(65 )</w:t>
            </w: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(114 )</w:t>
            </w:r>
          </w:p>
        </w:tc>
        <w:tc>
          <w:tcPr>
            <w:tcW w:w="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line="183" w:lineRule="exact"/>
              <w:rPr>
                <w:sz w:val="20"/>
                <w:szCs w:val="20"/>
                <w:color w:val="auto"/>
              </w:rPr>
            </w:pPr>
            <w:r>
              <w:rPr>
                <w:rFonts w:ascii="Arial" w:cs="Arial" w:eastAsia="Arial" w:hAnsi="Arial"/>
                <w:sz w:val="16"/>
                <w:szCs w:val="16"/>
                <w:color w:val="auto"/>
              </w:rPr>
              <w:t>Loss before provision for income taxes</w:t>
            </w:r>
          </w:p>
        </w:tc>
        <w:tc>
          <w:tcPr>
            <w:tcW w:w="36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(370,157 )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(202,715 )</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(142,810 )</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754</w:t>
            </w: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84</w:t>
            </w:r>
          </w:p>
        </w:tc>
        <w:tc>
          <w:tcPr>
            <w:tcW w:w="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line="183" w:lineRule="exact"/>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(370,911 )</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(202,799 )</w:t>
            </w:r>
          </w:p>
        </w:tc>
        <w:tc>
          <w:tcPr>
            <w:tcW w:w="14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(142,978 )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Accretion of redeemable convertible preferred stock</w:t>
            </w:r>
          </w:p>
        </w:tc>
        <w:tc>
          <w:tcPr>
            <w:tcW w:w="360" w:type="dxa"/>
            <w:vAlign w:val="bottom"/>
            <w:tcBorders>
              <w:bottom w:val="single" w:sz="8" w:color="auto"/>
            </w:tcBorders>
            <w:shd w:val="clear" w:color="auto" w:fill="CFF0FC"/>
          </w:tcPr>
          <w:p>
            <w:pPr>
              <w:jc w:val="right"/>
              <w:ind w:right="179"/>
              <w:spacing w:after="0" w:line="17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179"/>
              <w:spacing w:after="0" w:line="170"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(132,750 )</w:t>
            </w: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line="183" w:lineRule="exact"/>
              <w:rPr>
                <w:sz w:val="20"/>
                <w:szCs w:val="20"/>
                <w:color w:val="auto"/>
              </w:rPr>
            </w:pPr>
            <w:r>
              <w:rPr>
                <w:rFonts w:ascii="Arial" w:cs="Arial" w:eastAsia="Arial" w:hAnsi="Arial"/>
                <w:sz w:val="16"/>
                <w:szCs w:val="16"/>
                <w:color w:val="auto"/>
              </w:rPr>
              <w:t>Net loss attributable to common stockholders</w:t>
            </w: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(370,911 )</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(202,799 )</w:t>
            </w:r>
          </w:p>
        </w:tc>
        <w:tc>
          <w:tcPr>
            <w:tcW w:w="14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(275,728 )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shd w:val="clear" w:color="auto" w:fill="CFF0FC"/>
          </w:tcPr>
          <w:p>
            <w:pPr>
              <w:jc w:val="right"/>
              <w:ind w:right="179"/>
              <w:spacing w:after="0" w:line="170"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(2.72 )</w:t>
            </w:r>
          </w:p>
        </w:tc>
        <w:tc>
          <w:tcPr>
            <w:tcW w:w="500" w:type="dxa"/>
            <w:vAlign w:val="bottom"/>
            <w:gridSpan w:val="2"/>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(2.76 )</w:t>
            </w:r>
          </w:p>
        </w:tc>
        <w:tc>
          <w:tcPr>
            <w:tcW w:w="500" w:type="dxa"/>
            <w:vAlign w:val="bottom"/>
            <w:gridSpan w:val="2"/>
            <w:shd w:val="clear" w:color="auto" w:fill="CFF0FC"/>
          </w:tcPr>
          <w:p>
            <w:pPr>
              <w:jc w:val="right"/>
              <w:ind w:right="179"/>
              <w:spacing w:after="0" w:line="170"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(32.04 )</w:t>
            </w:r>
          </w:p>
        </w:tc>
        <w:tc>
          <w:tcPr>
            <w:tcW w:w="0" w:type="dxa"/>
            <w:vAlign w:val="bottom"/>
          </w:tcPr>
          <w:p>
            <w:pPr>
              <w:spacing w:after="0"/>
              <w:rPr>
                <w:sz w:val="1"/>
                <w:szCs w:val="1"/>
                <w:color w:val="auto"/>
              </w:rPr>
            </w:pPr>
          </w:p>
        </w:tc>
      </w:tr>
      <w:tr>
        <w:trPr>
          <w:trHeight w:val="157"/>
        </w:trPr>
        <w:tc>
          <w:tcPr>
            <w:tcW w:w="6060" w:type="dxa"/>
            <w:vAlign w:val="bottom"/>
            <w:tcBorders>
              <w:top w:val="single" w:sz="8" w:color="CFF0FC"/>
            </w:tcBorders>
          </w:tcPr>
          <w:p>
            <w:pPr>
              <w:ind w:left="20"/>
              <w:spacing w:after="0" w:line="158" w:lineRule="exact"/>
              <w:rPr>
                <w:sz w:val="20"/>
                <w:szCs w:val="20"/>
                <w:color w:val="auto"/>
              </w:rPr>
            </w:pPr>
            <w:r>
              <w:rPr>
                <w:rFonts w:ascii="Arial" w:cs="Arial" w:eastAsia="Arial" w:hAnsi="Arial"/>
                <w:sz w:val="16"/>
                <w:szCs w:val="16"/>
                <w:color w:val="auto"/>
              </w:rPr>
              <w:t>Weighted-average number of shares outstanding used to compute net loss per</w:t>
            </w:r>
          </w:p>
        </w:tc>
        <w:tc>
          <w:tcPr>
            <w:tcW w:w="3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136,429,791</w:t>
            </w:r>
          </w:p>
        </w:tc>
        <w:tc>
          <w:tcPr>
            <w:tcW w:w="1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73,345,569</w:t>
            </w:r>
          </w:p>
        </w:tc>
        <w:tc>
          <w:tcPr>
            <w:tcW w:w="14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8,605,962</w:t>
            </w:r>
          </w:p>
        </w:tc>
        <w:tc>
          <w:tcPr>
            <w:tcW w:w="0" w:type="dxa"/>
            <w:vAlign w:val="bottom"/>
          </w:tcPr>
          <w:p>
            <w:pPr>
              <w:spacing w:after="0"/>
              <w:rPr>
                <w:sz w:val="1"/>
                <w:szCs w:val="1"/>
                <w:color w:val="auto"/>
              </w:rPr>
            </w:pPr>
          </w:p>
        </w:tc>
      </w:tr>
      <w:tr>
        <w:trPr>
          <w:trHeight w:val="147"/>
        </w:trPr>
        <w:tc>
          <w:tcPr>
            <w:tcW w:w="6060" w:type="dxa"/>
            <w:vAlign w:val="bottom"/>
          </w:tcPr>
          <w:p>
            <w:pPr>
              <w:ind w:left="20"/>
              <w:spacing w:after="0" w:line="127" w:lineRule="exact"/>
              <w:rPr>
                <w:sz w:val="20"/>
                <w:szCs w:val="20"/>
                <w:color w:val="auto"/>
              </w:rPr>
            </w:pPr>
            <w:r>
              <w:rPr>
                <w:rFonts w:ascii="Arial" w:cs="Arial" w:eastAsia="Arial" w:hAnsi="Arial"/>
                <w:sz w:val="14"/>
                <w:szCs w:val="14"/>
                <w:color w:val="auto"/>
              </w:rPr>
              <w:t>share attributable to common stockholders, basic and diluted</w:t>
            </w: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-2251075</wp:posOffset>
            </wp:positionV>
            <wp:extent cx="93980" cy="1257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1257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-2251075</wp:posOffset>
            </wp:positionV>
            <wp:extent cx="93980" cy="1257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12573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-2002155</wp:posOffset>
            </wp:positionV>
            <wp:extent cx="93980" cy="1257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1257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-2002155</wp:posOffset>
            </wp:positionV>
            <wp:extent cx="93980" cy="1257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12573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-1024890</wp:posOffset>
            </wp:positionV>
            <wp:extent cx="93980" cy="1257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1257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-1024890</wp:posOffset>
            </wp:positionV>
            <wp:extent cx="93980" cy="1257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12573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-776605</wp:posOffset>
            </wp:positionV>
            <wp:extent cx="93980" cy="1511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1511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-776605</wp:posOffset>
            </wp:positionV>
            <wp:extent cx="93980" cy="1511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15113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-502285</wp:posOffset>
            </wp:positionV>
            <wp:extent cx="93980" cy="1511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1511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-502285</wp:posOffset>
            </wp:positionV>
            <wp:extent cx="93980" cy="1511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15113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-227965</wp:posOffset>
            </wp:positionV>
            <wp:extent cx="93980" cy="2286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22860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-227965</wp:posOffset>
            </wp:positionV>
            <wp:extent cx="93980" cy="2286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22860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CHANGES IN REDEEMABLE CONVERTIBLE</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 AND STOCKHOLDERS’ EQUITY (DEFICIT)</w:t>
      </w: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240"/>
          </w:cols>
          <w:pgMar w:left="320" w:top="144" w:right="339" w:bottom="1440" w:gutter="0" w:footer="0" w:header="0"/>
        </w:sectPr>
      </w:pPr>
    </w:p>
    <w:p>
      <w:pPr>
        <w:spacing w:after="0" w:line="205" w:lineRule="exact"/>
        <w:rPr>
          <w:sz w:val="20"/>
          <w:szCs w:val="20"/>
          <w:color w:val="auto"/>
        </w:rPr>
      </w:pPr>
    </w:p>
    <w:p>
      <w:pPr>
        <w:jc w:val="center"/>
        <w:ind w:left="2700"/>
        <w:spacing w:after="0"/>
        <w:rPr>
          <w:sz w:val="20"/>
          <w:szCs w:val="20"/>
          <w:color w:val="auto"/>
        </w:rPr>
      </w:pPr>
      <w:r>
        <w:rPr>
          <w:rFonts w:ascii="Arial" w:cs="Arial" w:eastAsia="Arial" w:hAnsi="Arial"/>
          <w:sz w:val="13"/>
          <w:szCs w:val="13"/>
          <w:b w:val="1"/>
          <w:bCs w:val="1"/>
          <w:color w:val="auto"/>
        </w:rPr>
        <w:t>Redeemable Convertible</w:t>
      </w:r>
    </w:p>
    <w:p>
      <w:pPr>
        <w:jc w:val="center"/>
        <w:ind w:left="2700"/>
        <w:spacing w:after="0"/>
        <w:rPr>
          <w:sz w:val="20"/>
          <w:szCs w:val="20"/>
          <w:color w:val="auto"/>
        </w:rPr>
      </w:pPr>
      <w:r>
        <w:rPr>
          <w:rFonts w:ascii="Arial" w:cs="Arial" w:eastAsia="Arial" w:hAnsi="Arial"/>
          <w:sz w:val="13"/>
          <w:szCs w:val="13"/>
          <w:b w:val="1"/>
          <w:bCs w:val="1"/>
          <w:color w:val="auto"/>
        </w:rPr>
        <w:t>Preferred Stock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308"/>
              <w:spacing w:after="0" w:line="131"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68"/>
              <w:spacing w:after="0" w:line="131"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at December 31, 2018</w:t>
            </w:r>
          </w:p>
        </w:tc>
        <w:tc>
          <w:tcPr>
            <w:tcW w:w="11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66,825,300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519,100</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Stock-based compensation</w:t>
            </w:r>
          </w:p>
        </w:tc>
        <w:tc>
          <w:tcPr>
            <w:tcW w:w="11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awards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Issuance of Series H redeemable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convertible preferred stock, net of</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issuance costs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16,743,328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222,482</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Accretion of redeemable convertible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preferred stock</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132,750</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11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83,568,628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874,332</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Issuance of common stock</w:t>
            </w:r>
          </w:p>
        </w:tc>
        <w:tc>
          <w:tcPr>
            <w:tcW w:w="11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Issuance of Series H redeemable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convertible preferred stock, net of</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issuance costs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1,964,766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26,714</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Conversion of redeemable convertible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preferred stock to common stock</w:t>
            </w:r>
          </w:p>
        </w:tc>
        <w:tc>
          <w:tcPr>
            <w:tcW w:w="1100" w:type="dxa"/>
            <w:vAlign w:val="bottom"/>
          </w:tcPr>
          <w:p>
            <w:pPr>
              <w:jc w:val="right"/>
              <w:spacing w:after="0"/>
              <w:rPr>
                <w:sz w:val="20"/>
                <w:szCs w:val="20"/>
                <w:color w:val="auto"/>
              </w:rPr>
            </w:pPr>
            <w:r>
              <w:rPr>
                <w:rFonts w:ascii="Arial" w:cs="Arial" w:eastAsia="Arial" w:hAnsi="Arial"/>
                <w:sz w:val="14"/>
                <w:szCs w:val="14"/>
                <w:color w:val="auto"/>
              </w:rPr>
              <w:t>(85,533,394 )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(901,046 )</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Conversion of redeemable convertible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preferred stock warrant to common stock</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warrant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Issuance of common stock in IPO, net of</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offering costs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Issuance of common stock in follow-on</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public offering, net of offering costs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awards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Common stock shares withheld to satisfy</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employee tax withholding obligations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2020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ind w:left="20"/>
              <w:spacing w:after="0"/>
              <w:rPr>
                <w:sz w:val="20"/>
                <w:szCs w:val="20"/>
                <w:color w:val="auto"/>
              </w:rPr>
            </w:pPr>
            <w:r>
              <w:rPr>
                <w:rFonts w:ascii="Arial" w:cs="Arial" w:eastAsia="Arial" w:hAnsi="Arial"/>
                <w:sz w:val="14"/>
                <w:szCs w:val="14"/>
                <w:color w:val="auto"/>
              </w:rPr>
              <w:t>Issuance of common stock for CarStory</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90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acquisition</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Fair value of unvested stock options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assumed in CarStory acquisition</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2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2021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980" w:type="dxa"/>
            <w:vAlign w:val="bottom"/>
            <w:gridSpan w:val="3"/>
            <w:vMerge w:val="restart"/>
          </w:tcPr>
          <w:p>
            <w:pPr>
              <w:jc w:val="right"/>
              <w:ind w:right="330"/>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89"/>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22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289"/>
              <w:spacing w:after="0" w:line="140"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8"/>
              <w:spacing w:after="0" w:line="140"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Deficit</w:t>
            </w:r>
          </w:p>
        </w:tc>
        <w:tc>
          <w:tcPr>
            <w:tcW w:w="120" w:type="dxa"/>
            <w:vAlign w:val="bottom"/>
            <w:vMerge w:val="restart"/>
          </w:tcPr>
          <w:p>
            <w:pPr>
              <w:spacing w:after="0" w:line="20" w:lineRule="exact"/>
              <w:rPr>
                <w:sz w:val="1"/>
                <w:szCs w:val="1"/>
                <w:color w:val="auto"/>
              </w:rPr>
            </w:pPr>
          </w:p>
        </w:tc>
        <w:tc>
          <w:tcPr>
            <w:tcW w:w="1060" w:type="dxa"/>
            <w:vAlign w:val="bottom"/>
            <w:gridSpan w:val="2"/>
            <w:vMerge w:val="restart"/>
          </w:tcPr>
          <w:p>
            <w:pPr>
              <w:jc w:val="center"/>
              <w:ind w:right="28"/>
              <w:spacing w:after="0"/>
              <w:rPr>
                <w:sz w:val="20"/>
                <w:szCs w:val="20"/>
                <w:color w:val="auto"/>
              </w:rPr>
            </w:pPr>
            <w:r>
              <w:rPr>
                <w:rFonts w:ascii="Arial" w:cs="Arial" w:eastAsia="Arial" w:hAnsi="Arial"/>
                <w:sz w:val="13"/>
                <w:szCs w:val="13"/>
                <w:b w:val="1"/>
                <w:bCs w:val="1"/>
                <w:color w:val="auto"/>
                <w:w w:val="95"/>
              </w:rPr>
              <w:t>Equity (Deficit)</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1140" w:type="dxa"/>
            <w:vAlign w:val="bottom"/>
            <w:tcBorders>
              <w:bottom w:val="single" w:sz="8" w:color="auto"/>
            </w:tcBorders>
          </w:tcPr>
          <w:p>
            <w:pPr>
              <w:jc w:val="right"/>
              <w:ind w:right="329"/>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vMerge w:val="continue"/>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6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8,571,386</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(296,874 )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(296,866 )</w:t>
            </w: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11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57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line="157" w:lineRule="exact"/>
              <w:rPr>
                <w:sz w:val="20"/>
                <w:szCs w:val="20"/>
                <w:color w:val="auto"/>
              </w:rPr>
            </w:pPr>
            <w:r>
              <w:rPr>
                <w:rFonts w:ascii="Arial" w:cs="Arial" w:eastAsia="Arial" w:hAnsi="Arial"/>
                <w:sz w:val="14"/>
                <w:szCs w:val="14"/>
                <w:color w:val="auto"/>
              </w:rPr>
              <w:t>2,756</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line="157"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2"/>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135,950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623,832</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(680,246 )</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(4,566 )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(5,824 )</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(132,750 )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(132,750 )</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(142,978 )</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(142,978 )</w:t>
            </w:r>
          </w:p>
        </w:tc>
        <w:tc>
          <w:tcPr>
            <w:tcW w:w="0" w:type="dxa"/>
            <w:vAlign w:val="bottom"/>
          </w:tcPr>
          <w:p>
            <w:pPr>
              <w:spacing w:after="0"/>
              <w:rPr>
                <w:sz w:val="1"/>
                <w:szCs w:val="1"/>
                <w:color w:val="auto"/>
              </w:rPr>
            </w:pPr>
          </w:p>
        </w:tc>
      </w:tr>
      <w:tr>
        <w:trPr>
          <w:trHeight w:val="209"/>
        </w:trPr>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8,650,922</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(573,860 )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(573,852 )</w:t>
            </w: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11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183,870</w:t>
            </w:r>
          </w:p>
        </w:tc>
        <w:tc>
          <w:tcPr>
            <w:tcW w:w="840" w:type="dxa"/>
            <w:vAlign w:val="bottom"/>
            <w:gridSpan w:val="2"/>
          </w:tcPr>
          <w:p>
            <w:pPr>
              <w:jc w:val="right"/>
              <w:ind w:right="57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line="157" w:lineRule="exact"/>
              <w:rPr>
                <w:sz w:val="20"/>
                <w:szCs w:val="20"/>
                <w:color w:val="auto"/>
              </w:rPr>
            </w:pPr>
            <w:r>
              <w:rPr>
                <w:rFonts w:ascii="Arial" w:cs="Arial" w:eastAsia="Arial" w:hAnsi="Arial"/>
                <w:sz w:val="14"/>
                <w:szCs w:val="14"/>
                <w:color w:val="auto"/>
              </w:rPr>
              <w:t>2,127</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line="157"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2"/>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85,533,394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900,960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901,046</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21,873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21,873</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24,437,500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496,486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496,510</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10,800,000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567,941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567,952</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(200,000 )</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(1,212 )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(1,818 )</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3,249,346</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3,381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3,383</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13,254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13,254</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598,406</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2,340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636,112</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237,334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3"/>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(82,915 )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(2,915 )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(2,915 )</w:t>
            </w:r>
          </w:p>
        </w:tc>
        <w:tc>
          <w:tcPr>
            <w:tcW w:w="0" w:type="dxa"/>
            <w:vAlign w:val="bottom"/>
          </w:tcPr>
          <w:p>
            <w:pPr>
              <w:spacing w:after="0"/>
              <w:rPr>
                <w:sz w:val="1"/>
                <w:szCs w:val="1"/>
                <w:color w:val="auto"/>
              </w:rPr>
            </w:pPr>
          </w:p>
        </w:tc>
      </w:tr>
      <w:tr>
        <w:trPr>
          <w:trHeight w:val="175"/>
        </w:trPr>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(202,799 )</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(202,799 )</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134,043,969</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132</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2,004,841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(777,871 )</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1,227,102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1,066,444</w:t>
            </w:r>
          </w:p>
        </w:tc>
        <w:tc>
          <w:tcPr>
            <w:tcW w:w="840" w:type="dxa"/>
            <w:vAlign w:val="bottom"/>
            <w:gridSpan w:val="2"/>
          </w:tcPr>
          <w:p>
            <w:pPr>
              <w:jc w:val="right"/>
              <w:ind w:right="57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38,810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38,811</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13,409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13,409</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1,409,004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5,764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5,766</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573,474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(370,911 )</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(370,911 )</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137,092,891</w:t>
            </w:r>
          </w:p>
        </w:tc>
        <w:tc>
          <w:tcPr>
            <w:tcW w:w="840" w:type="dxa"/>
            <w:vAlign w:val="bottom"/>
            <w:gridSpan w:val="2"/>
          </w:tcPr>
          <w:p>
            <w:pPr>
              <w:jc w:val="right"/>
              <w:ind w:right="57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135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2,063,841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(1,148,782 )</w:t>
            </w:r>
          </w:p>
        </w:tc>
        <w:tc>
          <w:tcPr>
            <w:tcW w:w="34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915,194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-5082540</wp:posOffset>
            </wp:positionV>
            <wp:extent cx="7132320" cy="6343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63436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-4337050</wp:posOffset>
            </wp:positionV>
            <wp:extent cx="7132320" cy="1111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-3925570</wp:posOffset>
            </wp:positionV>
            <wp:extent cx="7132320" cy="8743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743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-2845435</wp:posOffset>
            </wp:positionV>
            <wp:extent cx="7132320" cy="3003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-2339340</wp:posOffset>
            </wp:positionV>
            <wp:extent cx="7132320" cy="2057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-2022475</wp:posOffset>
            </wp:positionV>
            <wp:extent cx="7132320" cy="1117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-1799590</wp:posOffset>
            </wp:positionV>
            <wp:extent cx="7132320" cy="1111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-1576705</wp:posOffset>
            </wp:positionV>
            <wp:extent cx="7132320" cy="1117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-1271905</wp:posOffset>
            </wp:positionV>
            <wp:extent cx="7132320" cy="4756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4756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-590550</wp:posOffset>
            </wp:positionV>
            <wp:extent cx="7132320" cy="1111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-367665</wp:posOffset>
            </wp:positionV>
            <wp:extent cx="7132320" cy="3810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81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0"/>
            <w:col w:w="5920"/>
          </w:cols>
          <w:pgMar w:left="320" w:top="144" w:right="339" w:bottom="1440" w:gutter="0" w:footer="0" w:header="0"/>
          <w:type w:val="continuous"/>
        </w:sectPr>
      </w:pP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17"/>
          <w:szCs w:val="17"/>
          <w:i w:val="1"/>
          <w:iCs w:val="1"/>
          <w:color w:val="auto"/>
        </w:rPr>
        <w:t>See accompanying notes to these consolidated financial statements</w:t>
      </w:r>
      <w:r>
        <w:rPr>
          <w:rFonts w:ascii="Arial" w:cs="Arial" w:eastAsia="Arial" w:hAnsi="Arial"/>
          <w:sz w:val="17"/>
          <w:szCs w:val="17"/>
          <w:color w:val="auto"/>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8" w:name="page99"/>
    <w:bookmarkEnd w:id="9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jc w:val="center"/>
        <w:ind w:left="6260"/>
        <w:spacing w:after="0" w:line="223" w:lineRule="auto"/>
        <w:rPr>
          <w:sz w:val="20"/>
          <w:szCs w:val="20"/>
          <w:color w:val="auto"/>
        </w:rPr>
      </w:pPr>
      <w:r>
        <w:rPr>
          <w:rFonts w:ascii="Arial" w:cs="Arial" w:eastAsia="Arial" w:hAnsi="Arial"/>
          <w:sz w:val="14"/>
          <w:szCs w:val="14"/>
          <w:b w:val="1"/>
          <w:bCs w:val="1"/>
          <w:color w:val="auto"/>
        </w:rPr>
        <w:t>Year Ended</w:t>
      </w:r>
    </w:p>
    <w:p>
      <w:pPr>
        <w:jc w:val="center"/>
        <w:ind w:left="62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69"/>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(370,911 )</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(202,799 )</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(142,978 )</w:t>
            </w:r>
          </w:p>
        </w:tc>
      </w:tr>
      <w:tr>
        <w:trPr>
          <w:trHeight w:val="175"/>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13,215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4,654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6,157</w:t>
            </w: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2,872</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938</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357</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13,409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13,254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2,756</w:t>
            </w: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9,471</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6,588</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2,682</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Revaluation of preferred stock warrant</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20,470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769</w:t>
            </w: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9,619</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2,375</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2,609</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(53,206 )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(32,068 )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(18,430 )</w:t>
            </w: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color w:val="auto"/>
              </w:rPr>
              <w:t>Inventory</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(312,208 )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(224,489 )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(92,877 )</w:t>
            </w:r>
          </w:p>
        </w:tc>
      </w:tr>
      <w:tr>
        <w:trPr>
          <w:trHeight w:val="175"/>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(32,452 )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(9,117 )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(3,935 )</w:t>
            </w: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(9,172 )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(4,556 )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(3,487 )</w:t>
            </w:r>
          </w:p>
        </w:tc>
      </w:tr>
      <w:tr>
        <w:trPr>
          <w:trHeight w:val="175"/>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19,321</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14,066</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4,035</w:t>
            </w: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61,170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28,431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10,131</w:t>
            </w: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50,943</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7,499</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10,902</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29,241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19,500</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5,673</w:t>
            </w:r>
          </w:p>
        </w:tc>
      </w:tr>
      <w:tr>
        <w:trPr>
          <w:trHeight w:val="169"/>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(568,688 )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(355,254 )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(215,636 )</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(28,413 )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(11,329 )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(3,528 )</w:t>
            </w: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(75,875 )</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(104,288 )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(11,329 )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(3,528 )</w:t>
            </w: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long-term debt and debt extinguishment costs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(25,685 )</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Proceeds from vehicle floorplan</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2,713,350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1,242,736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992,179</w:t>
            </w: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vehicle floorplan</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(2,529,780 )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(1,086,966 )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(914,200 )</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Proceeds from issuance of convertible senior notes</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625,000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 paid for convertible senior notes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(16,129 )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Proceeds from the issuance of redeemable convertible preferred stock, net</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21,694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227,502</w:t>
            </w:r>
          </w:p>
        </w:tc>
      </w:tr>
      <w:tr>
        <w:trPr>
          <w:trHeight w:val="175"/>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(5,824 )</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Common stock shares withheld to satisfy employee tax withholding obligations</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(2,915 )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53"/>
        </w:trPr>
        <w:tc>
          <w:tcPr>
            <w:tcW w:w="636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Proceeds from the issuance of common stock in connection with IPO, net of underwriting</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r>
      <w:tr>
        <w:trPr>
          <w:trHeight w:val="171"/>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discount</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504,024</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Payments of costs related to IPO</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(6,791 )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(723 )</w:t>
            </w:r>
          </w:p>
        </w:tc>
      </w:tr>
      <w:tr>
        <w:trPr>
          <w:trHeight w:val="153"/>
        </w:trPr>
        <w:tc>
          <w:tcPr>
            <w:tcW w:w="636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Proceeds from the issuance of common stock in connection with follow-on public offering, net of</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r>
      <w:tr>
        <w:trPr>
          <w:trHeight w:val="171"/>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underwriting discount</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569,471</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Payments of costs related to follow-on public offering</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5,766</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2,341</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1,810</w:t>
            </w:r>
          </w:p>
        </w:tc>
      </w:tr>
      <w:tr>
        <w:trPr>
          <w:trHeight w:val="175"/>
        </w:trPr>
        <w:tc>
          <w:tcPr>
            <w:tcW w:w="636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(495 )</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(3,222 )</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w:t>
            </w:r>
          </w:p>
        </w:tc>
      </w:tr>
      <w:tr>
        <w:trPr>
          <w:trHeight w:val="169"/>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797,712</w:t>
            </w: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1,237,035</w:t>
            </w: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275,242</w:t>
            </w:r>
          </w:p>
        </w:tc>
      </w:tr>
      <w:tr>
        <w:trPr>
          <w:trHeight w:val="169"/>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124,736</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870,452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56,078</w:t>
            </w:r>
          </w:p>
        </w:tc>
      </w:tr>
      <w:tr>
        <w:trPr>
          <w:trHeight w:val="175"/>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1,090,039</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219,587</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163,509</w:t>
            </w:r>
          </w:p>
        </w:tc>
      </w:tr>
      <w:tr>
        <w:trPr>
          <w:trHeight w:val="169"/>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1,214,775</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1,090,039</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219,587</w:t>
            </w:r>
          </w:p>
        </w:tc>
      </w:tr>
      <w:tr>
        <w:trPr>
          <w:trHeight w:val="20"/>
        </w:trPr>
        <w:tc>
          <w:tcPr>
            <w:tcW w:w="6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-373380</wp:posOffset>
            </wp:positionV>
            <wp:extent cx="85725" cy="1168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11684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-373380</wp:posOffset>
            </wp:positionV>
            <wp:extent cx="85725" cy="1168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11684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-142240</wp:posOffset>
            </wp:positionV>
            <wp:extent cx="85725" cy="142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142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-142240</wp:posOffset>
            </wp:positionV>
            <wp:extent cx="85725" cy="142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14287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9" w:name="page100"/>
    <w:bookmarkEnd w:id="9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15,964</w:t>
            </w:r>
          </w:p>
        </w:tc>
        <w:tc>
          <w:tcPr>
            <w:tcW w:w="68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8,540</w:t>
            </w:r>
          </w:p>
        </w:tc>
        <w:tc>
          <w:tcPr>
            <w:tcW w:w="66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12,607</w:t>
            </w:r>
          </w:p>
        </w:tc>
      </w:tr>
      <w:tr>
        <w:trPr>
          <w:trHeight w:val="20"/>
        </w:trPr>
        <w:tc>
          <w:tcPr>
            <w:tcW w:w="6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Cash paid for income taxes</w:t>
            </w:r>
          </w:p>
        </w:tc>
        <w:tc>
          <w:tcPr>
            <w:tcW w:w="560" w:type="dxa"/>
            <w:vAlign w:val="bottom"/>
            <w:shd w:val="clear" w:color="auto" w:fill="CFF0FC"/>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403</w:t>
            </w:r>
          </w:p>
        </w:tc>
        <w:tc>
          <w:tcPr>
            <w:tcW w:w="680" w:type="dxa"/>
            <w:vAlign w:val="bottom"/>
            <w:gridSpan w:val="2"/>
            <w:shd w:val="clear" w:color="auto" w:fill="CFF0FC"/>
          </w:tcPr>
          <w:p>
            <w:pPr>
              <w:jc w:val="right"/>
              <w:ind w:right="388"/>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163</w:t>
            </w:r>
          </w:p>
        </w:tc>
        <w:tc>
          <w:tcPr>
            <w:tcW w:w="660" w:type="dxa"/>
            <w:vAlign w:val="bottom"/>
            <w:gridSpan w:val="2"/>
            <w:shd w:val="clear" w:color="auto" w:fill="CFF0FC"/>
          </w:tcPr>
          <w:p>
            <w:pPr>
              <w:jc w:val="right"/>
              <w:ind w:right="368"/>
              <w:spacing w:after="0" w:line="156"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157</w:t>
            </w:r>
          </w:p>
        </w:tc>
      </w:tr>
      <w:tr>
        <w:trPr>
          <w:trHeight w:val="156"/>
        </w:trPr>
        <w:tc>
          <w:tcPr>
            <w:tcW w:w="636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216"/>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common stock for CarStory acquisition</w:t>
            </w: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38,811</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6360" w:type="dxa"/>
            <w:vAlign w:val="bottom"/>
          </w:tcPr>
          <w:p>
            <w:pPr>
              <w:ind w:left="20"/>
              <w:spacing w:after="0" w:line="156" w:lineRule="exact"/>
              <w:rPr>
                <w:sz w:val="20"/>
                <w:szCs w:val="20"/>
                <w:color w:val="auto"/>
              </w:rPr>
            </w:pPr>
            <w:r>
              <w:rPr>
                <w:rFonts w:ascii="Arial" w:cs="Arial" w:eastAsia="Arial" w:hAnsi="Arial"/>
                <w:sz w:val="14"/>
                <w:szCs w:val="14"/>
                <w:color w:val="auto"/>
              </w:rPr>
              <w:t>Fair value of unvested stock options assumed for acquisition of business</w:t>
            </w:r>
          </w:p>
        </w:tc>
        <w:tc>
          <w:tcPr>
            <w:tcW w:w="560" w:type="dxa"/>
            <w:vAlign w:val="bottom"/>
            <w:tcBorders>
              <w:bottom w:val="single" w:sz="8" w:color="auto"/>
            </w:tcBorders>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1,017</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36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Accretion of redeemable convertible preferred stock</w:t>
            </w:r>
          </w:p>
        </w:tc>
        <w:tc>
          <w:tcPr>
            <w:tcW w:w="560" w:type="dxa"/>
            <w:vAlign w:val="bottom"/>
            <w:tcBorders>
              <w:bottom w:val="single" w:sz="8" w:color="auto"/>
            </w:tcBorders>
            <w:shd w:val="clear" w:color="auto" w:fill="CFF0FC"/>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88"/>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6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132,750</w:t>
            </w:r>
          </w:p>
        </w:tc>
      </w:tr>
      <w:tr>
        <w:trPr>
          <w:trHeight w:val="156"/>
        </w:trPr>
        <w:tc>
          <w:tcPr>
            <w:tcW w:w="6360" w:type="dxa"/>
            <w:vAlign w:val="bottom"/>
          </w:tcPr>
          <w:p>
            <w:pPr>
              <w:ind w:left="20"/>
              <w:spacing w:after="0" w:line="156" w:lineRule="exact"/>
              <w:rPr>
                <w:sz w:val="20"/>
                <w:szCs w:val="20"/>
                <w:color w:val="auto"/>
              </w:rPr>
            </w:pPr>
            <w:r>
              <w:rPr>
                <w:rFonts w:ascii="Arial" w:cs="Arial" w:eastAsia="Arial" w:hAnsi="Arial"/>
                <w:sz w:val="14"/>
                <w:szCs w:val="14"/>
                <w:color w:val="auto"/>
              </w:rPr>
              <w:t>Series H preferred stock issuance costs included in accrued expenses</w:t>
            </w:r>
          </w:p>
        </w:tc>
        <w:tc>
          <w:tcPr>
            <w:tcW w:w="560" w:type="dxa"/>
            <w:vAlign w:val="bottom"/>
            <w:tcBorders>
              <w:bottom w:val="single" w:sz="8" w:color="auto"/>
            </w:tcBorders>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36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5,020</w:t>
            </w: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Costs related to IPO included in accrued expenses and accounts payable</w:t>
            </w:r>
          </w:p>
        </w:tc>
        <w:tc>
          <w:tcPr>
            <w:tcW w:w="560" w:type="dxa"/>
            <w:vAlign w:val="bottom"/>
            <w:tcBorders>
              <w:bottom w:val="single" w:sz="8" w:color="auto"/>
            </w:tcBorders>
            <w:shd w:val="clear" w:color="auto" w:fill="CFF0FC"/>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88"/>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6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1,703</w:t>
            </w:r>
          </w:p>
        </w:tc>
      </w:tr>
      <w:tr>
        <w:trPr>
          <w:trHeight w:val="156"/>
        </w:trPr>
        <w:tc>
          <w:tcPr>
            <w:tcW w:w="6360" w:type="dxa"/>
            <w:vAlign w:val="bottom"/>
          </w:tcPr>
          <w:p>
            <w:pPr>
              <w:ind w:left="20"/>
              <w:spacing w:after="0" w:line="156" w:lineRule="exact"/>
              <w:rPr>
                <w:sz w:val="20"/>
                <w:szCs w:val="20"/>
                <w:color w:val="auto"/>
              </w:rPr>
            </w:pPr>
            <w:r>
              <w:rPr>
                <w:rFonts w:ascii="Arial" w:cs="Arial" w:eastAsia="Arial" w:hAnsi="Arial"/>
                <w:sz w:val="14"/>
                <w:szCs w:val="14"/>
                <w:color w:val="auto"/>
              </w:rPr>
              <w:t>Conversion of redeemable convertible preferred stock warrant to common stock warrant</w:t>
            </w:r>
          </w:p>
        </w:tc>
        <w:tc>
          <w:tcPr>
            <w:tcW w:w="560" w:type="dxa"/>
            <w:vAlign w:val="bottom"/>
            <w:tcBorders>
              <w:bottom w:val="single" w:sz="8" w:color="auto"/>
            </w:tcBorders>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21,873</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36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Issuance of common stock as upfront payment to nonemployee</w:t>
            </w:r>
          </w:p>
        </w:tc>
        <w:tc>
          <w:tcPr>
            <w:tcW w:w="560" w:type="dxa"/>
            <w:vAlign w:val="bottom"/>
            <w:tcBorders>
              <w:bottom w:val="single" w:sz="8" w:color="auto"/>
            </w:tcBorders>
            <w:shd w:val="clear" w:color="auto" w:fill="CFF0FC"/>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88"/>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2,127</w:t>
            </w:r>
          </w:p>
        </w:tc>
        <w:tc>
          <w:tcPr>
            <w:tcW w:w="1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6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r>
      <w:tr>
        <w:trPr>
          <w:trHeight w:val="156"/>
        </w:trPr>
        <w:tc>
          <w:tcPr>
            <w:tcW w:w="6360" w:type="dxa"/>
            <w:vAlign w:val="bottom"/>
          </w:tcPr>
          <w:p>
            <w:pPr>
              <w:ind w:left="20"/>
              <w:spacing w:after="0" w:line="156" w:lineRule="exact"/>
              <w:rPr>
                <w:sz w:val="20"/>
                <w:szCs w:val="20"/>
                <w:color w:val="auto"/>
              </w:rPr>
            </w:pPr>
            <w:r>
              <w:rPr>
                <w:rFonts w:ascii="Arial" w:cs="Arial" w:eastAsia="Arial" w:hAnsi="Arial"/>
                <w:sz w:val="14"/>
                <w:szCs w:val="14"/>
                <w:color w:val="auto"/>
              </w:rPr>
              <w:t>Accrued property and equipment expenditures</w:t>
            </w:r>
          </w:p>
        </w:tc>
        <w:tc>
          <w:tcPr>
            <w:tcW w:w="560" w:type="dxa"/>
            <w:vAlign w:val="bottom"/>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line="156" w:lineRule="exact"/>
              <w:rPr>
                <w:sz w:val="20"/>
                <w:szCs w:val="20"/>
                <w:color w:val="auto"/>
              </w:rPr>
            </w:pPr>
            <w:r>
              <w:rPr>
                <w:rFonts w:ascii="Arial" w:cs="Arial" w:eastAsia="Arial" w:hAnsi="Arial"/>
                <w:sz w:val="14"/>
                <w:szCs w:val="14"/>
                <w:color w:val="auto"/>
              </w:rPr>
              <w:t>760</w:t>
            </w:r>
          </w:p>
        </w:tc>
        <w:tc>
          <w:tcPr>
            <w:tcW w:w="680" w:type="dxa"/>
            <w:vAlign w:val="bottom"/>
            <w:gridSpan w:val="2"/>
          </w:tcPr>
          <w:p>
            <w:pPr>
              <w:jc w:val="right"/>
              <w:ind w:right="388"/>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97</w:t>
            </w:r>
          </w:p>
        </w:tc>
        <w:tc>
          <w:tcPr>
            <w:tcW w:w="660" w:type="dxa"/>
            <w:vAlign w:val="bottom"/>
            <w:gridSpan w:val="2"/>
          </w:tcPr>
          <w:p>
            <w:pPr>
              <w:jc w:val="right"/>
              <w:ind w:right="368"/>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4"/>
                <w:szCs w:val="14"/>
                <w:color w:val="auto"/>
              </w:rPr>
              <w:t>200</w:t>
            </w:r>
          </w:p>
        </w:tc>
      </w:tr>
      <w:tr>
        <w:trPr>
          <w:trHeight w:val="20"/>
        </w:trPr>
        <w:tc>
          <w:tcPr>
            <w:tcW w:w="6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-1233805</wp:posOffset>
            </wp:positionV>
            <wp:extent cx="1139825"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-985520</wp:posOffset>
            </wp:positionV>
            <wp:extent cx="1139825" cy="1631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3982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-711200</wp:posOffset>
            </wp:positionV>
            <wp:extent cx="1139825" cy="1631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3982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-436245</wp:posOffset>
            </wp:positionV>
            <wp:extent cx="1139825"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39825" cy="1625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-162560</wp:posOffset>
            </wp:positionV>
            <wp:extent cx="1139825" cy="1631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39825" cy="16319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ind w:right="3280" w:firstLine="3289"/>
        <w:spacing w:after="0" w:line="387" w:lineRule="auto"/>
        <w:rPr>
          <w:sz w:val="20"/>
          <w:szCs w:val="20"/>
          <w:color w:val="auto"/>
        </w:rPr>
      </w:pPr>
      <w:r>
        <w:rPr>
          <w:rFonts w:ascii="Arial" w:cs="Arial" w:eastAsia="Arial" w:hAnsi="Arial"/>
          <w:sz w:val="18"/>
          <w:szCs w:val="18"/>
          <w:b w:val="1"/>
          <w:bCs w:val="1"/>
          <w:color w:val="auto"/>
        </w:rPr>
        <w:t>NOTES TO CONSOLIDATED FINANCIAL STATEMENTS 1. Description of Business and Basis of Presentation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20"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83"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Inc.(d/b/a CarStory).</w:t>
      </w:r>
    </w:p>
    <w:p>
      <w:pPr>
        <w:spacing w:after="0" w:line="191" w:lineRule="exact"/>
        <w:rPr>
          <w:sz w:val="20"/>
          <w:szCs w:val="20"/>
          <w:color w:val="auto"/>
        </w:rPr>
      </w:pPr>
    </w:p>
    <w:p>
      <w:pPr>
        <w:ind w:right="280" w:firstLine="761"/>
        <w:spacing w:after="0" w:line="238" w:lineRule="auto"/>
        <w:rPr>
          <w:sz w:val="20"/>
          <w:szCs w:val="20"/>
          <w:color w:val="auto"/>
        </w:rPr>
      </w:pPr>
      <w:r>
        <w:rPr>
          <w:rFonts w:ascii="Arial" w:cs="Arial" w:eastAsia="Arial" w:hAnsi="Arial"/>
          <w:sz w:val="18"/>
          <w:szCs w:val="18"/>
          <w:color w:val="auto"/>
        </w:rPr>
        <w:t>As of December 31, 2021, the Company is organized into three reportable segments: Ecommerce, Wholesale, and TDA. The Ecommerce reportable segment represents retail sales of used vehicles through the Company’s ecommerce platform and fees earned on sales of value-added products associated with those vehicles sales. The Wholesale reportable segment represents sales of used vehicles through wholesale channels. The TDA reportable segment represents retail sales of used vehicles from TDA and fees earned on sales of value-added products associated with those vehicles sales.</w:t>
      </w:r>
    </w:p>
    <w:p>
      <w:pPr>
        <w:spacing w:after="0" w:line="189"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0"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consolidated financial statements have been retroactively adjusted as though the stock split has been effected prior to all periods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 of</w:t>
      </w:r>
    </w:p>
    <w:p>
      <w:pPr>
        <w:spacing w:after="0" w:line="234" w:lineRule="auto"/>
        <w:rPr>
          <w:sz w:val="20"/>
          <w:szCs w:val="20"/>
          <w:color w:val="auto"/>
        </w:rPr>
      </w:pPr>
      <w:r>
        <w:rPr>
          <w:rFonts w:ascii="Arial" w:cs="Arial" w:eastAsia="Arial" w:hAnsi="Arial"/>
          <w:sz w:val="18"/>
          <w:szCs w:val="18"/>
          <w:color w:val="auto"/>
        </w:rPr>
        <w:t>$22.00 per share, including 3,187,500 shares sold pursuant to exercise by the underwriters of their option to purchase additional shares. The</w:t>
      </w:r>
    </w:p>
    <w:p>
      <w:pPr>
        <w:spacing w:after="0" w:line="235" w:lineRule="auto"/>
        <w:rPr>
          <w:sz w:val="20"/>
          <w:szCs w:val="20"/>
          <w:color w:val="auto"/>
        </w:rPr>
      </w:pPr>
      <w:r>
        <w:rPr>
          <w:rFonts w:ascii="Arial" w:cs="Arial" w:eastAsia="Arial" w:hAnsi="Arial"/>
          <w:sz w:val="18"/>
          <w:szCs w:val="18"/>
          <w:color w:val="auto"/>
        </w:rPr>
        <w:t>Company received proceeds of $504.0 million from the IPO, net of the underwriting discount and before deducting offering expenses of $7.5</w:t>
      </w:r>
    </w:p>
    <w:p>
      <w:pPr>
        <w:spacing w:after="0" w:line="235" w:lineRule="auto"/>
        <w:rPr>
          <w:sz w:val="20"/>
          <w:szCs w:val="20"/>
          <w:color w:val="auto"/>
        </w:rPr>
      </w:pPr>
      <w:r>
        <w:rPr>
          <w:rFonts w:ascii="Arial" w:cs="Arial" w:eastAsia="Arial" w:hAnsi="Arial"/>
          <w:sz w:val="18"/>
          <w:szCs w:val="18"/>
          <w:color w:val="auto"/>
        </w:rPr>
        <w:t>million. In addition, in accordance with their terms and consistent with the conversion rates discussed in Note 13 - Redeemable Convertible</w:t>
      </w:r>
    </w:p>
    <w:p>
      <w:pPr>
        <w:spacing w:after="0" w:line="235" w:lineRule="auto"/>
        <w:rPr>
          <w:sz w:val="20"/>
          <w:szCs w:val="20"/>
          <w:color w:val="auto"/>
        </w:rPr>
      </w:pPr>
      <w:r>
        <w:rPr>
          <w:rFonts w:ascii="Arial" w:cs="Arial" w:eastAsia="Arial" w:hAnsi="Arial"/>
          <w:sz w:val="18"/>
          <w:szCs w:val="18"/>
          <w:color w:val="auto"/>
        </w:rPr>
        <w:t>Preferred Stock and Stockholders’ Equity (Deficit), all shares of the Company’s outstanding redeemable convertible preferred stock were</w:t>
      </w:r>
    </w:p>
    <w:p>
      <w:pPr>
        <w:spacing w:after="0"/>
        <w:rPr>
          <w:sz w:val="20"/>
          <w:szCs w:val="20"/>
          <w:color w:val="auto"/>
        </w:rPr>
      </w:pPr>
      <w:r>
        <w:rPr>
          <w:rFonts w:ascii="Arial" w:cs="Arial" w:eastAsia="Arial" w:hAnsi="Arial"/>
          <w:sz w:val="18"/>
          <w:szCs w:val="18"/>
          <w:color w:val="auto"/>
        </w:rPr>
        <w:t>automatically converted into common stock upon the closing of the IPO.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0"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Company closed its follow-on public offering on September 15, 2020 in which it sold 10,800,000 shares of common stock at the public offering price of $54.50 per share. The Company received proceeds of $569.5 million from the offering, net of the underwriting discount and before deducting offering expenses of $1.5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 (“U.S. GAAP”). Certain prior year amounts have been reclassified to conform to the current year presentation.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intercompany accounts and transactions have been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280" w:firstLine="761"/>
        <w:spacing w:after="0" w:line="237"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91"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years ended December 31, 2021, 2020, and 2019.</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Revenue consists of retail used vehicle sales, wholesale used vehicle sales, fees earned on sales of value-added products to customers in connection with vehicles sales, and other revenues. Refer to Note 3 – Revenue Recognition for a discussion of the Company’s significant accounting policies related to 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0" w:lineRule="exact"/>
        <w:rPr>
          <w:sz w:val="20"/>
          <w:szCs w:val="20"/>
          <w:color w:val="auto"/>
        </w:rPr>
      </w:pPr>
    </w:p>
    <w:p>
      <w:pPr>
        <w:ind w:right="300" w:firstLine="761"/>
        <w:spacing w:after="0" w:line="238" w:lineRule="auto"/>
        <w:rPr>
          <w:sz w:val="20"/>
          <w:szCs w:val="20"/>
          <w:color w:val="auto"/>
        </w:rPr>
      </w:pPr>
      <w:r>
        <w:rPr>
          <w:rFonts w:ascii="Arial" w:cs="Arial" w:eastAsia="Arial" w:hAnsi="Arial"/>
          <w:sz w:val="18"/>
          <w:szCs w:val="18"/>
          <w:color w:val="auto"/>
        </w:rPr>
        <w:t>Cost of sales primarily includes the cost to acquire used vehicles, inbound transportation costs and direct and indirect reconditioning costs associated with preparing vehicles for resale. Reconditioning costs include parts, labor and third-party reconditioning costs directly attributable to the vehicle and allocated overhead costs. Cost of sales also includes any necessary adjustments to reflect vehicle inventory at the lower of cost or net realizable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“Accounts payable” in the consolidated balance sheets and changes in these amounts are reflected in operating cash flows in the consolidated statements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Restricted cash includes cash deposits required under letter of credit agreements as explained in Note 11 – Commitments and Contingencies and cash deposits required under the Company’s 2020 Vehicle Floorplan Facility as explained in Note 9 – Vehicle Floorplan Facilities. Additionally, as of December 31, 2021, restricted cash also includes $30.0 million of cash deposits required under a cash collateral agreement with one of the Company's preferred lenders.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02" w:name="page103"/>
    <w:bookmarkEnd w:id="10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Accounts receivable, net of an allowance for doubtful accounts, includes amounts due from customers and from third-party financial institutions related to vehicle purchases. The allowance for doubtful accounts is estimated based upon historical experience, age of the balances, current economic conditions and other factors and is evaluated as of each reporting date. Increases and decreases in the allowance for doubtful accounts are recorded in “Selling, general and administrative expenses” in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0" w:lineRule="exact"/>
        <w:rPr>
          <w:sz w:val="20"/>
          <w:szCs w:val="20"/>
          <w:color w:val="auto"/>
        </w:rPr>
      </w:pPr>
    </w:p>
    <w:p>
      <w:pPr>
        <w:ind w:right="320" w:firstLine="761"/>
        <w:spacing w:after="0" w:line="238" w:lineRule="auto"/>
        <w:rPr>
          <w:sz w:val="20"/>
          <w:szCs w:val="20"/>
          <w:color w:val="auto"/>
        </w:rPr>
      </w:pPr>
      <w:r>
        <w:rPr>
          <w:rFonts w:ascii="Arial" w:cs="Arial" w:eastAsia="Arial" w:hAnsi="Arial"/>
          <w:sz w:val="18"/>
          <w:szCs w:val="18"/>
          <w:color w:val="auto"/>
        </w:rPr>
        <w:t>Inventory consists primarily of used vehicles and parts and accessories and is stated at the lower of cost or net realizable value. Inventory cost is determined by specific identification and includes acquisition cost, direct and indirect reconditioning costs and inbound transportation expenses. Net realizable value represents the estimated selling price less costs to complete, dispose and transport the vehicles. The Company recognizes any necessary adjustments to reflect inventory at the lower of cost or net realizable value through adjustments to “Cost of sales”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0" w:lineRule="exact"/>
        <w:rPr>
          <w:sz w:val="20"/>
          <w:szCs w:val="20"/>
          <w:color w:val="auto"/>
        </w:rPr>
      </w:pPr>
    </w:p>
    <w:p>
      <w:pPr>
        <w:ind w:right="20" w:firstLine="761"/>
        <w:spacing w:after="0" w:line="261" w:lineRule="auto"/>
        <w:rPr>
          <w:sz w:val="20"/>
          <w:szCs w:val="20"/>
          <w:color w:val="auto"/>
        </w:rPr>
      </w:pPr>
      <w:r>
        <w:rPr>
          <w:rFonts w:ascii="Arial" w:cs="Arial" w:eastAsia="Arial" w:hAnsi="Arial"/>
          <w:sz w:val="17"/>
          <w:szCs w:val="17"/>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and amortization are calculated using the straight-line method over the following estimated useful lives of the assets:</w:t>
      </w:r>
    </w:p>
    <w:p>
      <w:pPr>
        <w:sectPr>
          <w:pgSz w:w="11900" w:h="16838" w:orient="portrait"/>
          <w:cols w:equalWidth="0" w:num="1">
            <w:col w:w="11240"/>
          </w:cols>
          <w:pgMar w:left="320" w:top="144" w:right="339" w:bottom="1440" w:gutter="0" w:footer="0" w:header="0"/>
        </w:sect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Equipment</w:t>
      </w:r>
    </w:p>
    <w:p>
      <w:pPr>
        <w:ind w:left="1140"/>
        <w:spacing w:after="0" w:line="234" w:lineRule="auto"/>
        <w:rPr>
          <w:sz w:val="20"/>
          <w:szCs w:val="20"/>
          <w:color w:val="auto"/>
        </w:rPr>
      </w:pPr>
      <w:r>
        <w:rPr>
          <w:rFonts w:ascii="Arial" w:cs="Arial" w:eastAsia="Arial" w:hAnsi="Arial"/>
          <w:sz w:val="18"/>
          <w:szCs w:val="18"/>
          <w:color w:val="auto"/>
        </w:rPr>
        <w:t>Furniture and fixtures</w:t>
      </w:r>
    </w:p>
    <w:p>
      <w:pPr>
        <w:ind w:left="1140"/>
        <w:spacing w:after="0" w:line="235" w:lineRule="auto"/>
        <w:rPr>
          <w:sz w:val="20"/>
          <w:szCs w:val="20"/>
          <w:color w:val="auto"/>
        </w:rPr>
      </w:pPr>
      <w:r>
        <w:rPr>
          <w:rFonts w:ascii="Arial" w:cs="Arial" w:eastAsia="Arial" w:hAnsi="Arial"/>
          <w:sz w:val="18"/>
          <w:szCs w:val="18"/>
          <w:color w:val="auto"/>
        </w:rPr>
        <w:t>Logistics fleet</w:t>
      </w:r>
    </w:p>
    <w:p>
      <w:pPr>
        <w:ind w:left="1140"/>
        <w:spacing w:after="0" w:line="235" w:lineRule="auto"/>
        <w:rPr>
          <w:sz w:val="20"/>
          <w:szCs w:val="20"/>
          <w:color w:val="auto"/>
        </w:rPr>
      </w:pPr>
      <w:r>
        <w:rPr>
          <w:rFonts w:ascii="Arial" w:cs="Arial" w:eastAsia="Arial" w:hAnsi="Arial"/>
          <w:sz w:val="18"/>
          <w:szCs w:val="18"/>
          <w:color w:val="auto"/>
        </w:rPr>
        <w:t>Leasehold improvements</w:t>
      </w:r>
    </w:p>
    <w:p>
      <w:pPr>
        <w:ind w:left="1140"/>
        <w:spacing w:after="0"/>
        <w:rPr>
          <w:sz w:val="20"/>
          <w:szCs w:val="20"/>
          <w:color w:val="auto"/>
        </w:rPr>
      </w:pPr>
      <w:r>
        <w:rPr>
          <w:rFonts w:ascii="Arial" w:cs="Arial" w:eastAsia="Arial" w:hAnsi="Arial"/>
          <w:sz w:val="18"/>
          <w:szCs w:val="18"/>
          <w:color w:val="auto"/>
        </w:rPr>
        <w:t>Internal-use software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 to 15 years</w:t>
      </w:r>
    </w:p>
    <w:p>
      <w:pPr>
        <w:spacing w:after="0" w:line="234" w:lineRule="auto"/>
        <w:rPr>
          <w:sz w:val="20"/>
          <w:szCs w:val="20"/>
          <w:color w:val="auto"/>
        </w:rPr>
      </w:pPr>
      <w:r>
        <w:rPr>
          <w:rFonts w:ascii="Arial" w:cs="Arial" w:eastAsia="Arial" w:hAnsi="Arial"/>
          <w:sz w:val="18"/>
          <w:szCs w:val="18"/>
          <w:color w:val="auto"/>
        </w:rPr>
        <w:t>3 to 15 years</w:t>
      </w:r>
    </w:p>
    <w:p>
      <w:pPr>
        <w:spacing w:after="0" w:line="235" w:lineRule="auto"/>
        <w:rPr>
          <w:sz w:val="20"/>
          <w:szCs w:val="20"/>
          <w:color w:val="auto"/>
        </w:rPr>
      </w:pPr>
      <w:r>
        <w:rPr>
          <w:rFonts w:ascii="Arial" w:cs="Arial" w:eastAsia="Arial" w:hAnsi="Arial"/>
          <w:sz w:val="18"/>
          <w:szCs w:val="18"/>
          <w:color w:val="auto"/>
        </w:rPr>
        <w:t>5 to 7 years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Lesser of useful life or lease term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200" w:lineRule="exact"/>
        <w:rPr>
          <w:sz w:val="20"/>
          <w:szCs w:val="20"/>
          <w:color w:val="auto"/>
        </w:rPr>
      </w:pPr>
    </w:p>
    <w:p>
      <w:pPr>
        <w:sectPr>
          <w:pgSz w:w="11900" w:h="16838" w:orient="portrait"/>
          <w:cols w:equalWidth="0" w:num="2">
            <w:col w:w="3900" w:space="720"/>
            <w:col w:w="6620"/>
          </w:cols>
          <w:pgMar w:left="320" w:top="144" w:right="339" w:bottom="1440" w:gutter="0" w:footer="0" w:header="0"/>
          <w:type w:val="continuous"/>
        </w:sectPr>
      </w:pPr>
    </w:p>
    <w:p>
      <w:pPr>
        <w:spacing w:after="0" w:line="3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p>
    <w:p>
      <w:pPr>
        <w:spacing w:after="0" w:line="189"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Additionally, the Company capitalizes implementation costs incurred in a cloud computing arrangement that is a service contract. The capitalized implementation costs related to a cloud computing arrangement are amortized over the term of the arrangement. Capitalized implementation costs are included in “Other assets” in the consolidated balance sheet and are amortized over the terms of the arrangements, which range between 2 and 10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0"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9"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The Company has three reporting units: Ecommerce, Wholesale, and TDA. In performing its annual goodwill impairment test, the Company first reviews qualitative factors to determine whether it is more likely than not that the fair value of a reporting unit is less than its carrying amount. If, after assessing qualitative factors, the Company determines that it is more likely than not that the fair value of a reporting unit is more than its carrying amount, then performing the quantitative test is unnecessary and the Company’s goodwill is not considered to be impaired. However, if based on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w:t>
      </w:r>
    </w:p>
    <w:p>
      <w:pPr>
        <w:spacing w:after="0" w:line="189"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As of October 1, 2021, the carrying value of the Company's goodwill was $158.8 million, of which $152.9 million is allocated to the Ecommerce reporting unit. In connection with its annual goodwill impairment test as of October 1, 2021, the Company performed a quantitative impairment assessment for its Ecommerce reporting unit. The results of the quantitative test indicated that the fair value of the Ecommerce reporting unit exceeded carrying value. The quantitative impairment test was performed utilizing the discounted cash flow method described above. Additionally, as of December 31, 2021 an interim goodwill impairment assessment was performed due to the decline in the Company's and comparable companies stock prices. As a result of the interim goodwill impairment test, the Company determined that the estimated fair value of the Ecommerce reporting unit exceeded its carrying value and no impairment was recorded.</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goodwill impairment was determined to exist for the years ended December 31, 2021, 2020, and 2019.</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intangible assets are amortized on a straight-line basis over the following estimated useful lives:</w:t>
      </w:r>
    </w:p>
    <w:p>
      <w:pPr>
        <w:sectPr>
          <w:pgSz w:w="11900" w:h="16838" w:orient="portrait"/>
          <w:cols w:equalWidth="0" w:num="1">
            <w:col w:w="11240"/>
          </w:cols>
          <w:pgMar w:left="320" w:top="144" w:right="339" w:bottom="1440" w:gutter="0" w:footer="0" w:header="0"/>
        </w:sectPr>
      </w:pPr>
    </w:p>
    <w:p>
      <w:pPr>
        <w:spacing w:after="0" w:line="19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Developed technology</w:t>
      </w:r>
    </w:p>
    <w:p>
      <w:pPr>
        <w:ind w:left="1140"/>
        <w:spacing w:after="0" w:line="234" w:lineRule="auto"/>
        <w:rPr>
          <w:sz w:val="20"/>
          <w:szCs w:val="20"/>
          <w:color w:val="auto"/>
        </w:rPr>
      </w:pPr>
      <w:r>
        <w:rPr>
          <w:rFonts w:ascii="Arial" w:cs="Arial" w:eastAsia="Arial" w:hAnsi="Arial"/>
          <w:sz w:val="18"/>
          <w:szCs w:val="18"/>
          <w:color w:val="auto"/>
        </w:rPr>
        <w:t>Trademarks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Customer relationships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8 years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8 years</w:t>
      </w:r>
    </w:p>
    <w:p>
      <w:pPr>
        <w:spacing w:after="0" w:line="200" w:lineRule="exact"/>
        <w:rPr>
          <w:sz w:val="20"/>
          <w:szCs w:val="20"/>
          <w:color w:val="auto"/>
        </w:rPr>
      </w:pPr>
    </w:p>
    <w:p>
      <w:pPr>
        <w:sectPr>
          <w:pgSz w:w="11900" w:h="16838" w:orient="portrait"/>
          <w:cols w:equalWidth="0" w:num="2">
            <w:col w:w="3900" w:space="720"/>
            <w:col w:w="6620"/>
          </w:cols>
          <w:pgMar w:left="320" w:top="144" w:right="339" w:bottom="1440" w:gutter="0" w:footer="0" w:header="0"/>
          <w:type w:val="continuous"/>
        </w:sectPr>
      </w:pPr>
    </w:p>
    <w:p>
      <w:pPr>
        <w:spacing w:after="0" w:line="10"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The Company periodically reassesses the useful lives of its definite-lived intangible assets when events or circumstances indicate that useful lives have significantly changed from the previous estimate.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Floorplan</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vehicle floorplan payable (the “Vehicle Floorplan Facility”) reflects amounts borrowed to finance the purchase of specific vehicle inventories. Portions of the Vehicle Floorplan Facility are settled on a daily basis depending on the Company’s sales and purchasing activity. The Vehicle Floorplan Facility is collateralized by vehicle inventories and certain other assets of the Company. Borrowings and repayments are presented separately and classified as financing activities within the consolidated statements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The Company recognizes the cost of employee services received in exchange for stock awards based on the fair value of those awards at the date of grant over the requisite service period. The Company accounts for forfeitures as they occur. For awards earned based on performance or upon occurrence of a contingent event, if the award is deemed probable of being earned, related compensation expense is recorded over the estimated service period. If an award is not considered probable of being earned, no amount of stock-based compensation is recognized. To the extent the estimate of awards considered probable of being earned changes, the amount of stock-based compensation recognized will also change.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uses the Black-Scholes-Merton (“Black-Scholes”) option pricing model to determine the fair value of its stock options. Estimating the fair value of stock options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consolidated statement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0" w:lineRule="exact"/>
        <w:rPr>
          <w:sz w:val="20"/>
          <w:szCs w:val="20"/>
          <w:color w:val="auto"/>
        </w:rPr>
      </w:pPr>
    </w:p>
    <w:p>
      <w:pPr>
        <w:ind w:right="620" w:firstLine="761"/>
        <w:spacing w:after="0"/>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$125.5 million, $62.4 million, and $49.9 million for the years ended December 31, 2021, 2020, and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consolidated statements of operations and were $85.8 million, $30.3 million, and $14.0 million for the years ended December 31, 2021, 2020,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191"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For the years ended December 31, 2021, 2020, and 2019, no customer represented 10% or more of the Company’s revenues and no customer represented more than 10% of the Company’s accounts receivable as of December 31, 2021 and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has had negative cash flows and losses from operations since inception and expects to incur additional losses in the future. The Company closed its IPO on June 11, 2020, in which it received proceeds of $504.0 million, net of the underwriting discount and before deducting offering expenses of $7.5 million. Additionally, the Company closed its follow-on public offering on September 15, 2020 in which it received proceeds of $569.5 million, net of the underwriting discount and before deducting offering expenses of $1.5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5" w:name="page106"/>
    <w:bookmarkEnd w:id="10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0"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Refer to Note 10 – Convertible Senior Notes for further discussion.</w:t>
      </w:r>
    </w:p>
    <w:p>
      <w:pPr>
        <w:spacing w:after="0" w:line="183"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The Company has a Vehicle Floorplan Facility with a borrowing capacity of $700.0 million as of December 31, 2021. Refer to Note 9 – Vehicle Floorplan Facilities for further discussion.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The Company considers all series of its redeemable convertible preferred stock to be participating securities. Under the two-class method, the net loss attributable to common stockholders is not allocated to the redeemable convertible preferred stock as the holders of the Company’s redeemable convertible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92"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The accretion of the Company’s redeemable convertible preferred stock (refer to Note 13) for the year ended December 31, 2019 has been presented as an increase to net loss to determine net loss attributable to common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220"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lists its used vehicle inventory for sale on the Rocket Auto platform, but all sales of the Company’s inventory are conducted through the Company’s platform. During the term of the RA Agreement, Rocket has agreed to ensure that not less than a minimum percentage of all used vehicles sold or leased through the platform on a monthly basis will be Vroom inventory. The Company issued Rocket 183,870 shares of the Company’s common stock upon execution of the RA Agreement. The Company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 Stock Compensation</w:t>
      </w:r>
      <w:r>
        <w:rPr>
          <w:rFonts w:ascii="Arial" w:cs="Arial" w:eastAsia="Arial" w:hAnsi="Arial"/>
          <w:sz w:val="18"/>
          <w:szCs w:val="18"/>
          <w:color w:val="auto"/>
        </w:rPr>
        <w:t>, including the provisions that apply to share-based payments issued to nonemployees for goods or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consolidated balance sheet, which will subsequently be amortized within “Selling, 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202" w:lineRule="exact"/>
        <w:rPr>
          <w:sz w:val="20"/>
          <w:szCs w:val="20"/>
          <w:color w:val="auto"/>
        </w:rPr>
      </w:pPr>
    </w:p>
    <w:p>
      <w:pPr>
        <w:ind w:right="100" w:firstLine="636"/>
        <w:spacing w:after="0" w:line="241"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intent of this new guidance is to align the requirements for capitalizing implementation costs incurred in a cloud computing arrangement that is a service contract with the requirements for capitalizing implementation costs incurred to develop or obtain internal-use software as defined in ASC 350-40. Under ASU 2018-15, the capitalized implementation costs related to a cloud computing arrangement will be amortized over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6" w:name="page107"/>
    <w:bookmarkEnd w:id="10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term of the arrangement and all capitalized implementation amounts will be required to be presented in the same line items of the financial statements as the related hosting fees. The Company adopted ASU 2018-15 as of January 1, 2019. The new guidance was applied prospectively to all implementation costs incurred after the date of adoption and resulted in the capitalization of $2.7 million of implementation costs, which primarily relate to the Company’s hosted general ledger system.</w:t>
      </w:r>
    </w:p>
    <w:p>
      <w:pPr>
        <w:spacing w:after="0" w:line="173"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which amends the accounting guidance on leases. The new standard requires a lessee to recognize right-of-use assets and lease obligations on the balance sheet for most lease agreements. The Company adopted Topic 842 as of January 1, 2020 using the modified 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170" w:lineRule="exact"/>
        <w:rPr>
          <w:sz w:val="20"/>
          <w:szCs w:val="20"/>
          <w:color w:val="auto"/>
        </w:rPr>
      </w:pPr>
    </w:p>
    <w:p>
      <w:pPr>
        <w:ind w:right="260" w:firstLine="761"/>
        <w:spacing w:after="0" w:line="24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related to updated requirements over the disclosures of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ASU 2018-13, certain disclosure requirements for fair value measurements were eliminated, modified or added to facilitate better disclosure regarding recurring and non-recurring fair value measurements. The Company adopted the guidance on January 1, 2020 which did not have a material impact on the Company’s consolidated financial statements and related disclosures.</w:t>
      </w:r>
    </w:p>
    <w:p>
      <w:pPr>
        <w:spacing w:after="0" w:line="171" w:lineRule="exact"/>
        <w:rPr>
          <w:sz w:val="20"/>
          <w:szCs w:val="20"/>
          <w:color w:val="auto"/>
        </w:rPr>
      </w:pPr>
    </w:p>
    <w:p>
      <w:pPr>
        <w:ind w:right="120" w:firstLine="761"/>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amends the guidance on the impairment of financial instruments by requiring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for most financial assets, including trade receivables, and other instruments that are not measured at fair value through net income. The Company adopted the guidance on January 1, 2020 which did not have a material impact on the Company’s consolidated financial statements and related disclosures.</w:t>
      </w:r>
    </w:p>
    <w:p>
      <w:pPr>
        <w:spacing w:after="0" w:line="171" w:lineRule="exact"/>
        <w:rPr>
          <w:sz w:val="20"/>
          <w:szCs w:val="20"/>
          <w:color w:val="auto"/>
        </w:rPr>
      </w:pPr>
    </w:p>
    <w:p>
      <w:pPr>
        <w:jc w:val="both"/>
        <w:ind w:right="100" w:firstLine="761"/>
        <w:spacing w:after="0" w:line="242"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w:t>
      </w:r>
      <w:r>
        <w:rPr>
          <w:rFonts w:ascii="Arial" w:cs="Arial" w:eastAsia="Arial" w:hAnsi="Arial"/>
          <w:sz w:val="18"/>
          <w:szCs w:val="18"/>
          <w:i w:val="1"/>
          <w:iCs w:val="1"/>
          <w:color w:val="auto"/>
        </w:rPr>
        <w:t>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Company adopted the guidance on January 1, 2021 which did not have a material impact on the Company’s consolidated financial statements and related disclosures.</w:t>
      </w:r>
    </w:p>
    <w:p>
      <w:pPr>
        <w:spacing w:after="0" w:line="171"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w:t>
      </w:r>
      <w:r>
        <w:rPr>
          <w:rFonts w:ascii="Arial" w:cs="Arial" w:eastAsia="Arial" w:hAnsi="Arial"/>
          <w:sz w:val="18"/>
          <w:szCs w:val="18"/>
          <w:color w:val="auto"/>
        </w:rPr>
        <w:t xml:space="preserve"> – </w:t>
      </w:r>
      <w:r>
        <w:rPr>
          <w:rFonts w:ascii="Arial" w:cs="Arial" w:eastAsia="Arial" w:hAnsi="Arial"/>
          <w:sz w:val="18"/>
          <w:szCs w:val="18"/>
          <w:i w:val="1"/>
          <w:iCs w:val="1"/>
          <w:color w:val="auto"/>
        </w:rPr>
        <w:t>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Entity’s Own Equity (Subtopic 815-40): Accounting for Convertible Instruments and Contracts in an Entity’s Own Equity</w:t>
      </w:r>
      <w:r>
        <w:rPr>
          <w:rFonts w:ascii="Arial" w:cs="Arial" w:eastAsia="Arial" w:hAnsi="Arial"/>
          <w:sz w:val="18"/>
          <w:szCs w:val="18"/>
          <w:color w:val="auto"/>
        </w:rPr>
        <w:t>, which simplifies the issuer’s accounting for convertible debt instruments and amended certain guidance related to the computation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for convertible instruments and contracts in an entity’s own equity. The Company early adopted the new guidance effective January 1, 2021. There was no impact on the date of adoption. During the year ended December 31, 2021, the Company issued convertible notes. Refer to Note 10 – Convertible Senior Notes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202"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guidance will be effective for fiscal years beginning after December 15, 2022, including interim periods within those fiscal years, with early adoption permitted. The Company is currently evaluating the impact that the adoption of this guidance will have on its consolidated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0" w:lineRule="exact"/>
        <w:rPr>
          <w:sz w:val="20"/>
          <w:szCs w:val="20"/>
          <w:color w:val="auto"/>
        </w:rPr>
      </w:pPr>
    </w:p>
    <w:p>
      <w:pPr>
        <w:ind w:right="660" w:firstLine="761"/>
        <w:spacing w:after="0" w:line="246"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7" w:name="page108"/>
    <w:bookmarkEnd w:id="10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Company may collect sales taxes and other taxes from customers on behalf of governmental authorities at the time of sale as required.</w:t>
      </w:r>
    </w:p>
    <w:p>
      <w:pPr>
        <w:spacing w:after="0"/>
        <w:rPr>
          <w:sz w:val="20"/>
          <w:szCs w:val="20"/>
          <w:color w:val="auto"/>
        </w:rPr>
      </w:pPr>
      <w:r>
        <w:rPr>
          <w:rFonts w:ascii="Arial" w:cs="Arial" w:eastAsia="Arial" w:hAnsi="Arial"/>
          <w:sz w:val="18"/>
          <w:szCs w:val="18"/>
          <w:color w:val="auto"/>
        </w:rPr>
        <w:t>These taxes are accounted for on a net basis and are not included in revenues or cost of sales.</w:t>
      </w:r>
    </w:p>
    <w:p>
      <w:pPr>
        <w:spacing w:after="0" w:line="198" w:lineRule="exact"/>
        <w:rPr>
          <w:sz w:val="20"/>
          <w:szCs w:val="20"/>
          <w:color w:val="auto"/>
        </w:rPr>
      </w:pPr>
    </w:p>
    <w:p>
      <w:pPr>
        <w:ind w:right="560" w:firstLine="761"/>
        <w:spacing w:after="0" w:line="246"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 The Company recognizes revenue at a point in time as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2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194"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at the TDA retail location of used vehicles are recorded as “Deferred revenue” within the consolidated balance sheets.</w:t>
      </w:r>
    </w:p>
    <w:p>
      <w:pPr>
        <w:spacing w:after="0" w:line="189" w:lineRule="exact"/>
        <w:rPr>
          <w:sz w:val="20"/>
          <w:szCs w:val="20"/>
          <w:color w:val="auto"/>
        </w:rPr>
      </w:pPr>
    </w:p>
    <w:p>
      <w:pPr>
        <w:ind w:right="180" w:firstLine="761"/>
        <w:spacing w:after="0"/>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straight-buy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80" w:firstLine="761"/>
        <w:spacing w:after="0" w:line="255" w:lineRule="auto"/>
        <w:rPr>
          <w:sz w:val="20"/>
          <w:szCs w:val="20"/>
          <w:color w:val="auto"/>
        </w:rPr>
      </w:pPr>
      <w:r>
        <w:rPr>
          <w:rFonts w:ascii="Arial" w:cs="Arial" w:eastAsia="Arial" w:hAnsi="Arial"/>
          <w:sz w:val="17"/>
          <w:szCs w:val="17"/>
          <w:color w:val="auto"/>
        </w:rPr>
        <w:t>The Company’s product revenue consists of fees earned on selling value-added products, such as vehicle service contracts, guaranteed asset protection (“GAP”) and tire and wheel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77" w:lineRule="exact"/>
        <w:rPr>
          <w:sz w:val="20"/>
          <w:szCs w:val="20"/>
          <w:color w:val="auto"/>
        </w:rPr>
      </w:pPr>
    </w:p>
    <w:p>
      <w:pPr>
        <w:ind w:right="340" w:firstLine="761"/>
        <w:spacing w:after="0" w:line="238"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8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8" w:name="page109"/>
    <w:bookmarkEnd w:id="10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chargeback experience. The Company updates its estimates at each reporting date. As of December 31, 2021 and 2020, the Company’s reserve for chargebacks was $9.6 million and $3.8 million, respectively, of which $5.5 million and $1.7 million, respectively, are included within “Accrued expenses” and $4.1 million and $2.1 million, respectively, are included in “Other long-term liabilities.”</w:t>
      </w:r>
    </w:p>
    <w:p>
      <w:pPr>
        <w:spacing w:after="0" w:line="189"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2021 and 2020, the Company recognized $17.9 million and $11.5 million, respectively, related to cumulative profit-sharing payments to which it expects to be entitled, of which $0.9 million and $0.8 million, respectively, are included within “Prepaid expenses and other current assets” and $17.0 million and $10.7 million, respectively, are included within “Other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0"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Other revenue consists of labor and parts revenue earned by the Company for vehicle repair services at TDA and, commencing in the first quarter of 2021, revenue from CarStory.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20"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The Company expects CarStory to continue to offer its digital retailing services to dealers, automotive financial services companies and others in the automotive industry. The financial results of CarStory were included in the consolidated financial statements from the date of acquisition. The transaction costs associated with its acquisition were not material for the year ended December 31, 2021. Pro forma results of operations have not been presented as the effect of this acquisition was not material to the consolidated financial statements.</w:t>
      </w:r>
    </w:p>
    <w:p>
      <w:pPr>
        <w:spacing w:after="0" w:line="189" w:lineRule="exact"/>
        <w:rPr>
          <w:sz w:val="20"/>
          <w:szCs w:val="20"/>
          <w:color w:val="auto"/>
        </w:rPr>
      </w:pPr>
    </w:p>
    <w:p>
      <w:pPr>
        <w:ind w:right="580" w:firstLine="749"/>
        <w:spacing w:after="0" w:line="246" w:lineRule="auto"/>
        <w:rPr>
          <w:sz w:val="20"/>
          <w:szCs w:val="20"/>
          <w:color w:val="auto"/>
        </w:rPr>
      </w:pPr>
      <w:r>
        <w:rPr>
          <w:rFonts w:ascii="Arial" w:cs="Arial" w:eastAsia="Arial" w:hAnsi="Arial"/>
          <w:sz w:val="18"/>
          <w:szCs w:val="18"/>
          <w:color w:val="auto"/>
        </w:rPr>
        <w:t>The fair value of the consideration transferred was approximately $116.6 million, inclusive of immaterial measurement period adjustments, and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7"/>
                <w:szCs w:val="17"/>
                <w:color w:val="auto"/>
              </w:rPr>
            </w:pPr>
          </w:p>
        </w:tc>
      </w:tr>
      <w:tr>
        <w:trPr>
          <w:trHeight w:val="202"/>
        </w:trPr>
        <w:tc>
          <w:tcPr>
            <w:tcW w:w="92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Cash</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76,740</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80"/>
              <w:spacing w:after="0" w:line="202" w:lineRule="exact"/>
              <w:rPr>
                <w:sz w:val="20"/>
                <w:szCs w:val="20"/>
                <w:color w:val="auto"/>
              </w:rPr>
            </w:pPr>
            <w:r>
              <w:rPr>
                <w:rFonts w:ascii="Arial" w:cs="Arial" w:eastAsia="Arial" w:hAnsi="Arial"/>
                <w:sz w:val="17"/>
                <w:szCs w:val="17"/>
                <w:color w:val="auto"/>
              </w:rPr>
              <w:t xml:space="preserve">Common stock issued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38,811</w:t>
            </w:r>
          </w:p>
        </w:tc>
        <w:tc>
          <w:tcPr>
            <w:tcW w:w="6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7"/>
                <w:szCs w:val="17"/>
                <w:color w:val="auto"/>
              </w:rPr>
              <w:t xml:space="preserve">Fair value of unvested stock options assumed </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116,568</w:t>
            </w:r>
          </w:p>
        </w:tc>
        <w:tc>
          <w:tcPr>
            <w:tcW w:w="6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7" w:lineRule="exact"/>
        <w:rPr>
          <w:sz w:val="20"/>
          <w:szCs w:val="20"/>
          <w:color w:val="auto"/>
        </w:rPr>
      </w:pPr>
    </w:p>
    <w:p>
      <w:pPr>
        <w:ind w:left="760" w:right="120" w:hanging="378"/>
        <w:spacing w:after="0" w:line="258"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Company issued 1,066,444 shares of common stock, net of 5,673 shares cancelled to satisfy working capital adjustment,. The fair value of common stock was determined based on the closing market price on the date of acquisition discounted for a lack of marketability of 10.0% to account for the 180 day lock up period.</w:t>
      </w:r>
    </w:p>
    <w:p>
      <w:pPr>
        <w:spacing w:after="0" w:line="85" w:lineRule="exact"/>
        <w:rPr>
          <w:rFonts w:ascii="Arial" w:cs="Arial" w:eastAsia="Arial" w:hAnsi="Arial"/>
          <w:sz w:val="14"/>
          <w:szCs w:val="14"/>
          <w:color w:val="auto"/>
        </w:rPr>
      </w:pPr>
    </w:p>
    <w:p>
      <w:pPr>
        <w:ind w:left="760" w:right="100" w:hanging="378"/>
        <w:spacing w:after="0" w:line="258"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360" w:firstLine="749"/>
        <w:spacing w:after="0" w:line="274" w:lineRule="auto"/>
        <w:rPr>
          <w:sz w:val="20"/>
          <w:szCs w:val="20"/>
          <w:color w:val="auto"/>
        </w:rPr>
      </w:pPr>
      <w:r>
        <w:rPr>
          <w:rFonts w:ascii="Arial" w:cs="Arial" w:eastAsia="Arial" w:hAnsi="Arial"/>
          <w:sz w:val="17"/>
          <w:szCs w:val="17"/>
          <w:color w:val="auto"/>
        </w:rPr>
        <w:t>The following table summarizes the fair value of the identified assets acquired and liabilities assumed as of the acquisition date, inclusive of immaterial measurement period adjustments which were finalized in the year ended December 31, 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92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865</w:t>
            </w: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60"/>
              <w:spacing w:after="0" w:line="202" w:lineRule="exact"/>
              <w:rPr>
                <w:sz w:val="20"/>
                <w:szCs w:val="20"/>
                <w:color w:val="auto"/>
              </w:rPr>
            </w:pPr>
            <w:r>
              <w:rPr>
                <w:rFonts w:ascii="Arial" w:cs="Arial" w:eastAsia="Arial" w:hAnsi="Arial"/>
                <w:sz w:val="18"/>
                <w:szCs w:val="18"/>
                <w:color w:val="auto"/>
              </w:rPr>
              <w:t>Accounts receivable, prepaid expenses and other current assets</w:t>
            </w:r>
          </w:p>
        </w:tc>
        <w:tc>
          <w:tcPr>
            <w:tcW w:w="3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1,330</w:t>
            </w:r>
          </w:p>
        </w:tc>
        <w:tc>
          <w:tcPr>
            <w:tcW w:w="80" w:type="dxa"/>
            <w:vAlign w:val="bottom"/>
          </w:tcPr>
          <w:p>
            <w:pPr>
              <w:spacing w:after="0"/>
              <w:rPr>
                <w:sz w:val="17"/>
                <w:szCs w:val="17"/>
                <w:color w:val="auto"/>
              </w:rPr>
            </w:pPr>
          </w:p>
        </w:tc>
      </w:tr>
      <w:tr>
        <w:trPr>
          <w:trHeight w:val="203"/>
        </w:trPr>
        <w:tc>
          <w:tcPr>
            <w:tcW w:w="92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Property and equipment and other assets</w:t>
            </w: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80"/>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34,300</w:t>
            </w:r>
          </w:p>
        </w:tc>
        <w:tc>
          <w:tcPr>
            <w:tcW w:w="80" w:type="dxa"/>
            <w:vAlign w:val="bottom"/>
          </w:tcPr>
          <w:p>
            <w:pPr>
              <w:spacing w:after="0"/>
              <w:rPr>
                <w:sz w:val="17"/>
                <w:szCs w:val="17"/>
                <w:color w:val="auto"/>
              </w:rPr>
            </w:pPr>
          </w:p>
        </w:tc>
      </w:tr>
      <w:tr>
        <w:trPr>
          <w:trHeight w:val="202"/>
        </w:trPr>
        <w:tc>
          <w:tcPr>
            <w:tcW w:w="92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Goodwill</w:t>
            </w: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80,645</w:t>
            </w:r>
          </w:p>
        </w:tc>
        <w:tc>
          <w:tcPr>
            <w:tcW w:w="80" w:type="dxa"/>
            <w:vAlign w:val="bottom"/>
            <w:shd w:val="clear" w:color="auto" w:fill="CFF0FC"/>
          </w:tcPr>
          <w:p>
            <w:pPr>
              <w:spacing w:after="0"/>
              <w:rPr>
                <w:sz w:val="17"/>
                <w:szCs w:val="17"/>
                <w:color w:val="auto"/>
              </w:rPr>
            </w:pPr>
          </w:p>
        </w:tc>
      </w:tr>
      <w:tr>
        <w:trPr>
          <w:trHeight w:val="203"/>
        </w:trPr>
        <w:tc>
          <w:tcPr>
            <w:tcW w:w="9220" w:type="dxa"/>
            <w:vAlign w:val="bottom"/>
          </w:tcPr>
          <w:p>
            <w:pPr>
              <w:ind w:left="80"/>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(943 )</w:t>
            </w:r>
          </w:p>
        </w:tc>
      </w:tr>
      <w:tr>
        <w:trPr>
          <w:trHeight w:val="236"/>
        </w:trPr>
        <w:tc>
          <w:tcPr>
            <w:tcW w:w="9220" w:type="dxa"/>
            <w:vAlign w:val="bottom"/>
            <w:tcBorders>
              <w:bottom w:val="single" w:sz="8" w:color="CFF0FC"/>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116,568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reporting unit.</w:t>
      </w:r>
    </w:p>
    <w:p>
      <w:pPr>
        <w:spacing w:after="0" w:line="191" w:lineRule="exact"/>
        <w:rPr>
          <w:sz w:val="20"/>
          <w:szCs w:val="20"/>
          <w:color w:val="auto"/>
        </w:rPr>
      </w:pPr>
    </w:p>
    <w:p>
      <w:pPr>
        <w:ind w:right="180" w:firstLine="749"/>
        <w:spacing w:after="0" w:line="246" w:lineRule="auto"/>
        <w:rPr>
          <w:sz w:val="20"/>
          <w:szCs w:val="20"/>
          <w:color w:val="auto"/>
        </w:rPr>
      </w:pPr>
      <w:r>
        <w:rPr>
          <w:rFonts w:ascii="Arial" w:cs="Arial" w:eastAsia="Arial" w:hAnsi="Arial"/>
          <w:sz w:val="18"/>
          <w:szCs w:val="18"/>
          <w:color w:val="auto"/>
        </w:rPr>
        <w:t>The following table summarizes the final identifiable intangible assets acquired and their estimated weighted average useful life at the date of acquisition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Useful</w:t>
            </w:r>
          </w:p>
        </w:tc>
        <w:tc>
          <w:tcPr>
            <w:tcW w:w="0" w:type="dxa"/>
            <w:vAlign w:val="bottom"/>
          </w:tcPr>
          <w:p>
            <w:pPr>
              <w:spacing w:after="0"/>
              <w:rPr>
                <w:sz w:val="1"/>
                <w:szCs w:val="1"/>
                <w:color w:val="auto"/>
              </w:rPr>
            </w:pPr>
          </w:p>
        </w:tc>
      </w:tr>
      <w:tr>
        <w:trPr>
          <w:trHeight w:val="189"/>
        </w:trPr>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6"/>
        </w:trPr>
        <w:tc>
          <w:tcPr>
            <w:tcW w:w="78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25,700</w:t>
            </w:r>
          </w:p>
        </w:tc>
        <w:tc>
          <w:tcPr>
            <w:tcW w:w="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3"/>
        </w:trPr>
        <w:tc>
          <w:tcPr>
            <w:tcW w:w="7820" w:type="dxa"/>
            <w:vAlign w:val="bottom"/>
          </w:tcPr>
          <w:p>
            <w:pPr>
              <w:ind w:left="60"/>
              <w:spacing w:after="0" w:line="202" w:lineRule="exact"/>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5,200</w:t>
            </w: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3,400</w:t>
            </w:r>
          </w:p>
        </w:tc>
        <w:tc>
          <w:tcPr>
            <w:tcW w:w="1760" w:type="dxa"/>
            <w:vAlign w:val="bottom"/>
            <w:tcBorders>
              <w:bottom w:val="single" w:sz="8" w:color="CFF0FC"/>
            </w:tcBorders>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7820" w:type="dxa"/>
            <w:vAlign w:val="bottom"/>
          </w:tcPr>
          <w:p>
            <w:pPr>
              <w:ind w:left="60"/>
              <w:spacing w:after="0" w:line="196" w:lineRule="exact"/>
              <w:rPr>
                <w:sz w:val="20"/>
                <w:szCs w:val="20"/>
                <w:color w:val="auto"/>
              </w:rPr>
            </w:pPr>
            <w:r>
              <w:rPr>
                <w:rFonts w:ascii="Arial" w:cs="Arial" w:eastAsia="Arial" w:hAnsi="Arial"/>
                <w:sz w:val="18"/>
                <w:szCs w:val="18"/>
                <w:color w:val="auto"/>
              </w:rPr>
              <w:t>Total intangible assets subject to amortization</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34,300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20" w:firstLine="749"/>
        <w:spacing w:after="0" w:line="246"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183"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The estimated fair value of the intangible assets acquired was determined using a discounted cash flow ("DCF") method under the income approach. Under this approach, the Company estimates future cash flows and discounts these cash flows at a rate of return that reflects the Company’s relative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69"/>
        </w:trPr>
        <w:tc>
          <w:tcPr>
            <w:tcW w:w="70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2020</w:t>
            </w: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Vehicles</w:t>
            </w:r>
          </w:p>
        </w:tc>
        <w:tc>
          <w:tcPr>
            <w:tcW w:w="1200" w:type="dxa"/>
            <w:vAlign w:val="bottom"/>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724,542</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421,458</w:t>
            </w: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Parts and accessories</w:t>
            </w:r>
          </w:p>
        </w:tc>
        <w:tc>
          <w:tcPr>
            <w:tcW w:w="1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1,842</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2,189</w:t>
            </w:r>
          </w:p>
        </w:tc>
      </w:tr>
      <w:tr>
        <w:trPr>
          <w:trHeight w:val="23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inventory</w:t>
            </w:r>
          </w:p>
        </w:tc>
        <w:tc>
          <w:tcPr>
            <w:tcW w:w="120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726,384</w:t>
            </w:r>
          </w:p>
        </w:tc>
        <w:tc>
          <w:tcPr>
            <w:tcW w:w="1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423,647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1111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111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22" w:lineRule="exact"/>
        <w:rPr>
          <w:sz w:val="20"/>
          <w:szCs w:val="20"/>
          <w:color w:val="auto"/>
        </w:rPr>
      </w:pPr>
    </w:p>
    <w:p>
      <w:pPr>
        <w:ind w:right="260" w:firstLine="761"/>
        <w:spacing w:after="0" w:line="246" w:lineRule="auto"/>
        <w:rPr>
          <w:sz w:val="20"/>
          <w:szCs w:val="20"/>
          <w:color w:val="auto"/>
        </w:rPr>
      </w:pPr>
      <w:r>
        <w:rPr>
          <w:rFonts w:ascii="Arial" w:cs="Arial" w:eastAsia="Arial" w:hAnsi="Arial"/>
          <w:sz w:val="18"/>
          <w:szCs w:val="18"/>
          <w:color w:val="auto"/>
        </w:rPr>
        <w:t>As of December 31, 2021 and 2020, “Inventory” includes an adjustment of $22.4 million and $12.9 million, respectively, to record the balances at the lower of cost or net realizable value.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0" w:name="page111"/>
    <w:bookmarkEnd w:id="11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6"/>
                <w:szCs w:val="16"/>
                <w:color w:val="auto"/>
              </w:rPr>
            </w:pPr>
          </w:p>
        </w:tc>
      </w:tr>
      <w:tr>
        <w:trPr>
          <w:trHeight w:val="169"/>
        </w:trPr>
        <w:tc>
          <w:tcPr>
            <w:tcW w:w="7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2020</w:t>
            </w: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Equipment</w:t>
            </w: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1,011</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1,061</w:t>
            </w: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17"/>
                <w:szCs w:val="17"/>
                <w:color w:val="auto"/>
              </w:rPr>
            </w:pPr>
          </w:p>
        </w:tc>
        <w:tc>
          <w:tcPr>
            <w:tcW w:w="1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2,244</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1,746</w:t>
            </w: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Logistics fleet</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22,810</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4,303</w:t>
            </w: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460" w:type="dxa"/>
            <w:vAlign w:val="bottom"/>
          </w:tcPr>
          <w:p>
            <w:pPr>
              <w:spacing w:after="0"/>
              <w:rPr>
                <w:sz w:val="17"/>
                <w:szCs w:val="17"/>
                <w:color w:val="auto"/>
              </w:rPr>
            </w:pPr>
          </w:p>
        </w:tc>
        <w:tc>
          <w:tcPr>
            <w:tcW w:w="1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7,161</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7,068</w:t>
            </w: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Internal-use software</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18,423</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10,552</w:t>
            </w: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5,811</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3,696</w:t>
            </w:r>
          </w:p>
        </w:tc>
      </w:tr>
      <w:tr>
        <w:trPr>
          <w:trHeight w:val="196"/>
        </w:trPr>
        <w:tc>
          <w:tcPr>
            <w:tcW w:w="7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57,460</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28,426</w:t>
            </w: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(20,418 )</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(13,334 )</w:t>
            </w:r>
          </w:p>
        </w:tc>
      </w:tr>
      <w:tr>
        <w:trPr>
          <w:trHeight w:val="23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37,042</w:t>
            </w: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15,092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1117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117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2"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Depreciation and amortization expense was $7.1 million, $4.1 million, and $2.8 million for the years ended December 31, 2021, 2020, and 2019, respectively. Depreciation and amortization expense of $0.3 million, $0.1 million, and $0.1 million was included within “Cost of sales” in the consolidated statements of operations for the years ended December 31, 2021, 2020, and 2019, respectively.</w:t>
      </w:r>
    </w:p>
    <w:p>
      <w:pPr>
        <w:spacing w:after="0" w:line="189"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$8.1 million and $2.4 million as of December 31, 2021, respectively, and $3.6 million and $1.0 million as of December 31, 2020, respectively, and were included within “Other assets” in the consolidated balance sheets. Amortization expense of $1.4 million, $0.7 million, and $0.3 million was included within “Selling, general and administrative expenses” in the consolidated statements of operations for the years ended December 31, 2021, 2020, and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years ended December 31, 2021 and 2020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Wholesale</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TDA</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72,231</w:t>
            </w:r>
          </w:p>
        </w:tc>
        <w:tc>
          <w:tcPr>
            <w:tcW w:w="1460" w:type="dxa"/>
            <w:vAlign w:val="bottom"/>
            <w:gridSpan w:val="2"/>
            <w:shd w:val="clear" w:color="auto" w:fill="CFF0FC"/>
          </w:tcPr>
          <w:p>
            <w:pPr>
              <w:jc w:val="right"/>
              <w:ind w:right="979"/>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1,720</w:t>
            </w:r>
          </w:p>
        </w:tc>
        <w:tc>
          <w:tcPr>
            <w:tcW w:w="132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78,172</w:t>
            </w:r>
          </w:p>
        </w:tc>
        <w:tc>
          <w:tcPr>
            <w:tcW w:w="60" w:type="dxa"/>
            <w:vAlign w:val="bottom"/>
            <w:shd w:val="clear" w:color="auto" w:fill="CFF0FC"/>
          </w:tcPr>
          <w:p>
            <w:pPr>
              <w:spacing w:after="0"/>
              <w:rPr>
                <w:sz w:val="19"/>
                <w:szCs w:val="19"/>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Change in carrying amount</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6"/>
        </w:trPr>
        <w:tc>
          <w:tcPr>
            <w:tcW w:w="3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2020</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72,231</w:t>
            </w: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79"/>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7"/>
              </w:rPr>
              <w:t>1,720</w:t>
            </w: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879"/>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4,221</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78,172</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72,231</w:t>
            </w:r>
          </w:p>
        </w:tc>
        <w:tc>
          <w:tcPr>
            <w:tcW w:w="1460" w:type="dxa"/>
            <w:vAlign w:val="bottom"/>
            <w:gridSpan w:val="2"/>
          </w:tcPr>
          <w:p>
            <w:pPr>
              <w:jc w:val="right"/>
              <w:ind w:right="979"/>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1,720</w:t>
            </w:r>
          </w:p>
        </w:tc>
        <w:tc>
          <w:tcPr>
            <w:tcW w:w="132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4,221</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78,172</w:t>
            </w:r>
          </w:p>
        </w:tc>
        <w:tc>
          <w:tcPr>
            <w:tcW w:w="60" w:type="dxa"/>
            <w:vAlign w:val="bottom"/>
          </w:tcPr>
          <w:p>
            <w:pPr>
              <w:spacing w:after="0"/>
              <w:rPr>
                <w:sz w:val="18"/>
                <w:szCs w:val="18"/>
                <w:color w:val="auto"/>
              </w:rPr>
            </w:pPr>
          </w:p>
        </w:tc>
      </w:tr>
      <w:tr>
        <w:trPr>
          <w:trHeight w:val="216"/>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Acquisition</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80,645</w:t>
            </w: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80,645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96"/>
        </w:trPr>
        <w:tc>
          <w:tcPr>
            <w:tcW w:w="3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2021</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152,876</w:t>
            </w:r>
          </w:p>
        </w:tc>
        <w:tc>
          <w:tcPr>
            <w:tcW w:w="1460" w:type="dxa"/>
            <w:vAlign w:val="bottom"/>
            <w:gridSpan w:val="2"/>
          </w:tcPr>
          <w:p>
            <w:pPr>
              <w:jc w:val="right"/>
              <w:ind w:right="979"/>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1,720</w:t>
            </w:r>
          </w:p>
        </w:tc>
        <w:tc>
          <w:tcPr>
            <w:tcW w:w="1320" w:type="dxa"/>
            <w:vAlign w:val="bottom"/>
            <w:gridSpan w:val="2"/>
          </w:tcPr>
          <w:p>
            <w:pPr>
              <w:jc w:val="right"/>
              <w:ind w:right="879"/>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4,221</w:t>
            </w:r>
          </w:p>
        </w:tc>
        <w:tc>
          <w:tcPr>
            <w:tcW w:w="640" w:type="dxa"/>
            <w:vAlign w:val="bottom"/>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158,817</w:t>
            </w:r>
          </w:p>
        </w:tc>
        <w:tc>
          <w:tcPr>
            <w:tcW w:w="6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-470535</wp:posOffset>
            </wp:positionV>
            <wp:extent cx="3669030"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69030" cy="17145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-159385</wp:posOffset>
            </wp:positionV>
            <wp:extent cx="51435" cy="1600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-159385</wp:posOffset>
            </wp:positionV>
            <wp:extent cx="43180" cy="160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43180" cy="1600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1600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16002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year ended December 31, 2021.</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have been no accumulated impairment charges as of December 31, 2021 and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300" w:type="dxa"/>
            <w:vAlign w:val="bottom"/>
            <w:gridSpan w:val="3"/>
            <w:vMerge w:val="restart"/>
          </w:tcPr>
          <w:p>
            <w:pPr>
              <w:jc w:val="right"/>
              <w:ind w:right="25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30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ind w:right="74"/>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4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25,700</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(5,043</w:t>
            </w:r>
          </w:p>
        </w:tc>
        <w:tc>
          <w:tcPr>
            <w:tcW w:w="240" w:type="dxa"/>
            <w:vAlign w:val="bottom"/>
            <w:shd w:val="clear" w:color="auto" w:fill="CFF0FC"/>
          </w:tcPr>
          <w:p>
            <w:pPr>
              <w:jc w:val="right"/>
              <w:ind w:right="9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20,657</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91"/>
              <w:spacing w:after="0" w:line="202" w:lineRule="exact"/>
              <w:rPr>
                <w:sz w:val="20"/>
                <w:szCs w:val="20"/>
                <w:color w:val="auto"/>
              </w:rPr>
            </w:pPr>
            <w:r>
              <w:rPr>
                <w:rFonts w:ascii="Arial" w:cs="Arial" w:eastAsia="Arial" w:hAnsi="Arial"/>
                <w:sz w:val="18"/>
                <w:szCs w:val="18"/>
                <w:color w:val="auto"/>
              </w:rPr>
              <w:t>(673 )</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4,567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(27 )</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(417 )</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91"/>
              <w:spacing w:after="0" w:line="202" w:lineRule="exact"/>
              <w:rPr>
                <w:sz w:val="20"/>
                <w:szCs w:val="20"/>
                <w:color w:val="auto"/>
              </w:rPr>
            </w:pPr>
            <w:r>
              <w:rPr>
                <w:rFonts w:ascii="Arial" w:cs="Arial" w:eastAsia="Arial" w:hAnsi="Arial"/>
                <w:sz w:val="18"/>
                <w:szCs w:val="18"/>
                <w:color w:val="auto"/>
              </w:rPr>
              <w:t>(252 )</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(231 )</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5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34,592</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(6,385</w:t>
            </w:r>
          </w:p>
        </w:tc>
        <w:tc>
          <w:tcPr>
            <w:tcW w:w="240" w:type="dxa"/>
            <w:vAlign w:val="bottom"/>
            <w:tcBorders>
              <w:bottom w:val="single" w:sz="8" w:color="CFF0FC"/>
            </w:tcBorders>
            <w:shd w:val="clear" w:color="auto" w:fill="CFF0FC"/>
          </w:tcPr>
          <w:p>
            <w:pPr>
              <w:jc w:val="right"/>
              <w:ind w:right="71"/>
              <w:spacing w:after="0" w:line="223" w:lineRule="exact"/>
              <w:rPr>
                <w:sz w:val="20"/>
                <w:szCs w:val="20"/>
                <w:color w:val="auto"/>
              </w:rPr>
            </w:pPr>
            <w:r>
              <w:rPr>
                <w:rFonts w:ascii="Arial" w:cs="Arial" w:eastAsia="Arial" w:hAnsi="Arial"/>
                <w:sz w:val="20"/>
                <w:szCs w:val="20"/>
                <w:color w:val="auto"/>
                <w:w w:val="89"/>
              </w:rPr>
              <w:t>)</w:t>
            </w:r>
          </w:p>
        </w:tc>
        <w:tc>
          <w:tcPr>
            <w:tcW w:w="120" w:type="dxa"/>
            <w:vAlign w:val="bottom"/>
            <w:tcBorders>
              <w:top w:val="single" w:sz="8" w:color="auto"/>
              <w:bottom w:val="single" w:sz="8" w:color="auto"/>
            </w:tcBorders>
            <w:shd w:val="clear" w:color="auto" w:fill="CFF0FC"/>
          </w:tcPr>
          <w:p>
            <w:pPr>
              <w:spacing w:after="0" w:line="223" w:lineRule="exact"/>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28,207</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spacing w:after="0" w:line="223" w:lineRule="exact"/>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292</w:t>
            </w:r>
          </w:p>
        </w:tc>
        <w:tc>
          <w:tcPr>
            <w:tcW w:w="1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(258</w:t>
            </w:r>
          </w:p>
        </w:tc>
        <w:tc>
          <w:tcPr>
            <w:tcW w:w="200" w:type="dxa"/>
            <w:vAlign w:val="bottom"/>
            <w:tcBorders>
              <w:bottom w:val="single" w:sz="8" w:color="CFF0FC"/>
            </w:tcBorders>
            <w:shd w:val="clear" w:color="auto" w:fill="CFF0FC"/>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20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6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34</w:t>
            </w:r>
          </w:p>
        </w:tc>
        <w:tc>
          <w:tcPr>
            <w:tcW w:w="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-25400</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431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431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431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year ended December 31, 2021.</w:t>
      </w:r>
    </w:p>
    <w:p>
      <w:pPr>
        <w:spacing w:after="0" w:line="198"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Amortization expense for intangible assets was $6.1 million, $0.5 million, and $3.4 million for the years ended December 31, 2021, 2020, and 2019, respectively.</w:t>
      </w:r>
    </w:p>
    <w:p>
      <w:pPr>
        <w:spacing w:after="0" w:line="183" w:lineRule="exact"/>
        <w:rPr>
          <w:sz w:val="20"/>
          <w:szCs w:val="20"/>
          <w:color w:val="auto"/>
        </w:rPr>
      </w:pPr>
    </w:p>
    <w:p>
      <w:pPr>
        <w:ind w:right="860" w:firstLine="761"/>
        <w:spacing w:after="0" w:line="246" w:lineRule="auto"/>
        <w:rPr>
          <w:sz w:val="20"/>
          <w:szCs w:val="20"/>
          <w:color w:val="auto"/>
        </w:rPr>
      </w:pPr>
      <w:r>
        <w:rPr>
          <w:rFonts w:ascii="Arial" w:cs="Arial" w:eastAsia="Arial" w:hAnsi="Arial"/>
          <w:sz w:val="18"/>
          <w:szCs w:val="18"/>
          <w:color w:val="auto"/>
        </w:rPr>
        <w:t>The estimated amortization expense for intangible assets subsequent to December 31, 2021, consists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6,220</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6,215</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6,215</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6,215</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1,172</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2,170</w:t>
            </w:r>
          </w:p>
        </w:tc>
        <w:tc>
          <w:tcPr>
            <w:tcW w:w="60" w:type="dxa"/>
            <w:vAlign w:val="bottom"/>
          </w:tcPr>
          <w:p>
            <w:pPr>
              <w:spacing w:after="0"/>
              <w:rPr>
                <w:sz w:val="17"/>
                <w:szCs w:val="17"/>
                <w:color w:val="auto"/>
              </w:rPr>
            </w:pPr>
          </w:p>
        </w:tc>
      </w:tr>
      <w:tr>
        <w:trPr>
          <w:trHeight w:val="236"/>
        </w:trPr>
        <w:tc>
          <w:tcPr>
            <w:tcW w:w="70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28,207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7040" w:type="dxa"/>
            <w:vAlign w:val="bottom"/>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7040" w:type="dxa"/>
            <w:vAlign w:val="bottom"/>
          </w:tcPr>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70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9"/>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marketing expenses</w:t>
            </w: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17,546</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9,106</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Vehicle related expenses</w:t>
            </w:r>
          </w:p>
        </w:tc>
        <w:tc>
          <w:tcPr>
            <w:tcW w:w="460" w:type="dxa"/>
            <w:vAlign w:val="bottom"/>
          </w:tcPr>
          <w:p>
            <w:pPr>
              <w:spacing w:after="0"/>
              <w:rPr>
                <w:sz w:val="17"/>
                <w:szCs w:val="17"/>
                <w:color w:val="auto"/>
              </w:rPr>
            </w:pP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36,459</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13,062</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taxes</w:t>
            </w:r>
          </w:p>
        </w:tc>
        <w:tc>
          <w:tcPr>
            <w:tcW w:w="4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39,163</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15,443</w:t>
            </w:r>
          </w:p>
        </w:tc>
        <w:tc>
          <w:tcPr>
            <w:tcW w:w="60" w:type="dxa"/>
            <w:vAlign w:val="bottom"/>
            <w:shd w:val="clear" w:color="auto" w:fill="CFF0FC"/>
          </w:tcPr>
          <w:p>
            <w:pPr>
              <w:spacing w:after="0"/>
              <w:rPr>
                <w:sz w:val="17"/>
                <w:szCs w:val="17"/>
                <w:color w:val="auto"/>
              </w:rPr>
            </w:pPr>
          </w:p>
        </w:tc>
      </w:tr>
      <w:tr>
        <w:trPr>
          <w:trHeight w:val="202"/>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 and benefits</w:t>
            </w:r>
          </w:p>
        </w:tc>
        <w:tc>
          <w:tcPr>
            <w:tcW w:w="460" w:type="dxa"/>
            <w:vAlign w:val="bottom"/>
          </w:tcPr>
          <w:p>
            <w:pPr>
              <w:spacing w:after="0"/>
              <w:rPr>
                <w:sz w:val="17"/>
                <w:szCs w:val="17"/>
                <w:color w:val="auto"/>
              </w:rPr>
            </w:pP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16,150</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5,749</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4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4,225</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4,890</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7,965</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11,155</w:t>
            </w:r>
          </w:p>
        </w:tc>
        <w:tc>
          <w:tcPr>
            <w:tcW w:w="60" w:type="dxa"/>
            <w:vAlign w:val="bottom"/>
            <w:tcBorders>
              <w:bottom w:val="single" w:sz="8" w:color="auto"/>
            </w:tcBorders>
          </w:tcPr>
          <w:p>
            <w:pPr>
              <w:spacing w:after="0"/>
              <w:rPr>
                <w:sz w:val="17"/>
                <w:szCs w:val="17"/>
                <w:color w:val="auto"/>
              </w:rPr>
            </w:pPr>
          </w:p>
        </w:tc>
      </w:tr>
      <w:tr>
        <w:trPr>
          <w:trHeight w:val="236"/>
        </w:trPr>
        <w:tc>
          <w:tcPr>
            <w:tcW w:w="70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accrued expenses</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121,508</w:t>
            </w:r>
          </w:p>
        </w:tc>
        <w:tc>
          <w:tcPr>
            <w:tcW w:w="1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59,405</w:t>
            </w:r>
          </w:p>
        </w:tc>
        <w:tc>
          <w:tcPr>
            <w:tcW w:w="60" w:type="dxa"/>
            <w:vAlign w:val="bottom"/>
            <w:tcBorders>
              <w:bottom w:val="single" w:sz="8" w:color="auto"/>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-1868170</wp:posOffset>
            </wp:positionV>
            <wp:extent cx="431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-1851025</wp:posOffset>
            </wp:positionV>
            <wp:extent cx="431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200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200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Vehicle payable</w:t>
            </w:r>
          </w:p>
        </w:tc>
        <w:tc>
          <w:tcPr>
            <w:tcW w:w="3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59"/>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30,647</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25,086</w:t>
            </w: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Reserve for estimated returns</w:t>
            </w:r>
          </w:p>
        </w:tc>
        <w:tc>
          <w:tcPr>
            <w:tcW w:w="3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26,522</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435</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3940" w:type="dxa"/>
            <w:vAlign w:val="bottom"/>
          </w:tcPr>
          <w:p>
            <w:pPr>
              <w:ind w:left="20"/>
              <w:spacing w:after="0" w:line="196" w:lineRule="exact"/>
              <w:rPr>
                <w:sz w:val="20"/>
                <w:szCs w:val="20"/>
                <w:color w:val="auto"/>
              </w:rPr>
            </w:pPr>
            <w:r>
              <w:rPr>
                <w:rFonts w:ascii="Arial" w:cs="Arial" w:eastAsia="Arial" w:hAnsi="Arial"/>
                <w:sz w:val="18"/>
                <w:szCs w:val="18"/>
                <w:color w:val="auto"/>
              </w:rPr>
              <w:t>Total other current liabilities</w:t>
            </w:r>
          </w:p>
        </w:tc>
        <w:tc>
          <w:tcPr>
            <w:tcW w:w="4360" w:type="dxa"/>
            <w:vAlign w:val="bottom"/>
            <w:gridSpan w:val="2"/>
          </w:tcPr>
          <w:p>
            <w:pPr>
              <w:jc w:val="right"/>
              <w:ind w:right="1059"/>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57,604</w:t>
            </w:r>
          </w:p>
        </w:tc>
        <w:tc>
          <w:tcPr>
            <w:tcW w:w="76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100" w:type="dxa"/>
            <w:vAlign w:val="bottom"/>
            <w:vMerge w:val="restart"/>
          </w:tcPr>
          <w:p>
            <w:pPr>
              <w:jc w:val="right"/>
              <w:ind w:right="1170"/>
              <w:spacing w:after="0"/>
              <w:rPr>
                <w:sz w:val="20"/>
                <w:szCs w:val="20"/>
                <w:color w:val="auto"/>
              </w:rPr>
            </w:pPr>
            <w:r>
              <w:rPr>
                <w:rFonts w:ascii="Arial" w:cs="Arial" w:eastAsia="Arial" w:hAnsi="Arial"/>
                <w:sz w:val="18"/>
                <w:szCs w:val="18"/>
                <w:color w:val="auto"/>
              </w:rPr>
              <w:t>112</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-639445</wp:posOffset>
            </wp:positionV>
            <wp:extent cx="12001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2" w:name="page113"/>
    <w:bookmarkEnd w:id="11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Vehicle Floorplan Facilities</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(the “2020 Vehicle Floorplan Facility”). The 2020 Vehicle Floorplan Facility provided a committed credit line of up to $450.0 million and was amended in October 2020 to extend the maturity date to September 30, 2022. The amount of credit available is determined on a monthly basis based on a calculation that considers average outstanding borrowings and vehicle units paid off by the Company within the immediately preceding three-month period.</w:t>
      </w:r>
    </w:p>
    <w:p>
      <w:pPr>
        <w:spacing w:after="0" w:line="189"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7.5% of the outstanding borrowings in cash and cash equivalents, and to maintain 10% of the daily floorplan principal balance outstanding on deposit with Ally Bank. The Company is required to pay an availability fee each quarter on the average unused capacity from the prior quarter if it was greater than 50% of the calculated floorplan allowance, as defined. Cash deposits required under the Company's 2020 Vehicle Floorplan of $50.6 million and $31.6 million are classified as "Restricted cash" within the consolidated balance sheets as of December 31, 2021 and 2020, respectively.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December 2021, the Company further amended its 2020 Vehicle Floorplan Facility to increase the committed credit line from</w:t>
      </w:r>
    </w:p>
    <w:p>
      <w:pPr>
        <w:spacing w:after="0" w:line="234" w:lineRule="auto"/>
        <w:rPr>
          <w:sz w:val="20"/>
          <w:szCs w:val="20"/>
          <w:color w:val="auto"/>
        </w:rPr>
      </w:pPr>
      <w:r>
        <w:rPr>
          <w:rFonts w:ascii="Arial" w:cs="Arial" w:eastAsia="Arial" w:hAnsi="Arial"/>
          <w:sz w:val="18"/>
          <w:szCs w:val="18"/>
          <w:color w:val="auto"/>
        </w:rPr>
        <w:t>$450.0 million to $700.0 million. The amendment updated the interest rate to the Prime Rate, announced per annum by Ally Bank, plus 105</w:t>
      </w:r>
    </w:p>
    <w:p>
      <w:pPr>
        <w:spacing w:after="0" w:line="235" w:lineRule="auto"/>
        <w:rPr>
          <w:sz w:val="20"/>
          <w:szCs w:val="20"/>
          <w:color w:val="auto"/>
        </w:rPr>
      </w:pPr>
      <w:r>
        <w:rPr>
          <w:rFonts w:ascii="Arial" w:cs="Arial" w:eastAsia="Arial" w:hAnsi="Arial"/>
          <w:sz w:val="18"/>
          <w:szCs w:val="18"/>
          <w:color w:val="auto"/>
        </w:rPr>
        <w:t>basis points. The Company was required to pay an upfront commitment fee upon execution of the amendment. As of December 31, 2021,</w:t>
      </w:r>
    </w:p>
    <w:p>
      <w:pPr>
        <w:spacing w:after="0" w:line="235" w:lineRule="auto"/>
        <w:rPr>
          <w:sz w:val="20"/>
          <w:szCs w:val="20"/>
          <w:color w:val="auto"/>
        </w:rPr>
      </w:pPr>
      <w:r>
        <w:rPr>
          <w:rFonts w:ascii="Arial" w:cs="Arial" w:eastAsia="Arial" w:hAnsi="Arial"/>
          <w:sz w:val="18"/>
          <w:szCs w:val="18"/>
          <w:color w:val="auto"/>
        </w:rPr>
        <w:t>the borrowing capacity of the 2020 Vehicle Floorplan Facility was $700.0 million, of which $187.2 million was unutilized. In February 2022,</w:t>
      </w:r>
    </w:p>
    <w:p>
      <w:pPr>
        <w:spacing w:after="0" w:line="235" w:lineRule="auto"/>
        <w:rPr>
          <w:sz w:val="20"/>
          <w:szCs w:val="20"/>
          <w:color w:val="auto"/>
        </w:rPr>
      </w:pPr>
      <w:r>
        <w:rPr>
          <w:rFonts w:ascii="Arial" w:cs="Arial" w:eastAsia="Arial" w:hAnsi="Arial"/>
          <w:sz w:val="18"/>
          <w:szCs w:val="18"/>
          <w:color w:val="auto"/>
        </w:rPr>
        <w:t>the Company amended its 2020 Vehicle Floorplan Facility to extend the maturity date to March 31, 2023 and was required to pay an upfront</w:t>
      </w:r>
    </w:p>
    <w:p>
      <w:pPr>
        <w:spacing w:after="0"/>
        <w:rPr>
          <w:sz w:val="20"/>
          <w:szCs w:val="20"/>
          <w:color w:val="auto"/>
        </w:rPr>
      </w:pPr>
      <w:r>
        <w:rPr>
          <w:rFonts w:ascii="Arial" w:cs="Arial" w:eastAsia="Arial" w:hAnsi="Arial"/>
          <w:sz w:val="18"/>
          <w:szCs w:val="18"/>
          <w:color w:val="auto"/>
        </w:rPr>
        <w:t>commitment fee upon execution of the amendment.</w:t>
      </w:r>
    </w:p>
    <w:p>
      <w:pPr>
        <w:spacing w:after="0" w:line="198" w:lineRule="exact"/>
        <w:rPr>
          <w:sz w:val="20"/>
          <w:szCs w:val="20"/>
          <w:color w:val="auto"/>
        </w:rPr>
      </w:pPr>
    </w:p>
    <w:p>
      <w:pPr>
        <w:ind w:right="500" w:firstLine="761"/>
        <w:spacing w:after="0" w:line="246" w:lineRule="auto"/>
        <w:rPr>
          <w:sz w:val="20"/>
          <w:szCs w:val="20"/>
          <w:color w:val="auto"/>
        </w:rPr>
      </w:pPr>
      <w:r>
        <w:rPr>
          <w:rFonts w:ascii="Arial" w:cs="Arial" w:eastAsia="Arial" w:hAnsi="Arial"/>
          <w:sz w:val="18"/>
          <w:szCs w:val="18"/>
          <w:color w:val="auto"/>
        </w:rPr>
        <w:t>As of December 31, 2021 and 2020, outstanding borrowings on the vehicle floorplan facilities were $512.8 million and $329.2 million, respectively.</w:t>
      </w:r>
    </w:p>
    <w:p>
      <w:pPr>
        <w:spacing w:after="0" w:line="183"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Interest expense incurred by the Company for the vehicle floorplan facilities was $17.7 million, $9.7 million, and $10.4 million for the years ended December 31, 2021, 2020, and 2019, respectively, which are recorded within “Interest expense” in the consolidated statements of operations. The weighted average interest rate on the vehicle floorplan borrowings was 4.30% and 4.39% as of December 31, 2021 and 2020, respectively.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and 2020, the Company was in compliance with all covenants related to the vehicle floorplan facilities.</w:t>
      </w:r>
    </w:p>
    <w:p>
      <w:pPr>
        <w:spacing w:after="0" w:line="198"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$10.1 million, $5.4 million, and $5.1 million for the years ended December 31, 2021, 2020, and 2019, respectively, which are recorded within “Interest income” in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Senior Notes</w:t>
      </w:r>
    </w:p>
    <w:p>
      <w:pPr>
        <w:spacing w:after="0" w:line="261"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232"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3" w:name="page114"/>
    <w:bookmarkEnd w:id="11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32" w:lineRule="exact"/>
        <w:rPr>
          <w:sz w:val="20"/>
          <w:szCs w:val="20"/>
          <w:color w:val="auto"/>
        </w:rPr>
      </w:pPr>
    </w:p>
    <w:p>
      <w:pPr>
        <w:ind w:left="760" w:right="20" w:hanging="378"/>
        <w:spacing w:after="0" w:line="238"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91" w:lineRule="exact"/>
        <w:rPr>
          <w:rFonts w:ascii="Arial" w:cs="Arial" w:eastAsia="Arial" w:hAnsi="Arial"/>
          <w:sz w:val="18"/>
          <w:szCs w:val="18"/>
          <w:color w:val="auto"/>
        </w:rPr>
      </w:pPr>
    </w:p>
    <w:p>
      <w:pPr>
        <w:jc w:val="both"/>
        <w:ind w:left="760" w:right="14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89"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198" w:lineRule="exact"/>
        <w:rPr>
          <w:rFonts w:ascii="Arial" w:cs="Arial" w:eastAsia="Arial" w:hAnsi="Arial"/>
          <w:sz w:val="18"/>
          <w:szCs w:val="18"/>
          <w:color w:val="auto"/>
        </w:rPr>
      </w:pPr>
    </w:p>
    <w:p>
      <w:pPr>
        <w:ind w:left="760" w:right="740" w:hanging="378"/>
        <w:spacing w:after="0" w:line="246"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24" w:lineRule="exact"/>
        <w:rPr>
          <w:sz w:val="20"/>
          <w:szCs w:val="20"/>
          <w:color w:val="auto"/>
        </w:rPr>
      </w:pPr>
    </w:p>
    <w:p>
      <w:pPr>
        <w:ind w:right="40" w:firstLine="374"/>
        <w:spacing w:after="0" w:line="246"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224"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32" w:lineRule="exact"/>
        <w:rPr>
          <w:sz w:val="20"/>
          <w:szCs w:val="20"/>
          <w:color w:val="auto"/>
        </w:rPr>
      </w:pPr>
    </w:p>
    <w:p>
      <w:pPr>
        <w:ind w:right="40" w:firstLine="374"/>
        <w:spacing w:after="0" w:line="237"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year ended December 31, 2021, the conditions allowing holders of the Notes to convert were not met.</w:t>
      </w:r>
    </w:p>
    <w:p>
      <w:pPr>
        <w:spacing w:after="0" w:line="232"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The Company accounts for the Notes as a single liability-classified instrument measured at amortized cost. As of December 31, 2021, the unamortized debt discount and debt issuance costs was $14.4 million and the net carrying value was $610.6 million. The total estimated fair value of the Notes as of December 31, 2021 was approximately $386.1 million. The fair value was determined using actual bids and offer prices of the Notes in markets that are not active and is classified within Level 2 of the fair value hierarchy.</w:t>
      </w:r>
    </w:p>
    <w:p>
      <w:pPr>
        <w:spacing w:after="0" w:line="232" w:lineRule="exact"/>
        <w:rPr>
          <w:sz w:val="20"/>
          <w:szCs w:val="20"/>
          <w:color w:val="auto"/>
        </w:rPr>
      </w:pPr>
    </w:p>
    <w:p>
      <w:pPr>
        <w:ind w:right="200" w:firstLine="374"/>
        <w:spacing w:after="0"/>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year ended December 31, 2021 was $4.3 million. The effective interest rate of the Notes is 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0"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4" w:name="page115"/>
    <w:bookmarkEnd w:id="11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91" w:lineRule="exact"/>
        <w:rPr>
          <w:sz w:val="20"/>
          <w:szCs w:val="20"/>
          <w:color w:val="auto"/>
        </w:rPr>
      </w:pPr>
    </w:p>
    <w:p>
      <w:pPr>
        <w:ind w:firstLine="764"/>
        <w:spacing w:after="0" w:line="236"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consolidated case is in preliminary stages, and the Company anticipates filing a motion to dismiss all claims.</w:t>
      </w:r>
    </w:p>
    <w:p>
      <w:pPr>
        <w:spacing w:after="0" w:line="18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In August 2021, one of the Company’s stockholders filed a derivative lawsuit on behalf of the Company in the U.S. District Court for the Southern District of New York against certain of the Company’s officers and directors, and nominally against the Company, alleging a violation of the federal securities laws and breach of fiduciary duty to the Company based on the same general course of conduct alleged in In re: Vroom, Inc. Securities Litigation. This lawsuit is captioned Rainey v. Hennessy et al., Case No. 21-cv-6933. The Court deemed this case “related” to In re: Vroom, Inc. Securities Litigation and stayed all proceedings pending final resolution of In re: Vroom, Inc. Securities Litigation.</w:t>
      </w:r>
    </w:p>
    <w:p>
      <w:pPr>
        <w:spacing w:after="0" w:line="191"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On November 8, 2021, a similar purported shareholder derivative lawsuit captioned Salli v. Hennessy et al., Case No. 1:21-cv-09237, was filed against the Company (as a nominal defendant only) and certain of our directors and officers in the U.S. District Court for the Southern District of New York, alleging breach of fiduciary duty, related violations of Delaware law, and breaches of various provisions of the Exchange Act. The lawsuit is based on the same general course of conduct alleged in In re: Vroom, Inc. Securities Litigation and Rainey. The plaintiff in Salli marked that case as “related” to Rainey.</w:t>
      </w:r>
    </w:p>
    <w:p>
      <w:pPr>
        <w:spacing w:after="0" w:line="202" w:lineRule="exact"/>
        <w:rPr>
          <w:sz w:val="20"/>
          <w:szCs w:val="20"/>
          <w:color w:val="auto"/>
        </w:rPr>
      </w:pPr>
    </w:p>
    <w:p>
      <w:pPr>
        <w:ind w:firstLine="636"/>
        <w:spacing w:after="0" w:line="236" w:lineRule="auto"/>
        <w:rPr>
          <w:sz w:val="20"/>
          <w:szCs w:val="20"/>
          <w:color w:val="auto"/>
        </w:rPr>
      </w:pPr>
      <w:r>
        <w:rPr>
          <w:rFonts w:ascii="Arial" w:cs="Arial" w:eastAsia="Arial" w:hAnsi="Arial"/>
          <w:sz w:val="18"/>
          <w:szCs w:val="18"/>
          <w:color w:val="auto"/>
        </w:rPr>
        <w:t>On December 2, 2021, the court consolidated Rainey and Salli under the case caption In re Vroom, Inc. Shareholder Derivative Litigation, Case No. 21-cv-6933, approved the parties’ stipulation that the case would remain stayed pending final resolution of In re: Vroom, Inc. Securities Litigation. On January 28, 2022, a similar purported shareholder derivative lawsuit captioned McDonough v. Hennessy et al., Case No. 22-cv-752, was filed against the Company (as a nominal defendant only) and certain of our directors and officers in the U.S. District Court for the Southern District of New York, alleging breach of fiduciary duty and breach of various provisions of the Exchange Act. The lawsuit is based on the same general course of conduct alleged in In re: Vroom, Inc. Securities Litigation. On February 1, 2022, a similar purported shareholder derivative lawsuit captioned Yunayev v. Hennessy et al., Case No. 22-cv-862, was filed against the Company (as a nominal defendant only) and certain of our directors and officers in the U.S. District Court for the Southern District of New York, alleging breach of fiduciary duty and breach of various provisions of the Exchange Act. The lawsuit is based on the same general course of conduct alleged in In re: Vroom, Inc. Securities Litigation. The McDonough and Yunayev suits are in preliminary stages and there have been no substantive developments in either matter.</w:t>
      </w:r>
    </w:p>
    <w:p>
      <w:pPr>
        <w:spacing w:after="0" w:line="191" w:lineRule="exact"/>
        <w:rPr>
          <w:sz w:val="20"/>
          <w:szCs w:val="20"/>
          <w:color w:val="auto"/>
        </w:rPr>
      </w:pPr>
    </w:p>
    <w:p>
      <w:pPr>
        <w:ind w:right="220" w:firstLine="764"/>
        <w:spacing w:after="0" w:line="238" w:lineRule="auto"/>
        <w:rPr>
          <w:sz w:val="20"/>
          <w:szCs w:val="20"/>
          <w:color w:val="auto"/>
        </w:rPr>
      </w:pPr>
      <w:r>
        <w:rPr>
          <w:rFonts w:ascii="Arial" w:cs="Arial" w:eastAsia="Arial" w:hAnsi="Arial"/>
          <w:sz w:val="18"/>
          <w:szCs w:val="18"/>
          <w:color w:val="auto"/>
        </w:rPr>
        <w:t>The Company believes these lawsuits are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5" w:name="page116"/>
    <w:bookmarkEnd w:id="11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obtained stand-by letters of credit to satisfy conditions under three lease agreements. The Company was required to maintain a cash deposit of $1.8 million and $2.2 million with the financial institution that issued the stand-by letters of credit, which is classified as “Restricted cash” within the consolidated balance sheets as of December 31,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0"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Company’s leasing activities primarily consist of real estate leases for its operations, including office space, the Company’s reconditioning facility, the TDA retail location, the Company’s Sell Us Your Car centers, parking lots, other facilities and equipment used in the normal course of business. The real estate leases have terms ranging from six months to eight years. The Company assesses whether each lease is an operating or finance lease at the lease commencement date. The Company does not have any material leases, individually or in the aggregate, classified as a finance leasing arrangement.</w:t>
      </w:r>
    </w:p>
    <w:p>
      <w:pPr>
        <w:spacing w:after="0" w:line="189" w:lineRule="exact"/>
        <w:rPr>
          <w:sz w:val="20"/>
          <w:szCs w:val="20"/>
          <w:color w:val="auto"/>
        </w:rPr>
      </w:pPr>
    </w:p>
    <w:p>
      <w:pPr>
        <w:ind w:right="420" w:firstLine="761"/>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 The Company does not have any significant leases that have not yet commenced but that create significant rights and obligations for the Company.</w:t>
      </w:r>
    </w:p>
    <w:p>
      <w:pPr>
        <w:spacing w:after="0" w:line="189" w:lineRule="exact"/>
        <w:rPr>
          <w:sz w:val="20"/>
          <w:szCs w:val="20"/>
          <w:color w:val="auto"/>
        </w:rPr>
      </w:pPr>
    </w:p>
    <w:p>
      <w:pPr>
        <w:ind w:right="100" w:firstLine="764"/>
        <w:spacing w:after="0" w:line="238"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191" w:lineRule="exact"/>
        <w:rPr>
          <w:sz w:val="20"/>
          <w:szCs w:val="20"/>
          <w:color w:val="auto"/>
        </w:rPr>
      </w:pPr>
    </w:p>
    <w:p>
      <w:pPr>
        <w:ind w:right="280" w:firstLine="764"/>
        <w:spacing w:after="0" w:line="246"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220" w:lineRule="exact"/>
        <w:rPr>
          <w:sz w:val="20"/>
          <w:szCs w:val="20"/>
          <w:color w:val="auto"/>
        </w:rPr>
      </w:pPr>
    </w:p>
    <w:p>
      <w:pPr>
        <w:ind w:right="120" w:firstLine="761"/>
        <w:spacing w:after="0" w:line="274" w:lineRule="auto"/>
        <w:rPr>
          <w:sz w:val="20"/>
          <w:szCs w:val="20"/>
          <w:color w:val="auto"/>
        </w:rPr>
      </w:pPr>
      <w:r>
        <w:rPr>
          <w:rFonts w:ascii="Arial" w:cs="Arial" w:eastAsia="Arial" w:hAnsi="Arial"/>
          <w:sz w:val="17"/>
          <w:szCs w:val="17"/>
          <w:color w:val="auto"/>
        </w:rPr>
        <w:t>The weighted-average remaining lease term and discount rate for the Company’s operating leases, excluding short-term operating leases, were 2.7 years and 3.4% as of December 31, 2021, respectively, and 3.5 years and 3.4% as of December 31, 2020, respectively.</w:t>
      </w:r>
    </w:p>
    <w:p>
      <w:pPr>
        <w:spacing w:after="0" w:line="161"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6" w:name="page117"/>
    <w:bookmarkEnd w:id="11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uses its incremental borrowing rate based on the information available at commencement date in determining the present value of lease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lease costs and activity for the years ended December 31, 2021 and 2020 were as follows (in thousands):</w:t>
      </w:r>
    </w:p>
    <w:p>
      <w:pPr>
        <w:spacing w:after="0" w:line="226"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2020</w:t>
            </w:r>
          </w:p>
        </w:tc>
      </w:tr>
      <w:tr>
        <w:trPr>
          <w:trHeight w:val="169"/>
        </w:trPr>
        <w:tc>
          <w:tcPr>
            <w:tcW w:w="7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Lease Cost</w:t>
            </w:r>
          </w:p>
        </w:tc>
        <w:tc>
          <w:tcPr>
            <w:tcW w:w="1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1240" w:type="dxa"/>
            <w:vAlign w:val="bottom"/>
          </w:tcPr>
          <w:p>
            <w:pPr>
              <w:jc w:val="right"/>
              <w:ind w:right="103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6,919</w:t>
            </w:r>
          </w:p>
        </w:tc>
        <w:tc>
          <w:tcPr>
            <w:tcW w:w="74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5,503</w:t>
            </w: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12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1,660</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350</w:t>
            </w: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12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2,921</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1,915</w:t>
            </w:r>
          </w:p>
        </w:tc>
      </w:tr>
      <w:tr>
        <w:trPr>
          <w:trHeight w:val="203"/>
        </w:trPr>
        <w:tc>
          <w:tcPr>
            <w:tcW w:w="7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(196 )</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(445 )</w:t>
            </w:r>
          </w:p>
        </w:tc>
      </w:tr>
      <w:tr>
        <w:trPr>
          <w:trHeight w:val="196"/>
        </w:trPr>
        <w:tc>
          <w:tcPr>
            <w:tcW w:w="7040" w:type="dxa"/>
            <w:vAlign w:val="bottom"/>
          </w:tcPr>
          <w:p>
            <w:pPr>
              <w:ind w:left="20"/>
              <w:spacing w:after="0" w:line="196" w:lineRule="exact"/>
              <w:rPr>
                <w:sz w:val="20"/>
                <w:szCs w:val="20"/>
                <w:color w:val="auto"/>
              </w:rPr>
            </w:pPr>
            <w:r>
              <w:rPr>
                <w:rFonts w:ascii="Arial" w:cs="Arial" w:eastAsia="Arial" w:hAnsi="Arial"/>
                <w:sz w:val="18"/>
                <w:szCs w:val="18"/>
                <w:color w:val="auto"/>
              </w:rPr>
              <w:t>Net lease cost</w:t>
            </w:r>
          </w:p>
        </w:tc>
        <w:tc>
          <w:tcPr>
            <w:tcW w:w="1240" w:type="dxa"/>
            <w:vAlign w:val="bottom"/>
            <w:tcBorders>
              <w:bottom w:val="single" w:sz="8" w:color="auto"/>
            </w:tcBorders>
          </w:tcPr>
          <w:p>
            <w:pPr>
              <w:jc w:val="right"/>
              <w:ind w:right="1036"/>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11,304</w:t>
            </w:r>
          </w:p>
        </w:tc>
        <w:tc>
          <w:tcPr>
            <w:tcW w:w="18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7,323</w:t>
            </w:r>
          </w:p>
        </w:tc>
      </w:tr>
      <w:tr>
        <w:trPr>
          <w:trHeight w:val="20"/>
        </w:trPr>
        <w:tc>
          <w:tcPr>
            <w:tcW w:w="7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8"/>
        </w:trPr>
        <w:tc>
          <w:tcPr>
            <w:tcW w:w="7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Year Ended</w:t>
            </w:r>
          </w:p>
        </w:tc>
        <w:tc>
          <w:tcPr>
            <w:tcW w:w="1440" w:type="dxa"/>
            <w:vAlign w:val="bottom"/>
          </w:tcPr>
          <w:p>
            <w:pPr>
              <w:spacing w:after="0"/>
              <w:rPr>
                <w:sz w:val="24"/>
                <w:szCs w:val="24"/>
                <w:color w:val="auto"/>
              </w:rPr>
            </w:pPr>
          </w:p>
        </w:tc>
      </w:tr>
      <w:tr>
        <w:trPr>
          <w:trHeight w:val="189"/>
        </w:trPr>
        <w:tc>
          <w:tcPr>
            <w:tcW w:w="70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69"/>
        </w:trPr>
        <w:tc>
          <w:tcPr>
            <w:tcW w:w="7040" w:type="dxa"/>
            <w:vAlign w:val="bottom"/>
          </w:tcPr>
          <w:p>
            <w:pPr>
              <w:spacing w:after="0"/>
              <w:rPr>
                <w:sz w:val="14"/>
                <w:szCs w:val="14"/>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2020</w:t>
            </w:r>
          </w:p>
        </w:tc>
      </w:tr>
      <w:tr>
        <w:trPr>
          <w:trHeight w:val="169"/>
        </w:trPr>
        <w:tc>
          <w:tcPr>
            <w:tcW w:w="7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information</w:t>
            </w:r>
          </w:p>
        </w:tc>
        <w:tc>
          <w:tcPr>
            <w:tcW w:w="1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240" w:type="dxa"/>
            <w:vAlign w:val="bottom"/>
            <w:shd w:val="clear" w:color="auto" w:fill="CFF0FC"/>
          </w:tcPr>
          <w:p>
            <w:pPr>
              <w:jc w:val="right"/>
              <w:ind w:right="103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6,806</w:t>
            </w:r>
          </w:p>
        </w:tc>
        <w:tc>
          <w:tcPr>
            <w:tcW w:w="740" w:type="dxa"/>
            <w:vAlign w:val="bottom"/>
            <w:gridSpan w:val="2"/>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5,524</w:t>
            </w:r>
          </w:p>
        </w:tc>
      </w:tr>
      <w:tr>
        <w:trPr>
          <w:trHeight w:val="217"/>
        </w:trPr>
        <w:tc>
          <w:tcPr>
            <w:tcW w:w="70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1,599</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-1128395</wp:posOffset>
            </wp:positionV>
            <wp:extent cx="12001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220" w:lineRule="exact"/>
        <w:rPr>
          <w:sz w:val="20"/>
          <w:szCs w:val="20"/>
          <w:color w:val="auto"/>
        </w:rPr>
      </w:pPr>
    </w:p>
    <w:p>
      <w:pPr>
        <w:ind w:right="540" w:firstLine="761"/>
        <w:spacing w:after="0" w:line="246" w:lineRule="auto"/>
        <w:rPr>
          <w:sz w:val="20"/>
          <w:szCs w:val="20"/>
          <w:color w:val="auto"/>
        </w:rPr>
      </w:pPr>
      <w:r>
        <w:rPr>
          <w:rFonts w:ascii="Arial" w:cs="Arial" w:eastAsia="Arial" w:hAnsi="Arial"/>
          <w:sz w:val="18"/>
          <w:szCs w:val="18"/>
          <w:color w:val="auto"/>
        </w:rPr>
        <w:t>The maturity of the Company’s lease liabilities on an undiscounted cash flow basis and a reconciliation to the operating lease liabilities recognized on the Company’s consolidated balance sheet as of December 31, 2021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9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3"/>
        </w:trPr>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96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03"/>
        </w:trPr>
        <w:tc>
          <w:tcPr>
            <w:tcW w:w="8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9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3"/>
        </w:trPr>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96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2"/>
        </w:trPr>
        <w:tc>
          <w:tcPr>
            <w:tcW w:w="8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9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9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17"/>
        </w:trPr>
        <w:tc>
          <w:tcPr>
            <w:tcW w:w="87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9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(768 )</w:t>
            </w:r>
          </w:p>
        </w:tc>
        <w:tc>
          <w:tcPr>
            <w:tcW w:w="0" w:type="dxa"/>
            <w:vAlign w:val="bottom"/>
          </w:tcPr>
          <w:p>
            <w:pPr>
              <w:spacing w:after="0"/>
              <w:rPr>
                <w:sz w:val="1"/>
                <w:szCs w:val="1"/>
                <w:color w:val="auto"/>
              </w:rPr>
            </w:pPr>
          </w:p>
        </w:tc>
      </w:tr>
      <w:tr>
        <w:trPr>
          <w:trHeight w:val="161"/>
        </w:trPr>
        <w:tc>
          <w:tcPr>
            <w:tcW w:w="8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lease liabilities</w:t>
            </w: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16,481</w:t>
            </w:r>
          </w:p>
        </w:tc>
        <w:tc>
          <w:tcPr>
            <w:tcW w:w="0" w:type="dxa"/>
            <w:vAlign w:val="bottom"/>
          </w:tcPr>
          <w:p>
            <w:pPr>
              <w:spacing w:after="0"/>
              <w:rPr>
                <w:sz w:val="1"/>
                <w:szCs w:val="1"/>
                <w:color w:val="auto"/>
              </w:rPr>
            </w:pPr>
          </w:p>
        </w:tc>
      </w:tr>
      <w:tr>
        <w:trPr>
          <w:trHeight w:val="210"/>
        </w:trPr>
        <w:tc>
          <w:tcPr>
            <w:tcW w:w="8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current</w:t>
            </w:r>
          </w:p>
        </w:tc>
        <w:tc>
          <w:tcPr>
            <w:tcW w:w="960" w:type="dxa"/>
            <w:vAlign w:val="bottom"/>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03"/>
        </w:trPr>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noncurrent</w:t>
            </w:r>
          </w:p>
        </w:tc>
        <w:tc>
          <w:tcPr>
            <w:tcW w:w="9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36"/>
        </w:trPr>
        <w:tc>
          <w:tcPr>
            <w:tcW w:w="8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lease liabilities</w:t>
            </w: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16,481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00" w:firstLine="764"/>
        <w:spacing w:after="0"/>
        <w:rPr>
          <w:sz w:val="20"/>
          <w:szCs w:val="20"/>
          <w:color w:val="auto"/>
        </w:rPr>
      </w:pPr>
      <w:r>
        <w:rPr>
          <w:rFonts w:ascii="Arial" w:cs="Arial" w:eastAsia="Arial" w:hAnsi="Arial"/>
          <w:sz w:val="18"/>
          <w:szCs w:val="18"/>
          <w:color w:val="auto"/>
        </w:rPr>
        <w:t>In accordance with ASC Topic 840, rent expense was $7.2 million for the year ended December 31, 2019. Certain of the Company’s lease agreements contain escalation clauses, and accordingly, the Company records the rent expense on a straight-line basis over the lease term.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7" w:name="page118"/>
    <w:bookmarkEnd w:id="11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8" w:lineRule="exact"/>
        <w:rPr>
          <w:sz w:val="20"/>
          <w:szCs w:val="20"/>
          <w:color w:val="auto"/>
        </w:rPr>
      </w:pPr>
    </w:p>
    <w:p>
      <w:pPr>
        <w:ind w:right="5180"/>
        <w:spacing w:after="0" w:line="482" w:lineRule="auto"/>
        <w:rPr>
          <w:sz w:val="20"/>
          <w:szCs w:val="20"/>
          <w:color w:val="auto"/>
        </w:rPr>
      </w:pPr>
      <w:r>
        <w:rPr>
          <w:rFonts w:ascii="Arial" w:cs="Arial" w:eastAsia="Arial" w:hAnsi="Arial"/>
          <w:sz w:val="18"/>
          <w:szCs w:val="18"/>
          <w:b w:val="1"/>
          <w:bCs w:val="1"/>
          <w:color w:val="auto"/>
        </w:rPr>
        <w:t xml:space="preserve">13. Redeemable Convertible Preferred Stock and Stockholders’ Equity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220" w:firstLine="636"/>
        <w:spacing w:after="0" w:line="246" w:lineRule="auto"/>
        <w:rPr>
          <w:sz w:val="20"/>
          <w:szCs w:val="20"/>
          <w:color w:val="auto"/>
        </w:rPr>
      </w:pPr>
      <w:r>
        <w:rPr>
          <w:rFonts w:ascii="Arial" w:cs="Arial" w:eastAsia="Arial" w:hAnsi="Arial"/>
          <w:sz w:val="18"/>
          <w:szCs w:val="18"/>
          <w:color w:val="auto"/>
        </w:rPr>
        <w:t>On January 8, 2020, the Company issued and sold an aggregate of 1,964,766 shares of Series H Preferred Stock in exchange for gross proceeds of $26.7 million. The proceeds were used for general corporate purposes and business development.</w:t>
      </w:r>
    </w:p>
    <w:p>
      <w:pPr>
        <w:spacing w:after="0" w:line="183"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Immediately upon closing of the IPO, the Company’s outstanding shares of preferred stock were automatically converted into an aggregate of 85,533,394 shares of the Company’s common stock. On June 11, 2020, the Company amended its certificate of incorporation to authorize the issuance of up to 10,000,000 shares of Preferred Stock. As of December 31, 2021, there was no preferred stock issued or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right="300" w:firstLine="636"/>
        <w:spacing w:after="0" w:line="23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In connection with the offering of shares of Series B Preferred Stock in November 2014,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on a cashless basis by the holder which resulted in the net issuance of 155,862 shares of the Company’s common stock.</w:t>
      </w:r>
    </w:p>
    <w:p>
      <w:pPr>
        <w:spacing w:after="0" w:line="189"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In August 2017, the Company issued a warrant (the “Series F Preferred Stock Warrant”) which entitled the holder to purchase up to 589,970 shares of the Company’s Series F Preferred Stock, or common stock upon conversion of the Company’s preferred stock into common stock, with an exercise price of $8.53 per share. The holders exercised the warrant on June 23, 2020 on a cashless basis, which resulted in the net issuance of 480,250 shares of the Company’s common stock. Prior to the conversion of the Company’s preferred stock into common stock, the Series F Preferred Stock Warrant was classified as a liability due to the contingent redemption features of the Series F Preferred Stock and was measured at fair value at each reporting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0" w:lineRule="exact"/>
        <w:rPr>
          <w:sz w:val="20"/>
          <w:szCs w:val="20"/>
          <w:color w:val="auto"/>
        </w:rPr>
      </w:pPr>
    </w:p>
    <w:p>
      <w:pPr>
        <w:jc w:val="both"/>
        <w:ind w:right="60" w:firstLine="761"/>
        <w:spacing w:after="0" w:line="259"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w:t>
      </w:r>
    </w:p>
    <w:p>
      <w:pPr>
        <w:spacing w:after="0" w:line="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are forfeited or lapse unexercised and which following the effective date are not issued under the 2014 Plan. Awards may be issued in the form of restricted stock units, restricted stock, stock appreciation rights, and stock options. As of December 31, 2021, there were 2,777,619 shares available for future issuance under the 2020 Plan.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118" w:name="page119"/>
    <w:bookmarkEnd w:id="11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stock option activity for the year ended December 31,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420" w:type="dxa"/>
            <w:vAlign w:val="bottom"/>
          </w:tcPr>
          <w:p>
            <w:pPr>
              <w:jc w:val="center"/>
              <w:ind w:right="1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4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4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4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5,617,568</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4.35</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183"/>
        </w:trPr>
        <w:tc>
          <w:tcPr>
            <w:tcW w:w="6620" w:type="dxa"/>
            <w:vAlign w:val="bottom"/>
          </w:tcPr>
          <w:p>
            <w:pPr>
              <w:ind w:left="20"/>
              <w:spacing w:after="0" w:line="183" w:lineRule="exact"/>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72,578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35"/>
              <w:spacing w:after="0" w:line="183" w:lineRule="exact"/>
              <w:rPr>
                <w:sz w:val="20"/>
                <w:szCs w:val="20"/>
                <w:color w:val="auto"/>
              </w:rPr>
            </w:pPr>
            <w:r>
              <w:rPr>
                <w:rFonts w:ascii="Arial" w:cs="Arial" w:eastAsia="Arial" w:hAnsi="Arial"/>
                <w:sz w:val="18"/>
                <w:szCs w:val="18"/>
                <w:color w:val="auto"/>
              </w:rPr>
              <w:t>4.97</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(1,409,004 )</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4.09</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Forfeited / cancelled</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(204,600 )</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5.73</w:t>
            </w:r>
          </w:p>
        </w:tc>
        <w:tc>
          <w:tcPr>
            <w:tcW w:w="14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2021</w:t>
            </w:r>
          </w:p>
        </w:tc>
        <w:tc>
          <w:tcPr>
            <w:tcW w:w="14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4,076,542</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4.39</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183"/>
        </w:trPr>
        <w:tc>
          <w:tcPr>
            <w:tcW w:w="6620" w:type="dxa"/>
            <w:vAlign w:val="bottom"/>
          </w:tcPr>
          <w:p>
            <w:pPr>
              <w:ind w:left="20"/>
              <w:spacing w:after="0" w:line="183" w:lineRule="exact"/>
              <w:rPr>
                <w:sz w:val="20"/>
                <w:szCs w:val="20"/>
                <w:color w:val="auto"/>
              </w:rPr>
            </w:pPr>
            <w:r>
              <w:rPr>
                <w:rFonts w:ascii="Arial" w:cs="Arial" w:eastAsia="Arial" w:hAnsi="Arial"/>
                <w:sz w:val="18"/>
                <w:szCs w:val="18"/>
                <w:color w:val="auto"/>
              </w:rPr>
              <w:t>Vested and exercisable as of December 31, 2020</w:t>
            </w:r>
          </w:p>
        </w:tc>
        <w:tc>
          <w:tcPr>
            <w:tcW w:w="1440" w:type="dxa"/>
            <w:vAlign w:val="bottom"/>
            <w:tcBorders>
              <w:bottom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3,449,606</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8"/>
                <w:szCs w:val="18"/>
                <w:color w:val="auto"/>
              </w:rPr>
              <w:t>3.83</w:t>
            </w: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Vested and exercisable as of December 31, 2021</w:t>
            </w:r>
          </w:p>
        </w:tc>
        <w:tc>
          <w:tcPr>
            <w:tcW w:w="1440" w:type="dxa"/>
            <w:vAlign w:val="bottom"/>
            <w:tcBorders>
              <w:top w:val="single" w:sz="8" w:color="auto"/>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2,964,534</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ind w:right="35"/>
              <w:spacing w:after="0" w:line="183" w:lineRule="exact"/>
              <w:rPr>
                <w:sz w:val="20"/>
                <w:szCs w:val="20"/>
                <w:color w:val="auto"/>
              </w:rPr>
            </w:pPr>
            <w:r>
              <w:rPr>
                <w:rFonts w:ascii="Arial" w:cs="Arial" w:eastAsia="Arial" w:hAnsi="Arial"/>
                <w:sz w:val="18"/>
                <w:szCs w:val="18"/>
                <w:color w:val="auto"/>
              </w:rPr>
              <w:t>4.04</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-882650</wp:posOffset>
            </wp:positionV>
            <wp:extent cx="9461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-864870</wp:posOffset>
            </wp:positionV>
            <wp:extent cx="9461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-882650</wp:posOffset>
            </wp:positionV>
            <wp:extent cx="939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-864870</wp:posOffset>
            </wp:positionV>
            <wp:extent cx="939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1114425" cy="179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14425" cy="1797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946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22"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The Company recognized $2.2 million, $2.2 million, and $2.6 million of stock-based compensation expense related to stock options for the years ended December 31, 2021, 2020, and 2019, respectively. As of December 31, 2021 and 2020, the Company had $2.5 million and $3.5 million, respectively, of unrecognized stock-based compensation expense that is expected to be recognized over a weighted-average period of 1.7 years and 2.2 years, respectively.</w:t>
      </w:r>
    </w:p>
    <w:p>
      <w:pPr>
        <w:spacing w:after="0" w:line="191"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The aggregate intrinsic value of options exercised during the year ended December 31, 2021 was $48.2 million, and the aggregate intrinsic value of options outstanding and options exercisable as of December 31, 2021 was $26.1 million and $20.0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activity for restricted stock units (“RSUs”) for the year ended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68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7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and outstanding as of December 31, 2020</w:t>
            </w:r>
          </w:p>
        </w:tc>
        <w:tc>
          <w:tcPr>
            <w:tcW w:w="16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2,235,442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33"/>
              <w:spacing w:after="0" w:line="183" w:lineRule="exact"/>
              <w:rPr>
                <w:sz w:val="20"/>
                <w:szCs w:val="20"/>
                <w:color w:val="auto"/>
              </w:rPr>
            </w:pPr>
            <w:r>
              <w:rPr>
                <w:rFonts w:ascii="Arial" w:cs="Arial" w:eastAsia="Arial" w:hAnsi="Arial"/>
                <w:sz w:val="18"/>
                <w:szCs w:val="18"/>
                <w:color w:val="auto"/>
              </w:rPr>
              <w:t>794,833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37"/>
              <w:spacing w:after="0" w:line="183" w:lineRule="exact"/>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(573,474 )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Forfeited / cancelled</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(186,988 )</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and outstanding as of December 31, 2021</w:t>
            </w:r>
          </w:p>
        </w:tc>
        <w:tc>
          <w:tcPr>
            <w:tcW w:w="16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2,269,813</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-574040</wp:posOffset>
            </wp:positionV>
            <wp:extent cx="1111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-556895</wp:posOffset>
            </wp:positionV>
            <wp:extent cx="1111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22"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The Company recognized $11.2 million, $10.9 million, and $0.1 million of stock-based compensation expense related to RSUs for the years ended December 31, 2021, 2020, and 2019, respectively. As of December 31, 2021 and 2020, the Company had $21.7 million and $15.4 million, respectively, of unrecognized stock-based compensation expense that is expected to be recognized over a weighted-average period of 2.1 years and 1.8 years, respectively.</w:t>
      </w:r>
    </w:p>
    <w:p>
      <w:pPr>
        <w:spacing w:after="0" w:line="191"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In February 2020, the Company granted 367,782 RSUs to its chief executive officer that vest upon the achievement of performance-based conditions for the performance period ending December 31, 2022. The award was modified in April 2021 to amend the performance-based conditions to Gross Profit and EBITDA targets. In April 2021, the Company granted an additional 48,881 RSUs to its chief executive officer that vest upon the achievement of Gross Profit and EBITDA targets for the performance period ending December 31, 2023. As of December 31, 2021, the awards were not considered probable of being earned and no stock-based compensation expense was recognized.</w:t>
      </w:r>
    </w:p>
    <w:p>
      <w:pPr>
        <w:spacing w:after="0" w:line="191"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9" w:name="page120"/>
    <w:bookmarkEnd w:id="11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Instruments and Fair Value Measurements</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760" w:right="14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5"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20" w:lineRule="exact"/>
        <w:rPr>
          <w:sz w:val="20"/>
          <w:szCs w:val="20"/>
          <w:color w:val="auto"/>
        </w:rPr>
      </w:pPr>
    </w:p>
    <w:p>
      <w:pPr>
        <w:ind w:right="920" w:firstLine="761"/>
        <w:spacing w:after="0" w:line="246"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601,807</w:t>
            </w:r>
          </w:p>
        </w:tc>
        <w:tc>
          <w:tcPr>
            <w:tcW w:w="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601,807</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149,974</w:t>
            </w:r>
          </w:p>
        </w:tc>
        <w:tc>
          <w:tcPr>
            <w:tcW w:w="1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149,974</w:t>
            </w:r>
          </w:p>
        </w:tc>
      </w:tr>
      <w:tr>
        <w:trPr>
          <w:trHeight w:val="23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601,807</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149,974</w:t>
            </w: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751,781</w:t>
            </w:r>
          </w:p>
        </w:tc>
      </w:tr>
      <w:tr>
        <w:trPr>
          <w:trHeight w:val="358"/>
        </w:trPr>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9"/>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814,681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814,681</w:t>
            </w: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814,681</w:t>
            </w:r>
          </w:p>
        </w:tc>
        <w:tc>
          <w:tcPr>
            <w:tcW w:w="3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19"/>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814,681</w:t>
            </w: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-942340</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-925195</wp:posOffset>
            </wp:positionV>
            <wp:extent cx="857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-942340</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-925195</wp:posOffset>
            </wp:positionV>
            <wp:extent cx="857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-942340</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-925195</wp:posOffset>
            </wp:positionV>
            <wp:extent cx="85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-159385</wp:posOffset>
            </wp:positionV>
            <wp:extent cx="8572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-159385</wp:posOffset>
            </wp:positionV>
            <wp:extent cx="85725"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-159385</wp:posOffset>
            </wp:positionV>
            <wp:extent cx="8572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20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i w:val="1"/>
          <w:iCs w:val="1"/>
          <w:color w:val="auto"/>
        </w:rPr>
        <w:t>Money Market Funds</w:t>
      </w:r>
      <w:r>
        <w:rPr>
          <w:rFonts w:ascii="Arial" w:cs="Arial" w:eastAsia="Arial" w:hAnsi="Arial"/>
          <w:sz w:val="18"/>
          <w:szCs w:val="18"/>
          <w:color w:val="auto"/>
        </w:rPr>
        <w:t>: Money market funds primarily consist of investments in highly liquid U.S. treasury securities, with original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and are classified as Level 1. The Company determines the fair value of cash equivalents based on quoted prices in active markets.</w:t>
      </w:r>
    </w:p>
    <w:p>
      <w:pPr>
        <w:spacing w:after="0" w:line="16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Commercial paper consists of unsecured promissory notes issued by companies, with original maturities of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and is classified as Level 2. Commercial paper is issued at a discount to face value and is priced to reflect prevailing market interest rates.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0" w:lineRule="exact"/>
        <w:rPr>
          <w:sz w:val="20"/>
          <w:szCs w:val="20"/>
          <w:color w:val="auto"/>
        </w:rPr>
      </w:pPr>
    </w:p>
    <w:p>
      <w:pPr>
        <w:ind w:right="60" w:firstLine="749"/>
        <w:spacing w:after="0" w:line="265" w:lineRule="auto"/>
        <w:rPr>
          <w:sz w:val="20"/>
          <w:szCs w:val="20"/>
          <w:color w:val="auto"/>
        </w:rPr>
      </w:pPr>
      <w:r>
        <w:rPr>
          <w:rFonts w:ascii="Arial" w:cs="Arial" w:eastAsia="Arial" w:hAnsi="Arial"/>
          <w:sz w:val="17"/>
          <w:szCs w:val="17"/>
          <w:color w:val="auto"/>
        </w:rPr>
        <w:t>The carrying amounts of restricted cash, accounts receivable, accounts payable and accrued liabilities approximate fair value due to their short-term nature. The carrying value of the 2020 Vehicle Floorplan Facility was determined to approximate fair value due to its short-</w:t>
      </w:r>
    </w:p>
    <w:p>
      <w:pPr>
        <w:ind w:right="20"/>
        <w:spacing w:after="0" w:line="261" w:lineRule="auto"/>
        <w:rPr>
          <w:sz w:val="20"/>
          <w:szCs w:val="20"/>
          <w:color w:val="auto"/>
        </w:rPr>
      </w:pPr>
      <w:r>
        <w:rPr>
          <w:rFonts w:ascii="Arial" w:cs="Arial" w:eastAsia="Arial" w:hAnsi="Arial"/>
          <w:sz w:val="18"/>
          <w:szCs w:val="18"/>
          <w:color w:val="auto"/>
        </w:rPr>
        <w:t>term duration and variable interest rate that approximates prevailing interest rates as of each reporting period. Refer to Note 10 – Convertible Senior Notes for further discussion related to the fair value of the Company's convertible debt issuance.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0" w:name="page121"/>
    <w:bookmarkEnd w:id="12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Assets and liabilities acquired as part of a business combination are recorded at fair value on a nonrecurring basis. Refer to Note 4 – Acquisition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has three reportable segments: Ecommerce, Wholesale, and TDA.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 segment asset information. As of December 31, 2021, 2020, and 2019, long-lived assets were predominantly located in the United States.</w:t>
      </w:r>
    </w:p>
    <w:p>
      <w:pPr>
        <w:spacing w:after="0" w:line="18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Wholesale reportable segment represents sales of used vehicles through wholesale channels. The TDA reportable segment represents retail sales of used vehicles from TDA and fees earned on sales of value-added products associated with those vehicle sales. Revenues within the "All Other" category consist of the CarStory business and vehicle repair services at TDA.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right"/>
              <w:ind w:right="936"/>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Ecommerce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Wholesale</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TDA</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2,442,369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498,981</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229,872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13,033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3,184,255</w:t>
            </w:r>
          </w:p>
        </w:tc>
      </w:tr>
      <w:tr>
        <w:trPr>
          <w:trHeight w:val="217"/>
        </w:trPr>
        <w:tc>
          <w:tcPr>
            <w:tcW w:w="43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164,746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18,120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7,326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202,099</w:t>
            </w:r>
          </w:p>
        </w:tc>
      </w:tr>
      <w:tr>
        <w:trPr>
          <w:trHeight w:val="391"/>
        </w:trPr>
        <w:tc>
          <w:tcPr>
            <w:tcW w:w="4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936"/>
              <w:spacing w:after="0"/>
              <w:rPr>
                <w:sz w:val="20"/>
                <w:szCs w:val="20"/>
                <w:color w:val="auto"/>
              </w:rPr>
            </w:pPr>
            <w:r>
              <w:rPr>
                <w:rFonts w:ascii="Arial" w:cs="Arial" w:eastAsia="Arial" w:hAnsi="Arial"/>
                <w:sz w:val="14"/>
                <w:szCs w:val="14"/>
                <w:b w:val="1"/>
                <w:bCs w:val="1"/>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9"/>
        </w:trPr>
        <w:tc>
          <w:tcPr>
            <w:tcW w:w="4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Ecommerce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Wholesale</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TDA</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6"/>
              <w:spacing w:after="0" w:line="169" w:lineRule="exact"/>
              <w:rPr>
                <w:sz w:val="20"/>
                <w:szCs w:val="20"/>
                <w:color w:val="auto"/>
              </w:rPr>
            </w:pPr>
            <w:r>
              <w:rPr>
                <w:rFonts w:ascii="Arial" w:cs="Arial" w:eastAsia="Arial" w:hAnsi="Arial"/>
                <w:sz w:val="14"/>
                <w:szCs w:val="14"/>
                <w:b w:val="1"/>
                <w:bCs w:val="1"/>
                <w:color w:val="auto"/>
                <w:w w:val="99"/>
              </w:rPr>
              <w:t xml:space="preserve">All Other </w:t>
            </w:r>
            <w:r>
              <w:rPr>
                <w:rFonts w:ascii="Arial" w:cs="Arial" w:eastAsia="Arial" w:hAnsi="Arial"/>
                <w:sz w:val="19"/>
                <w:szCs w:val="19"/>
                <w:b w:val="1"/>
                <w:bCs w:val="1"/>
                <w:color w:val="auto"/>
                <w:w w:val="99"/>
                <w:vertAlign w:val="superscript"/>
              </w:rPr>
              <w:t>(1)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915,451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245,580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195,295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1,357,700</w:t>
            </w:r>
          </w:p>
        </w:tc>
      </w:tr>
      <w:tr>
        <w:trPr>
          <w:trHeight w:val="217"/>
        </w:trPr>
        <w:tc>
          <w:tcPr>
            <w:tcW w:w="43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60,861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(1,432 )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71,545</w:t>
            </w:r>
          </w:p>
        </w:tc>
      </w:tr>
      <w:tr>
        <w:trPr>
          <w:trHeight w:val="391"/>
        </w:trPr>
        <w:tc>
          <w:tcPr>
            <w:tcW w:w="4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936"/>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9"/>
        </w:trPr>
        <w:tc>
          <w:tcPr>
            <w:tcW w:w="4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Ecommerce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Wholesale</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TDA</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6"/>
              <w:spacing w:after="0" w:line="169" w:lineRule="exact"/>
              <w:rPr>
                <w:sz w:val="20"/>
                <w:szCs w:val="20"/>
                <w:color w:val="auto"/>
              </w:rPr>
            </w:pPr>
            <w:r>
              <w:rPr>
                <w:rFonts w:ascii="Arial" w:cs="Arial" w:eastAsia="Arial" w:hAnsi="Arial"/>
                <w:sz w:val="14"/>
                <w:szCs w:val="14"/>
                <w:b w:val="1"/>
                <w:bCs w:val="1"/>
                <w:color w:val="auto"/>
                <w:w w:val="99"/>
              </w:rPr>
              <w:t xml:space="preserve">All Other </w:t>
            </w:r>
            <w:r>
              <w:rPr>
                <w:rFonts w:ascii="Arial" w:cs="Arial" w:eastAsia="Arial" w:hAnsi="Arial"/>
                <w:sz w:val="19"/>
                <w:szCs w:val="19"/>
                <w:b w:val="1"/>
                <w:bCs w:val="1"/>
                <w:color w:val="auto"/>
                <w:w w:val="99"/>
                <w:vertAlign w:val="superscript"/>
              </w:rPr>
              <w:t>(1)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588,114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213,464</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388,504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1,739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1,191,821</w:t>
            </w:r>
          </w:p>
        </w:tc>
      </w:tr>
      <w:tr>
        <w:trPr>
          <w:trHeight w:val="217"/>
        </w:trPr>
        <w:tc>
          <w:tcPr>
            <w:tcW w:w="43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32,127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340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57,859</w:t>
            </w:r>
          </w:p>
        </w:tc>
      </w:tr>
    </w:tbl>
    <w:p>
      <w:pPr>
        <w:spacing w:after="0" w:line="233" w:lineRule="exact"/>
        <w:rPr>
          <w:sz w:val="20"/>
          <w:szCs w:val="20"/>
          <w:color w:val="auto"/>
        </w:rPr>
      </w:pPr>
    </w:p>
    <w:p>
      <w:pPr>
        <w:ind w:left="1020" w:right="180" w:hanging="503"/>
        <w:spacing w:after="0" w:line="258" w:lineRule="auto"/>
        <w:tabs>
          <w:tab w:leader="none" w:pos="10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 reclassified other revenue and other gross profit related to the vehicle repair service at TDA from the TDA reportable segment to the "All Other" category to conform with current year presentation.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1" w:name="page122"/>
    <w:bookmarkEnd w:id="12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80" w:firstLine="764"/>
        <w:spacing w:after="0" w:line="246"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11"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r>
      <w:tr>
        <w:trPr>
          <w:trHeight w:val="196"/>
        </w:trPr>
        <w:tc>
          <w:tcPr>
            <w:tcW w:w="5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Reconciliation to consolidated total revenue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Total reportable segment revenue</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3,171,222</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1,356,326</w:t>
            </w: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1,190,082</w:t>
            </w:r>
          </w:p>
        </w:tc>
      </w:tr>
      <w:tr>
        <w:trPr>
          <w:trHeight w:val="203"/>
        </w:trPr>
        <w:tc>
          <w:tcPr>
            <w:tcW w:w="58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 revenues</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13,033</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1,374</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1,739</w:t>
            </w:r>
          </w:p>
        </w:tc>
      </w:tr>
      <w:tr>
        <w:trPr>
          <w:trHeight w:val="196"/>
        </w:trPr>
        <w:tc>
          <w:tcPr>
            <w:tcW w:w="5860" w:type="dxa"/>
            <w:vAlign w:val="bottom"/>
          </w:tcPr>
          <w:p>
            <w:pPr>
              <w:ind w:left="20"/>
              <w:spacing w:after="0" w:line="196" w:lineRule="exact"/>
              <w:rPr>
                <w:sz w:val="20"/>
                <w:szCs w:val="20"/>
                <w:color w:val="auto"/>
              </w:rPr>
            </w:pPr>
            <w:r>
              <w:rPr>
                <w:rFonts w:ascii="Arial" w:cs="Arial" w:eastAsia="Arial" w:hAnsi="Arial"/>
                <w:sz w:val="18"/>
                <w:szCs w:val="18"/>
                <w:color w:val="auto"/>
              </w:rPr>
              <w:t>Consolidated total revenue</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3,184,255</w:t>
            </w:r>
          </w:p>
        </w:tc>
        <w:tc>
          <w:tcPr>
            <w:tcW w:w="5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1,357,700</w:t>
            </w:r>
          </w:p>
        </w:tc>
        <w:tc>
          <w:tcPr>
            <w:tcW w:w="5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1,191,821</w:t>
            </w:r>
          </w:p>
        </w:tc>
      </w:tr>
      <w:tr>
        <w:trPr>
          <w:trHeight w:val="20"/>
        </w:trPr>
        <w:tc>
          <w:tcPr>
            <w:tcW w:w="5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86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Reconciliation to consolidated loss before provision for income</w:t>
            </w:r>
          </w:p>
        </w:tc>
        <w:tc>
          <w:tcPr>
            <w:tcW w:w="3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taxes</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Total reportable segment gross profit</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194,773</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71,106</w:t>
            </w:r>
          </w:p>
        </w:tc>
        <w:tc>
          <w:tcPr>
            <w:tcW w:w="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57,128</w:t>
            </w: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 gross profit</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7,326</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439</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731</w:t>
            </w: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547,823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245,546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184,988</w:t>
            </w: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12,891</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4,598</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6,019</w:t>
            </w: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21,948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9,656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14,596</w:t>
            </w: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(10,341 )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(5,896 )</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(5,607 )</w:t>
            </w: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Revaluation of preferred stock warrant</w:t>
            </w:r>
          </w:p>
        </w:tc>
        <w:tc>
          <w:tcPr>
            <w:tcW w:w="38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20,470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769</w:t>
            </w:r>
          </w:p>
        </w:tc>
      </w:tr>
      <w:tr>
        <w:trPr>
          <w:trHeight w:val="203"/>
        </w:trPr>
        <w:tc>
          <w:tcPr>
            <w:tcW w:w="58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(65 )</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(114 )</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196"/>
        </w:trPr>
        <w:tc>
          <w:tcPr>
            <w:tcW w:w="5860" w:type="dxa"/>
            <w:vAlign w:val="bottom"/>
          </w:tcPr>
          <w:p>
            <w:pPr>
              <w:ind w:left="20"/>
              <w:spacing w:after="0" w:line="196" w:lineRule="exact"/>
              <w:rPr>
                <w:sz w:val="20"/>
                <w:szCs w:val="20"/>
                <w:color w:val="auto"/>
              </w:rPr>
            </w:pPr>
            <w:r>
              <w:rPr>
                <w:rFonts w:ascii="Arial" w:cs="Arial" w:eastAsia="Arial" w:hAnsi="Arial"/>
                <w:sz w:val="18"/>
                <w:szCs w:val="18"/>
                <w:color w:val="auto"/>
              </w:rPr>
              <w:t>Consolidated loss before provision for income taxes</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(370,157 )</w:t>
            </w:r>
          </w:p>
        </w:tc>
        <w:tc>
          <w:tcPr>
            <w:tcW w:w="5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(202,715 )</w:t>
            </w:r>
          </w:p>
        </w:tc>
        <w:tc>
          <w:tcPr>
            <w:tcW w:w="5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(142,810 )</w:t>
            </w:r>
          </w:p>
        </w:tc>
      </w:tr>
      <w:tr>
        <w:trPr>
          <w:trHeight w:val="20"/>
        </w:trPr>
        <w:tc>
          <w:tcPr>
            <w:tcW w:w="5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-1590675</wp:posOffset>
            </wp:positionV>
            <wp:extent cx="10287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-1590675</wp:posOffset>
            </wp:positionV>
            <wp:extent cx="94615"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-159385</wp:posOffset>
            </wp:positionV>
            <wp:extent cx="10287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9461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Domestic and foreign pretax income (loss) are as follows for the years ended December 31, 2021, 2020, and 2019 (in thousands):</w:t>
      </w:r>
    </w:p>
    <w:p>
      <w:pPr>
        <w:spacing w:after="0" w:line="294"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3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w:t>
            </w:r>
          </w:p>
        </w:tc>
        <w:tc>
          <w:tcPr>
            <w:tcW w:w="19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(370,640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(202,715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(142,810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3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(370,157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(202,715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(142,810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399"/>
        </w:trPr>
        <w:tc>
          <w:tcPr>
            <w:tcW w:w="7740" w:type="dxa"/>
            <w:vAlign w:val="bottom"/>
            <w:gridSpan w:val="7"/>
          </w:tcPr>
          <w:p>
            <w:pPr>
              <w:ind w:left="760"/>
              <w:spacing w:after="0"/>
              <w:rPr>
                <w:sz w:val="20"/>
                <w:szCs w:val="20"/>
                <w:color w:val="auto"/>
              </w:rPr>
            </w:pPr>
            <w:r>
              <w:rPr>
                <w:rFonts w:ascii="Arial" w:cs="Arial" w:eastAsia="Arial" w:hAnsi="Arial"/>
                <w:sz w:val="18"/>
                <w:szCs w:val="18"/>
                <w:color w:val="auto"/>
              </w:rPr>
              <w:t>The components of the provision for income taxes are as follows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3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3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169"/>
        </w:trPr>
        <w:tc>
          <w:tcPr>
            <w:tcW w:w="3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r>
      <w:tr>
        <w:trPr>
          <w:trHeight w:val="196"/>
        </w:trPr>
        <w:tc>
          <w:tcPr>
            <w:tcW w:w="3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1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232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 and local</w:t>
            </w:r>
          </w:p>
        </w:tc>
        <w:tc>
          <w:tcPr>
            <w:tcW w:w="1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679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94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Total current tax expense</w:t>
            </w:r>
          </w:p>
        </w:tc>
        <w:tc>
          <w:tcPr>
            <w:tcW w:w="1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754</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Deferred tax (benefit):</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1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State and local</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19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940" w:type="dxa"/>
            <w:vAlign w:val="bottom"/>
          </w:tcPr>
          <w:p>
            <w:pPr>
              <w:ind w:left="320"/>
              <w:spacing w:after="0" w:line="196" w:lineRule="exact"/>
              <w:rPr>
                <w:sz w:val="20"/>
                <w:szCs w:val="20"/>
                <w:color w:val="auto"/>
              </w:rPr>
            </w:pPr>
            <w:r>
              <w:rPr>
                <w:rFonts w:ascii="Arial" w:cs="Arial" w:eastAsia="Arial" w:hAnsi="Arial"/>
                <w:sz w:val="18"/>
                <w:szCs w:val="18"/>
                <w:color w:val="auto"/>
              </w:rPr>
              <w:t>Total deferred tax (benefit)</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3"/>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r>
      <w:tr>
        <w:trPr>
          <w:trHeight w:val="236"/>
        </w:trPr>
        <w:tc>
          <w:tcPr>
            <w:tcW w:w="3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1940" w:type="dxa"/>
            <w:vAlign w:val="bottom"/>
            <w:tcBorders>
              <w:bottom w:val="single" w:sz="8" w:color="CFF0FC"/>
            </w:tcBorders>
            <w:gridSpan w:val="2"/>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754</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615"/>
        </w:trPr>
        <w:tc>
          <w:tcPr>
            <w:tcW w:w="39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39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-2682240</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-2665095</wp:posOffset>
            </wp:positionV>
            <wp:extent cx="603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-2682240</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-2665095</wp:posOffset>
            </wp:positionV>
            <wp:extent cx="514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-2682240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-2665095</wp:posOffset>
            </wp:positionV>
            <wp:extent cx="514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-767715</wp:posOffset>
            </wp:positionV>
            <wp:extent cx="10287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-767715</wp:posOffset>
            </wp:positionV>
            <wp:extent cx="9398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-496570</wp:posOffset>
            </wp:positionV>
            <wp:extent cx="1028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-479425</wp:posOffset>
            </wp:positionV>
            <wp:extent cx="1028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-496570</wp:posOffset>
            </wp:positionV>
            <wp:extent cx="939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-479425</wp:posOffset>
            </wp:positionV>
            <wp:extent cx="939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2" w:name="page123"/>
    <w:bookmarkEnd w:id="12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220" w:lineRule="exact"/>
        <w:rPr>
          <w:sz w:val="20"/>
          <w:szCs w:val="20"/>
          <w:color w:val="auto"/>
        </w:rPr>
      </w:pPr>
    </w:p>
    <w:p>
      <w:pPr>
        <w:ind w:right="360" w:firstLine="749"/>
        <w:spacing w:after="0" w:line="246" w:lineRule="auto"/>
        <w:rPr>
          <w:sz w:val="20"/>
          <w:szCs w:val="20"/>
          <w:color w:val="auto"/>
        </w:rPr>
      </w:pPr>
      <w:r>
        <w:rPr>
          <w:rFonts w:ascii="Arial" w:cs="Arial" w:eastAsia="Arial" w:hAnsi="Arial"/>
          <w:sz w:val="18"/>
          <w:szCs w:val="18"/>
          <w:color w:val="auto"/>
        </w:rPr>
        <w:t>The Company’s effective tax rate for the years ended December 31, 2021, 2020, and 2019 was (0.20)%, (0.04)%, and (0.12)%, respectively.</w:t>
      </w:r>
    </w:p>
    <w:p>
      <w:pPr>
        <w:spacing w:after="0" w:line="183" w:lineRule="exact"/>
        <w:rPr>
          <w:sz w:val="20"/>
          <w:szCs w:val="20"/>
          <w:color w:val="auto"/>
        </w:rPr>
      </w:pPr>
    </w:p>
    <w:p>
      <w:pPr>
        <w:ind w:right="460" w:firstLine="749"/>
        <w:spacing w:after="0" w:line="246" w:lineRule="auto"/>
        <w:rPr>
          <w:sz w:val="20"/>
          <w:szCs w:val="20"/>
          <w:color w:val="auto"/>
        </w:rPr>
      </w:pPr>
      <w:r>
        <w:rPr>
          <w:rFonts w:ascii="Arial" w:cs="Arial" w:eastAsia="Arial" w:hAnsi="Arial"/>
          <w:sz w:val="18"/>
          <w:szCs w:val="18"/>
          <w:color w:val="auto"/>
        </w:rPr>
        <w:t>A reconciliation of the provision for income taxes at the statutory rate to the amount reflected in the consolidated statements of operations is as follows (in thousands):</w:t>
      </w:r>
    </w:p>
    <w:p>
      <w:pPr>
        <w:spacing w:after="0" w:line="211"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Year Ended</w:t>
      </w:r>
    </w:p>
    <w:p>
      <w:pPr>
        <w:spacing w:after="0" w:line="6"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196"/>
        </w:trPr>
        <w:tc>
          <w:tcPr>
            <w:tcW w:w="5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taxes at statutory rate</w:t>
            </w:r>
          </w:p>
        </w:tc>
        <w:tc>
          <w:tcPr>
            <w:tcW w:w="1000" w:type="dxa"/>
            <w:vAlign w:val="bottom"/>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(77,733 )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(42,570 )</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(29,990 )</w:t>
            </w: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(8,251 )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(5,417 )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(1,096 )</w:t>
            </w: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10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10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(4,800 )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1,264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772</w:t>
            </w:r>
          </w:p>
        </w:tc>
      </w:tr>
      <w:tr>
        <w:trPr>
          <w:trHeight w:val="203"/>
        </w:trPr>
        <w:tc>
          <w:tcPr>
            <w:tcW w:w="5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0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94,158</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46,901</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30,051</w:t>
            </w: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(2,594 )</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(94 )</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431</w:t>
            </w:r>
          </w:p>
        </w:tc>
      </w:tr>
      <w:tr>
        <w:trPr>
          <w:trHeight w:val="236"/>
        </w:trPr>
        <w:tc>
          <w:tcPr>
            <w:tcW w:w="5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754</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84</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-25400</wp:posOffset>
            </wp:positionV>
            <wp:extent cx="1028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1028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946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9461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for December 31, 2021 and 2020 because the Company has determined that is it more likely than not that these assets will not be fully realized based on a current evaluation of expected future taxable income and the Company is in a cumulative loss position. As of December 31, 2021 and 2020 the valuation allowance balance was $216.0 million and $121.9 million, respectively.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r>
      <w:tr>
        <w:trPr>
          <w:trHeight w:val="169"/>
        </w:trPr>
        <w:tc>
          <w:tcPr>
            <w:tcW w:w="4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r>
      <w:tr>
        <w:trPr>
          <w:trHeight w:val="196"/>
        </w:trPr>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203,170</w:t>
            </w:r>
          </w:p>
        </w:tc>
        <w:tc>
          <w:tcPr>
            <w:tcW w:w="7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102,252</w:t>
            </w:r>
          </w:p>
        </w:tc>
      </w:tr>
      <w:tr>
        <w:trPr>
          <w:trHeight w:val="203"/>
        </w:trPr>
        <w:tc>
          <w:tcPr>
            <w:tcW w:w="4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Inventory reserves</w:t>
            </w:r>
          </w:p>
        </w:tc>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12,278</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12,409</w:t>
            </w: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3,617</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3,119</w:t>
            </w:r>
          </w:p>
        </w:tc>
      </w:tr>
      <w:tr>
        <w:trPr>
          <w:trHeight w:val="203"/>
        </w:trPr>
        <w:tc>
          <w:tcPr>
            <w:tcW w:w="41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Accrued Expense</w:t>
            </w:r>
          </w:p>
        </w:tc>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1,456</w:t>
            </w: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Right of Use Asset</w:t>
            </w: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3,821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4,175</w:t>
            </w:r>
          </w:p>
        </w:tc>
      </w:tr>
      <w:tr>
        <w:trPr>
          <w:trHeight w:val="203"/>
        </w:trPr>
        <w:tc>
          <w:tcPr>
            <w:tcW w:w="41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Allowance for Doubtful Accounts</w:t>
            </w:r>
          </w:p>
        </w:tc>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2,592</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1,809</w:t>
            </w: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1,905</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836</w:t>
            </w:r>
          </w:p>
        </w:tc>
      </w:tr>
      <w:tr>
        <w:trPr>
          <w:trHeight w:val="196"/>
        </w:trPr>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227,458</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126,056</w:t>
            </w: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Less: valuation allowance</w:t>
            </w:r>
          </w:p>
        </w:tc>
        <w:tc>
          <w:tcPr>
            <w:tcW w:w="3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(216,017 )</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(121,859 )</w:t>
            </w:r>
          </w:p>
        </w:tc>
      </w:tr>
      <w:tr>
        <w:trPr>
          <w:trHeight w:val="196"/>
        </w:trPr>
        <w:tc>
          <w:tcPr>
            <w:tcW w:w="41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Net deferred tax assets</w:t>
            </w:r>
          </w:p>
        </w:tc>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11,441</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4,197</w:t>
            </w: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 amortization</w:t>
            </w:r>
          </w:p>
        </w:tc>
        <w:tc>
          <w:tcPr>
            <w:tcW w:w="3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(6,793 )</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(225 )</w:t>
            </w: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(1,088 )</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203"/>
        </w:trPr>
        <w:tc>
          <w:tcPr>
            <w:tcW w:w="41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35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(3,560 )</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(3,943 )</w:t>
            </w: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liabilities</w:t>
            </w: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(11,441 )</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(4,197 )</w:t>
            </w:r>
          </w:p>
        </w:tc>
      </w:tr>
      <w:tr>
        <w:trPr>
          <w:trHeight w:val="242"/>
        </w:trPr>
        <w:tc>
          <w:tcPr>
            <w:tcW w:w="4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deferred income taxes</w:t>
            </w:r>
          </w:p>
        </w:tc>
        <w:tc>
          <w:tcPr>
            <w:tcW w:w="39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615"/>
        </w:trPr>
        <w:tc>
          <w:tcPr>
            <w:tcW w:w="4120" w:type="dxa"/>
            <w:vAlign w:val="bottom"/>
            <w:tcBorders>
              <w:top w:val="single" w:sz="8" w:color="CFF0FC"/>
            </w:tcBorders>
          </w:tcPr>
          <w:p>
            <w:pPr>
              <w:spacing w:after="0"/>
              <w:rPr>
                <w:sz w:val="24"/>
                <w:szCs w:val="24"/>
                <w:color w:val="auto"/>
              </w:rPr>
            </w:pPr>
          </w:p>
        </w:tc>
        <w:tc>
          <w:tcPr>
            <w:tcW w:w="3560" w:type="dxa"/>
            <w:vAlign w:val="bottom"/>
            <w:tcBorders>
              <w:top w:val="single" w:sz="8" w:color="CFF0FC"/>
            </w:tcBorders>
          </w:tcPr>
          <w:p>
            <w:pPr>
              <w:jc w:val="right"/>
              <w:ind w:right="1810"/>
              <w:spacing w:after="0"/>
              <w:rPr>
                <w:sz w:val="20"/>
                <w:szCs w:val="20"/>
                <w:color w:val="auto"/>
              </w:rPr>
            </w:pPr>
            <w:r>
              <w:rPr>
                <w:rFonts w:ascii="Arial" w:cs="Arial" w:eastAsia="Arial" w:hAnsi="Arial"/>
                <w:sz w:val="18"/>
                <w:szCs w:val="18"/>
                <w:color w:val="auto"/>
              </w:rPr>
              <w:t>123</w:t>
            </w:r>
          </w:p>
        </w:tc>
        <w:tc>
          <w:tcPr>
            <w:tcW w:w="3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101"/>
        </w:trPr>
        <w:tc>
          <w:tcPr>
            <w:tcW w:w="412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-767715</wp:posOffset>
            </wp:positionV>
            <wp:extent cx="11176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-504825</wp:posOffset>
            </wp:positionV>
            <wp:extent cx="1117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-487680</wp:posOffset>
            </wp:positionV>
            <wp:extent cx="1117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3" w:name="page124"/>
    <w:bookmarkEnd w:id="12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w:t>
      </w:r>
    </w:p>
    <w:p>
      <w:pPr>
        <w:spacing w:after="0" w:line="220"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As of December 31, 2021, the Company had total net operating loss carryforwards for U.S. federal income tax purposes of $893.4 million, of which $165.2 million expire from 2028 through 2042 and $728.2 million do not expire. The Company has net operating loss carryforwards for state income tax purposes of $237.8 million, which expire from 2034 through 2040.</w:t>
      </w:r>
    </w:p>
    <w:p>
      <w:pPr>
        <w:spacing w:after="0" w:line="189"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 The company is not currently under audit for any US federal or state income tax audits.</w:t>
      </w:r>
    </w:p>
    <w:p>
      <w:pPr>
        <w:spacing w:after="0" w:line="189"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89" w:lineRule="exact"/>
        <w:rPr>
          <w:sz w:val="20"/>
          <w:szCs w:val="20"/>
          <w:color w:val="auto"/>
        </w:rPr>
      </w:pPr>
    </w:p>
    <w:p>
      <w:pPr>
        <w:ind w:right="360" w:firstLine="761"/>
        <w:spacing w:after="0"/>
        <w:rPr>
          <w:sz w:val="20"/>
          <w:szCs w:val="20"/>
          <w:color w:val="auto"/>
        </w:rPr>
      </w:pPr>
      <w:r>
        <w:rPr>
          <w:rFonts w:ascii="Arial" w:cs="Arial" w:eastAsia="Arial" w:hAnsi="Arial"/>
          <w:sz w:val="18"/>
          <w:szCs w:val="18"/>
          <w:color w:val="auto"/>
        </w:rPr>
        <w:t>The Company acquired Vast Holdings, Inc. on January 7, 2021 in a stock acquisition, refer to Note 4 – Acquisition for additional information. The NOLs and other tax attributes acquired will be subject to Section 382 limitations. The Company is in the process of determining the amount of attributes that will be available for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not identified any uncertain tax positions as of December 31, 2021 or 2020. Any interest and penalties related to uncertain tax positions shall be recorded as a component of income tax expense. To date, no interest or penalties have been accrued in relation to uncertain tax positions.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Loss Per Share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6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(370,911 )</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(202,799 )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(142,978 )</w:t>
            </w: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line="196" w:lineRule="exact"/>
              <w:rPr>
                <w:sz w:val="20"/>
                <w:szCs w:val="20"/>
                <w:color w:val="auto"/>
              </w:rPr>
            </w:pPr>
            <w:r>
              <w:rPr>
                <w:rFonts w:ascii="Arial" w:cs="Arial" w:eastAsia="Arial" w:hAnsi="Arial"/>
                <w:sz w:val="18"/>
                <w:szCs w:val="18"/>
                <w:color w:val="auto"/>
              </w:rPr>
              <w:t>Accretion of redeemable convertible preferred stock</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(132,750 )</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(370,911 )</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(202,799 )</w:t>
            </w:r>
          </w:p>
        </w:tc>
        <w:tc>
          <w:tcPr>
            <w:tcW w:w="560" w:type="dxa"/>
            <w:vAlign w:val="bottom"/>
            <w:tcBorders>
              <w:bottom w:val="single" w:sz="8" w:color="auto"/>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(275,728 )</w:t>
            </w: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line="168" w:lineRule="exact"/>
              <w:rPr>
                <w:sz w:val="20"/>
                <w:szCs w:val="20"/>
                <w:color w:val="auto"/>
              </w:rPr>
            </w:pPr>
            <w:r>
              <w:rPr>
                <w:rFonts w:ascii="Arial" w:cs="Arial" w:eastAsia="Arial" w:hAnsi="Arial"/>
                <w:sz w:val="18"/>
                <w:szCs w:val="18"/>
                <w:color w:val="auto"/>
              </w:rPr>
              <w:t>Weighted-average number of shares outstanding used to compute net</w:t>
            </w:r>
          </w:p>
        </w:tc>
        <w:tc>
          <w:tcPr>
            <w:tcW w:w="300" w:type="dxa"/>
            <w:vAlign w:val="bottom"/>
          </w:tcPr>
          <w:p>
            <w:pPr>
              <w:spacing w:after="0"/>
              <w:rPr>
                <w:sz w:val="14"/>
                <w:szCs w:val="14"/>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136,429,791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73,345,569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8"/>
                <w:szCs w:val="18"/>
                <w:color w:val="auto"/>
              </w:rPr>
              <w:t>8,605,962</w:t>
            </w:r>
          </w:p>
        </w:tc>
        <w:tc>
          <w:tcPr>
            <w:tcW w:w="0" w:type="dxa"/>
            <w:vAlign w:val="bottom"/>
          </w:tcPr>
          <w:p>
            <w:pPr>
              <w:spacing w:after="0"/>
              <w:rPr>
                <w:sz w:val="1"/>
                <w:szCs w:val="1"/>
                <w:color w:val="auto"/>
              </w:rPr>
            </w:pPr>
          </w:p>
        </w:tc>
      </w:tr>
      <w:tr>
        <w:trPr>
          <w:trHeight w:val="190"/>
        </w:trPr>
        <w:tc>
          <w:tcPr>
            <w:tcW w:w="6060" w:type="dxa"/>
            <w:vAlign w:val="bottom"/>
          </w:tcPr>
          <w:p>
            <w:pPr>
              <w:ind w:left="20"/>
              <w:spacing w:after="0" w:line="190" w:lineRule="exact"/>
              <w:rPr>
                <w:sz w:val="20"/>
                <w:szCs w:val="20"/>
                <w:color w:val="auto"/>
              </w:rPr>
            </w:pPr>
            <w:r>
              <w:rPr>
                <w:rFonts w:ascii="Arial" w:cs="Arial" w:eastAsia="Arial" w:hAnsi="Arial"/>
                <w:sz w:val="18"/>
                <w:szCs w:val="18"/>
                <w:color w:val="auto"/>
              </w:rPr>
              <w:t>loss per share attributable to common stockholders, basic and diluted</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Net loss per share attributable to common stockholders, basic and</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(2.72 )</w:t>
            </w:r>
          </w:p>
        </w:tc>
        <w:tc>
          <w:tcPr>
            <w:tcW w:w="40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(2.76 )</w:t>
            </w:r>
          </w:p>
        </w:tc>
        <w:tc>
          <w:tcPr>
            <w:tcW w:w="56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(32.04 )</w:t>
            </w: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20"/>
              <w:spacing w:after="0" w:line="143" w:lineRule="exact"/>
              <w:rPr>
                <w:sz w:val="20"/>
                <w:szCs w:val="20"/>
                <w:color w:val="auto"/>
              </w:rPr>
            </w:pPr>
            <w:r>
              <w:rPr>
                <w:rFonts w:ascii="Arial" w:cs="Arial" w:eastAsia="Arial" w:hAnsi="Arial"/>
                <w:sz w:val="16"/>
                <w:szCs w:val="16"/>
                <w:color w:val="auto"/>
              </w:rPr>
              <w:t>diluted</w:t>
            </w:r>
          </w:p>
        </w:tc>
        <w:tc>
          <w:tcPr>
            <w:tcW w:w="300" w:type="dxa"/>
            <w:vAlign w:val="bottom"/>
            <w:vMerge w:val="continue"/>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1300" w:type="dxa"/>
            <w:vAlign w:val="bottom"/>
            <w:vMerge w:val="continue"/>
            <w:shd w:val="clear" w:color="auto" w:fill="CFF0FC"/>
          </w:tcPr>
          <w:p>
            <w:pPr>
              <w:spacing w:after="0"/>
              <w:rPr>
                <w:sz w:val="17"/>
                <w:szCs w:val="17"/>
                <w:color w:val="auto"/>
              </w:rPr>
            </w:pPr>
          </w:p>
        </w:tc>
        <w:tc>
          <w:tcPr>
            <w:tcW w:w="560" w:type="dxa"/>
            <w:vAlign w:val="bottom"/>
            <w:gridSpan w:val="2"/>
            <w:vMerge w:val="continue"/>
            <w:shd w:val="clear" w:color="auto" w:fill="CFF0FC"/>
          </w:tcPr>
          <w:p>
            <w:pPr>
              <w:spacing w:after="0"/>
              <w:rPr>
                <w:sz w:val="17"/>
                <w:szCs w:val="17"/>
                <w:color w:val="auto"/>
              </w:rPr>
            </w:pPr>
          </w:p>
        </w:tc>
        <w:tc>
          <w:tcPr>
            <w:tcW w:w="13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6060" w:type="dxa"/>
            <w:vAlign w:val="bottom"/>
            <w:tcBorders>
              <w:top w:val="single" w:sz="8" w:color="CFF0FC"/>
            </w:tcBorders>
          </w:tcPr>
          <w:p>
            <w:pPr>
              <w:ind w:left="5480"/>
              <w:spacing w:after="0"/>
              <w:rPr>
                <w:sz w:val="20"/>
                <w:szCs w:val="20"/>
                <w:color w:val="auto"/>
              </w:rPr>
            </w:pPr>
            <w:r>
              <w:rPr>
                <w:rFonts w:ascii="Arial" w:cs="Arial" w:eastAsia="Arial" w:hAnsi="Arial"/>
                <w:sz w:val="18"/>
                <w:szCs w:val="18"/>
                <w:color w:val="auto"/>
              </w:rPr>
              <w:t>124</w:t>
            </w: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-1230630</wp:posOffset>
            </wp:positionV>
            <wp:extent cx="10287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-1230630</wp:posOffset>
            </wp:positionV>
            <wp:extent cx="10287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-956310</wp:posOffset>
            </wp:positionV>
            <wp:extent cx="10287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-496570</wp:posOffset>
            </wp:positionV>
            <wp:extent cx="1028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-479425</wp:posOffset>
            </wp:positionV>
            <wp:extent cx="1028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-496570</wp:posOffset>
            </wp:positionV>
            <wp:extent cx="10287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-479425</wp:posOffset>
            </wp:positionV>
            <wp:extent cx="1028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4" w:name="page125"/>
    <w:bookmarkEnd w:id="12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49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598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1740" w:type="dxa"/>
            <w:vAlign w:val="bottom"/>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840" w:type="dxa"/>
            <w:vAlign w:val="bottom"/>
            <w:gridSpan w:val="2"/>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68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2019</w:t>
            </w:r>
          </w:p>
        </w:tc>
      </w:tr>
      <w:tr>
        <w:trPr>
          <w:trHeight w:val="196"/>
        </w:trPr>
        <w:tc>
          <w:tcPr>
            <w:tcW w:w="5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senior notes</w:t>
            </w:r>
          </w:p>
        </w:tc>
        <w:tc>
          <w:tcPr>
            <w:tcW w:w="1740" w:type="dxa"/>
            <w:vAlign w:val="bottom"/>
            <w:tcBorders>
              <w:top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11,158,722</w:t>
            </w:r>
          </w:p>
        </w:tc>
        <w:tc>
          <w:tcPr>
            <w:tcW w:w="16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Stock options</w:t>
            </w: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4,076,542</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5,617,568</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6,110,000</w:t>
            </w: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7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1,853,150</w:t>
            </w:r>
          </w:p>
        </w:tc>
        <w:tc>
          <w:tcPr>
            <w:tcW w:w="1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1,867,660</w:t>
            </w:r>
          </w:p>
        </w:tc>
        <w:tc>
          <w:tcPr>
            <w:tcW w:w="1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408,000</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83,568,628</w:t>
            </w: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Warrants</w:t>
            </w:r>
          </w:p>
        </w:tc>
        <w:tc>
          <w:tcPr>
            <w:tcW w:w="17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161,136</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awards</w:t>
            </w: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3,249,382</w:t>
            </w:r>
          </w:p>
        </w:tc>
      </w:tr>
      <w:tr>
        <w:trPr>
          <w:trHeight w:val="236"/>
        </w:trPr>
        <w:tc>
          <w:tcPr>
            <w:tcW w:w="5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17,088,414</w:t>
            </w:r>
          </w:p>
        </w:tc>
        <w:tc>
          <w:tcPr>
            <w:tcW w:w="16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7,485,228</w:t>
            </w:r>
          </w:p>
        </w:tc>
        <w:tc>
          <w:tcPr>
            <w:tcW w:w="16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93,497,146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-25400</wp:posOffset>
            </wp:positionV>
            <wp:extent cx="1028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1028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1028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1028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20"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 (i) termination by mutual consent of the parties and (ii) such time that Catterton and/or its affiliates cease to be one of the Company’s stockholders. For the years ended December 31, 2020 and 2019, payments of the annual fees were waived. In May 2020, the MSA was terminated.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220" w:lineRule="exact"/>
        <w:rPr>
          <w:sz w:val="20"/>
          <w:szCs w:val="20"/>
          <w:color w:val="auto"/>
        </w:rPr>
      </w:pPr>
    </w:p>
    <w:p>
      <w:pPr>
        <w:ind w:right="60" w:firstLine="761"/>
        <w:spacing w:after="0" w:line="259" w:lineRule="auto"/>
        <w:rPr>
          <w:sz w:val="20"/>
          <w:szCs w:val="20"/>
          <w:color w:val="auto"/>
        </w:rPr>
      </w:pPr>
      <w:r>
        <w:rPr>
          <w:rFonts w:ascii="Arial" w:cs="Arial" w:eastAsia="Arial" w:hAnsi="Arial"/>
          <w:sz w:val="17"/>
          <w:szCs w:val="17"/>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supplied and services performed by AutoNation become due and payable as they accrued. For the year ended December 31, 2019, the Company incurred $1.1 million of costs under the Vendor Agreement. The Vendor Agreement was terminated in February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20"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On February 1, 2022, the Company completed the acquisition of 100% of Unitas Holdings Corp., the parent corporation of United Auto Credit Corporation ("UACC"), a leader in automotive finance, for a cash purchase price of approximately $300.0 million, subject to customary purchase price adjustments. This acquisition accelerates the Company's strategy of establishing a captive financing arm and underwriting vehicle financing for their customers. UACC will continue its current operations of serving and expanding its network of dealership customers, which will constitute a separate reporting segment.</w:t>
      </w:r>
    </w:p>
    <w:p>
      <w:pPr>
        <w:spacing w:after="0" w:line="189"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Due to the proximity of the acquisition date to the Company’s filing of its annual report on Form 10-K for the year ended December 31, 2021, the initial accounting for the UACC business combination is incomplete, and therefore the Company is unable to disclose certain information required by ASC 805, Business Combinations, including the provisional amounts recognized as of the acquisition date for each major class of assets acquired and liabilities assumed and goodwill.</w:t>
      </w:r>
    </w:p>
    <w:p>
      <w:pPr>
        <w:spacing w:after="0" w:line="191" w:lineRule="exact"/>
        <w:rPr>
          <w:sz w:val="20"/>
          <w:szCs w:val="20"/>
          <w:color w:val="auto"/>
        </w:rPr>
      </w:pPr>
    </w:p>
    <w:p>
      <w:pPr>
        <w:ind w:right="60" w:firstLine="811"/>
        <w:spacing w:after="0" w:line="237" w:lineRule="auto"/>
        <w:rPr>
          <w:sz w:val="20"/>
          <w:szCs w:val="20"/>
          <w:color w:val="auto"/>
        </w:rPr>
      </w:pPr>
      <w:r>
        <w:rPr>
          <w:rFonts w:ascii="Arial" w:cs="Arial" w:eastAsia="Arial" w:hAnsi="Arial"/>
          <w:sz w:val="18"/>
          <w:szCs w:val="18"/>
          <w:color w:val="auto"/>
        </w:rPr>
        <w:t>In February 2022, the Company completed a securitization transaction of finance receivables originated by its wholly owned subsidiary UACC. The securitization has been structured as an off-balance sheet transaction in which UACC sold approximately $318.5 million in principal balance of auto loans to a securitization trust and received proceeds from the issuance and sale of rated notes and unrated residual certificates and retained a 5% vertical risk retention interest in each class of notes and certificates. UACC recognized a gain on the sale upon transfer in an amount equal to the fair value of the net proceeds received less the carrying amount of the finance receivables sold.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5" w:name="page126"/>
    <w:bookmarkEnd w:id="12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ind w:right="740" w:firstLine="761"/>
        <w:spacing w:after="0"/>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December 31, 2021.</w:t>
      </w:r>
    </w:p>
    <w:p>
      <w:pPr>
        <w:spacing w:after="0" w:line="189"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December 31, 2021, our disclosure controls and procedures were effective at the reasonable assurance level.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0"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Management has assessed the effectiveness of the Company’s internal control over financial reporting as of December 31, 2021, using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issued by the Committee of Sponsoring Organizations of the Treadway Commission (COSO). Based on this evaluation, our management concluded that the Company’s internal control over financial reporting was effective as of December 31, 2021.</w:t>
      </w:r>
    </w:p>
    <w:p>
      <w:pPr>
        <w:spacing w:after="0" w:line="189" w:lineRule="exact"/>
        <w:rPr>
          <w:sz w:val="20"/>
          <w:szCs w:val="20"/>
          <w:color w:val="auto"/>
        </w:rPr>
      </w:pPr>
    </w:p>
    <w:p>
      <w:pPr>
        <w:ind w:right="420" w:firstLine="761"/>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appears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Disclosed Material Weaknesses</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As previously disclosed in Part II Item 9A Controls and Procedures in our Annual Report on Form 10-K for the year ended December 31, 2020 and our subsequent Quarterly Reports on Form 10-Q filed prior to this Annual Report on Form 10-K, we identified material weaknesses in our internal control over financial reporting. 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189" w:lineRule="exact"/>
        <w:rPr>
          <w:sz w:val="20"/>
          <w:szCs w:val="20"/>
          <w:color w:val="auto"/>
        </w:rPr>
      </w:pPr>
    </w:p>
    <w:p>
      <w:pPr>
        <w:ind w:left="1020" w:right="40" w:hanging="503"/>
        <w:spacing w:after="0" w:line="238"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26" w:name="page127"/>
    <w:bookmarkEnd w:id="12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97" w:lineRule="exact"/>
        <w:rPr>
          <w:sz w:val="20"/>
          <w:szCs w:val="20"/>
          <w:color w:val="auto"/>
        </w:rPr>
      </w:pPr>
    </w:p>
    <w:p>
      <w:pPr>
        <w:ind w:left="1020" w:hanging="503"/>
        <w:spacing w:after="0" w:line="23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191" w:lineRule="exact"/>
        <w:rPr>
          <w:sz w:val="20"/>
          <w:szCs w:val="20"/>
          <w:color w:val="auto"/>
        </w:rPr>
      </w:pPr>
    </w:p>
    <w:p>
      <w:pPr>
        <w:ind w:right="400" w:firstLine="761"/>
        <w:spacing w:after="0" w:line="246" w:lineRule="auto"/>
        <w:rPr>
          <w:sz w:val="20"/>
          <w:szCs w:val="20"/>
          <w:color w:val="auto"/>
        </w:rPr>
      </w:pPr>
      <w:r>
        <w:rPr>
          <w:rFonts w:ascii="Arial" w:cs="Arial" w:eastAsia="Arial" w:hAnsi="Arial"/>
          <w:sz w:val="18"/>
          <w:szCs w:val="18"/>
          <w:color w:val="auto"/>
        </w:rPr>
        <w:t>In the years ended December 31, 2019, 2020 and 2021 we undertook measures to address these material weaknesses in our internal controls. In particular, we:</w:t>
      </w:r>
    </w:p>
    <w:p>
      <w:pPr>
        <w:spacing w:after="0" w:line="183"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hired additional qualified accounting, financial reporting and information technology personnel;</w:t>
      </w:r>
    </w:p>
    <w:p>
      <w:pPr>
        <w:spacing w:after="0" w:line="103"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implemented oversight and training on internal control over financial reporting, including re-training of control owners regarding Information Technology General Controls ("ITGC") risks, controls and maintaining adequate evidence;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enhanced monitoring of ITGC design and operational effectiveness;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implemented new financial systems and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implemented additional review controls and processes and required timely account reconciliation and analyses;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implemented processes and controls to better identify and manage segregation of duties; and</w:t>
      </w:r>
    </w:p>
    <w:p>
      <w:pPr>
        <w:spacing w:after="0" w:line="103" w:lineRule="exact"/>
        <w:rPr>
          <w:rFonts w:ascii="Arial" w:cs="Arial" w:eastAsia="Arial" w:hAnsi="Arial"/>
          <w:sz w:val="18"/>
          <w:szCs w:val="18"/>
          <w:color w:val="auto"/>
        </w:rPr>
      </w:pPr>
    </w:p>
    <w:p>
      <w:pPr>
        <w:ind w:left="1020" w:right="50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engaged an external advisor to assist with evaluating, documenting, and testing the design and operating effectiveness of internal controls and assisting with the remediation of deficiencies, as necessary.</w:t>
      </w:r>
    </w:p>
    <w:p>
      <w:pPr>
        <w:spacing w:after="0" w:line="224"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Management has concluded that the material weaknesses described above have been remediated. The applicable controls have been in place for a sufficient period of time and management has concluded, through testing, that the controls operated effectively.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Except as described above in "Remediation of Previously Disclosed Material Weaknesses", there was no change in our internal control over financial reporting (as defined in Rules 13a-15(f) and 15d-15(f) under the Exchange Act) that occurred during the quarterly period ended December 31, 2021,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ind w:right="280" w:firstLine="761"/>
        <w:spacing w:after="0" w:line="246" w:lineRule="auto"/>
        <w:rPr>
          <w:sz w:val="20"/>
          <w:szCs w:val="20"/>
          <w:color w:val="auto"/>
        </w:rPr>
      </w:pPr>
      <w:r>
        <w:rPr>
          <w:rFonts w:ascii="Arial" w:cs="Arial" w:eastAsia="Arial" w:hAnsi="Arial"/>
          <w:sz w:val="18"/>
          <w:szCs w:val="18"/>
          <w:color w:val="auto"/>
        </w:rPr>
        <w:t>Mr. Scott Dahnke provided notice on February 27, 2022 that he plans to step down as a director effective as of our 2022 Annual Meeting of Stockholders, and therefore he will not stand for re-election at that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127" w:name="page128"/>
    <w:bookmarkEnd w:id="12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7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 xml:space="preserve">We have adopted a written code of ethics, entitled “Code of Business Conduct and Ethics,” that applies to all of our directors, executive officers and employees, including our principal executive officer, principal financial officer, principal accounting officer and controller, or persons performing similar functions. We make available our code of ethics free of charge through our investor relations website which is located at </w:t>
      </w:r>
      <w:r>
        <w:rPr>
          <w:rFonts w:ascii="Arial" w:cs="Arial" w:eastAsia="Arial" w:hAnsi="Arial"/>
          <w:sz w:val="18"/>
          <w:szCs w:val="18"/>
          <w:i w:val="1"/>
          <w:iCs w:val="1"/>
          <w:color w:val="auto"/>
        </w:rPr>
        <w:t>ir.vroom.com</w:t>
      </w:r>
      <w:r>
        <w:rPr>
          <w:rFonts w:ascii="Arial" w:cs="Arial" w:eastAsia="Arial" w:hAnsi="Arial"/>
          <w:sz w:val="18"/>
          <w:szCs w:val="18"/>
          <w:color w:val="auto"/>
        </w:rPr>
        <w:t>. We intend to post on our website all disclosures that are required by law or Nasdaq listing standards concerning any amendments to, or waivers from, any provision of our code of ethics.</w:t>
      </w:r>
    </w:p>
    <w:p>
      <w:pPr>
        <w:spacing w:after="0" w:line="189"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is incorporated by reference to Vroom’s Proxy Statement for its 2022 Annual Meeting of Stockholders to be filed with the SEC within 120 days after the end of the fiscal year ended December 31, 2021, under the headings "Our Board of Directors," "Our Executive Officers," "Corporate Governance," and, if applicable, "Delinquent Section 16(a) Reports".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0" w:lineRule="exact"/>
        <w:rPr>
          <w:sz w:val="20"/>
          <w:szCs w:val="20"/>
          <w:color w:val="auto"/>
        </w:rPr>
      </w:pPr>
    </w:p>
    <w:p>
      <w:pPr>
        <w:ind w:right="540" w:firstLine="749"/>
        <w:spacing w:after="0" w:line="261" w:lineRule="auto"/>
        <w:rPr>
          <w:sz w:val="20"/>
          <w:szCs w:val="20"/>
          <w:color w:val="auto"/>
        </w:rPr>
      </w:pPr>
      <w:r>
        <w:rPr>
          <w:rFonts w:ascii="Arial" w:cs="Arial" w:eastAsia="Arial" w:hAnsi="Arial"/>
          <w:sz w:val="17"/>
          <w:szCs w:val="17"/>
          <w:color w:val="auto"/>
        </w:rPr>
        <w:t>The information required by this item is incorporated by reference to Vroom’s Proxy Statement for its 2022 Annual Meeting of Stockholders to be filed with the SEC within 120 days after the end of the fiscal year ended December 31, 2021, under the headings "Executive Compensation," "Compensation Committee Interlocks and Insider Participation," and "Compensation Committee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right="280" w:firstLine="749"/>
        <w:spacing w:after="0" w:line="238"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2022 Annual Meeting of Stockholders to be filed with the SEC within 120 days after the end of the fiscal year ended December 31, 2021, under the headings "Security Ownership of Certain Beneficial Owners and Management" and "Securities Authorized for Issuance under Equity Compensation Plans".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0"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information required by this item is incorporated by reference to Vroom’s Proxy Statement for its 2022 Annual Meeting of Stockholders to be filed with the SEC within 120 days after the end of the fiscal year ended December 31, 2021, under the headings "Certain Relationships and Related Person Transactions" and "Corporate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0" w:lineRule="exact"/>
        <w:rPr>
          <w:sz w:val="20"/>
          <w:szCs w:val="20"/>
          <w:color w:val="auto"/>
        </w:rPr>
      </w:pPr>
    </w:p>
    <w:p>
      <w:pPr>
        <w:jc w:val="both"/>
        <w:ind w:right="520" w:firstLine="749"/>
        <w:spacing w:after="0"/>
        <w:rPr>
          <w:sz w:val="20"/>
          <w:szCs w:val="20"/>
          <w:color w:val="auto"/>
        </w:rPr>
      </w:pPr>
      <w:r>
        <w:rPr>
          <w:rFonts w:ascii="Arial" w:cs="Arial" w:eastAsia="Arial" w:hAnsi="Arial"/>
          <w:sz w:val="18"/>
          <w:szCs w:val="18"/>
          <w:color w:val="auto"/>
        </w:rPr>
        <w:t>The information required by this item is incorporated by reference to Vroom’s Proxy Statement for its 2022 Annual Meeting of Stockholders to be filed with the SEC within 120 days after the end of the fiscal year ended December 31, 2021, under the subheading "Principal Accountant Fees and Services".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90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4" w:lineRule="exact"/>
        <w:rPr>
          <w:sz w:val="20"/>
          <w:szCs w:val="20"/>
          <w:color w:val="auto"/>
        </w:rPr>
      </w:pPr>
    </w:p>
    <w:p>
      <w:pPr>
        <w:ind w:left="760" w:hanging="378"/>
        <w:spacing w:after="0" w:line="246"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Statements: The Consolidated Financial Statements of Vroom are set forth in Part II, Item 8 of this Annual Report on Form 10-K.</w:t>
      </w:r>
    </w:p>
    <w:p>
      <w:pPr>
        <w:spacing w:after="0" w:line="196"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 Schedules: All financial statement schedules have been omitted because they are not applicable, not material or the required information is shown in Part II, Item 8 of this Annual Report on Form 10-K.</w:t>
      </w:r>
    </w:p>
    <w:p>
      <w:pPr>
        <w:spacing w:after="0" w:line="196" w:lineRule="exact"/>
        <w:rPr>
          <w:rFonts w:ascii="Arial" w:cs="Arial" w:eastAsia="Arial" w:hAnsi="Arial"/>
          <w:sz w:val="18"/>
          <w:szCs w:val="18"/>
          <w:color w:val="auto"/>
        </w:rPr>
      </w:pPr>
    </w:p>
    <w:p>
      <w:pPr>
        <w:ind w:left="760" w:right="560" w:hanging="378"/>
        <w:spacing w:after="0" w:line="246"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 The exhibits listed in the accompanying Exhibit Index are filed, furnished or incorporated by reference as part of this Annual Report on Form 10-K.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24"/>
            <w:vMerge w:val="restart"/>
          </w:tcPr>
          <w:p>
            <w:pPr>
              <w:ind w:left="780"/>
              <w:spacing w:after="0"/>
              <w:rPr>
                <w:sz w:val="20"/>
                <w:szCs w:val="20"/>
                <w:color w:val="auto"/>
              </w:rPr>
            </w:pPr>
            <w:r>
              <w:rPr>
                <w:rFonts w:ascii="Arial" w:cs="Arial" w:eastAsia="Arial" w:hAnsi="Arial"/>
                <w:sz w:val="14"/>
                <w:szCs w:val="14"/>
                <w:b w:val="1"/>
                <w:bCs w:val="1"/>
                <w:color w:val="212529"/>
              </w:rPr>
              <w:t>Exhibit Description</w:t>
            </w: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4"/>
                <w:szCs w:val="14"/>
                <w:color w:val="auto"/>
              </w:rPr>
            </w:pP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24"/>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2">
              <w:r>
                <w:rPr>
                  <w:rFonts w:ascii="Arial" w:cs="Arial" w:eastAsia="Arial" w:hAnsi="Arial"/>
                  <w:sz w:val="18"/>
                  <w:szCs w:val="18"/>
                  <w:color w:val="0000FF"/>
                </w:rPr>
                <w:t>Agreement and Plan of Merger, dated as of</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82">
              <w:r>
                <w:rPr>
                  <w:rFonts w:ascii="Arial" w:cs="Arial" w:eastAsia="Arial" w:hAnsi="Arial"/>
                  <w:sz w:val="18"/>
                  <w:szCs w:val="18"/>
                  <w:color w:val="0000FF"/>
                </w:rPr>
                <w:t>October 11, 2021, by and among Vroom,</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482">
              <w:r>
                <w:rPr>
                  <w:rFonts w:ascii="Arial" w:cs="Arial" w:eastAsia="Arial" w:hAnsi="Arial"/>
                  <w:sz w:val="18"/>
                  <w:szCs w:val="18"/>
                  <w:color w:val="0000FF"/>
                </w:rPr>
                <w:t>Inc., Vroom Finance Corporation, Unitas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482">
              <w:r>
                <w:rPr>
                  <w:rFonts w:ascii="Arial" w:cs="Arial" w:eastAsia="Arial" w:hAnsi="Arial"/>
                  <w:sz w:val="18"/>
                  <w:szCs w:val="18"/>
                  <w:color w:val="0000FF"/>
                </w:rPr>
                <w:t>Holdings Corp. and Fortis Advisors LLC,</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Borders>
              <w:bottom w:val="single" w:sz="8" w:color="0000FF"/>
            </w:tcBorders>
            <w:gridSpan w:val="16"/>
          </w:tcPr>
          <w:p>
            <w:pPr>
              <w:spacing w:after="0" w:line="156" w:lineRule="exact"/>
              <w:rPr>
                <w:rFonts w:ascii="Arial" w:cs="Arial" w:eastAsia="Arial" w:hAnsi="Arial"/>
                <w:sz w:val="18"/>
                <w:szCs w:val="18"/>
                <w:color w:val="0000FF"/>
                <w:w w:val="98"/>
              </w:rPr>
            </w:pPr>
            <w:hyperlink r:id="rId482">
              <w:r>
                <w:rPr>
                  <w:rFonts w:ascii="Arial" w:cs="Arial" w:eastAsia="Arial" w:hAnsi="Arial"/>
                  <w:sz w:val="18"/>
                  <w:szCs w:val="18"/>
                  <w:color w:val="0000FF"/>
                  <w:w w:val="98"/>
                </w:rPr>
                <w:t>solely in its capacity as the equityholders'</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gridSpan w:val="20"/>
          </w:tcPr>
          <w:p>
            <w:pPr>
              <w:spacing w:after="0" w:line="156" w:lineRule="exact"/>
              <w:rPr>
                <w:rFonts w:ascii="Arial" w:cs="Arial" w:eastAsia="Arial" w:hAnsi="Arial"/>
                <w:sz w:val="18"/>
                <w:szCs w:val="18"/>
                <w:color w:val="0000FF"/>
              </w:rPr>
            </w:pPr>
            <w:hyperlink r:id="rId482">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3">
              <w:r>
                <w:rPr>
                  <w:rFonts w:ascii="Arial" w:cs="Arial" w:eastAsia="Arial" w:hAnsi="Arial"/>
                  <w:sz w:val="18"/>
                  <w:szCs w:val="18"/>
                  <w:color w:val="0000FF"/>
                </w:rPr>
                <w:t>Amended and Restated Certificate of</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12"/>
          </w:tcPr>
          <w:p>
            <w:pPr>
              <w:spacing w:after="0" w:line="156" w:lineRule="exact"/>
              <w:rPr>
                <w:rFonts w:ascii="Arial" w:cs="Arial" w:eastAsia="Arial" w:hAnsi="Arial"/>
                <w:sz w:val="18"/>
                <w:szCs w:val="18"/>
                <w:color w:val="0000FF"/>
              </w:rPr>
            </w:pPr>
            <w:hyperlink r:id="rId483">
              <w:r>
                <w:rPr>
                  <w:rFonts w:ascii="Arial" w:cs="Arial" w:eastAsia="Arial" w:hAnsi="Arial"/>
                  <w:sz w:val="18"/>
                  <w:szCs w:val="18"/>
                  <w:color w:val="0000FF"/>
                </w:rPr>
                <w:t>Incorporation of Vroom, Inc.</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0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4">
              <w:r>
                <w:rPr>
                  <w:rFonts w:ascii="Arial" w:cs="Arial" w:eastAsia="Arial" w:hAnsi="Arial"/>
                  <w:sz w:val="18"/>
                  <w:szCs w:val="18"/>
                  <w:color w:val="0000FF"/>
                </w:rPr>
                <w:t>Amended and Restated Bylaws of Vroom,</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484">
              <w:r>
                <w:rPr>
                  <w:rFonts w:ascii="Arial" w:cs="Arial" w:eastAsia="Arial" w:hAnsi="Arial"/>
                  <w:sz w:val="18"/>
                  <w:szCs w:val="18"/>
                  <w:color w:val="0000FF"/>
                  <w:w w:val="89"/>
                </w:rPr>
                <w:t>Inc.</w:t>
              </w:r>
            </w:hyperlink>
          </w:p>
        </w:tc>
        <w:tc>
          <w:tcPr>
            <w:tcW w:w="20" w:type="dxa"/>
            <w:vAlign w:val="bottom"/>
            <w:tcBorders>
              <w:top w:val="single" w:sz="8" w:color="0000FF"/>
              <w:bottom w:val="single" w:sz="8" w:color="0000EE"/>
            </w:tcBorders>
          </w:tcPr>
          <w:p>
            <w:pPr>
              <w:spacing w:after="0"/>
              <w:rPr>
                <w:sz w:val="13"/>
                <w:szCs w:val="13"/>
                <w:color w:val="auto"/>
              </w:rPr>
            </w:pPr>
          </w:p>
        </w:tc>
        <w:tc>
          <w:tcPr>
            <w:tcW w:w="31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5">
              <w:r>
                <w:rPr>
                  <w:rFonts w:ascii="Arial" w:cs="Arial" w:eastAsia="Arial" w:hAnsi="Arial"/>
                  <w:sz w:val="18"/>
                  <w:szCs w:val="18"/>
                  <w:color w:val="0000FF"/>
                </w:rPr>
                <w:t>Specimen Stock Certificate evidencing the</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June 1,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485">
              <w:r>
                <w:rPr>
                  <w:rFonts w:ascii="Arial" w:cs="Arial" w:eastAsia="Arial" w:hAnsi="Arial"/>
                  <w:sz w:val="18"/>
                  <w:szCs w:val="18"/>
                  <w:color w:val="0000FF"/>
                  <w:w w:val="98"/>
                </w:rPr>
                <w:t>shares of common stock</w:t>
              </w:r>
            </w:hyperlink>
          </w:p>
        </w:tc>
        <w:tc>
          <w:tcPr>
            <w:tcW w:w="14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92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6">
              <w:r>
                <w:rPr>
                  <w:rFonts w:ascii="Arial" w:cs="Arial" w:eastAsia="Arial" w:hAnsi="Arial"/>
                  <w:sz w:val="18"/>
                  <w:szCs w:val="18"/>
                  <w:color w:val="0000FF"/>
                </w:rPr>
                <w:t>Indenture, dated as of June 18, 2021,</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June 21,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486">
              <w:r>
                <w:rPr>
                  <w:rFonts w:ascii="Arial" w:cs="Arial" w:eastAsia="Arial" w:hAnsi="Arial"/>
                  <w:sz w:val="18"/>
                  <w:szCs w:val="18"/>
                  <w:color w:val="0000FF"/>
                </w:rPr>
                <w:t>between Vroom, Inc. and U.S. Bank</w:t>
              </w:r>
            </w:hyperlink>
          </w:p>
        </w:tc>
        <w:tc>
          <w:tcPr>
            <w:tcW w:w="3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86">
              <w:r>
                <w:rPr>
                  <w:rFonts w:ascii="Arial" w:cs="Arial" w:eastAsia="Arial" w:hAnsi="Arial"/>
                  <w:sz w:val="18"/>
                  <w:szCs w:val="18"/>
                  <w:color w:val="0000FF"/>
                </w:rPr>
                <w:t>National Association, as trustee</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2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6">
              <w:r>
                <w:rPr>
                  <w:rFonts w:ascii="Arial" w:cs="Arial" w:eastAsia="Arial" w:hAnsi="Arial"/>
                  <w:sz w:val="18"/>
                  <w:szCs w:val="18"/>
                  <w:color w:val="0000FF"/>
                </w:rPr>
                <w:t>Form of Global Note representing the</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June 21,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3"/>
          </w:tcPr>
          <w:p>
            <w:pPr>
              <w:spacing w:after="0" w:line="157" w:lineRule="exact"/>
              <w:rPr>
                <w:rFonts w:ascii="Arial" w:cs="Arial" w:eastAsia="Arial" w:hAnsi="Arial"/>
                <w:sz w:val="18"/>
                <w:szCs w:val="18"/>
                <w:color w:val="0000FF"/>
                <w:w w:val="98"/>
              </w:rPr>
            </w:pPr>
            <w:hyperlink r:id="rId486">
              <w:r>
                <w:rPr>
                  <w:rFonts w:ascii="Arial" w:cs="Arial" w:eastAsia="Arial" w:hAnsi="Arial"/>
                  <w:sz w:val="18"/>
                  <w:szCs w:val="18"/>
                  <w:color w:val="0000FF"/>
                  <w:w w:val="98"/>
                </w:rPr>
                <w:t>0.</w:t>
              </w:r>
              <w:r>
                <w:rPr>
                  <w:rFonts w:ascii="Arial" w:cs="Arial" w:eastAsia="Arial" w:hAnsi="Arial"/>
                  <w:sz w:val="18"/>
                  <w:szCs w:val="18"/>
                  <w:u w:val="single" w:color="auto"/>
                  <w:color w:val="0000FF"/>
                  <w:w w:val="98"/>
                </w:rPr>
                <w:t>750%</w:t>
              </w:r>
              <w:r>
                <w:rPr>
                  <w:rFonts w:ascii="Arial" w:cs="Arial" w:eastAsia="Arial" w:hAnsi="Arial"/>
                  <w:sz w:val="18"/>
                  <w:szCs w:val="18"/>
                  <w:color w:val="0000FF"/>
                  <w:w w:val="98"/>
                </w:rPr>
                <w:t xml:space="preserve"> Convertible Senior Notes due</w:t>
              </w:r>
            </w:hyperlink>
          </w:p>
        </w:tc>
        <w:tc>
          <w:tcPr>
            <w:tcW w:w="480" w:type="dxa"/>
            <w:vAlign w:val="bottom"/>
            <w:tcBorders>
              <w:bottom w:val="single" w:sz="8" w:color="0000FF"/>
            </w:tcBorders>
            <w:gridSpan w:val="12"/>
          </w:tcPr>
          <w:p>
            <w:pPr>
              <w:jc w:val="right"/>
              <w:ind w:right="40"/>
              <w:spacing w:after="0" w:line="157" w:lineRule="exact"/>
              <w:rPr>
                <w:rFonts w:ascii="Arial" w:cs="Arial" w:eastAsia="Arial" w:hAnsi="Arial"/>
                <w:sz w:val="18"/>
                <w:szCs w:val="18"/>
                <w:color w:val="0000FF"/>
              </w:rPr>
            </w:pPr>
            <w:hyperlink r:id="rId486">
              <w:r>
                <w:rPr>
                  <w:rFonts w:ascii="Arial" w:cs="Arial" w:eastAsia="Arial" w:hAnsi="Arial"/>
                  <w:sz w:val="18"/>
                  <w:szCs w:val="18"/>
                  <w:color w:val="0000FF"/>
                </w:rPr>
                <w:t>2026</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gridSpan w:val="25"/>
          </w:tcPr>
          <w:p>
            <w:pPr>
              <w:spacing w:after="0" w:line="156" w:lineRule="exact"/>
              <w:rPr>
                <w:rFonts w:ascii="Arial" w:cs="Arial" w:eastAsia="Arial" w:hAnsi="Arial"/>
                <w:sz w:val="18"/>
                <w:szCs w:val="18"/>
                <w:color w:val="0000FF"/>
              </w:rPr>
            </w:pPr>
            <w:hyperlink r:id="rId486">
              <w:r>
                <w:rPr>
                  <w:rFonts w:ascii="Arial" w:cs="Arial" w:eastAsia="Arial" w:hAnsi="Arial"/>
                  <w:sz w:val="18"/>
                  <w:szCs w:val="18"/>
                  <w:color w:val="0000FF"/>
                </w:rPr>
                <w:t>(included in Exhibit 4.2)</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20" w:type="dxa"/>
            <w:vAlign w:val="bottom"/>
          </w:tcPr>
          <w:p>
            <w:pPr>
              <w:ind w:left="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7">
              <w:r>
                <w:rPr>
                  <w:rFonts w:ascii="Arial" w:cs="Arial" w:eastAsia="Arial" w:hAnsi="Arial"/>
                  <w:sz w:val="18"/>
                  <w:szCs w:val="18"/>
                  <w:color w:val="0000FF"/>
                </w:rPr>
                <w:t>Eighth Amended and Restated Investors’</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rPr>
            </w:pPr>
            <w:hyperlink r:id="rId487">
              <w:r>
                <w:rPr>
                  <w:rFonts w:ascii="Arial" w:cs="Arial" w:eastAsia="Arial" w:hAnsi="Arial"/>
                  <w:sz w:val="18"/>
                  <w:szCs w:val="18"/>
                  <w:color w:val="0000FF"/>
                </w:rPr>
                <w:t>Rights Agreement, dated as of November</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gridSpan w:val="21"/>
          </w:tcPr>
          <w:p>
            <w:pPr>
              <w:spacing w:after="0" w:line="156" w:lineRule="exact"/>
              <w:rPr>
                <w:rFonts w:ascii="Arial" w:cs="Arial" w:eastAsia="Arial" w:hAnsi="Arial"/>
                <w:sz w:val="18"/>
                <w:szCs w:val="18"/>
                <w:color w:val="0000FF"/>
              </w:rPr>
            </w:pPr>
            <w:hyperlink r:id="rId487">
              <w:r>
                <w:rPr>
                  <w:rFonts w:ascii="Arial" w:cs="Arial" w:eastAsia="Arial" w:hAnsi="Arial"/>
                  <w:sz w:val="18"/>
                  <w:szCs w:val="18"/>
                  <w:color w:val="0000FF"/>
                </w:rPr>
                <w:t>21, 2019, by and among Vroom, Inc. and</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8"/>
              </w:rPr>
            </w:pPr>
            <w:hyperlink r:id="rId487">
              <w:r>
                <w:rPr>
                  <w:rFonts w:ascii="Arial" w:cs="Arial" w:eastAsia="Arial" w:hAnsi="Arial"/>
                  <w:sz w:val="18"/>
                  <w:szCs w:val="18"/>
                  <w:color w:val="0000FF"/>
                  <w:w w:val="98"/>
                </w:rPr>
                <w:t>certain holders of its capital stock</w:t>
              </w:r>
            </w:hyperlink>
          </w:p>
        </w:tc>
        <w:tc>
          <w:tcPr>
            <w:tcW w:w="20" w:type="dxa"/>
            <w:vAlign w:val="bottom"/>
            <w:tcBorders>
              <w:top w:val="single" w:sz="8" w:color="0000FF"/>
              <w:bottom w:val="single" w:sz="8" w:color="0000EE"/>
            </w:tcBorders>
          </w:tcPr>
          <w:p>
            <w:pPr>
              <w:spacing w:after="0"/>
              <w:rPr>
                <w:sz w:val="13"/>
                <w:szCs w:val="13"/>
                <w:color w:val="auto"/>
              </w:rPr>
            </w:pPr>
          </w:p>
        </w:tc>
        <w:tc>
          <w:tcPr>
            <w:tcW w:w="660" w:type="dxa"/>
            <w:vAlign w:val="bottom"/>
            <w:tcBorders>
              <w:top w:val="single" w:sz="8" w:color="0000FF"/>
            </w:tcBorders>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7"/>
        </w:trPr>
        <w:tc>
          <w:tcPr>
            <w:tcW w:w="920" w:type="dxa"/>
            <w:vAlign w:val="bottom"/>
          </w:tcPr>
          <w:p>
            <w:pPr>
              <w:ind w:left="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8">
              <w:r>
                <w:rPr>
                  <w:rFonts w:ascii="Arial" w:cs="Arial" w:eastAsia="Arial" w:hAnsi="Arial"/>
                  <w:sz w:val="18"/>
                  <w:szCs w:val="18"/>
                  <w:color w:val="0000FF"/>
                </w:rPr>
                <w:t>Description of Registrant’s Securities</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March 3,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6"/>
            <w:shd w:val="clear" w:color="auto" w:fill="0000FF"/>
          </w:tcPr>
          <w:p>
            <w:pPr>
              <w:spacing w:after="0" w:line="20" w:lineRule="exact"/>
              <w:rPr>
                <w:sz w:val="1"/>
                <w:szCs w:val="1"/>
                <w:color w:val="auto"/>
              </w:rPr>
            </w:pPr>
          </w:p>
        </w:tc>
        <w:tc>
          <w:tcPr>
            <w:tcW w:w="72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FF"/>
              </w:rPr>
            </w:pPr>
            <w:hyperlink r:id="rId489">
              <w:r>
                <w:rPr>
                  <w:rFonts w:ascii="Arial" w:cs="Arial" w:eastAsia="Arial" w:hAnsi="Arial"/>
                  <w:sz w:val="18"/>
                  <w:szCs w:val="18"/>
                  <w:color w:val="0000FF"/>
                </w:rPr>
                <w:t>Second Amended &amp; Restated 2014 Equity</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489">
              <w:r>
                <w:rPr>
                  <w:rFonts w:ascii="Arial" w:cs="Arial" w:eastAsia="Arial" w:hAnsi="Arial"/>
                  <w:sz w:val="18"/>
                  <w:szCs w:val="18"/>
                  <w:color w:val="0000FF"/>
                </w:rPr>
                <w:t>Incentive Plan, as amended</w:t>
              </w:r>
            </w:hyperlink>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3"/>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gridSpan w:val="2"/>
          </w:tcPr>
          <w:p>
            <w:pPr>
              <w:jc w:val="right"/>
              <w:ind w:right="1008"/>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9" w:name="page130"/>
    <w:bookmarkEnd w:id="12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890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040" w:right="100" w:hanging="1025"/>
        <w:spacing w:after="0" w:line="21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93">
        <w:r>
          <w:rPr>
            <w:rFonts w:ascii="Arial" w:cs="Arial" w:eastAsia="Arial" w:hAnsi="Arial"/>
            <w:sz w:val="18"/>
            <w:szCs w:val="18"/>
            <w:u w:val="single" w:color="auto"/>
            <w:color w:val="0000FF"/>
          </w:rPr>
          <w:t>First Amendment to the Second Amended</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and Restated Vroom, Inc. 2014 Equity</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Incentive Award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-247015</wp:posOffset>
            </wp:positionV>
            <wp:extent cx="21590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215900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-135890</wp:posOffset>
            </wp:positionV>
            <wp:extent cx="195834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195834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-24130</wp:posOffset>
            </wp:positionV>
            <wp:extent cx="107124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15" w:lineRule="exact"/>
        <w:rPr>
          <w:rFonts w:ascii="Arial" w:cs="Arial" w:eastAsia="Arial" w:hAnsi="Arial"/>
          <w:sz w:val="18"/>
          <w:szCs w:val="18"/>
          <w:u w:val="single" w:color="auto"/>
          <w:color w:val="0000FF"/>
        </w:rPr>
      </w:pPr>
    </w:p>
    <w:p>
      <w:pPr>
        <w:ind w:left="1040" w:right="140" w:hanging="1025"/>
        <w:spacing w:after="0" w:line="21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97">
        <w:r>
          <w:rPr>
            <w:rFonts w:ascii="Arial" w:cs="Arial" w:eastAsia="Arial" w:hAnsi="Arial"/>
            <w:sz w:val="18"/>
            <w:szCs w:val="18"/>
            <w:u w:val="single" w:color="auto"/>
            <w:color w:val="0000FF"/>
          </w:rPr>
          <w:t>Second Amendment to the Second</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Amended and Restated Vroom, Inc. 2014</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Equity Incentive Award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-247015</wp:posOffset>
            </wp:positionV>
            <wp:extent cx="18034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180340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-135890</wp:posOffset>
            </wp:positionV>
            <wp:extent cx="21297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21297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-24130</wp:posOffset>
            </wp:positionV>
            <wp:extent cx="142049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115" w:lineRule="exact"/>
        <w:rPr>
          <w:rFonts w:ascii="Arial" w:cs="Arial" w:eastAsia="Arial" w:hAnsi="Arial"/>
          <w:sz w:val="18"/>
          <w:szCs w:val="18"/>
          <w:u w:val="single" w:color="auto"/>
          <w:color w:val="0000FF"/>
        </w:rPr>
      </w:pPr>
    </w:p>
    <w:p>
      <w:pPr>
        <w:ind w:left="1040" w:right="80" w:hanging="1025"/>
        <w:spacing w:after="0" w:line="232"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10.4†</w:t>
      </w:r>
      <w:r>
        <w:rPr>
          <w:sz w:val="20"/>
          <w:szCs w:val="20"/>
          <w:color w:val="auto"/>
        </w:rPr>
        <w:tab/>
      </w:r>
      <w:hyperlink r:id="rId501">
        <w:r>
          <w:rPr>
            <w:rFonts w:ascii="Arial" w:cs="Arial" w:eastAsia="Arial" w:hAnsi="Arial"/>
            <w:sz w:val="17"/>
            <w:szCs w:val="17"/>
            <w:u w:val="single" w:color="auto"/>
            <w:color w:val="0000FF"/>
          </w:rPr>
          <w:t>Form of Stock Option Agreement pursuant</w:t>
        </w:r>
      </w:hyperlink>
      <w:r>
        <w:rPr>
          <w:rFonts w:ascii="Arial" w:cs="Arial" w:eastAsia="Arial" w:hAnsi="Arial"/>
          <w:sz w:val="17"/>
          <w:szCs w:val="17"/>
          <w:u w:val="single" w:color="auto"/>
          <w:color w:val="0000FF"/>
        </w:rPr>
        <w:t xml:space="preserve"> </w:t>
      </w:r>
      <w:hyperlink r:id="rId501">
        <w:r>
          <w:rPr>
            <w:rFonts w:ascii="Arial" w:cs="Arial" w:eastAsia="Arial" w:hAnsi="Arial"/>
            <w:sz w:val="17"/>
            <w:szCs w:val="17"/>
            <w:u w:val="single" w:color="auto"/>
            <w:color w:val="0000FF"/>
          </w:rPr>
          <w:t>to the Second Amended and Restated</w:t>
        </w:r>
      </w:hyperlink>
      <w:r>
        <w:rPr>
          <w:rFonts w:ascii="Arial" w:cs="Arial" w:eastAsia="Arial" w:hAnsi="Arial"/>
          <w:sz w:val="17"/>
          <w:szCs w:val="17"/>
          <w:u w:val="single" w:color="auto"/>
          <w:color w:val="0000FF"/>
        </w:rPr>
        <w:t xml:space="preserve"> </w:t>
      </w:r>
      <w:hyperlink r:id="rId501">
        <w:r>
          <w:rPr>
            <w:rFonts w:ascii="Arial" w:cs="Arial" w:eastAsia="Arial" w:hAnsi="Arial"/>
            <w:sz w:val="17"/>
            <w:szCs w:val="17"/>
            <w:u w:val="single" w:color="auto"/>
            <w:color w:val="0000FF"/>
          </w:rPr>
          <w:t>2014 Equity Incentive Award Plan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-247650</wp:posOffset>
            </wp:positionV>
            <wp:extent cx="21780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21780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-135890</wp:posOffset>
            </wp:positionV>
            <wp:extent cx="19691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196913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170624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115" w:lineRule="exact"/>
        <w:rPr>
          <w:rFonts w:ascii="Arial" w:cs="Arial" w:eastAsia="Arial" w:hAnsi="Arial"/>
          <w:sz w:val="17"/>
          <w:szCs w:val="17"/>
          <w:u w:val="single" w:color="auto"/>
          <w:color w:val="0000FF"/>
        </w:rPr>
      </w:pPr>
    </w:p>
    <w:p>
      <w:pPr>
        <w:ind w:left="1040" w:hanging="1025"/>
        <w:spacing w:after="0" w:line="232"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505">
        <w:r>
          <w:rPr>
            <w:rFonts w:ascii="Arial" w:cs="Arial" w:eastAsia="Arial" w:hAnsi="Arial"/>
            <w:sz w:val="17"/>
            <w:szCs w:val="17"/>
            <w:u w:val="single" w:color="auto"/>
            <w:color w:val="0000FF"/>
          </w:rPr>
          <w:t>Form of Restricted Stock Unit Agreement</w:t>
        </w:r>
      </w:hyperlink>
      <w:r>
        <w:rPr>
          <w:rFonts w:ascii="Arial" w:cs="Arial" w:eastAsia="Arial" w:hAnsi="Arial"/>
          <w:sz w:val="17"/>
          <w:szCs w:val="17"/>
          <w:u w:val="single" w:color="auto"/>
          <w:color w:val="0000FF"/>
        </w:rPr>
        <w:t xml:space="preserve"> </w:t>
      </w:r>
      <w:hyperlink r:id="rId505">
        <w:r>
          <w:rPr>
            <w:rFonts w:ascii="Arial" w:cs="Arial" w:eastAsia="Arial" w:hAnsi="Arial"/>
            <w:sz w:val="17"/>
            <w:szCs w:val="17"/>
            <w:u w:val="single" w:color="auto"/>
            <w:color w:val="0000FF"/>
          </w:rPr>
          <w:t>pursuant to the Second Amended and</w:t>
        </w:r>
      </w:hyperlink>
      <w:r>
        <w:rPr>
          <w:rFonts w:ascii="Arial" w:cs="Arial" w:eastAsia="Arial" w:hAnsi="Arial"/>
          <w:sz w:val="17"/>
          <w:szCs w:val="17"/>
          <w:u w:val="single" w:color="auto"/>
          <w:color w:val="0000FF"/>
        </w:rPr>
        <w:t xml:space="preserve"> </w:t>
      </w:r>
      <w:hyperlink r:id="rId505">
        <w:r>
          <w:rPr>
            <w:rFonts w:ascii="Arial" w:cs="Arial" w:eastAsia="Arial" w:hAnsi="Arial"/>
            <w:sz w:val="17"/>
            <w:szCs w:val="17"/>
            <w:u w:val="single" w:color="auto"/>
            <w:color w:val="0000FF"/>
          </w:rPr>
          <w:t>Restated 2014 Equity Incentive Award Plan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-247650</wp:posOffset>
            </wp:positionV>
            <wp:extent cx="211391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211391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-135890</wp:posOffset>
            </wp:positionV>
            <wp:extent cx="1956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195643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21951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115" w:lineRule="exact"/>
        <w:rPr>
          <w:rFonts w:ascii="Arial" w:cs="Arial" w:eastAsia="Arial" w:hAnsi="Arial"/>
          <w:sz w:val="17"/>
          <w:szCs w:val="17"/>
          <w:u w:val="single" w:color="auto"/>
          <w:color w:val="0000FF"/>
        </w:rPr>
      </w:pPr>
    </w:p>
    <w:p>
      <w:pPr>
        <w:ind w:left="20"/>
        <w:spacing w:after="0"/>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509">
        <w:r>
          <w:rPr>
            <w:rFonts w:ascii="Arial" w:cs="Arial" w:eastAsia="Arial" w:hAnsi="Arial"/>
            <w:sz w:val="17"/>
            <w:szCs w:val="17"/>
            <w:u w:val="single" w:color="auto"/>
            <w:color w:val="0000FF"/>
          </w:rPr>
          <w:t>2019 Short Term Incentive Plan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-19050</wp:posOffset>
            </wp:positionV>
            <wp:extent cx="15938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51" w:lineRule="exact"/>
        <w:rPr>
          <w:rFonts w:ascii="Arial" w:cs="Arial" w:eastAsia="Arial" w:hAnsi="Arial"/>
          <w:sz w:val="17"/>
          <w:szCs w:val="17"/>
          <w:u w:val="single" w:color="auto"/>
          <w:color w:val="0000FF"/>
        </w:rPr>
      </w:pPr>
    </w:p>
    <w:p>
      <w:pPr>
        <w:ind w:left="20"/>
        <w:spacing w:after="0"/>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511">
        <w:r>
          <w:rPr>
            <w:rFonts w:ascii="Arial" w:cs="Arial" w:eastAsia="Arial" w:hAnsi="Arial"/>
            <w:sz w:val="17"/>
            <w:szCs w:val="17"/>
            <w:u w:val="single" w:color="auto"/>
            <w:color w:val="0000FF"/>
          </w:rPr>
          <w:t>2020 Incentive Award Plan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-19050</wp:posOffset>
            </wp:positionV>
            <wp:extent cx="13569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24" w:lineRule="exact"/>
        <w:rPr>
          <w:rFonts w:ascii="Arial" w:cs="Arial" w:eastAsia="Arial" w:hAnsi="Arial"/>
          <w:sz w:val="17"/>
          <w:szCs w:val="17"/>
          <w:u w:val="single" w:color="auto"/>
          <w:color w:val="0000FF"/>
        </w:rPr>
      </w:pPr>
    </w:p>
    <w:p>
      <w:pPr>
        <w:ind w:left="1040" w:right="60" w:hanging="1025"/>
        <w:spacing w:after="0" w:line="22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513">
        <w:r>
          <w:rPr>
            <w:rFonts w:ascii="Arial" w:cs="Arial" w:eastAsia="Arial" w:hAnsi="Arial"/>
            <w:sz w:val="18"/>
            <w:szCs w:val="18"/>
            <w:u w:val="single" w:color="auto"/>
            <w:color w:val="0000FF"/>
          </w:rPr>
          <w:t>Form of Restricted Stock Unit Agreement</w:t>
        </w:r>
      </w:hyperlink>
      <w:r>
        <w:rPr>
          <w:rFonts w:ascii="Arial" w:cs="Arial" w:eastAsia="Arial" w:hAnsi="Arial"/>
          <w:sz w:val="18"/>
          <w:szCs w:val="18"/>
          <w:u w:val="single" w:color="auto"/>
          <w:color w:val="0000FF"/>
        </w:rPr>
        <w:t xml:space="preserve"> </w:t>
      </w:r>
      <w:hyperlink r:id="rId513">
        <w:r>
          <w:rPr>
            <w:rFonts w:ascii="Arial" w:cs="Arial" w:eastAsia="Arial" w:hAnsi="Arial"/>
            <w:sz w:val="18"/>
            <w:szCs w:val="18"/>
            <w:u w:val="single" w:color="auto"/>
            <w:color w:val="0000FF"/>
          </w:rPr>
          <w:t>pursuant to the 2020 Incentive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-135890</wp:posOffset>
            </wp:positionV>
            <wp:extent cx="211391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211391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21507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2150745" cy="8255"/>
                    </a:xfrm>
                    <a:prstGeom prst="rect">
                      <a:avLst/>
                    </a:prstGeom>
                    <a:noFill/>
                  </pic:spPr>
                </pic:pic>
              </a:graphicData>
            </a:graphic>
          </wp:anchor>
        </w:drawing>
      </w:r>
    </w:p>
    <w:p>
      <w:pPr>
        <w:spacing w:after="0" w:line="115" w:lineRule="exact"/>
        <w:rPr>
          <w:sz w:val="20"/>
          <w:szCs w:val="20"/>
          <w:color w:val="auto"/>
        </w:rPr>
      </w:pPr>
    </w:p>
    <w:p>
      <w:pPr>
        <w:ind w:left="1040" w:right="320" w:hanging="1025"/>
        <w:spacing w:after="0" w:line="22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516">
        <w:r>
          <w:rPr>
            <w:rFonts w:ascii="Arial" w:cs="Arial" w:eastAsia="Arial" w:hAnsi="Arial"/>
            <w:sz w:val="18"/>
            <w:szCs w:val="18"/>
            <w:u w:val="single" w:color="auto"/>
            <w:color w:val="0000FF"/>
          </w:rPr>
          <w:t>Amended and Restated Non-Employee</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Director Compensation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-135890</wp:posOffset>
            </wp:positionV>
            <wp:extent cx="20193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7">
                      <a:extLst>
                        <a:ext uri="{28A0092B-C50C-407E-A947-70E740481C1C}"/>
                      </a:extLst>
                    </a:blip>
                    <a:srcRect/>
                    <a:stretch>
                      <a:fillRect/>
                    </a:stretch>
                  </pic:blipFill>
                  <pic:spPr bwMode="auto">
                    <a:xfrm>
                      <a:off x="0" y="0"/>
                      <a:ext cx="201930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150495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8">
                      <a:extLst>
                        <a:ext uri="{28A0092B-C50C-407E-A947-70E740481C1C}"/>
                      </a:extLst>
                    </a:blip>
                    <a:srcRect/>
                    <a:stretch>
                      <a:fillRect/>
                    </a:stretch>
                  </pic:blipFill>
                  <pic:spPr bwMode="auto">
                    <a:xfrm>
                      <a:off x="0" y="0"/>
                      <a:ext cx="1504950" cy="8255"/>
                    </a:xfrm>
                    <a:prstGeom prst="rect">
                      <a:avLst/>
                    </a:prstGeom>
                    <a:noFill/>
                  </pic:spPr>
                </pic:pic>
              </a:graphicData>
            </a:graphic>
          </wp:anchor>
        </w:drawing>
      </w:r>
    </w:p>
    <w:p>
      <w:pPr>
        <w:spacing w:after="0" w:line="169" w:lineRule="exact"/>
        <w:rPr>
          <w:sz w:val="20"/>
          <w:szCs w:val="20"/>
          <w:color w:val="auto"/>
        </w:rPr>
      </w:pPr>
    </w:p>
    <w:p>
      <w:pPr>
        <w:ind w:left="20"/>
        <w:spacing w:after="0"/>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519">
        <w:r>
          <w:rPr>
            <w:rFonts w:ascii="Arial" w:cs="Arial" w:eastAsia="Arial" w:hAnsi="Arial"/>
            <w:sz w:val="18"/>
            <w:szCs w:val="18"/>
            <w:u w:val="single" w:color="auto"/>
            <w:color w:val="0000FF"/>
          </w:rPr>
          <w:t>Form of Indemnification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-19050</wp:posOffset>
            </wp:positionV>
            <wp:extent cx="178435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124" w:lineRule="exact"/>
        <w:rPr>
          <w:sz w:val="20"/>
          <w:szCs w:val="20"/>
          <w:color w:val="auto"/>
        </w:rPr>
      </w:pPr>
    </w:p>
    <w:p>
      <w:pPr>
        <w:ind w:left="20"/>
        <w:spacing w:after="0"/>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521">
        <w:r>
          <w:rPr>
            <w:rFonts w:ascii="Arial" w:cs="Arial" w:eastAsia="Arial" w:hAnsi="Arial"/>
            <w:sz w:val="17"/>
            <w:szCs w:val="17"/>
            <w:u w:val="single" w:color="auto"/>
            <w:color w:val="0000FF"/>
          </w:rPr>
          <w:t>Executive 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-19050</wp:posOffset>
            </wp:positionV>
            <wp:extent cx="13335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2">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24" w:lineRule="exact"/>
        <w:rPr>
          <w:sz w:val="20"/>
          <w:szCs w:val="20"/>
          <w:color w:val="auto"/>
        </w:rPr>
      </w:pPr>
    </w:p>
    <w:p>
      <w:pPr>
        <w:ind w:left="1040" w:right="180" w:hanging="1025"/>
        <w:spacing w:after="0" w:line="215"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523">
        <w:r>
          <w:rPr>
            <w:rFonts w:ascii="Arial" w:cs="Arial" w:eastAsia="Arial" w:hAnsi="Arial"/>
            <w:sz w:val="18"/>
            <w:szCs w:val="18"/>
            <w:u w:val="single" w:color="auto"/>
            <w:color w:val="0000FF"/>
          </w:rPr>
          <w:t>Commercial Lease Agreement, dated</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August 10, 2009, as amended, by and</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between Texas Direct Auto and Robert P.</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Archer, ETAL</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-358140</wp:posOffset>
            </wp:positionV>
            <wp:extent cx="192405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19240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-247015</wp:posOffset>
            </wp:positionV>
            <wp:extent cx="196278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-135255</wp:posOffset>
            </wp:positionV>
            <wp:extent cx="211264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211264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-24130</wp:posOffset>
            </wp:positionV>
            <wp:extent cx="6711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671195" cy="8255"/>
                    </a:xfrm>
                    <a:prstGeom prst="rect">
                      <a:avLst/>
                    </a:prstGeom>
                    <a:noFill/>
                  </pic:spPr>
                </pic:pic>
              </a:graphicData>
            </a:graphic>
          </wp:anchor>
        </w:drawing>
      </w:r>
    </w:p>
    <w:p>
      <w:pPr>
        <w:spacing w:after="0" w:line="116" w:lineRule="exact"/>
        <w:rPr>
          <w:rFonts w:ascii="Arial" w:cs="Arial" w:eastAsia="Arial" w:hAnsi="Arial"/>
          <w:sz w:val="18"/>
          <w:szCs w:val="18"/>
          <w:u w:val="single" w:color="auto"/>
          <w:color w:val="0000FF"/>
        </w:rPr>
      </w:pPr>
    </w:p>
    <w:p>
      <w:pPr>
        <w:ind w:left="1040" w:right="60" w:hanging="1025"/>
        <w:spacing w:after="0" w:line="215"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528">
        <w:r>
          <w:rPr>
            <w:rFonts w:ascii="Arial" w:cs="Arial" w:eastAsia="Arial" w:hAnsi="Arial"/>
            <w:sz w:val="18"/>
            <w:szCs w:val="18"/>
            <w:u w:val="single" w:color="auto"/>
            <w:color w:val="0000FF"/>
          </w:rPr>
          <w:t>Lease Agreement, dated May 21, 2011, as</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amended, by and between Beechnut FEC</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LLC and Left Gate Property Holding, Inc.</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d/b/a as Texas Direct Auto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-358140</wp:posOffset>
            </wp:positionV>
            <wp:extent cx="219138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9">
                      <a:extLst>
                        <a:ext uri="{28A0092B-C50C-407E-A947-70E740481C1C}"/>
                      </a:extLst>
                    </a:blip>
                    <a:srcRect/>
                    <a:stretch>
                      <a:fillRect/>
                    </a:stretch>
                  </pic:blipFill>
                  <pic:spPr bwMode="auto">
                    <a:xfrm>
                      <a:off x="0" y="0"/>
                      <a:ext cx="21913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-247015</wp:posOffset>
            </wp:positionV>
            <wp:extent cx="215328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0">
                      <a:extLst>
                        <a:ext uri="{28A0092B-C50C-407E-A947-70E740481C1C}"/>
                      </a:extLst>
                    </a:blip>
                    <a:srcRect/>
                    <a:stretch>
                      <a:fillRect/>
                    </a:stretch>
                  </pic:blipFill>
                  <pic:spPr bwMode="auto">
                    <a:xfrm>
                      <a:off x="0" y="0"/>
                      <a:ext cx="21532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-135255</wp:posOffset>
            </wp:positionV>
            <wp:extent cx="20955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1">
                      <a:extLst>
                        <a:ext uri="{28A0092B-C50C-407E-A947-70E740481C1C}"/>
                      </a:extLst>
                    </a:blip>
                    <a:srcRect/>
                    <a:stretch>
                      <a:fillRect/>
                    </a:stretch>
                  </pic:blipFill>
                  <pic:spPr bwMode="auto">
                    <a:xfrm>
                      <a:off x="0" y="0"/>
                      <a:ext cx="209550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-24130</wp:posOffset>
            </wp:positionV>
            <wp:extent cx="13335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129" w:lineRule="exact"/>
        <w:rPr>
          <w:rFonts w:ascii="Arial" w:cs="Arial" w:eastAsia="Arial" w:hAnsi="Arial"/>
          <w:sz w:val="18"/>
          <w:szCs w:val="18"/>
          <w:u w:val="single" w:color="auto"/>
          <w:color w:val="0000FF"/>
        </w:rPr>
      </w:pPr>
    </w:p>
    <w:p>
      <w:pPr>
        <w:ind w:left="1040" w:right="100" w:hanging="1025"/>
        <w:spacing w:after="0" w:line="21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533">
        <w:r>
          <w:rPr>
            <w:rFonts w:ascii="Arial" w:cs="Arial" w:eastAsia="Arial" w:hAnsi="Arial"/>
            <w:sz w:val="18"/>
            <w:szCs w:val="18"/>
            <w:u w:val="single" w:color="auto"/>
            <w:color w:val="0000FF"/>
          </w:rPr>
          <w:t>Second Amendment to Lease Agreement,</w:t>
        </w:r>
      </w:hyperlink>
      <w:r>
        <w:rPr>
          <w:rFonts w:ascii="Arial" w:cs="Arial" w:eastAsia="Arial" w:hAnsi="Arial"/>
          <w:sz w:val="18"/>
          <w:szCs w:val="18"/>
          <w:u w:val="single" w:color="auto"/>
          <w:color w:val="0000FF"/>
        </w:rPr>
        <w:t xml:space="preserve"> </w:t>
      </w:r>
      <w:hyperlink r:id="rId533">
        <w:r>
          <w:rPr>
            <w:rFonts w:ascii="Arial" w:cs="Arial" w:eastAsia="Arial" w:hAnsi="Arial"/>
            <w:sz w:val="18"/>
            <w:szCs w:val="18"/>
            <w:u w:val="single" w:color="auto"/>
            <w:color w:val="0000FF"/>
          </w:rPr>
          <w:t>dated January 3, 2019, by and between</w:t>
        </w:r>
      </w:hyperlink>
      <w:r>
        <w:rPr>
          <w:rFonts w:ascii="Arial" w:cs="Arial" w:eastAsia="Arial" w:hAnsi="Arial"/>
          <w:sz w:val="18"/>
          <w:szCs w:val="18"/>
          <w:u w:val="single" w:color="auto"/>
          <w:color w:val="0000FF"/>
        </w:rPr>
        <w:t xml:space="preserve"> </w:t>
      </w:r>
      <w:hyperlink r:id="rId533">
        <w:r>
          <w:rPr>
            <w:rFonts w:ascii="Arial" w:cs="Arial" w:eastAsia="Arial" w:hAnsi="Arial"/>
            <w:sz w:val="18"/>
            <w:szCs w:val="18"/>
            <w:u w:val="single" w:color="auto"/>
            <w:color w:val="0000FF"/>
          </w:rPr>
          <w:t>Beechnut FEC LLC and Vroom,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-247015</wp:posOffset>
            </wp:positionV>
            <wp:extent cx="21596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4">
                      <a:extLst>
                        <a:ext uri="{28A0092B-C50C-407E-A947-70E740481C1C}"/>
                      </a:extLst>
                    </a:blip>
                    <a:srcRect/>
                    <a:stretch>
                      <a:fillRect/>
                    </a:stretch>
                  </pic:blipFill>
                  <pic:spPr bwMode="auto">
                    <a:xfrm>
                      <a:off x="0" y="0"/>
                      <a:ext cx="215963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-135890</wp:posOffset>
            </wp:positionV>
            <wp:extent cx="203898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5">
                      <a:extLst>
                        <a:ext uri="{28A0092B-C50C-407E-A947-70E740481C1C}"/>
                      </a:extLst>
                    </a:blip>
                    <a:srcRect/>
                    <a:stretch>
                      <a:fillRect/>
                    </a:stretch>
                  </pic:blipFill>
                  <pic:spPr bwMode="auto">
                    <a:xfrm>
                      <a:off x="0" y="0"/>
                      <a:ext cx="203898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-24130</wp:posOffset>
            </wp:positionV>
            <wp:extent cx="181800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15" w:lineRule="exact"/>
        <w:rPr>
          <w:rFonts w:ascii="Arial" w:cs="Arial" w:eastAsia="Arial" w:hAnsi="Arial"/>
          <w:sz w:val="18"/>
          <w:szCs w:val="18"/>
          <w:u w:val="single" w:color="auto"/>
          <w:color w:val="0000FF"/>
        </w:rPr>
      </w:pPr>
    </w:p>
    <w:p>
      <w:pPr>
        <w:ind w:left="1040" w:right="40" w:hanging="1025"/>
        <w:spacing w:after="0" w:line="228"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10.15</w:t>
      </w:r>
      <w:r>
        <w:rPr>
          <w:sz w:val="20"/>
          <w:szCs w:val="20"/>
          <w:color w:val="auto"/>
        </w:rPr>
        <w:tab/>
      </w:r>
      <w:hyperlink r:id="rId537">
        <w:r>
          <w:rPr>
            <w:rFonts w:ascii="Arial" w:cs="Arial" w:eastAsia="Arial" w:hAnsi="Arial"/>
            <w:sz w:val="17"/>
            <w:szCs w:val="17"/>
            <w:u w:val="single" w:color="auto"/>
            <w:color w:val="0000FF"/>
          </w:rPr>
          <w:t>Third Amendment to Lease Agreement,</w:t>
        </w:r>
      </w:hyperlink>
      <w:r>
        <w:rPr>
          <w:rFonts w:ascii="Arial" w:cs="Arial" w:eastAsia="Arial" w:hAnsi="Arial"/>
          <w:sz w:val="17"/>
          <w:szCs w:val="17"/>
          <w:u w:val="single" w:color="auto"/>
          <w:color w:val="0000FF"/>
        </w:rPr>
        <w:t xml:space="preserve"> </w:t>
      </w:r>
      <w:hyperlink r:id="rId537">
        <w:r>
          <w:rPr>
            <w:rFonts w:ascii="Arial" w:cs="Arial" w:eastAsia="Arial" w:hAnsi="Arial"/>
            <w:sz w:val="17"/>
            <w:szCs w:val="17"/>
            <w:u w:val="single" w:color="auto"/>
            <w:color w:val="0000FF"/>
          </w:rPr>
          <w:t>dated February 2, 2021, by and between</w:t>
        </w:r>
      </w:hyperlink>
      <w:r>
        <w:rPr>
          <w:rFonts w:ascii="Arial" w:cs="Arial" w:eastAsia="Arial" w:hAnsi="Arial"/>
          <w:sz w:val="17"/>
          <w:szCs w:val="17"/>
          <w:u w:val="single" w:color="auto"/>
          <w:color w:val="0000FF"/>
        </w:rPr>
        <w:t xml:space="preserve"> </w:t>
      </w:r>
      <w:hyperlink r:id="rId537">
        <w:r>
          <w:rPr>
            <w:rFonts w:ascii="Arial" w:cs="Arial" w:eastAsia="Arial" w:hAnsi="Arial"/>
            <w:sz w:val="17"/>
            <w:szCs w:val="17"/>
            <w:u w:val="single" w:color="auto"/>
            <w:color w:val="0000FF"/>
          </w:rPr>
          <w:t>Beechnut FEC LLC and Left Gate Property</w:t>
        </w:r>
      </w:hyperlink>
      <w:r>
        <w:rPr>
          <w:rFonts w:ascii="Arial" w:cs="Arial" w:eastAsia="Arial" w:hAnsi="Arial"/>
          <w:sz w:val="17"/>
          <w:szCs w:val="17"/>
          <w:u w:val="single" w:color="auto"/>
          <w:color w:val="0000FF"/>
        </w:rPr>
        <w:t xml:space="preserve"> </w:t>
      </w:r>
      <w:hyperlink r:id="rId537">
        <w:r>
          <w:rPr>
            <w:rFonts w:ascii="Arial" w:cs="Arial" w:eastAsia="Arial" w:hAnsi="Arial"/>
            <w:sz w:val="17"/>
            <w:szCs w:val="17"/>
            <w:u w:val="single" w:color="auto"/>
            <w:color w:val="0000FF"/>
          </w:rPr>
          <w:t>Holding, LLC d/b/a Texas Direct Auto</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-358775</wp:posOffset>
            </wp:positionV>
            <wp:extent cx="20320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203200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-247650</wp:posOffset>
            </wp:positionV>
            <wp:extent cx="208978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20897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-135890</wp:posOffset>
            </wp:positionV>
            <wp:extent cx="220345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220345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187325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1873250" cy="8890"/>
                    </a:xfrm>
                    <a:prstGeom prst="rect">
                      <a:avLst/>
                    </a:prstGeom>
                    <a:noFill/>
                  </pic:spPr>
                </pic:pic>
              </a:graphicData>
            </a:graphic>
          </wp:anchor>
        </w:drawing>
      </w:r>
    </w:p>
    <w:p>
      <w:pPr>
        <w:spacing w:after="0" w:line="142" w:lineRule="exact"/>
        <w:rPr>
          <w:rFonts w:ascii="Arial" w:cs="Arial" w:eastAsia="Arial" w:hAnsi="Arial"/>
          <w:sz w:val="17"/>
          <w:szCs w:val="17"/>
          <w:u w:val="single" w:color="auto"/>
          <w:color w:val="0000FF"/>
        </w:rPr>
      </w:pPr>
    </w:p>
    <w:p>
      <w:pPr>
        <w:ind w:left="1040" w:right="60" w:hanging="1025"/>
        <w:spacing w:after="0" w:line="215"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42">
        <w:r>
          <w:rPr>
            <w:rFonts w:ascii="Arial" w:cs="Arial" w:eastAsia="Arial" w:hAnsi="Arial"/>
            <w:sz w:val="18"/>
            <w:szCs w:val="18"/>
            <w:u w:val="single" w:color="auto"/>
            <w:color w:val="0000FF"/>
          </w:rPr>
          <w:t>Lease Agreement, dated May 21, 2011, by</w:t>
        </w:r>
      </w:hyperlink>
      <w:r>
        <w:rPr>
          <w:rFonts w:ascii="Arial" w:cs="Arial" w:eastAsia="Arial" w:hAnsi="Arial"/>
          <w:sz w:val="18"/>
          <w:szCs w:val="18"/>
          <w:u w:val="single" w:color="auto"/>
          <w:color w:val="0000FF"/>
        </w:rPr>
        <w:t xml:space="preserve"> </w:t>
      </w:r>
      <w:hyperlink r:id="rId542">
        <w:r>
          <w:rPr>
            <w:rFonts w:ascii="Arial" w:cs="Arial" w:eastAsia="Arial" w:hAnsi="Arial"/>
            <w:sz w:val="18"/>
            <w:szCs w:val="18"/>
            <w:u w:val="single" w:color="auto"/>
            <w:color w:val="0000FF"/>
          </w:rPr>
          <w:t>and between Sohani Heritage Trust and</w:t>
        </w:r>
      </w:hyperlink>
      <w:r>
        <w:rPr>
          <w:rFonts w:ascii="Arial" w:cs="Arial" w:eastAsia="Arial" w:hAnsi="Arial"/>
          <w:sz w:val="18"/>
          <w:szCs w:val="18"/>
          <w:u w:val="single" w:color="auto"/>
          <w:color w:val="0000FF"/>
        </w:rPr>
        <w:t xml:space="preserve"> </w:t>
      </w:r>
      <w:hyperlink r:id="rId542">
        <w:r>
          <w:rPr>
            <w:rFonts w:ascii="Arial" w:cs="Arial" w:eastAsia="Arial" w:hAnsi="Arial"/>
            <w:sz w:val="18"/>
            <w:szCs w:val="18"/>
            <w:u w:val="single" w:color="auto"/>
            <w:color w:val="0000FF"/>
          </w:rPr>
          <w:t>Left Gate Property Holding, Inc. d/b/a</w:t>
        </w:r>
      </w:hyperlink>
      <w:r>
        <w:rPr>
          <w:rFonts w:ascii="Arial" w:cs="Arial" w:eastAsia="Arial" w:hAnsi="Arial"/>
          <w:sz w:val="18"/>
          <w:szCs w:val="18"/>
          <w:u w:val="single" w:color="auto"/>
          <w:color w:val="0000FF"/>
        </w:rPr>
        <w:t xml:space="preserve"> </w:t>
      </w:r>
      <w:hyperlink r:id="rId542">
        <w:r>
          <w:rPr>
            <w:rFonts w:ascii="Arial" w:cs="Arial" w:eastAsia="Arial" w:hAnsi="Arial"/>
            <w:sz w:val="18"/>
            <w:szCs w:val="18"/>
            <w:u w:val="single" w:color="auto"/>
            <w:color w:val="0000FF"/>
          </w:rPr>
          <w:t>Texas Direct Auto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-358140</wp:posOffset>
            </wp:positionV>
            <wp:extent cx="219138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219138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-247015</wp:posOffset>
            </wp:positionV>
            <wp:extent cx="204724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204724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-135255</wp:posOffset>
            </wp:positionV>
            <wp:extent cx="19177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191770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-24130</wp:posOffset>
            </wp:positionV>
            <wp:extent cx="89535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32"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600" w:type="dxa"/>
            <w:vAlign w:val="bottom"/>
          </w:tcPr>
          <w:p>
            <w:pPr>
              <w:ind w:left="20"/>
              <w:spacing w:after="0"/>
              <w:rPr>
                <w:sz w:val="20"/>
                <w:szCs w:val="20"/>
                <w:color w:val="auto"/>
              </w:rPr>
            </w:pPr>
            <w:r>
              <w:rPr>
                <w:rFonts w:ascii="Arial" w:cs="Arial" w:eastAsia="Arial" w:hAnsi="Arial"/>
                <w:sz w:val="18"/>
                <w:szCs w:val="18"/>
                <w:color w:val="auto"/>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10.3</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August 13, 2020</w:t>
            </w:r>
          </w:p>
        </w:tc>
      </w:tr>
      <w:tr>
        <w:trPr>
          <w:trHeight w:val="702"/>
        </w:trPr>
        <w:tc>
          <w:tcPr>
            <w:tcW w:w="600" w:type="dxa"/>
            <w:vAlign w:val="bottom"/>
          </w:tcPr>
          <w:p>
            <w:pPr>
              <w:ind w:left="20"/>
              <w:spacing w:after="0"/>
              <w:rPr>
                <w:sz w:val="20"/>
                <w:szCs w:val="20"/>
                <w:color w:val="auto"/>
              </w:rPr>
            </w:pPr>
            <w:r>
              <w:rPr>
                <w:rFonts w:ascii="Arial" w:cs="Arial" w:eastAsia="Arial" w:hAnsi="Arial"/>
                <w:sz w:val="18"/>
                <w:szCs w:val="18"/>
                <w:color w:val="auto"/>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10.4</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August 13, 2020</w:t>
            </w:r>
          </w:p>
        </w:tc>
      </w:tr>
      <w:tr>
        <w:trPr>
          <w:trHeight w:val="702"/>
        </w:trPr>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10.4</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March 3, 2021</w:t>
            </w:r>
          </w:p>
        </w:tc>
      </w:tr>
      <w:tr>
        <w:trPr>
          <w:trHeight w:val="702"/>
        </w:trPr>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10.5</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March 3, 2021</w:t>
            </w:r>
          </w:p>
        </w:tc>
      </w:tr>
      <w:tr>
        <w:trPr>
          <w:trHeight w:val="702"/>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60" w:type="dxa"/>
            <w:vAlign w:val="bottom"/>
          </w:tcPr>
          <w:p>
            <w:pPr>
              <w:jc w:val="center"/>
              <w:spacing w:after="0"/>
              <w:rPr>
                <w:sz w:val="20"/>
                <w:szCs w:val="20"/>
                <w:color w:val="auto"/>
              </w:rPr>
            </w:pPr>
            <w:r>
              <w:rPr>
                <w:rFonts w:ascii="Arial" w:cs="Arial" w:eastAsia="Arial" w:hAnsi="Arial"/>
                <w:sz w:val="18"/>
                <w:szCs w:val="18"/>
                <w:color w:val="auto"/>
              </w:rPr>
              <w:t>10.2</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8"/>
              </w:rPr>
              <w:t>May 18, 2020</w:t>
            </w:r>
          </w:p>
        </w:tc>
      </w:tr>
      <w:tr>
        <w:trPr>
          <w:trHeight w:val="378"/>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60" w:type="dxa"/>
            <w:vAlign w:val="bottom"/>
          </w:tcPr>
          <w:p>
            <w:pPr>
              <w:jc w:val="center"/>
              <w:spacing w:after="0"/>
              <w:rPr>
                <w:sz w:val="20"/>
                <w:szCs w:val="20"/>
                <w:color w:val="auto"/>
              </w:rPr>
            </w:pPr>
            <w:r>
              <w:rPr>
                <w:rFonts w:ascii="Arial" w:cs="Arial" w:eastAsia="Arial" w:hAnsi="Arial"/>
                <w:sz w:val="18"/>
                <w:szCs w:val="18"/>
                <w:color w:val="auto"/>
              </w:rPr>
              <w:t>10.3</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9"/>
              </w:rPr>
              <w:t>June 1, 2020</w:t>
            </w:r>
          </w:p>
        </w:tc>
      </w:tr>
      <w:tr>
        <w:trPr>
          <w:trHeight w:val="351"/>
        </w:trPr>
        <w:tc>
          <w:tcPr>
            <w:tcW w:w="600" w:type="dxa"/>
            <w:vAlign w:val="bottom"/>
          </w:tcPr>
          <w:p>
            <w:pPr>
              <w:ind w:left="20"/>
              <w:spacing w:after="0"/>
              <w:rPr>
                <w:sz w:val="20"/>
                <w:szCs w:val="20"/>
                <w:color w:val="auto"/>
              </w:rPr>
            </w:pPr>
            <w:r>
              <w:rPr>
                <w:rFonts w:ascii="Arial" w:cs="Arial" w:eastAsia="Arial" w:hAnsi="Arial"/>
                <w:sz w:val="18"/>
                <w:szCs w:val="18"/>
                <w:color w:val="auto"/>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10.2</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August 13, 2020</w:t>
            </w:r>
          </w:p>
        </w:tc>
      </w:tr>
      <w:tr>
        <w:trPr>
          <w:trHeight w:val="527"/>
        </w:trPr>
        <w:tc>
          <w:tcPr>
            <w:tcW w:w="600" w:type="dxa"/>
            <w:vAlign w:val="bottom"/>
          </w:tcPr>
          <w:p>
            <w:pPr>
              <w:ind w:left="20"/>
              <w:spacing w:after="0"/>
              <w:rPr>
                <w:sz w:val="20"/>
                <w:szCs w:val="20"/>
                <w:color w:val="auto"/>
              </w:rPr>
            </w:pPr>
            <w:r>
              <w:rPr>
                <w:rFonts w:ascii="Arial" w:cs="Arial" w:eastAsia="Arial" w:hAnsi="Arial"/>
                <w:sz w:val="18"/>
                <w:szCs w:val="18"/>
                <w:color w:val="auto"/>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8"/>
              </w:rPr>
              <w:t>May 12, 2021</w:t>
            </w:r>
          </w:p>
        </w:tc>
      </w:tr>
      <w:tr>
        <w:trPr>
          <w:trHeight w:val="581"/>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60" w:type="dxa"/>
            <w:vAlign w:val="bottom"/>
          </w:tcPr>
          <w:p>
            <w:pPr>
              <w:jc w:val="center"/>
              <w:spacing w:after="0"/>
              <w:rPr>
                <w:sz w:val="20"/>
                <w:szCs w:val="20"/>
                <w:color w:val="auto"/>
              </w:rPr>
            </w:pPr>
            <w:r>
              <w:rPr>
                <w:rFonts w:ascii="Arial" w:cs="Arial" w:eastAsia="Arial" w:hAnsi="Arial"/>
                <w:sz w:val="18"/>
                <w:szCs w:val="18"/>
                <w:color w:val="auto"/>
              </w:rPr>
              <w:t>10.5</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9"/>
              </w:rPr>
              <w:t>June 1, 2020</w:t>
            </w:r>
          </w:p>
        </w:tc>
      </w:tr>
      <w:tr>
        <w:trPr>
          <w:trHeight w:val="351"/>
        </w:trPr>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March 3, 2021</w:t>
            </w:r>
          </w:p>
        </w:tc>
      </w:tr>
      <w:tr>
        <w:trPr>
          <w:trHeight w:val="351"/>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60" w:type="dxa"/>
            <w:vAlign w:val="bottom"/>
          </w:tcPr>
          <w:p>
            <w:pPr>
              <w:jc w:val="center"/>
              <w:spacing w:after="0"/>
              <w:rPr>
                <w:sz w:val="20"/>
                <w:szCs w:val="20"/>
                <w:color w:val="auto"/>
              </w:rPr>
            </w:pPr>
            <w:r>
              <w:rPr>
                <w:rFonts w:ascii="Arial" w:cs="Arial" w:eastAsia="Arial" w:hAnsi="Arial"/>
                <w:sz w:val="18"/>
                <w:szCs w:val="18"/>
                <w:color w:val="auto"/>
              </w:rPr>
              <w:t>10.6</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9"/>
              </w:rPr>
              <w:t>June 1, 2020</w:t>
            </w:r>
          </w:p>
        </w:tc>
      </w:tr>
      <w:tr>
        <w:trPr>
          <w:trHeight w:val="878"/>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10.7</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9"/>
              </w:rPr>
              <w:t>June 1, 2020</w:t>
            </w:r>
          </w:p>
        </w:tc>
      </w:tr>
      <w:tr>
        <w:trPr>
          <w:trHeight w:val="891"/>
        </w:trPr>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March 3, 2021</w:t>
            </w:r>
          </w:p>
        </w:tc>
      </w:tr>
      <w:tr>
        <w:trPr>
          <w:trHeight w:val="702"/>
        </w:trPr>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rPr>
              <w:t>March 3, 2021</w:t>
            </w:r>
          </w:p>
        </w:tc>
      </w:tr>
      <w:tr>
        <w:trPr>
          <w:trHeight w:val="905"/>
        </w:trPr>
        <w:tc>
          <w:tcPr>
            <w:tcW w:w="60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10.8</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9"/>
              </w:rPr>
              <w:t>June 1, 2020</w:t>
            </w:r>
          </w:p>
        </w:tc>
      </w:tr>
      <w:tr>
        <w:trPr>
          <w:trHeight w:val="1148"/>
        </w:trPr>
        <w:tc>
          <w:tcPr>
            <w:tcW w:w="600" w:type="dxa"/>
            <w:vAlign w:val="bottom"/>
          </w:tcPr>
          <w:p>
            <w:pPr>
              <w:spacing w:after="0"/>
              <w:rPr>
                <w:sz w:val="24"/>
                <w:szCs w:val="24"/>
                <w:color w:val="auto"/>
              </w:rPr>
            </w:pPr>
          </w:p>
        </w:tc>
        <w:tc>
          <w:tcPr>
            <w:tcW w:w="1480" w:type="dxa"/>
            <w:vAlign w:val="bottom"/>
          </w:tcPr>
          <w:p>
            <w:pPr>
              <w:jc w:val="right"/>
              <w:ind w:right="950"/>
              <w:spacing w:after="0"/>
              <w:rPr>
                <w:sz w:val="20"/>
                <w:szCs w:val="20"/>
                <w:color w:val="auto"/>
              </w:rPr>
            </w:pPr>
            <w:r>
              <w:rPr>
                <w:rFonts w:ascii="Arial" w:cs="Arial" w:eastAsia="Arial" w:hAnsi="Arial"/>
                <w:sz w:val="18"/>
                <w:szCs w:val="18"/>
                <w:color w:val="auto"/>
              </w:rPr>
              <w:t>130</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-3016885</wp:posOffset>
            </wp:positionH>
            <wp:positionV relativeFrom="paragraph">
              <wp:posOffset>46990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500" w:space="240"/>
            <w:col w:w="5399"/>
          </w:cols>
          <w:pgMar w:left="320" w:top="140" w:right="1440" w:bottom="1440" w:gutter="0" w:footer="0" w:header="0"/>
          <w:type w:val="continuous"/>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90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6" w:lineRule="exact"/>
        <w:rPr>
          <w:sz w:val="20"/>
          <w:szCs w:val="20"/>
          <w:color w:val="auto"/>
        </w:rPr>
      </w:pPr>
    </w:p>
    <w:p>
      <w:pPr>
        <w:ind w:left="1040" w:hanging="1025"/>
        <w:spacing w:after="0" w:line="215"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49">
        <w:r>
          <w:rPr>
            <w:rFonts w:ascii="Arial" w:cs="Arial" w:eastAsia="Arial" w:hAnsi="Arial"/>
            <w:sz w:val="18"/>
            <w:szCs w:val="18"/>
            <w:u w:val="single" w:color="auto"/>
            <w:color w:val="0000FF"/>
          </w:rPr>
          <w:t>First Amendment to Lease Agreement,</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dated December 28, 2018, by and between</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Sohani Heritage Trust and Left Gate</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Property, Inc. d/b/a Texas Direct Auto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-358140</wp:posOffset>
            </wp:positionV>
            <wp:extent cx="19939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0">
                      <a:extLst>
                        <a:ext uri="{28A0092B-C50C-407E-A947-70E740481C1C}"/>
                      </a:extLst>
                    </a:blip>
                    <a:srcRect/>
                    <a:stretch>
                      <a:fillRect/>
                    </a:stretch>
                  </pic:blipFill>
                  <pic:spPr bwMode="auto">
                    <a:xfrm>
                      <a:off x="0" y="0"/>
                      <a:ext cx="199390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-247015</wp:posOffset>
            </wp:positionV>
            <wp:extent cx="22117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1">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-135255</wp:posOffset>
            </wp:positionV>
            <wp:extent cx="18630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2">
                      <a:extLst>
                        <a:ext uri="{28A0092B-C50C-407E-A947-70E740481C1C}"/>
                      </a:extLst>
                    </a:blip>
                    <a:srcRect/>
                    <a:stretch>
                      <a:fillRect/>
                    </a:stretch>
                  </pic:blipFill>
                  <pic:spPr bwMode="auto">
                    <a:xfrm>
                      <a:off x="0" y="0"/>
                      <a:ext cx="18630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-24130</wp:posOffset>
            </wp:positionV>
            <wp:extent cx="188404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3">
                      <a:extLst>
                        <a:ext uri="{28A0092B-C50C-407E-A947-70E740481C1C}"/>
                      </a:extLst>
                    </a:blip>
                    <a:srcRect/>
                    <a:stretch>
                      <a:fillRect/>
                    </a:stretch>
                  </pic:blipFill>
                  <pic:spPr bwMode="auto">
                    <a:xfrm>
                      <a:off x="0" y="0"/>
                      <a:ext cx="1884045" cy="8890"/>
                    </a:xfrm>
                    <a:prstGeom prst="rect">
                      <a:avLst/>
                    </a:prstGeom>
                    <a:noFill/>
                  </pic:spPr>
                </pic:pic>
              </a:graphicData>
            </a:graphic>
          </wp:anchor>
        </w:drawing>
      </w:r>
    </w:p>
    <w:p>
      <w:pPr>
        <w:spacing w:after="0" w:line="116" w:lineRule="exact"/>
        <w:rPr>
          <w:rFonts w:ascii="Arial" w:cs="Arial" w:eastAsia="Arial" w:hAnsi="Arial"/>
          <w:sz w:val="18"/>
          <w:szCs w:val="18"/>
          <w:u w:val="single" w:color="auto"/>
          <w:color w:val="0000FF"/>
        </w:rPr>
      </w:pPr>
    </w:p>
    <w:p>
      <w:pPr>
        <w:ind w:left="1040" w:right="100" w:hanging="1025"/>
        <w:spacing w:after="0" w:line="213"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54">
        <w:r>
          <w:rPr>
            <w:rFonts w:ascii="Arial" w:cs="Arial" w:eastAsia="Arial" w:hAnsi="Arial"/>
            <w:sz w:val="18"/>
            <w:szCs w:val="18"/>
            <w:u w:val="single" w:color="auto"/>
            <w:color w:val="0000FF"/>
          </w:rPr>
          <w:t>Second Amendment to Lease Agreement,</w:t>
        </w:r>
      </w:hyperlink>
      <w:r>
        <w:rPr>
          <w:rFonts w:ascii="Arial" w:cs="Arial" w:eastAsia="Arial" w:hAnsi="Arial"/>
          <w:sz w:val="18"/>
          <w:szCs w:val="18"/>
          <w:u w:val="single" w:color="auto"/>
          <w:color w:val="0000FF"/>
        </w:rPr>
        <w:t xml:space="preserve"> </w:t>
      </w:r>
      <w:hyperlink r:id="rId554">
        <w:r>
          <w:rPr>
            <w:rFonts w:ascii="Arial" w:cs="Arial" w:eastAsia="Arial" w:hAnsi="Arial"/>
            <w:sz w:val="18"/>
            <w:szCs w:val="18"/>
            <w:u w:val="single" w:color="auto"/>
            <w:color w:val="0000FF"/>
          </w:rPr>
          <w:t>dated April 28, 2020, by and between</w:t>
        </w:r>
      </w:hyperlink>
      <w:r>
        <w:rPr>
          <w:rFonts w:ascii="Arial" w:cs="Arial" w:eastAsia="Arial" w:hAnsi="Arial"/>
          <w:sz w:val="18"/>
          <w:szCs w:val="18"/>
          <w:u w:val="single" w:color="auto"/>
          <w:color w:val="0000FF"/>
        </w:rPr>
        <w:t xml:space="preserve"> </w:t>
      </w:r>
      <w:hyperlink r:id="rId554">
        <w:r>
          <w:rPr>
            <w:rFonts w:ascii="Arial" w:cs="Arial" w:eastAsia="Arial" w:hAnsi="Arial"/>
            <w:sz w:val="18"/>
            <w:szCs w:val="18"/>
            <w:u w:val="single" w:color="auto"/>
            <w:color w:val="0000FF"/>
          </w:rPr>
          <w:t>Sohani Heritage Trust and Vroom, Inc., as</w:t>
        </w:r>
      </w:hyperlink>
      <w:r>
        <w:rPr>
          <w:rFonts w:ascii="Arial" w:cs="Arial" w:eastAsia="Arial" w:hAnsi="Arial"/>
          <w:sz w:val="18"/>
          <w:szCs w:val="18"/>
          <w:u w:val="single" w:color="auto"/>
          <w:color w:val="0000FF"/>
        </w:rPr>
        <w:t xml:space="preserve"> </w:t>
      </w:r>
      <w:hyperlink r:id="rId554">
        <w:r>
          <w:rPr>
            <w:rFonts w:ascii="Arial" w:cs="Arial" w:eastAsia="Arial" w:hAnsi="Arial"/>
            <w:sz w:val="18"/>
            <w:szCs w:val="18"/>
            <w:u w:val="single" w:color="auto"/>
            <w:color w:val="0000FF"/>
          </w:rPr>
          <w:t>successor to Left Gate Property Holding,</w:t>
        </w:r>
      </w:hyperlink>
      <w:r>
        <w:rPr>
          <w:rFonts w:ascii="Arial" w:cs="Arial" w:eastAsia="Arial" w:hAnsi="Arial"/>
          <w:sz w:val="18"/>
          <w:szCs w:val="18"/>
          <w:u w:val="single" w:color="auto"/>
          <w:color w:val="0000FF"/>
        </w:rPr>
        <w:t xml:space="preserve"> </w:t>
      </w:r>
      <w:hyperlink r:id="rId554">
        <w:r>
          <w:rPr>
            <w:rFonts w:ascii="Arial" w:cs="Arial" w:eastAsia="Arial" w:hAnsi="Arial"/>
            <w:sz w:val="18"/>
            <w:szCs w:val="18"/>
            <w:u w:val="single" w:color="auto"/>
            <w:color w:val="0000FF"/>
          </w:rPr>
          <w:t>Inc. d/b/a Texas Direct Auto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-470535</wp:posOffset>
            </wp:positionV>
            <wp:extent cx="21596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215963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-359410</wp:posOffset>
            </wp:positionV>
            <wp:extent cx="192468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19246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-247650</wp:posOffset>
            </wp:positionV>
            <wp:extent cx="215709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215709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-136525</wp:posOffset>
            </wp:positionV>
            <wp:extent cx="208915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13970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15" w:lineRule="exact"/>
        <w:rPr>
          <w:rFonts w:ascii="Arial" w:cs="Arial" w:eastAsia="Arial" w:hAnsi="Arial"/>
          <w:sz w:val="18"/>
          <w:szCs w:val="18"/>
          <w:u w:val="single" w:color="auto"/>
          <w:color w:val="0000FF"/>
        </w:rPr>
      </w:pPr>
    </w:p>
    <w:p>
      <w:pPr>
        <w:ind w:left="1040" w:right="200" w:hanging="1025"/>
        <w:spacing w:after="0" w:line="213"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560">
        <w:r>
          <w:rPr>
            <w:rFonts w:ascii="Arial" w:cs="Arial" w:eastAsia="Arial" w:hAnsi="Arial"/>
            <w:sz w:val="18"/>
            <w:szCs w:val="18"/>
            <w:u w:val="single" w:color="auto"/>
            <w:color w:val="0000FF"/>
          </w:rPr>
          <w:t>Third Amendment to Lease Agreement,</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dated January 28, 2021, by and between</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Sohani Heritage Trust and Left Gate</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Property Holding, LLC d/b/a Texas Direct</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Auto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-470535</wp:posOffset>
            </wp:positionV>
            <wp:extent cx="20320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203200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-359410</wp:posOffset>
            </wp:positionV>
            <wp:extent cx="210248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21024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-247650</wp:posOffset>
            </wp:positionV>
            <wp:extent cx="18630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18630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-136525</wp:posOffset>
            </wp:positionV>
            <wp:extent cx="210185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21018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23495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115" w:lineRule="exact"/>
        <w:rPr>
          <w:rFonts w:ascii="Arial" w:cs="Arial" w:eastAsia="Arial" w:hAnsi="Arial"/>
          <w:sz w:val="18"/>
          <w:szCs w:val="18"/>
          <w:u w:val="single" w:color="auto"/>
          <w:color w:val="0000FF"/>
        </w:rPr>
      </w:pPr>
    </w:p>
    <w:p>
      <w:pPr>
        <w:ind w:left="1040" w:right="180" w:hanging="1025"/>
        <w:spacing w:after="0" w:line="213"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66">
        <w:r>
          <w:rPr>
            <w:rFonts w:ascii="Arial" w:cs="Arial" w:eastAsia="Arial" w:hAnsi="Arial"/>
            <w:sz w:val="18"/>
            <w:szCs w:val="18"/>
            <w:u w:val="single" w:color="auto"/>
            <w:color w:val="0000FF"/>
          </w:rPr>
          <w:t>Development Agreement, dated June 28,</w:t>
        </w:r>
      </w:hyperlink>
      <w:r>
        <w:rPr>
          <w:rFonts w:ascii="Arial" w:cs="Arial" w:eastAsia="Arial" w:hAnsi="Arial"/>
          <w:sz w:val="18"/>
          <w:szCs w:val="18"/>
          <w:u w:val="single" w:color="auto"/>
          <w:color w:val="0000FF"/>
        </w:rPr>
        <w:t xml:space="preserve"> </w:t>
      </w:r>
      <w:hyperlink r:id="rId566">
        <w:r>
          <w:rPr>
            <w:rFonts w:ascii="Arial" w:cs="Arial" w:eastAsia="Arial" w:hAnsi="Arial"/>
            <w:sz w:val="18"/>
            <w:szCs w:val="18"/>
            <w:u w:val="single" w:color="auto"/>
            <w:color w:val="0000FF"/>
          </w:rPr>
          <w:t>2011, as amended, by and between The</w:t>
        </w:r>
      </w:hyperlink>
      <w:r>
        <w:rPr>
          <w:rFonts w:ascii="Arial" w:cs="Arial" w:eastAsia="Arial" w:hAnsi="Arial"/>
          <w:sz w:val="18"/>
          <w:szCs w:val="18"/>
          <w:u w:val="single" w:color="auto"/>
          <w:color w:val="0000FF"/>
        </w:rPr>
        <w:t xml:space="preserve"> </w:t>
      </w:r>
      <w:hyperlink r:id="rId566">
        <w:r>
          <w:rPr>
            <w:rFonts w:ascii="Arial" w:cs="Arial" w:eastAsia="Arial" w:hAnsi="Arial"/>
            <w:sz w:val="18"/>
            <w:szCs w:val="18"/>
            <w:u w:val="single" w:color="auto"/>
            <w:color w:val="0000FF"/>
          </w:rPr>
          <w:t>City of Meadows Place, Texas and Left</w:t>
        </w:r>
      </w:hyperlink>
      <w:r>
        <w:rPr>
          <w:rFonts w:ascii="Arial" w:cs="Arial" w:eastAsia="Arial" w:hAnsi="Arial"/>
          <w:sz w:val="18"/>
          <w:szCs w:val="18"/>
          <w:u w:val="single" w:color="auto"/>
          <w:color w:val="0000FF"/>
        </w:rPr>
        <w:t xml:space="preserve"> </w:t>
      </w:r>
      <w:hyperlink r:id="rId566">
        <w:r>
          <w:rPr>
            <w:rFonts w:ascii="Arial" w:cs="Arial" w:eastAsia="Arial" w:hAnsi="Arial"/>
            <w:sz w:val="18"/>
            <w:szCs w:val="18"/>
            <w:u w:val="single" w:color="auto"/>
            <w:color w:val="0000FF"/>
          </w:rPr>
          <w:t>Gate Property Holding, Inc. d/b/a Texas</w:t>
        </w:r>
      </w:hyperlink>
      <w:r>
        <w:rPr>
          <w:rFonts w:ascii="Arial" w:cs="Arial" w:eastAsia="Arial" w:hAnsi="Arial"/>
          <w:sz w:val="18"/>
          <w:szCs w:val="18"/>
          <w:u w:val="single" w:color="auto"/>
          <w:color w:val="0000FF"/>
        </w:rPr>
        <w:t xml:space="preserve"> </w:t>
      </w:r>
      <w:hyperlink r:id="rId566">
        <w:r>
          <w:rPr>
            <w:rFonts w:ascii="Arial" w:cs="Arial" w:eastAsia="Arial" w:hAnsi="Arial"/>
            <w:sz w:val="18"/>
            <w:szCs w:val="18"/>
            <w:u w:val="single" w:color="auto"/>
            <w:color w:val="0000FF"/>
          </w:rPr>
          <w:t>Direct Auto and Vroom</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-470535</wp:posOffset>
            </wp:positionV>
            <wp:extent cx="21145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21145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-359410</wp:posOffset>
            </wp:positionV>
            <wp:extent cx="207708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20770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-247650</wp:posOffset>
            </wp:positionV>
            <wp:extent cx="20002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20002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-136525</wp:posOffset>
            </wp:positionV>
            <wp:extent cx="202565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20256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-24765</wp:posOffset>
            </wp:positionV>
            <wp:extent cx="1151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73"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center"/>
              <w:ind w:right="5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rPr>
              <w:t>March 3, 2021</w:t>
            </w:r>
          </w:p>
        </w:tc>
      </w:tr>
      <w:tr>
        <w:trPr>
          <w:trHeight w:val="878"/>
        </w:trPr>
        <w:tc>
          <w:tcPr>
            <w:tcW w:w="600" w:type="dxa"/>
            <w:vAlign w:val="bottom"/>
          </w:tcPr>
          <w:p>
            <w:pPr>
              <w:jc w:val="center"/>
              <w:ind w:right="5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rPr>
              <w:t>March 3, 2021</w:t>
            </w:r>
          </w:p>
        </w:tc>
      </w:tr>
      <w:tr>
        <w:trPr>
          <w:trHeight w:val="1053"/>
        </w:trPr>
        <w:tc>
          <w:tcPr>
            <w:tcW w:w="600" w:type="dxa"/>
            <w:vAlign w:val="bottom"/>
          </w:tcPr>
          <w:p>
            <w:pPr>
              <w:jc w:val="center"/>
              <w:ind w:right="5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rPr>
              <w:t>March 3, 2021</w:t>
            </w:r>
          </w:p>
        </w:tc>
      </w:tr>
      <w:tr>
        <w:trPr>
          <w:trHeight w:val="1053"/>
        </w:trPr>
        <w:tc>
          <w:tcPr>
            <w:tcW w:w="600" w:type="dxa"/>
            <w:vAlign w:val="bottom"/>
          </w:tcPr>
          <w:p>
            <w:pPr>
              <w:jc w:val="center"/>
              <w:ind w:right="50"/>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900" w:type="dxa"/>
            <w:vAlign w:val="bottom"/>
          </w:tcPr>
          <w:p>
            <w:pPr>
              <w:jc w:val="center"/>
              <w:spacing w:after="0"/>
              <w:rPr>
                <w:sz w:val="20"/>
                <w:szCs w:val="20"/>
                <w:color w:val="auto"/>
              </w:rPr>
            </w:pPr>
            <w:r>
              <w:rPr>
                <w:rFonts w:ascii="Arial" w:cs="Arial" w:eastAsia="Arial" w:hAnsi="Arial"/>
                <w:sz w:val="18"/>
                <w:szCs w:val="18"/>
                <w:color w:val="auto"/>
              </w:rPr>
              <w:t>10.9</w:t>
            </w:r>
          </w:p>
        </w:tc>
        <w:tc>
          <w:tcPr>
            <w:tcW w:w="1400" w:type="dxa"/>
            <w:vAlign w:val="bottom"/>
          </w:tcPr>
          <w:p>
            <w:pPr>
              <w:jc w:val="center"/>
              <w:ind w:left="150"/>
              <w:spacing w:after="0"/>
              <w:rPr>
                <w:sz w:val="20"/>
                <w:szCs w:val="20"/>
                <w:color w:val="auto"/>
              </w:rPr>
            </w:pPr>
            <w:r>
              <w:rPr>
                <w:rFonts w:ascii="Arial" w:cs="Arial" w:eastAsia="Arial" w:hAnsi="Arial"/>
                <w:sz w:val="18"/>
                <w:szCs w:val="18"/>
                <w:color w:val="auto"/>
                <w:w w:val="99"/>
              </w:rPr>
              <w:t>June 1, 2020</w:t>
            </w:r>
          </w:p>
        </w:tc>
      </w:tr>
      <w:tr>
        <w:trPr>
          <w:trHeight w:val="1323"/>
        </w:trPr>
        <w:tc>
          <w:tcPr>
            <w:tcW w:w="600" w:type="dxa"/>
            <w:vAlign w:val="bottom"/>
          </w:tcPr>
          <w:p>
            <w:pPr>
              <w:spacing w:after="0"/>
              <w:rPr>
                <w:sz w:val="24"/>
                <w:szCs w:val="24"/>
                <w:color w:val="auto"/>
              </w:rPr>
            </w:pPr>
          </w:p>
        </w:tc>
        <w:tc>
          <w:tcPr>
            <w:tcW w:w="1480" w:type="dxa"/>
            <w:vAlign w:val="bottom"/>
          </w:tcPr>
          <w:p>
            <w:pPr>
              <w:jc w:val="right"/>
              <w:ind w:right="950"/>
              <w:spacing w:after="0"/>
              <w:rPr>
                <w:sz w:val="20"/>
                <w:szCs w:val="20"/>
                <w:color w:val="auto"/>
              </w:rPr>
            </w:pPr>
            <w:r>
              <w:rPr>
                <w:rFonts w:ascii="Arial" w:cs="Arial" w:eastAsia="Arial" w:hAnsi="Arial"/>
                <w:sz w:val="18"/>
                <w:szCs w:val="18"/>
                <w:color w:val="auto"/>
              </w:rPr>
              <w:t>131</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-3016885</wp:posOffset>
            </wp:positionH>
            <wp:positionV relativeFrom="paragraph">
              <wp:posOffset>46990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500" w:space="240"/>
            <w:col w:w="5399"/>
          </w:cols>
          <w:pgMar w:left="320" w:top="140"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4600" w:type="dxa"/>
            <w:vAlign w:val="bottom"/>
            <w:gridSpan w:val="3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20"/>
        </w:trPr>
        <w:tc>
          <w:tcPr>
            <w:tcW w:w="1060" w:type="dxa"/>
            <w:vAlign w:val="bottom"/>
            <w:tcBorders>
              <w:right w:val="single" w:sz="8" w:color="0563C1"/>
            </w:tcBorders>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25"/>
        </w:trPr>
        <w:tc>
          <w:tcPr>
            <w:tcW w:w="1060" w:type="dxa"/>
            <w:vAlign w:val="bottom"/>
          </w:tcPr>
          <w:p>
            <w:pPr>
              <w:ind w:left="20"/>
              <w:spacing w:after="0"/>
              <w:rPr>
                <w:sz w:val="20"/>
                <w:szCs w:val="20"/>
                <w:color w:val="auto"/>
              </w:rPr>
            </w:pPr>
            <w:r>
              <w:rPr>
                <w:rFonts w:ascii="Arial" w:cs="Arial" w:eastAsia="Arial" w:hAnsi="Arial"/>
                <w:sz w:val="18"/>
                <w:szCs w:val="18"/>
                <w:color w:val="auto"/>
              </w:rPr>
              <w:t>10.21#</w:t>
            </w:r>
          </w:p>
        </w:tc>
        <w:tc>
          <w:tcPr>
            <w:tcW w:w="3540" w:type="dxa"/>
            <w:vAlign w:val="bottom"/>
            <w:gridSpan w:val="35"/>
          </w:tcPr>
          <w:p>
            <w:pPr>
              <w:spacing w:after="0"/>
              <w:rPr>
                <w:rFonts w:ascii="Arial" w:cs="Arial" w:eastAsia="Arial" w:hAnsi="Arial"/>
                <w:sz w:val="18"/>
                <w:szCs w:val="18"/>
                <w:color w:val="0000FF"/>
              </w:rPr>
            </w:pPr>
            <w:hyperlink r:id="rId573">
              <w:r>
                <w:rPr>
                  <w:rFonts w:ascii="Arial" w:cs="Arial" w:eastAsia="Arial" w:hAnsi="Arial"/>
                  <w:sz w:val="18"/>
                  <w:szCs w:val="18"/>
                  <w:color w:val="0000FF"/>
                </w:rPr>
                <w:t>Inventory Financing and Security</w:t>
              </w:r>
            </w:hyperlink>
          </w:p>
        </w:tc>
        <w:tc>
          <w:tcPr>
            <w:tcW w:w="74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8"/>
              </w:rPr>
              <w:t>May 18, 2020</w:t>
            </w:r>
          </w:p>
        </w:tc>
      </w:tr>
      <w:tr>
        <w:trPr>
          <w:trHeight w:val="156"/>
        </w:trPr>
        <w:tc>
          <w:tcPr>
            <w:tcW w:w="1060" w:type="dxa"/>
            <w:vAlign w:val="bottom"/>
          </w:tcPr>
          <w:p>
            <w:pPr>
              <w:spacing w:after="0"/>
              <w:rPr>
                <w:sz w:val="13"/>
                <w:szCs w:val="13"/>
                <w:color w:val="auto"/>
              </w:rPr>
            </w:pPr>
          </w:p>
        </w:tc>
        <w:tc>
          <w:tcPr>
            <w:tcW w:w="2660" w:type="dxa"/>
            <w:vAlign w:val="bottom"/>
            <w:tcBorders>
              <w:top w:val="single" w:sz="8" w:color="0000FF"/>
            </w:tcBorders>
            <w:gridSpan w:val="9"/>
          </w:tcPr>
          <w:p>
            <w:pPr>
              <w:spacing w:after="0" w:line="157" w:lineRule="exact"/>
              <w:rPr>
                <w:rFonts w:ascii="Arial" w:cs="Arial" w:eastAsia="Arial" w:hAnsi="Arial"/>
                <w:sz w:val="18"/>
                <w:szCs w:val="18"/>
                <w:color w:val="0000FF"/>
                <w:w w:val="98"/>
              </w:rPr>
            </w:pPr>
            <w:hyperlink r:id="rId573">
              <w:r>
                <w:rPr>
                  <w:rFonts w:ascii="Arial" w:cs="Arial" w:eastAsia="Arial" w:hAnsi="Arial"/>
                  <w:sz w:val="18"/>
                  <w:szCs w:val="18"/>
                  <w:color w:val="0000FF"/>
                  <w:w w:val="98"/>
                </w:rPr>
                <w:t>Agreement, dated March 6, 2020,</w:t>
              </w:r>
            </w:hyperlink>
          </w:p>
        </w:tc>
        <w:tc>
          <w:tcPr>
            <w:tcW w:w="880" w:type="dxa"/>
            <w:vAlign w:val="bottom"/>
            <w:gridSpan w:val="26"/>
          </w:tcPr>
          <w:p>
            <w:pPr>
              <w:ind w:left="60"/>
              <w:spacing w:after="0" w:line="157" w:lineRule="exact"/>
              <w:rPr>
                <w:rFonts w:ascii="Arial" w:cs="Arial" w:eastAsia="Arial" w:hAnsi="Arial"/>
                <w:sz w:val="18"/>
                <w:szCs w:val="18"/>
                <w:color w:val="0000FF"/>
              </w:rPr>
            </w:pPr>
            <w:hyperlink r:id="rId573">
              <w:r>
                <w:rPr>
                  <w:rFonts w:ascii="Arial" w:cs="Arial" w:eastAsia="Arial" w:hAnsi="Arial"/>
                  <w:sz w:val="18"/>
                  <w:szCs w:val="18"/>
                  <w:color w:val="0000FF"/>
                </w:rPr>
                <w:t>by and</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4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573">
              <w:r>
                <w:rPr>
                  <w:rFonts w:ascii="Arial" w:cs="Arial" w:eastAsia="Arial" w:hAnsi="Arial"/>
                  <w:sz w:val="18"/>
                  <w:szCs w:val="18"/>
                  <w:color w:val="0000FF"/>
                </w:rPr>
                <w:t>among Ally Bank, Ally Financial Inc., Left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3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573">
              <w:r>
                <w:rPr>
                  <w:rFonts w:ascii="Arial" w:cs="Arial" w:eastAsia="Arial" w:hAnsi="Arial"/>
                  <w:sz w:val="18"/>
                  <w:szCs w:val="18"/>
                  <w:color w:val="0000FF"/>
                </w:rPr>
                <w:t>Gate Property Holding, LLC and Vroom,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573">
              <w:r>
                <w:rPr>
                  <w:rFonts w:ascii="Arial" w:cs="Arial" w:eastAsia="Arial" w:hAnsi="Arial"/>
                  <w:sz w:val="18"/>
                  <w:szCs w:val="18"/>
                  <w:color w:val="0000FF"/>
                  <w:w w:val="89"/>
                </w:rPr>
                <w:t>Inc.</w:t>
              </w:r>
            </w:hyperlink>
          </w:p>
        </w:tc>
        <w:tc>
          <w:tcPr>
            <w:tcW w:w="60" w:type="dxa"/>
            <w:vAlign w:val="bottom"/>
            <w:tcBorders>
              <w:top w:val="single" w:sz="8" w:color="0000FF"/>
              <w:bottom w:val="single" w:sz="8" w:color="0000EE"/>
            </w:tcBorders>
          </w:tcPr>
          <w:p>
            <w:pPr>
              <w:spacing w:after="0"/>
              <w:rPr>
                <w:sz w:val="13"/>
                <w:szCs w:val="13"/>
                <w:color w:val="auto"/>
              </w:rPr>
            </w:pPr>
          </w:p>
        </w:tc>
        <w:tc>
          <w:tcPr>
            <w:tcW w:w="29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10.22#</w:t>
            </w:r>
          </w:p>
        </w:tc>
        <w:tc>
          <w:tcPr>
            <w:tcW w:w="3540" w:type="dxa"/>
            <w:vAlign w:val="bottom"/>
            <w:gridSpan w:val="35"/>
          </w:tcPr>
          <w:p>
            <w:pPr>
              <w:spacing w:after="0"/>
              <w:rPr>
                <w:rFonts w:ascii="Arial" w:cs="Arial" w:eastAsia="Arial" w:hAnsi="Arial"/>
                <w:sz w:val="18"/>
                <w:szCs w:val="18"/>
                <w:color w:val="0000FF"/>
              </w:rPr>
            </w:pPr>
            <w:hyperlink r:id="rId574">
              <w:r>
                <w:rPr>
                  <w:rFonts w:ascii="Arial" w:cs="Arial" w:eastAsia="Arial" w:hAnsi="Arial"/>
                  <w:sz w:val="18"/>
                  <w:szCs w:val="18"/>
                  <w:color w:val="0000FF"/>
                </w:rPr>
                <w:t>First Amendment to Inventory Financing</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00" w:type="dxa"/>
            <w:vAlign w:val="bottom"/>
          </w:tcPr>
          <w:p>
            <w:pPr>
              <w:jc w:val="center"/>
              <w:spacing w:after="0"/>
              <w:rPr>
                <w:sz w:val="20"/>
                <w:szCs w:val="20"/>
                <w:color w:val="auto"/>
              </w:rPr>
            </w:pPr>
            <w:r>
              <w:rPr>
                <w:rFonts w:ascii="Arial" w:cs="Arial" w:eastAsia="Arial" w:hAnsi="Arial"/>
                <w:sz w:val="18"/>
                <w:szCs w:val="18"/>
                <w:color w:val="auto"/>
              </w:rPr>
              <w:t>10.9</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August 13, 2020</w:t>
            </w:r>
          </w:p>
        </w:tc>
      </w:tr>
      <w:tr>
        <w:trPr>
          <w:trHeight w:val="156"/>
        </w:trPr>
        <w:tc>
          <w:tcPr>
            <w:tcW w:w="106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574">
              <w:r>
                <w:rPr>
                  <w:rFonts w:ascii="Arial" w:cs="Arial" w:eastAsia="Arial" w:hAnsi="Arial"/>
                  <w:sz w:val="18"/>
                  <w:szCs w:val="18"/>
                  <w:color w:val="0000FF"/>
                </w:rPr>
                <w:t>and Security Agreement, dated June 19,</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880" w:type="dxa"/>
            <w:vAlign w:val="bottom"/>
            <w:tcBorders>
              <w:bottom w:val="single" w:sz="8" w:color="0000FF"/>
            </w:tcBorders>
            <w:gridSpan w:val="12"/>
          </w:tcPr>
          <w:p>
            <w:pPr>
              <w:spacing w:after="0" w:line="156" w:lineRule="exact"/>
              <w:rPr>
                <w:rFonts w:ascii="Arial" w:cs="Arial" w:eastAsia="Arial" w:hAnsi="Arial"/>
                <w:sz w:val="18"/>
                <w:szCs w:val="18"/>
                <w:color w:val="0000FF"/>
              </w:rPr>
            </w:pPr>
            <w:hyperlink r:id="rId574">
              <w:r>
                <w:rPr>
                  <w:rFonts w:ascii="Arial" w:cs="Arial" w:eastAsia="Arial" w:hAnsi="Arial"/>
                  <w:sz w:val="18"/>
                  <w:szCs w:val="18"/>
                  <w:color w:val="0000FF"/>
                </w:rPr>
                <w:t>2020, by and among Ally Bank, Ally</w:t>
              </w:r>
            </w:hyperlink>
          </w:p>
        </w:tc>
        <w:tc>
          <w:tcPr>
            <w:tcW w:w="4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540" w:type="dxa"/>
            <w:vAlign w:val="bottom"/>
            <w:gridSpan w:val="35"/>
          </w:tcPr>
          <w:p>
            <w:pPr>
              <w:spacing w:after="0" w:line="156" w:lineRule="exact"/>
              <w:rPr>
                <w:rFonts w:ascii="Arial" w:cs="Arial" w:eastAsia="Arial" w:hAnsi="Arial"/>
                <w:sz w:val="18"/>
                <w:szCs w:val="18"/>
                <w:color w:val="0000FF"/>
              </w:rPr>
            </w:pPr>
            <w:hyperlink r:id="rId574">
              <w:r>
                <w:rPr>
                  <w:rFonts w:ascii="Arial" w:cs="Arial" w:eastAsia="Arial" w:hAnsi="Arial"/>
                  <w:sz w:val="18"/>
                  <w:szCs w:val="18"/>
                  <w:color w:val="0000FF"/>
                </w:rPr>
                <w:t>Financial Inc., Left Gate Property Holding,</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574">
              <w:r>
                <w:rPr>
                  <w:rFonts w:ascii="Arial" w:cs="Arial" w:eastAsia="Arial" w:hAnsi="Arial"/>
                  <w:sz w:val="18"/>
                  <w:szCs w:val="18"/>
                  <w:color w:val="0000FF"/>
                  <w:w w:val="98"/>
                </w:rPr>
                <w:t>LLC and Vroom, Inc.</w:t>
              </w:r>
            </w:hyperlink>
          </w:p>
        </w:tc>
        <w:tc>
          <w:tcPr>
            <w:tcW w:w="17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8"/>
                <w:szCs w:val="18"/>
                <w:color w:val="auto"/>
              </w:rPr>
              <w:t>10.23#</w:t>
            </w:r>
          </w:p>
        </w:tc>
        <w:tc>
          <w:tcPr>
            <w:tcW w:w="3540" w:type="dxa"/>
            <w:vAlign w:val="bottom"/>
            <w:gridSpan w:val="35"/>
          </w:tcPr>
          <w:p>
            <w:pPr>
              <w:spacing w:after="0"/>
              <w:rPr>
                <w:rFonts w:ascii="Arial" w:cs="Arial" w:eastAsia="Arial" w:hAnsi="Arial"/>
                <w:sz w:val="18"/>
                <w:szCs w:val="18"/>
                <w:color w:val="0000FF"/>
              </w:rPr>
            </w:pPr>
            <w:hyperlink r:id="rId575">
              <w:r>
                <w:rPr>
                  <w:rFonts w:ascii="Arial" w:cs="Arial" w:eastAsia="Arial" w:hAnsi="Arial"/>
                  <w:sz w:val="18"/>
                  <w:szCs w:val="18"/>
                  <w:color w:val="0000FF"/>
                </w:rPr>
                <w:t>Second Amendment to Inventory Financing</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00" w:type="dxa"/>
            <w:vAlign w:val="bottom"/>
          </w:tcPr>
          <w:p>
            <w:pPr>
              <w:jc w:val="center"/>
              <w:spacing w:after="0"/>
              <w:rPr>
                <w:sz w:val="20"/>
                <w:szCs w:val="20"/>
                <w:color w:val="auto"/>
              </w:rPr>
            </w:pPr>
            <w:r>
              <w:rPr>
                <w:rFonts w:ascii="Arial" w:cs="Arial" w:eastAsia="Arial" w:hAnsi="Arial"/>
                <w:sz w:val="18"/>
                <w:szCs w:val="18"/>
                <w:color w:val="auto"/>
              </w:rPr>
              <w:t>10.1</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November 12, 2020</w:t>
            </w:r>
          </w:p>
        </w:tc>
      </w:tr>
      <w:tr>
        <w:trPr>
          <w:trHeight w:val="155"/>
        </w:trPr>
        <w:tc>
          <w:tcPr>
            <w:tcW w:w="1060" w:type="dxa"/>
            <w:vAlign w:val="bottom"/>
          </w:tcPr>
          <w:p>
            <w:pPr>
              <w:spacing w:after="0"/>
              <w:rPr>
                <w:sz w:val="13"/>
                <w:szCs w:val="13"/>
                <w:color w:val="auto"/>
              </w:rPr>
            </w:pPr>
          </w:p>
        </w:tc>
        <w:tc>
          <w:tcPr>
            <w:tcW w:w="35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575">
              <w:r>
                <w:rPr>
                  <w:rFonts w:ascii="Arial" w:cs="Arial" w:eastAsia="Arial" w:hAnsi="Arial"/>
                  <w:sz w:val="18"/>
                  <w:szCs w:val="18"/>
                  <w:color w:val="0000FF"/>
                </w:rPr>
                <w:t>and Security Agreement, dated October 1,</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480" w:type="dxa"/>
            <w:vAlign w:val="bottom"/>
            <w:tcBorders>
              <w:top w:val="single" w:sz="8" w:color="0000FF"/>
            </w:tcBorders>
            <w:gridSpan w:val="32"/>
          </w:tcPr>
          <w:p>
            <w:pPr>
              <w:spacing w:after="0" w:line="154" w:lineRule="exact"/>
              <w:rPr>
                <w:rFonts w:ascii="Arial" w:cs="Arial" w:eastAsia="Arial" w:hAnsi="Arial"/>
                <w:sz w:val="17"/>
                <w:szCs w:val="17"/>
                <w:color w:val="0000FF"/>
              </w:rPr>
            </w:pPr>
            <w:hyperlink r:id="rId575">
              <w:r>
                <w:rPr>
                  <w:rFonts w:ascii="Arial" w:cs="Arial" w:eastAsia="Arial" w:hAnsi="Arial"/>
                  <w:sz w:val="17"/>
                  <w:szCs w:val="17"/>
                  <w:color w:val="0000FF"/>
                </w:rPr>
                <w:t>2020 by and among Ally Bank, Ally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820" w:type="dxa"/>
            <w:vAlign w:val="bottom"/>
            <w:tcBorders>
              <w:top w:val="single" w:sz="8" w:color="0000FF"/>
            </w:tcBorders>
            <w:gridSpan w:val="10"/>
          </w:tcPr>
          <w:p>
            <w:pPr>
              <w:spacing w:after="0" w:line="157" w:lineRule="exact"/>
              <w:rPr>
                <w:rFonts w:ascii="Arial" w:cs="Arial" w:eastAsia="Arial" w:hAnsi="Arial"/>
                <w:sz w:val="18"/>
                <w:szCs w:val="18"/>
                <w:color w:val="0000FF"/>
              </w:rPr>
            </w:pPr>
            <w:hyperlink r:id="rId575">
              <w:r>
                <w:rPr>
                  <w:rFonts w:ascii="Arial" w:cs="Arial" w:eastAsia="Arial" w:hAnsi="Arial"/>
                  <w:sz w:val="18"/>
                  <w:szCs w:val="18"/>
                  <w:color w:val="0000FF"/>
                </w:rPr>
                <w:t>Financial, Inc., Left Gate Property</w:t>
              </w:r>
            </w:hyperlink>
          </w:p>
        </w:tc>
        <w:tc>
          <w:tcPr>
            <w:tcW w:w="720" w:type="dxa"/>
            <w:vAlign w:val="bottom"/>
            <w:gridSpan w:val="25"/>
          </w:tcPr>
          <w:p>
            <w:pPr>
              <w:spacing w:after="0" w:line="157" w:lineRule="exact"/>
              <w:rPr>
                <w:rFonts w:ascii="Arial" w:cs="Arial" w:eastAsia="Arial" w:hAnsi="Arial"/>
                <w:sz w:val="18"/>
                <w:szCs w:val="18"/>
                <w:color w:val="0000FF"/>
              </w:rPr>
            </w:pPr>
            <w:hyperlink r:id="rId575">
              <w:r>
                <w:rPr>
                  <w:rFonts w:ascii="Arial" w:cs="Arial" w:eastAsia="Arial" w:hAnsi="Arial"/>
                  <w:sz w:val="18"/>
                  <w:szCs w:val="18"/>
                  <w:color w:val="0000FF"/>
                </w:rPr>
                <w:t>Holding,</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575">
              <w:r>
                <w:rPr>
                  <w:rFonts w:ascii="Arial" w:cs="Arial" w:eastAsia="Arial" w:hAnsi="Arial"/>
                  <w:sz w:val="18"/>
                  <w:szCs w:val="18"/>
                  <w:color w:val="0000FF"/>
                  <w:w w:val="98"/>
                </w:rPr>
                <w:t>LLC and Vroom, Inc.</w:t>
              </w:r>
            </w:hyperlink>
          </w:p>
        </w:tc>
        <w:tc>
          <w:tcPr>
            <w:tcW w:w="18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561"/>
        </w:trPr>
        <w:tc>
          <w:tcPr>
            <w:tcW w:w="1060" w:type="dxa"/>
            <w:vAlign w:val="bottom"/>
          </w:tcPr>
          <w:p>
            <w:pPr>
              <w:ind w:left="20"/>
              <w:spacing w:after="0"/>
              <w:rPr>
                <w:sz w:val="20"/>
                <w:szCs w:val="20"/>
                <w:color w:val="auto"/>
              </w:rPr>
            </w:pPr>
            <w:r>
              <w:rPr>
                <w:rFonts w:ascii="Arial" w:cs="Arial" w:eastAsia="Arial" w:hAnsi="Arial"/>
                <w:sz w:val="18"/>
                <w:szCs w:val="18"/>
                <w:color w:val="auto"/>
              </w:rPr>
              <w:t>10.24#</w:t>
            </w:r>
          </w:p>
        </w:tc>
        <w:tc>
          <w:tcPr>
            <w:tcW w:w="3540" w:type="dxa"/>
            <w:vAlign w:val="bottom"/>
            <w:gridSpan w:val="35"/>
          </w:tcPr>
          <w:p>
            <w:pPr>
              <w:spacing w:after="0"/>
              <w:rPr>
                <w:rFonts w:ascii="Arial" w:cs="Arial" w:eastAsia="Arial" w:hAnsi="Arial"/>
                <w:sz w:val="18"/>
                <w:szCs w:val="18"/>
                <w:color w:val="0000FF"/>
              </w:rPr>
            </w:pPr>
            <w:hyperlink r:id="rId576">
              <w:r>
                <w:rPr>
                  <w:rFonts w:ascii="Arial" w:cs="Arial" w:eastAsia="Arial" w:hAnsi="Arial"/>
                  <w:sz w:val="18"/>
                  <w:szCs w:val="18"/>
                  <w:color w:val="0000FF"/>
                </w:rPr>
                <w:t>Third Amendment to Inventory Financing</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00" w:type="dxa"/>
            <w:vAlign w:val="bottom"/>
          </w:tcPr>
          <w:p>
            <w:pPr>
              <w:jc w:val="center"/>
              <w:spacing w:after="0"/>
              <w:rPr>
                <w:sz w:val="20"/>
                <w:szCs w:val="20"/>
                <w:color w:val="auto"/>
              </w:rPr>
            </w:pPr>
            <w:r>
              <w:rPr>
                <w:rFonts w:ascii="Arial" w:cs="Arial" w:eastAsia="Arial" w:hAnsi="Arial"/>
                <w:sz w:val="18"/>
                <w:szCs w:val="18"/>
                <w:color w:val="auto"/>
              </w:rPr>
              <w:t>10.1</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December 20, 2021</w:t>
            </w:r>
          </w:p>
        </w:tc>
      </w:tr>
      <w:tr>
        <w:trPr>
          <w:trHeight w:val="155"/>
        </w:trPr>
        <w:tc>
          <w:tcPr>
            <w:tcW w:w="106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8"/>
              </w:rPr>
            </w:pPr>
            <w:hyperlink r:id="rId576">
              <w:r>
                <w:rPr>
                  <w:rFonts w:ascii="Arial" w:cs="Arial" w:eastAsia="Arial" w:hAnsi="Arial"/>
                  <w:sz w:val="18"/>
                  <w:szCs w:val="18"/>
                  <w:color w:val="0000FF"/>
                  <w:w w:val="98"/>
                </w:rPr>
                <w:t>and Security Agreement, dated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460" w:type="dxa"/>
            <w:vAlign w:val="bottom"/>
            <w:gridSpan w:val="31"/>
          </w:tcPr>
          <w:p>
            <w:pPr>
              <w:spacing w:after="0" w:line="154" w:lineRule="exact"/>
              <w:rPr>
                <w:rFonts w:ascii="Arial" w:cs="Arial" w:eastAsia="Arial" w:hAnsi="Arial"/>
                <w:sz w:val="17"/>
                <w:szCs w:val="17"/>
                <w:color w:val="0000FF"/>
              </w:rPr>
            </w:pPr>
            <w:hyperlink r:id="rId576">
              <w:r>
                <w:rPr>
                  <w:rFonts w:ascii="Arial" w:cs="Arial" w:eastAsia="Arial" w:hAnsi="Arial"/>
                  <w:sz w:val="17"/>
                  <w:szCs w:val="17"/>
                  <w:color w:val="0000FF"/>
                </w:rPr>
                <w:t>16, 2021 by and among Ally Bank, Ally</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15"/>
          </w:tcPr>
          <w:p>
            <w:pPr>
              <w:spacing w:after="0" w:line="157" w:lineRule="exact"/>
              <w:rPr>
                <w:rFonts w:ascii="Arial" w:cs="Arial" w:eastAsia="Arial" w:hAnsi="Arial"/>
                <w:sz w:val="18"/>
                <w:szCs w:val="18"/>
                <w:color w:val="0000FF"/>
                <w:w w:val="99"/>
              </w:rPr>
            </w:pPr>
            <w:hyperlink r:id="rId576">
              <w:r>
                <w:rPr>
                  <w:rFonts w:ascii="Arial" w:cs="Arial" w:eastAsia="Arial" w:hAnsi="Arial"/>
                  <w:sz w:val="18"/>
                  <w:szCs w:val="18"/>
                  <w:color w:val="0000FF"/>
                  <w:w w:val="99"/>
                </w:rPr>
                <w:t>Financial, Inc., Vroom Automotive, LLC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380" w:type="dxa"/>
            <w:vAlign w:val="bottom"/>
            <w:tcBorders>
              <w:bottom w:val="single" w:sz="8" w:color="0000FF"/>
            </w:tcBorders>
            <w:gridSpan w:val="17"/>
          </w:tcPr>
          <w:p>
            <w:pPr>
              <w:spacing w:after="0" w:line="157" w:lineRule="exact"/>
              <w:rPr>
                <w:rFonts w:ascii="Arial" w:cs="Arial" w:eastAsia="Arial" w:hAnsi="Arial"/>
                <w:sz w:val="18"/>
                <w:szCs w:val="18"/>
                <w:color w:val="0000FF"/>
              </w:rPr>
            </w:pPr>
            <w:hyperlink r:id="rId576">
              <w:r>
                <w:rPr>
                  <w:rFonts w:ascii="Arial" w:cs="Arial" w:eastAsia="Arial" w:hAnsi="Arial"/>
                  <w:sz w:val="18"/>
                  <w:szCs w:val="18"/>
                  <w:color w:val="0000FF"/>
                </w:rPr>
                <w:t>and</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540" w:type="dxa"/>
            <w:vAlign w:val="bottom"/>
            <w:gridSpan w:val="35"/>
          </w:tcPr>
          <w:p>
            <w:pPr>
              <w:spacing w:after="0" w:line="156" w:lineRule="exact"/>
              <w:rPr>
                <w:rFonts w:ascii="Arial" w:cs="Arial" w:eastAsia="Arial" w:hAnsi="Arial"/>
                <w:sz w:val="18"/>
                <w:szCs w:val="18"/>
                <w:color w:val="0000FF"/>
              </w:rPr>
            </w:pPr>
            <w:hyperlink r:id="rId576">
              <w:r>
                <w:rPr>
                  <w:rFonts w:ascii="Arial" w:cs="Arial" w:eastAsia="Arial" w:hAnsi="Arial"/>
                  <w:sz w:val="18"/>
                  <w:szCs w:val="18"/>
                  <w:color w:val="0000FF"/>
                </w:rPr>
                <w:t>Vroom, Inc.</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384"/>
        </w:trPr>
        <w:tc>
          <w:tcPr>
            <w:tcW w:w="1060" w:type="dxa"/>
            <w:vAlign w:val="bottom"/>
          </w:tcPr>
          <w:p>
            <w:pPr>
              <w:ind w:left="20"/>
              <w:spacing w:after="0"/>
              <w:rPr>
                <w:sz w:val="20"/>
                <w:szCs w:val="20"/>
                <w:color w:val="auto"/>
              </w:rPr>
            </w:pPr>
            <w:r>
              <w:rPr>
                <w:rFonts w:ascii="Arial" w:cs="Arial" w:eastAsia="Arial" w:hAnsi="Arial"/>
                <w:sz w:val="18"/>
                <w:szCs w:val="18"/>
                <w:color w:val="auto"/>
              </w:rPr>
              <w:t>10.25#</w:t>
            </w:r>
          </w:p>
        </w:tc>
        <w:tc>
          <w:tcPr>
            <w:tcW w:w="3540" w:type="dxa"/>
            <w:vAlign w:val="bottom"/>
            <w:gridSpan w:val="35"/>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Fourth Amendment to Inventory Financing</w:t>
              </w:r>
            </w:hyperlink>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20" w:type="dxa"/>
            <w:vAlign w:val="bottom"/>
          </w:tcPr>
          <w:p>
            <w:pPr>
              <w:ind w:left="2240"/>
              <w:spacing w:after="0"/>
              <w:rPr>
                <w:sz w:val="20"/>
                <w:szCs w:val="20"/>
                <w:color w:val="auto"/>
              </w:rPr>
            </w:pPr>
            <w:r>
              <w:rPr>
                <w:rFonts w:ascii="Arial" w:cs="Arial" w:eastAsia="Arial" w:hAnsi="Arial"/>
                <w:sz w:val="18"/>
                <w:szCs w:val="18"/>
                <w:color w:val="auto"/>
              </w:rPr>
              <w:t>X</w:t>
            </w:r>
          </w:p>
        </w:tc>
      </w:tr>
      <w:tr>
        <w:trPr>
          <w:trHeight w:val="156"/>
        </w:trPr>
        <w:tc>
          <w:tcPr>
            <w:tcW w:w="1060" w:type="dxa"/>
            <w:vAlign w:val="bottom"/>
          </w:tcPr>
          <w:p>
            <w:pPr>
              <w:spacing w:after="0"/>
              <w:rPr>
                <w:sz w:val="13"/>
                <w:szCs w:val="13"/>
                <w:color w:val="auto"/>
              </w:rPr>
            </w:pPr>
          </w:p>
        </w:tc>
        <w:tc>
          <w:tcPr>
            <w:tcW w:w="3320" w:type="dxa"/>
            <w:vAlign w:val="bottom"/>
            <w:gridSpan w:val="24"/>
          </w:tcPr>
          <w:p>
            <w:pPr>
              <w:spacing w:after="0" w:line="156" w:lineRule="exact"/>
              <w:rPr>
                <w:rFonts w:ascii="Arial" w:cs="Arial" w:eastAsia="Arial" w:hAnsi="Arial"/>
                <w:sz w:val="18"/>
                <w:szCs w:val="18"/>
                <w:color w:val="0000FF"/>
                <w:highlight w:val="white"/>
              </w:rPr>
            </w:pPr>
            <w:hyperlink w:anchor="page136">
              <w:r>
                <w:rPr>
                  <w:rFonts w:ascii="Arial" w:cs="Arial" w:eastAsia="Arial" w:hAnsi="Arial"/>
                  <w:sz w:val="18"/>
                  <w:szCs w:val="18"/>
                  <w:color w:val="0000FF"/>
                  <w:highlight w:val="white"/>
                </w:rPr>
                <w:t>and Security Agreement, dated February</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140" w:type="dxa"/>
            <w:vAlign w:val="bottom"/>
            <w:gridSpan w:val="16"/>
          </w:tcPr>
          <w:p>
            <w:pPr>
              <w:spacing w:after="0" w:line="156" w:lineRule="exact"/>
              <w:rPr>
                <w:rFonts w:ascii="Arial" w:cs="Arial" w:eastAsia="Arial" w:hAnsi="Arial"/>
                <w:sz w:val="18"/>
                <w:szCs w:val="18"/>
                <w:color w:val="0000FF"/>
                <w:highlight w:val="white"/>
              </w:rPr>
            </w:pPr>
            <w:hyperlink w:anchor="page136">
              <w:r>
                <w:rPr>
                  <w:rFonts w:ascii="Arial" w:cs="Arial" w:eastAsia="Arial" w:hAnsi="Arial"/>
                  <w:sz w:val="18"/>
                  <w:szCs w:val="18"/>
                  <w:color w:val="0000FF"/>
                  <w:highlight w:val="white"/>
                </w:rPr>
                <w:t>24, 2022 by and among Ally Bank, Ally</w:t>
              </w:r>
            </w:hyperlink>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4"/>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76"/>
        </w:trPr>
        <w:tc>
          <w:tcPr>
            <w:tcW w:w="1060" w:type="dxa"/>
            <w:vAlign w:val="bottom"/>
          </w:tcPr>
          <w:p>
            <w:pPr>
              <w:spacing w:after="0"/>
              <w:rPr>
                <w:sz w:val="15"/>
                <w:szCs w:val="15"/>
                <w:color w:val="auto"/>
              </w:rPr>
            </w:pPr>
          </w:p>
        </w:tc>
        <w:tc>
          <w:tcPr>
            <w:tcW w:w="3540" w:type="dxa"/>
            <w:vAlign w:val="bottom"/>
            <w:gridSpan w:val="35"/>
          </w:tcPr>
          <w:p>
            <w:pPr>
              <w:spacing w:after="0" w:line="176" w:lineRule="exact"/>
              <w:rPr>
                <w:rFonts w:ascii="Arial" w:cs="Arial" w:eastAsia="Arial" w:hAnsi="Arial"/>
                <w:sz w:val="18"/>
                <w:szCs w:val="18"/>
                <w:color w:val="0000FF"/>
                <w:highlight w:val="white"/>
              </w:rPr>
            </w:pPr>
            <w:hyperlink w:anchor="page136">
              <w:r>
                <w:rPr>
                  <w:rFonts w:ascii="Arial" w:cs="Arial" w:eastAsia="Arial" w:hAnsi="Arial"/>
                  <w:sz w:val="18"/>
                  <w:szCs w:val="18"/>
                  <w:color w:val="0000FF"/>
                  <w:highlight w:val="white"/>
                </w:rPr>
                <w:t>Financial, Inc., Vroom Automotive, LLC and</w:t>
              </w:r>
            </w:hyperlink>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20" w:type="dxa"/>
            <w:vAlign w:val="bottom"/>
          </w:tcPr>
          <w:p>
            <w:pPr>
              <w:spacing w:after="0"/>
              <w:rPr>
                <w:sz w:val="15"/>
                <w:szCs w:val="15"/>
                <w:color w:val="auto"/>
              </w:rPr>
            </w:pPr>
          </w:p>
        </w:tc>
      </w:tr>
      <w:tr>
        <w:trPr>
          <w:trHeight w:val="156"/>
        </w:trPr>
        <w:tc>
          <w:tcPr>
            <w:tcW w:w="1060" w:type="dxa"/>
            <w:vAlign w:val="bottom"/>
          </w:tcPr>
          <w:p>
            <w:pPr>
              <w:spacing w:after="0"/>
              <w:rPr>
                <w:sz w:val="13"/>
                <w:szCs w:val="13"/>
                <w:color w:val="auto"/>
              </w:rPr>
            </w:pPr>
          </w:p>
        </w:tc>
        <w:tc>
          <w:tcPr>
            <w:tcW w:w="900" w:type="dxa"/>
            <w:vAlign w:val="bottom"/>
            <w:gridSpan w:val="3"/>
          </w:tcPr>
          <w:p>
            <w:pPr>
              <w:spacing w:after="0" w:line="157" w:lineRule="exact"/>
              <w:rPr>
                <w:rFonts w:ascii="Arial" w:cs="Arial" w:eastAsia="Arial" w:hAnsi="Arial"/>
                <w:sz w:val="18"/>
                <w:szCs w:val="18"/>
                <w:color w:val="0000FF"/>
                <w:highlight w:val="white"/>
                <w:w w:val="93"/>
              </w:rPr>
            </w:pPr>
            <w:hyperlink w:anchor="page136">
              <w:r>
                <w:rPr>
                  <w:rFonts w:ascii="Arial" w:cs="Arial" w:eastAsia="Arial" w:hAnsi="Arial"/>
                  <w:sz w:val="18"/>
                  <w:szCs w:val="18"/>
                  <w:color w:val="0000FF"/>
                  <w:highlight w:val="white"/>
                  <w:w w:val="93"/>
                </w:rPr>
                <w:t>Vroom, Inc.</w:t>
              </w:r>
            </w:hyperlink>
          </w:p>
        </w:tc>
        <w:tc>
          <w:tcPr>
            <w:tcW w:w="4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gridSpan w:val="3"/>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4"/>
          </w:tcPr>
          <w:p>
            <w:pPr>
              <w:spacing w:after="0"/>
              <w:rPr>
                <w:sz w:val="13"/>
                <w:szCs w:val="13"/>
                <w:color w:val="auto"/>
              </w:rPr>
            </w:pPr>
          </w:p>
        </w:tc>
        <w:tc>
          <w:tcPr>
            <w:tcW w:w="80" w:type="dxa"/>
            <w:vAlign w:val="bottom"/>
            <w:tcBorders>
              <w:top w:val="single" w:sz="8" w:color="0000FF"/>
            </w:tcBorders>
            <w:gridSpan w:val="4"/>
          </w:tcPr>
          <w:p>
            <w:pPr>
              <w:spacing w:after="0"/>
              <w:rPr>
                <w:sz w:val="13"/>
                <w:szCs w:val="13"/>
                <w:color w:val="auto"/>
              </w:rPr>
            </w:pPr>
          </w:p>
        </w:tc>
        <w:tc>
          <w:tcPr>
            <w:tcW w:w="140" w:type="dxa"/>
            <w:vAlign w:val="bottom"/>
            <w:tcBorders>
              <w:top w:val="single" w:sz="8" w:color="0000FF"/>
            </w:tcBorders>
            <w:gridSpan w:val="7"/>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384"/>
        </w:trPr>
        <w:tc>
          <w:tcPr>
            <w:tcW w:w="1060" w:type="dxa"/>
            <w:vAlign w:val="bottom"/>
          </w:tcPr>
          <w:p>
            <w:pPr>
              <w:ind w:left="20"/>
              <w:spacing w:after="0"/>
              <w:rPr>
                <w:sz w:val="20"/>
                <w:szCs w:val="20"/>
                <w:color w:val="auto"/>
              </w:rPr>
            </w:pPr>
            <w:r>
              <w:rPr>
                <w:rFonts w:ascii="Arial" w:cs="Arial" w:eastAsia="Arial" w:hAnsi="Arial"/>
                <w:sz w:val="18"/>
                <w:szCs w:val="18"/>
                <w:color w:val="auto"/>
              </w:rPr>
              <w:t>10.26#</w:t>
            </w:r>
          </w:p>
        </w:tc>
        <w:tc>
          <w:tcPr>
            <w:tcW w:w="3540" w:type="dxa"/>
            <w:vAlign w:val="bottom"/>
            <w:gridSpan w:val="35"/>
          </w:tcPr>
          <w:p>
            <w:pPr>
              <w:spacing w:after="0"/>
              <w:rPr>
                <w:rFonts w:ascii="Arial" w:cs="Arial" w:eastAsia="Arial" w:hAnsi="Arial"/>
                <w:sz w:val="18"/>
                <w:szCs w:val="18"/>
                <w:color w:val="0000FF"/>
              </w:rPr>
            </w:pPr>
            <w:hyperlink r:id="rId577">
              <w:r>
                <w:rPr>
                  <w:rFonts w:ascii="Arial" w:cs="Arial" w:eastAsia="Arial" w:hAnsi="Arial"/>
                  <w:sz w:val="18"/>
                  <w:szCs w:val="18"/>
                  <w:color w:val="0000FF"/>
                </w:rPr>
                <w:t>Customer Experience Management</w:t>
              </w:r>
            </w:hyperlink>
          </w:p>
        </w:tc>
        <w:tc>
          <w:tcPr>
            <w:tcW w:w="74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9"/>
              </w:rPr>
              <w:t>June 1, 2020</w:t>
            </w:r>
          </w:p>
        </w:tc>
      </w:tr>
      <w:tr>
        <w:trPr>
          <w:trHeight w:val="156"/>
        </w:trPr>
        <w:tc>
          <w:tcPr>
            <w:tcW w:w="1060" w:type="dxa"/>
            <w:vAlign w:val="bottom"/>
          </w:tcPr>
          <w:p>
            <w:pPr>
              <w:spacing w:after="0"/>
              <w:rPr>
                <w:sz w:val="13"/>
                <w:szCs w:val="13"/>
                <w:color w:val="auto"/>
              </w:rPr>
            </w:pPr>
          </w:p>
        </w:tc>
        <w:tc>
          <w:tcPr>
            <w:tcW w:w="2860" w:type="dxa"/>
            <w:vAlign w:val="bottom"/>
            <w:tcBorders>
              <w:top w:val="single" w:sz="8" w:color="0000FF"/>
            </w:tcBorders>
            <w:gridSpan w:val="11"/>
          </w:tcPr>
          <w:p>
            <w:pPr>
              <w:spacing w:after="0" w:line="157" w:lineRule="exact"/>
              <w:rPr>
                <w:rFonts w:ascii="Arial" w:cs="Arial" w:eastAsia="Arial" w:hAnsi="Arial"/>
                <w:sz w:val="18"/>
                <w:szCs w:val="18"/>
                <w:color w:val="0000FF"/>
                <w:w w:val="98"/>
              </w:rPr>
            </w:pPr>
            <w:hyperlink r:id="rId577">
              <w:r>
                <w:rPr>
                  <w:rFonts w:ascii="Arial" w:cs="Arial" w:eastAsia="Arial" w:hAnsi="Arial"/>
                  <w:sz w:val="18"/>
                  <w:szCs w:val="18"/>
                  <w:color w:val="0000FF"/>
                  <w:w w:val="98"/>
                </w:rPr>
                <w:t>Agreement, dated April 17, 2020, by</w:t>
              </w:r>
            </w:hyperlink>
          </w:p>
        </w:tc>
        <w:tc>
          <w:tcPr>
            <w:tcW w:w="680" w:type="dxa"/>
            <w:vAlign w:val="bottom"/>
            <w:gridSpan w:val="24"/>
          </w:tcPr>
          <w:p>
            <w:pPr>
              <w:ind w:left="60"/>
              <w:spacing w:after="0" w:line="157" w:lineRule="exact"/>
              <w:rPr>
                <w:rFonts w:ascii="Arial" w:cs="Arial" w:eastAsia="Arial" w:hAnsi="Arial"/>
                <w:sz w:val="18"/>
                <w:szCs w:val="18"/>
                <w:color w:val="0000FF"/>
              </w:rPr>
            </w:pPr>
            <w:hyperlink r:id="rId577">
              <w:r>
                <w:rPr>
                  <w:rFonts w:ascii="Arial" w:cs="Arial" w:eastAsia="Arial" w:hAnsi="Arial"/>
                  <w:sz w:val="18"/>
                  <w:szCs w:val="18"/>
                  <w:color w:val="0000FF"/>
                </w:rPr>
                <w:t>and</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577">
              <w:r>
                <w:rPr>
                  <w:rFonts w:ascii="Arial" w:cs="Arial" w:eastAsia="Arial" w:hAnsi="Arial"/>
                  <w:sz w:val="18"/>
                  <w:szCs w:val="18"/>
                  <w:color w:val="0000FF"/>
                </w:rPr>
                <w:t>between Rock Connections LLC and Left</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400" w:type="dxa"/>
            <w:vAlign w:val="bottom"/>
            <w:gridSpan w:val="28"/>
          </w:tcPr>
          <w:p>
            <w:pPr>
              <w:spacing w:after="0" w:line="156" w:lineRule="exact"/>
              <w:rPr>
                <w:rFonts w:ascii="Arial" w:cs="Arial" w:eastAsia="Arial" w:hAnsi="Arial"/>
                <w:sz w:val="18"/>
                <w:szCs w:val="18"/>
                <w:color w:val="0000FF"/>
              </w:rPr>
            </w:pPr>
            <w:hyperlink r:id="rId577">
              <w:r>
                <w:rPr>
                  <w:rFonts w:ascii="Arial" w:cs="Arial" w:eastAsia="Arial" w:hAnsi="Arial"/>
                  <w:sz w:val="18"/>
                  <w:szCs w:val="18"/>
                  <w:color w:val="0000FF"/>
                </w:rPr>
                <w:t>Gate Property Holding, LLC</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12"/>
        </w:trPr>
        <w:tc>
          <w:tcPr>
            <w:tcW w:w="1060" w:type="dxa"/>
            <w:vAlign w:val="bottom"/>
          </w:tcPr>
          <w:p>
            <w:pPr>
              <w:ind w:left="20"/>
              <w:spacing w:after="0"/>
              <w:rPr>
                <w:sz w:val="20"/>
                <w:szCs w:val="20"/>
                <w:color w:val="auto"/>
              </w:rPr>
            </w:pPr>
            <w:r>
              <w:rPr>
                <w:rFonts w:ascii="Arial" w:cs="Arial" w:eastAsia="Arial" w:hAnsi="Arial"/>
                <w:sz w:val="18"/>
                <w:szCs w:val="18"/>
                <w:color w:val="auto"/>
              </w:rPr>
              <w:t>10.27#</w:t>
            </w:r>
          </w:p>
        </w:tc>
        <w:tc>
          <w:tcPr>
            <w:tcW w:w="3540" w:type="dxa"/>
            <w:vAlign w:val="bottom"/>
            <w:gridSpan w:val="35"/>
          </w:tcPr>
          <w:p>
            <w:pPr>
              <w:spacing w:after="0"/>
              <w:rPr>
                <w:rFonts w:ascii="Arial" w:cs="Arial" w:eastAsia="Arial" w:hAnsi="Arial"/>
                <w:sz w:val="18"/>
                <w:szCs w:val="18"/>
                <w:color w:val="0000FF"/>
              </w:rPr>
            </w:pPr>
            <w:hyperlink r:id="rId578">
              <w:r>
                <w:rPr>
                  <w:rFonts w:ascii="Arial" w:cs="Arial" w:eastAsia="Arial" w:hAnsi="Arial"/>
                  <w:sz w:val="18"/>
                  <w:szCs w:val="18"/>
                  <w:color w:val="0000FF"/>
                </w:rPr>
                <w:t>Assignment and Assumption Agreement,</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10.25</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rPr>
              <w:t>March 3, 2021</w:t>
            </w:r>
          </w:p>
        </w:tc>
      </w:tr>
      <w:tr>
        <w:trPr>
          <w:trHeight w:val="155"/>
        </w:trPr>
        <w:tc>
          <w:tcPr>
            <w:tcW w:w="1060" w:type="dxa"/>
            <w:vAlign w:val="bottom"/>
          </w:tcPr>
          <w:p>
            <w:pPr>
              <w:spacing w:after="0"/>
              <w:rPr>
                <w:sz w:val="13"/>
                <w:szCs w:val="13"/>
                <w:color w:val="auto"/>
              </w:rPr>
            </w:pPr>
          </w:p>
        </w:tc>
        <w:tc>
          <w:tcPr>
            <w:tcW w:w="33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578">
              <w:r>
                <w:rPr>
                  <w:rFonts w:ascii="Arial" w:cs="Arial" w:eastAsia="Arial" w:hAnsi="Arial"/>
                  <w:sz w:val="18"/>
                  <w:szCs w:val="18"/>
                  <w:color w:val="0000FF"/>
                </w:rPr>
                <w:t>dated August 17, 2020, by and between</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2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78">
              <w:r>
                <w:rPr>
                  <w:rFonts w:ascii="Arial" w:cs="Arial" w:eastAsia="Arial" w:hAnsi="Arial"/>
                  <w:sz w:val="18"/>
                  <w:szCs w:val="18"/>
                  <w:color w:val="0000FF"/>
                </w:rPr>
                <w:t>Left Gate Property Holding, LLC, Rock</w:t>
              </w:r>
            </w:hyperlink>
          </w:p>
        </w:tc>
        <w:tc>
          <w:tcPr>
            <w:tcW w:w="30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8"/>
              </w:rPr>
            </w:pPr>
            <w:hyperlink r:id="rId578">
              <w:r>
                <w:rPr>
                  <w:rFonts w:ascii="Arial" w:cs="Arial" w:eastAsia="Arial" w:hAnsi="Arial"/>
                  <w:sz w:val="18"/>
                  <w:szCs w:val="18"/>
                  <w:color w:val="0000FF"/>
                  <w:w w:val="98"/>
                </w:rPr>
                <w:t>Connections LLC and Rocket Auto LLC</w:t>
              </w:r>
            </w:hyperlink>
          </w:p>
        </w:tc>
        <w:tc>
          <w:tcPr>
            <w:tcW w:w="60" w:type="dxa"/>
            <w:vAlign w:val="bottom"/>
            <w:tcBorders>
              <w:bottom w:val="single" w:sz="8" w:color="0000FF"/>
            </w:tcBorders>
            <w:gridSpan w:val="3"/>
          </w:tcPr>
          <w:p>
            <w:pPr>
              <w:spacing w:after="0"/>
              <w:rPr>
                <w:sz w:val="13"/>
                <w:szCs w:val="13"/>
                <w:color w:val="auto"/>
              </w:rPr>
            </w:pPr>
          </w:p>
        </w:tc>
        <w:tc>
          <w:tcPr>
            <w:tcW w:w="0" w:type="dxa"/>
            <w:vAlign w:val="bottom"/>
            <w:tcBorders>
              <w:bottom w:val="single" w:sz="8" w:color="0000EE"/>
            </w:tcBorders>
          </w:tcPr>
          <w:p>
            <w:pPr>
              <w:spacing w:after="0"/>
              <w:rPr>
                <w:sz w:val="13"/>
                <w:szCs w:val="13"/>
                <w:color w:val="auto"/>
              </w:rPr>
            </w:pPr>
          </w:p>
        </w:tc>
        <w:tc>
          <w:tcPr>
            <w:tcW w:w="36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10.28#</w:t>
            </w:r>
          </w:p>
        </w:tc>
        <w:tc>
          <w:tcPr>
            <w:tcW w:w="3540" w:type="dxa"/>
            <w:vAlign w:val="bottom"/>
            <w:gridSpan w:val="35"/>
          </w:tcPr>
          <w:p>
            <w:pPr>
              <w:spacing w:after="0"/>
              <w:rPr>
                <w:rFonts w:ascii="Arial" w:cs="Arial" w:eastAsia="Arial" w:hAnsi="Arial"/>
                <w:sz w:val="18"/>
                <w:szCs w:val="18"/>
                <w:color w:val="0000FF"/>
              </w:rPr>
            </w:pPr>
            <w:hyperlink r:id="rId579">
              <w:r>
                <w:rPr>
                  <w:rFonts w:ascii="Arial" w:cs="Arial" w:eastAsia="Arial" w:hAnsi="Arial"/>
                  <w:sz w:val="18"/>
                  <w:szCs w:val="18"/>
                  <w:color w:val="0000FF"/>
                </w:rPr>
                <w:t>Retail Reconditioning Services Agreement,</w:t>
              </w:r>
            </w:hyperlink>
          </w:p>
        </w:tc>
        <w:tc>
          <w:tcPr>
            <w:tcW w:w="74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9"/>
              </w:rPr>
              <w:t>June 1, 2020</w:t>
            </w:r>
          </w:p>
        </w:tc>
      </w:tr>
      <w:tr>
        <w:trPr>
          <w:trHeight w:val="155"/>
        </w:trPr>
        <w:tc>
          <w:tcPr>
            <w:tcW w:w="106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r:id="rId579">
              <w:r>
                <w:rPr>
                  <w:rFonts w:ascii="Arial" w:cs="Arial" w:eastAsia="Arial" w:hAnsi="Arial"/>
                  <w:sz w:val="18"/>
                  <w:szCs w:val="18"/>
                  <w:color w:val="0000FF"/>
                </w:rPr>
                <w:t>dated May 20, 2020, by and between</w:t>
              </w:r>
            </w:hyperlink>
          </w:p>
        </w:tc>
        <w:tc>
          <w:tcPr>
            <w:tcW w:w="5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40" w:type="dxa"/>
            <w:vAlign w:val="bottom"/>
            <w:gridSpan w:val="35"/>
          </w:tcPr>
          <w:p>
            <w:pPr>
              <w:spacing w:after="0" w:line="156" w:lineRule="exact"/>
              <w:rPr>
                <w:rFonts w:ascii="Arial" w:cs="Arial" w:eastAsia="Arial" w:hAnsi="Arial"/>
                <w:sz w:val="18"/>
                <w:szCs w:val="18"/>
                <w:color w:val="0000FF"/>
              </w:rPr>
            </w:pPr>
            <w:hyperlink r:id="rId579">
              <w:r>
                <w:rPr>
                  <w:rFonts w:ascii="Arial" w:cs="Arial" w:eastAsia="Arial" w:hAnsi="Arial"/>
                  <w:sz w:val="18"/>
                  <w:szCs w:val="18"/>
                  <w:color w:val="0000FF"/>
                </w:rPr>
                <w:t>Manheim Remarketing, Inc d/b/a Manheim</w:t>
              </w:r>
            </w:hyperlink>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579">
              <w:r>
                <w:rPr>
                  <w:rFonts w:ascii="Arial" w:cs="Arial" w:eastAsia="Arial" w:hAnsi="Arial"/>
                  <w:sz w:val="18"/>
                  <w:szCs w:val="18"/>
                  <w:color w:val="0000FF"/>
                </w:rPr>
                <w:t>Retail Solutions and Left Gate Property</w:t>
              </w:r>
            </w:hyperlink>
          </w:p>
        </w:tc>
        <w:tc>
          <w:tcPr>
            <w:tcW w:w="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8"/>
              </w:rPr>
            </w:pPr>
            <w:hyperlink r:id="rId579">
              <w:r>
                <w:rPr>
                  <w:rFonts w:ascii="Arial" w:cs="Arial" w:eastAsia="Arial" w:hAnsi="Arial"/>
                  <w:sz w:val="18"/>
                  <w:szCs w:val="18"/>
                  <w:color w:val="0000FF"/>
                  <w:w w:val="98"/>
                </w:rPr>
                <w:t>Holding, LLC d/b/a Vroom</w:t>
              </w:r>
            </w:hyperlink>
          </w:p>
        </w:tc>
        <w:tc>
          <w:tcPr>
            <w:tcW w:w="20" w:type="dxa"/>
            <w:vAlign w:val="bottom"/>
            <w:tcBorders>
              <w:top w:val="single" w:sz="8" w:color="0000FF"/>
              <w:bottom w:val="single" w:sz="8" w:color="0000EE"/>
            </w:tcBorders>
          </w:tcPr>
          <w:p>
            <w:pPr>
              <w:spacing w:after="0"/>
              <w:rPr>
                <w:sz w:val="13"/>
                <w:szCs w:val="13"/>
                <w:color w:val="auto"/>
              </w:rPr>
            </w:pPr>
          </w:p>
        </w:tc>
        <w:tc>
          <w:tcPr>
            <w:tcW w:w="1080" w:type="dxa"/>
            <w:vAlign w:val="bottom"/>
            <w:tcBorders>
              <w:top w:val="single" w:sz="8" w:color="0000FF"/>
            </w:tcBorders>
            <w:gridSpan w:val="11"/>
          </w:tcPr>
          <w:p>
            <w:pPr>
              <w:spacing w:after="0"/>
              <w:rPr>
                <w:sz w:val="13"/>
                <w:szCs w:val="13"/>
                <w:color w:val="auto"/>
              </w:rPr>
            </w:pPr>
          </w:p>
        </w:tc>
        <w:tc>
          <w:tcPr>
            <w:tcW w:w="380" w:type="dxa"/>
            <w:vAlign w:val="bottom"/>
            <w:gridSpan w:val="17"/>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10.29</w:t>
            </w:r>
            <w:r>
              <w:rPr>
                <w:rFonts w:ascii="Arial" w:cs="Arial" w:eastAsia="Arial" w:hAnsi="Arial"/>
                <w:sz w:val="16"/>
                <w:szCs w:val="16"/>
                <w:color w:val="auto"/>
              </w:rPr>
              <w:t>†</w:t>
            </w:r>
          </w:p>
        </w:tc>
        <w:tc>
          <w:tcPr>
            <w:tcW w:w="3540" w:type="dxa"/>
            <w:vAlign w:val="bottom"/>
            <w:gridSpan w:val="35"/>
          </w:tcPr>
          <w:p>
            <w:pPr>
              <w:spacing w:after="0"/>
              <w:rPr>
                <w:rFonts w:ascii="Arial" w:cs="Arial" w:eastAsia="Arial" w:hAnsi="Arial"/>
                <w:sz w:val="18"/>
                <w:szCs w:val="18"/>
                <w:color w:val="0000FF"/>
              </w:rPr>
            </w:pPr>
            <w:hyperlink r:id="rId580">
              <w:r>
                <w:rPr>
                  <w:rFonts w:ascii="Arial" w:cs="Arial" w:eastAsia="Arial" w:hAnsi="Arial"/>
                  <w:sz w:val="18"/>
                  <w:szCs w:val="18"/>
                  <w:color w:val="0000FF"/>
                </w:rPr>
                <w:t>Employment Agreement, dated June 8,</w:t>
              </w:r>
            </w:hyperlink>
          </w:p>
        </w:tc>
        <w:tc>
          <w:tcPr>
            <w:tcW w:w="74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3620" w:type="dxa"/>
            <w:vAlign w:val="bottom"/>
          </w:tcPr>
          <w:p>
            <w:pPr>
              <w:jc w:val="center"/>
              <w:ind w:right="1690"/>
              <w:spacing w:after="0"/>
              <w:rPr>
                <w:sz w:val="20"/>
                <w:szCs w:val="20"/>
                <w:color w:val="auto"/>
              </w:rPr>
            </w:pPr>
            <w:r>
              <w:rPr>
                <w:rFonts w:ascii="Arial" w:cs="Arial" w:eastAsia="Arial" w:hAnsi="Arial"/>
                <w:sz w:val="18"/>
                <w:szCs w:val="18"/>
                <w:color w:val="auto"/>
                <w:w w:val="99"/>
              </w:rPr>
              <w:t>June 1, 2020</w:t>
            </w:r>
          </w:p>
        </w:tc>
      </w:tr>
      <w:tr>
        <w:trPr>
          <w:trHeight w:val="155"/>
        </w:trPr>
        <w:tc>
          <w:tcPr>
            <w:tcW w:w="1060" w:type="dxa"/>
            <w:vAlign w:val="bottom"/>
          </w:tcPr>
          <w:p>
            <w:pPr>
              <w:spacing w:after="0"/>
              <w:rPr>
                <w:sz w:val="13"/>
                <w:szCs w:val="13"/>
                <w:color w:val="auto"/>
              </w:rPr>
            </w:pPr>
          </w:p>
        </w:tc>
        <w:tc>
          <w:tcPr>
            <w:tcW w:w="31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580">
              <w:r>
                <w:rPr>
                  <w:rFonts w:ascii="Arial" w:cs="Arial" w:eastAsia="Arial" w:hAnsi="Arial"/>
                  <w:sz w:val="18"/>
                  <w:szCs w:val="18"/>
                  <w:color w:val="0000FF"/>
                </w:rPr>
                <w:t>2016, by and between Vroom, Inc. and</w:t>
              </w:r>
            </w:hyperlink>
          </w:p>
        </w:tc>
        <w:tc>
          <w:tcPr>
            <w:tcW w:w="380" w:type="dxa"/>
            <w:vAlign w:val="bottom"/>
            <w:gridSpan w:val="17"/>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1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580">
              <w:r>
                <w:rPr>
                  <w:rFonts w:ascii="Arial" w:cs="Arial" w:eastAsia="Arial" w:hAnsi="Arial"/>
                  <w:sz w:val="18"/>
                  <w:szCs w:val="18"/>
                  <w:color w:val="0000FF"/>
                </w:rPr>
                <w:t>Paul J. Hennessy</w:t>
              </w:r>
            </w:hyperlink>
          </w:p>
        </w:tc>
        <w:tc>
          <w:tcPr>
            <w:tcW w:w="380" w:type="dxa"/>
            <w:vAlign w:val="bottom"/>
            <w:gridSpan w:val="18"/>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912"/>
        </w:trPr>
        <w:tc>
          <w:tcPr>
            <w:tcW w:w="106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jc w:val="right"/>
              <w:ind w:right="950"/>
              <w:spacing w:after="0"/>
              <w:rPr>
                <w:sz w:val="20"/>
                <w:szCs w:val="20"/>
                <w:color w:val="auto"/>
              </w:rPr>
            </w:pPr>
            <w:r>
              <w:rPr>
                <w:rFonts w:ascii="Arial" w:cs="Arial" w:eastAsia="Arial" w:hAnsi="Arial"/>
                <w:sz w:val="18"/>
                <w:szCs w:val="18"/>
                <w:color w:val="auto"/>
              </w:rPr>
              <w:t>132</w:t>
            </w:r>
          </w:p>
        </w:tc>
        <w:tc>
          <w:tcPr>
            <w:tcW w:w="8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01"/>
        </w:trPr>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-3205480</wp:posOffset>
            </wp:positionV>
            <wp:extent cx="317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4580" w:type="dxa"/>
            <w:vAlign w:val="bottom"/>
            <w:gridSpan w:val="37"/>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
        </w:trPr>
        <w:tc>
          <w:tcPr>
            <w:tcW w:w="1060" w:type="dxa"/>
            <w:vAlign w:val="bottom"/>
            <w:tcBorders>
              <w:right w:val="single" w:sz="8" w:color="0563C1"/>
            </w:tcBorders>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25"/>
        </w:trPr>
        <w:tc>
          <w:tcPr>
            <w:tcW w:w="1060" w:type="dxa"/>
            <w:vAlign w:val="bottom"/>
          </w:tcPr>
          <w:p>
            <w:pPr>
              <w:ind w:left="20"/>
              <w:spacing w:after="0"/>
              <w:rPr>
                <w:sz w:val="20"/>
                <w:szCs w:val="20"/>
                <w:color w:val="auto"/>
              </w:rPr>
            </w:pPr>
            <w:r>
              <w:rPr>
                <w:rFonts w:ascii="Arial" w:cs="Arial" w:eastAsia="Arial" w:hAnsi="Arial"/>
                <w:sz w:val="18"/>
                <w:szCs w:val="18"/>
                <w:color w:val="auto"/>
              </w:rPr>
              <w:t>10.30</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84">
              <w:r>
                <w:rPr>
                  <w:rFonts w:ascii="Arial" w:cs="Arial" w:eastAsia="Arial" w:hAnsi="Arial"/>
                  <w:sz w:val="18"/>
                  <w:szCs w:val="18"/>
                  <w:color w:val="0000FF"/>
                </w:rPr>
                <w:t>Employment Offer Letter, dated October</w:t>
              </w:r>
            </w:hyperlink>
          </w:p>
        </w:tc>
        <w:tc>
          <w:tcPr>
            <w:tcW w:w="76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97"/>
              </w:rPr>
              <w:t>10.14</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r>
      <w:tr>
        <w:trPr>
          <w:trHeight w:val="20"/>
        </w:trPr>
        <w:tc>
          <w:tcPr>
            <w:tcW w:w="106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3520" w:type="dxa"/>
            <w:vAlign w:val="bottom"/>
            <w:gridSpan w:val="36"/>
          </w:tcPr>
          <w:p>
            <w:pPr>
              <w:spacing w:after="0" w:line="156" w:lineRule="exact"/>
              <w:rPr>
                <w:rFonts w:ascii="Arial" w:cs="Arial" w:eastAsia="Arial" w:hAnsi="Arial"/>
                <w:sz w:val="18"/>
                <w:szCs w:val="18"/>
                <w:color w:val="0000FF"/>
              </w:rPr>
            </w:pPr>
            <w:hyperlink r:id="rId584">
              <w:r>
                <w:rPr>
                  <w:rFonts w:ascii="Arial" w:cs="Arial" w:eastAsia="Arial" w:hAnsi="Arial"/>
                  <w:sz w:val="18"/>
                  <w:szCs w:val="18"/>
                  <w:color w:val="0000FF"/>
                </w:rPr>
                <w:t>15, 2018, by and between Vroom, Inc. and</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7"/>
              </w:rPr>
            </w:pPr>
            <w:hyperlink r:id="rId584">
              <w:r>
                <w:rPr>
                  <w:rFonts w:ascii="Arial" w:cs="Arial" w:eastAsia="Arial" w:hAnsi="Arial"/>
                  <w:sz w:val="18"/>
                  <w:szCs w:val="18"/>
                  <w:color w:val="0000FF"/>
                  <w:w w:val="97"/>
                </w:rPr>
                <w:t>David K. Jones</w:t>
              </w:r>
            </w:hyperlink>
          </w:p>
        </w:tc>
        <w:tc>
          <w:tcPr>
            <w:tcW w:w="20" w:type="dxa"/>
            <w:vAlign w:val="bottom"/>
            <w:tcBorders>
              <w:top w:val="single" w:sz="8" w:color="0000FF"/>
              <w:bottom w:val="single" w:sz="8" w:color="0000EE"/>
            </w:tcBorders>
          </w:tcPr>
          <w:p>
            <w:pPr>
              <w:spacing w:after="0"/>
              <w:rPr>
                <w:sz w:val="13"/>
                <w:szCs w:val="13"/>
                <w:color w:val="auto"/>
              </w:rPr>
            </w:pPr>
          </w:p>
        </w:tc>
        <w:tc>
          <w:tcPr>
            <w:tcW w:w="22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10.31</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85">
              <w:r>
                <w:rPr>
                  <w:rFonts w:ascii="Arial" w:cs="Arial" w:eastAsia="Arial" w:hAnsi="Arial"/>
                  <w:sz w:val="18"/>
                  <w:szCs w:val="18"/>
                  <w:color w:val="0000FF"/>
                </w:rPr>
                <w:t>Employment Offer Letter, dated January 6,</w:t>
              </w:r>
            </w:hyperlink>
          </w:p>
        </w:tc>
        <w:tc>
          <w:tcPr>
            <w:tcW w:w="76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97"/>
              </w:rPr>
              <w:t>10.15</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r>
      <w:tr>
        <w:trPr>
          <w:trHeight w:val="155"/>
        </w:trPr>
        <w:tc>
          <w:tcPr>
            <w:tcW w:w="1060" w:type="dxa"/>
            <w:vAlign w:val="bottom"/>
          </w:tcPr>
          <w:p>
            <w:pPr>
              <w:spacing w:after="0"/>
              <w:rPr>
                <w:sz w:val="13"/>
                <w:szCs w:val="13"/>
                <w:color w:val="auto"/>
              </w:rPr>
            </w:pPr>
          </w:p>
        </w:tc>
        <w:tc>
          <w:tcPr>
            <w:tcW w:w="34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585">
              <w:r>
                <w:rPr>
                  <w:rFonts w:ascii="Arial" w:cs="Arial" w:eastAsia="Arial" w:hAnsi="Arial"/>
                  <w:sz w:val="18"/>
                  <w:szCs w:val="18"/>
                  <w:color w:val="0000FF"/>
                </w:rPr>
                <w:t>2019, by and between Vroom,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1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585">
              <w:r>
                <w:rPr>
                  <w:rFonts w:ascii="Arial" w:cs="Arial" w:eastAsia="Arial" w:hAnsi="Arial"/>
                  <w:sz w:val="18"/>
                  <w:szCs w:val="18"/>
                  <w:color w:val="0000FF"/>
                </w:rPr>
                <w:t>Mark Roszkowski</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10.32</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86">
              <w:r>
                <w:rPr>
                  <w:rFonts w:ascii="Arial" w:cs="Arial" w:eastAsia="Arial" w:hAnsi="Arial"/>
                  <w:sz w:val="18"/>
                  <w:szCs w:val="18"/>
                  <w:color w:val="0000FF"/>
                </w:rPr>
                <w:t>Employment Offer Letter, dated December</w:t>
              </w:r>
            </w:hyperlink>
          </w:p>
        </w:tc>
        <w:tc>
          <w:tcPr>
            <w:tcW w:w="76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97"/>
              </w:rPr>
              <w:t>10.18</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September 8, 2020</w:t>
            </w:r>
          </w:p>
        </w:tc>
      </w:tr>
      <w:tr>
        <w:trPr>
          <w:trHeight w:val="156"/>
        </w:trPr>
        <w:tc>
          <w:tcPr>
            <w:tcW w:w="1060" w:type="dxa"/>
            <w:vAlign w:val="bottom"/>
          </w:tcPr>
          <w:p>
            <w:pPr>
              <w:spacing w:after="0"/>
              <w:rPr>
                <w:sz w:val="13"/>
                <w:szCs w:val="13"/>
                <w:color w:val="auto"/>
              </w:rPr>
            </w:pPr>
          </w:p>
        </w:tc>
        <w:tc>
          <w:tcPr>
            <w:tcW w:w="34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586">
              <w:r>
                <w:rPr>
                  <w:rFonts w:ascii="Arial" w:cs="Arial" w:eastAsia="Arial" w:hAnsi="Arial"/>
                  <w:sz w:val="18"/>
                  <w:szCs w:val="18"/>
                  <w:color w:val="0000FF"/>
                </w:rPr>
                <w:t>29, 2018, by and between Vroom, Inc.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4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586">
              <w:r>
                <w:rPr>
                  <w:rFonts w:ascii="Arial" w:cs="Arial" w:eastAsia="Arial" w:hAnsi="Arial"/>
                  <w:sz w:val="18"/>
                  <w:szCs w:val="18"/>
                  <w:color w:val="0000FF"/>
                </w:rPr>
                <w:t>Patricia Moran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10.33</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87">
              <w:r>
                <w:rPr>
                  <w:rFonts w:ascii="Arial" w:cs="Arial" w:eastAsia="Arial" w:hAnsi="Arial"/>
                  <w:sz w:val="18"/>
                  <w:szCs w:val="18"/>
                  <w:color w:val="0000FF"/>
                </w:rPr>
                <w:t>Employment Offer Letter, dated November</w:t>
              </w:r>
            </w:hyperlink>
          </w:p>
        </w:tc>
        <w:tc>
          <w:tcPr>
            <w:tcW w:w="76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97"/>
              </w:rPr>
              <w:t>10.19</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September 8, 2020</w:t>
            </w:r>
          </w:p>
        </w:tc>
      </w:tr>
      <w:tr>
        <w:trPr>
          <w:trHeight w:val="156"/>
        </w:trPr>
        <w:tc>
          <w:tcPr>
            <w:tcW w:w="1060" w:type="dxa"/>
            <w:vAlign w:val="bottom"/>
          </w:tcPr>
          <w:p>
            <w:pPr>
              <w:spacing w:after="0"/>
              <w:rPr>
                <w:sz w:val="13"/>
                <w:szCs w:val="13"/>
                <w:color w:val="auto"/>
              </w:rPr>
            </w:pPr>
          </w:p>
        </w:tc>
        <w:tc>
          <w:tcPr>
            <w:tcW w:w="34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587">
              <w:r>
                <w:rPr>
                  <w:rFonts w:ascii="Arial" w:cs="Arial" w:eastAsia="Arial" w:hAnsi="Arial"/>
                  <w:sz w:val="18"/>
                  <w:szCs w:val="18"/>
                  <w:color w:val="0000FF"/>
                </w:rPr>
                <w:t>3, 2016, by and between Vroom, Inc.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3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587">
              <w:r>
                <w:rPr>
                  <w:rFonts w:ascii="Arial" w:cs="Arial" w:eastAsia="Arial" w:hAnsi="Arial"/>
                  <w:sz w:val="18"/>
                  <w:szCs w:val="18"/>
                  <w:color w:val="0000FF"/>
                </w:rPr>
                <w:t>Carol Denise Stott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10.34</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88">
              <w:r>
                <w:rPr>
                  <w:rFonts w:ascii="Arial" w:cs="Arial" w:eastAsia="Arial" w:hAnsi="Arial"/>
                  <w:sz w:val="18"/>
                  <w:szCs w:val="18"/>
                  <w:color w:val="0000FF"/>
                </w:rPr>
                <w:t>Letter Agreement, dated as of September</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rPr>
              <w:t>10.1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September 13, 2021</w:t>
            </w:r>
          </w:p>
        </w:tc>
      </w:tr>
      <w:tr>
        <w:trPr>
          <w:trHeight w:val="155"/>
        </w:trPr>
        <w:tc>
          <w:tcPr>
            <w:tcW w:w="1060" w:type="dxa"/>
            <w:vAlign w:val="bottom"/>
          </w:tcPr>
          <w:p>
            <w:pPr>
              <w:spacing w:after="0"/>
              <w:rPr>
                <w:sz w:val="13"/>
                <w:szCs w:val="13"/>
                <w:color w:val="auto"/>
              </w:rPr>
            </w:pPr>
          </w:p>
        </w:tc>
        <w:tc>
          <w:tcPr>
            <w:tcW w:w="33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588">
              <w:r>
                <w:rPr>
                  <w:rFonts w:ascii="Arial" w:cs="Arial" w:eastAsia="Arial" w:hAnsi="Arial"/>
                  <w:sz w:val="18"/>
                  <w:szCs w:val="18"/>
                  <w:color w:val="0000FF"/>
                </w:rPr>
                <w:t>13, 2021, by and between Robert</w:t>
              </w:r>
            </w:hyperlink>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8"/>
              </w:rPr>
            </w:pPr>
            <w:hyperlink r:id="rId588">
              <w:r>
                <w:rPr>
                  <w:rFonts w:ascii="Arial" w:cs="Arial" w:eastAsia="Arial" w:hAnsi="Arial"/>
                  <w:sz w:val="18"/>
                  <w:szCs w:val="18"/>
                  <w:color w:val="0000FF"/>
                  <w:w w:val="98"/>
                </w:rPr>
                <w:t>Krakowiak and Vroom, Inc.</w:t>
              </w:r>
            </w:hyperlink>
          </w:p>
        </w:tc>
        <w:tc>
          <w:tcPr>
            <w:tcW w:w="20" w:type="dxa"/>
            <w:vAlign w:val="bottom"/>
            <w:tcBorders>
              <w:top w:val="single" w:sz="8" w:color="0000FF"/>
              <w:bottom w:val="single" w:sz="8" w:color="0000EE"/>
            </w:tcBorders>
          </w:tcPr>
          <w:p>
            <w:pPr>
              <w:spacing w:after="0"/>
              <w:rPr>
                <w:sz w:val="13"/>
                <w:szCs w:val="13"/>
                <w:color w:val="auto"/>
              </w:rPr>
            </w:pPr>
          </w:p>
        </w:tc>
        <w:tc>
          <w:tcPr>
            <w:tcW w:w="54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384"/>
        </w:trPr>
        <w:tc>
          <w:tcPr>
            <w:tcW w:w="1060" w:type="dxa"/>
            <w:vAlign w:val="bottom"/>
          </w:tcPr>
          <w:p>
            <w:pPr>
              <w:ind w:left="20"/>
              <w:spacing w:after="0"/>
              <w:rPr>
                <w:sz w:val="20"/>
                <w:szCs w:val="20"/>
                <w:color w:val="auto"/>
              </w:rPr>
            </w:pPr>
            <w:r>
              <w:rPr>
                <w:rFonts w:ascii="Arial" w:cs="Arial" w:eastAsia="Arial" w:hAnsi="Arial"/>
                <w:sz w:val="18"/>
                <w:szCs w:val="18"/>
                <w:color w:val="auto"/>
              </w:rPr>
              <w:t>10.35</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89">
              <w:r>
                <w:rPr>
                  <w:rFonts w:ascii="Arial" w:cs="Arial" w:eastAsia="Arial" w:hAnsi="Arial"/>
                  <w:sz w:val="18"/>
                  <w:szCs w:val="18"/>
                  <w:color w:val="0000FF"/>
                </w:rPr>
                <w:t>Transition and Separation Letter</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rPr>
              <w:t>10.2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September 13, 2021</w:t>
            </w:r>
          </w:p>
        </w:tc>
      </w:tr>
      <w:tr>
        <w:trPr>
          <w:trHeight w:val="156"/>
        </w:trPr>
        <w:tc>
          <w:tcPr>
            <w:tcW w:w="106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13"/>
          </w:tcPr>
          <w:p>
            <w:pPr>
              <w:spacing w:after="0" w:line="157" w:lineRule="exact"/>
              <w:rPr>
                <w:rFonts w:ascii="Arial" w:cs="Arial" w:eastAsia="Arial" w:hAnsi="Arial"/>
                <w:sz w:val="18"/>
                <w:szCs w:val="18"/>
                <w:color w:val="0000FF"/>
                <w:w w:val="92"/>
              </w:rPr>
            </w:pPr>
            <w:hyperlink r:id="rId589">
              <w:r>
                <w:rPr>
                  <w:rFonts w:ascii="Arial" w:cs="Arial" w:eastAsia="Arial" w:hAnsi="Arial"/>
                  <w:sz w:val="18"/>
                  <w:szCs w:val="18"/>
                  <w:color w:val="0000FF"/>
                  <w:w w:val="92"/>
                </w:rPr>
                <w:t>Agreement, dated as of September</w:t>
              </w:r>
            </w:hyperlink>
          </w:p>
        </w:tc>
        <w:tc>
          <w:tcPr>
            <w:tcW w:w="540" w:type="dxa"/>
            <w:vAlign w:val="bottom"/>
            <w:tcBorders>
              <w:bottom w:val="single" w:sz="8" w:color="0000FF"/>
            </w:tcBorders>
            <w:gridSpan w:val="9"/>
          </w:tcPr>
          <w:p>
            <w:pPr>
              <w:jc w:val="right"/>
              <w:ind w:right="60"/>
              <w:spacing w:after="0" w:line="157" w:lineRule="exact"/>
              <w:rPr>
                <w:rFonts w:ascii="Arial" w:cs="Arial" w:eastAsia="Arial" w:hAnsi="Arial"/>
                <w:sz w:val="18"/>
                <w:szCs w:val="18"/>
                <w:color w:val="0000FF"/>
              </w:rPr>
            </w:pPr>
            <w:hyperlink r:id="rId589">
              <w:r>
                <w:rPr>
                  <w:rFonts w:ascii="Arial" w:cs="Arial" w:eastAsia="Arial" w:hAnsi="Arial"/>
                  <w:sz w:val="18"/>
                  <w:szCs w:val="18"/>
                  <w:color w:val="0000FF"/>
                </w:rPr>
                <w:t>10,</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140" w:type="dxa"/>
            <w:vAlign w:val="bottom"/>
            <w:tcBorders>
              <w:bottom w:val="single" w:sz="8" w:color="0000FF"/>
            </w:tcBorders>
            <w:gridSpan w:val="22"/>
          </w:tcPr>
          <w:p>
            <w:pPr>
              <w:spacing w:after="0" w:line="156" w:lineRule="exact"/>
              <w:rPr>
                <w:rFonts w:ascii="Arial" w:cs="Arial" w:eastAsia="Arial" w:hAnsi="Arial"/>
                <w:sz w:val="18"/>
                <w:szCs w:val="18"/>
                <w:color w:val="0000FF"/>
                <w:w w:val="98"/>
              </w:rPr>
            </w:pPr>
            <w:hyperlink r:id="rId589">
              <w:r>
                <w:rPr>
                  <w:rFonts w:ascii="Arial" w:cs="Arial" w:eastAsia="Arial" w:hAnsi="Arial"/>
                  <w:sz w:val="18"/>
                  <w:szCs w:val="18"/>
                  <w:color w:val="0000FF"/>
                  <w:w w:val="98"/>
                </w:rPr>
                <w:t>2021, by and between David Jones and</w:t>
              </w:r>
            </w:hyperlink>
          </w:p>
        </w:tc>
        <w:tc>
          <w:tcPr>
            <w:tcW w:w="6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200" w:type="dxa"/>
            <w:vAlign w:val="bottom"/>
            <w:gridSpan w:val="23"/>
          </w:tcPr>
          <w:p>
            <w:pPr>
              <w:spacing w:after="0" w:line="156" w:lineRule="exact"/>
              <w:rPr>
                <w:rFonts w:ascii="Arial" w:cs="Arial" w:eastAsia="Arial" w:hAnsi="Arial"/>
                <w:sz w:val="18"/>
                <w:szCs w:val="18"/>
                <w:color w:val="0000FF"/>
              </w:rPr>
            </w:pPr>
            <w:hyperlink r:id="rId589">
              <w:r>
                <w:rPr>
                  <w:rFonts w:ascii="Arial" w:cs="Arial" w:eastAsia="Arial" w:hAnsi="Arial"/>
                  <w:sz w:val="18"/>
                  <w:szCs w:val="18"/>
                  <w:color w:val="0000FF"/>
                </w:rPr>
                <w:t>Vroom, Inc.</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1"/>
        </w:trPr>
        <w:tc>
          <w:tcPr>
            <w:tcW w:w="1060" w:type="dxa"/>
            <w:vAlign w:val="bottom"/>
          </w:tcPr>
          <w:p>
            <w:pPr>
              <w:ind w:left="20"/>
              <w:spacing w:after="0"/>
              <w:rPr>
                <w:sz w:val="20"/>
                <w:szCs w:val="20"/>
                <w:color w:val="auto"/>
              </w:rPr>
            </w:pPr>
            <w:r>
              <w:rPr>
                <w:rFonts w:ascii="Arial" w:cs="Arial" w:eastAsia="Arial" w:hAnsi="Arial"/>
                <w:sz w:val="18"/>
                <w:szCs w:val="18"/>
                <w:color w:val="auto"/>
              </w:rPr>
              <w:t>10.36†</w:t>
            </w:r>
          </w:p>
        </w:tc>
        <w:tc>
          <w:tcPr>
            <w:tcW w:w="3520" w:type="dxa"/>
            <w:vAlign w:val="bottom"/>
            <w:gridSpan w:val="36"/>
          </w:tcPr>
          <w:p>
            <w:pPr>
              <w:spacing w:after="0"/>
              <w:rPr>
                <w:rFonts w:ascii="Arial" w:cs="Arial" w:eastAsia="Arial" w:hAnsi="Arial"/>
                <w:sz w:val="18"/>
                <w:szCs w:val="18"/>
                <w:color w:val="0000FF"/>
              </w:rPr>
            </w:pPr>
            <w:hyperlink r:id="rId590">
              <w:r>
                <w:rPr>
                  <w:rFonts w:ascii="Arial" w:cs="Arial" w:eastAsia="Arial" w:hAnsi="Arial"/>
                  <w:sz w:val="18"/>
                  <w:szCs w:val="18"/>
                  <w:color w:val="0000FF"/>
                </w:rPr>
                <w:t>Letter Agreement, dated as of December</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rPr>
              <w:t>10.1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December 17, 2021</w:t>
            </w:r>
          </w:p>
        </w:tc>
      </w:tr>
      <w:tr>
        <w:trPr>
          <w:trHeight w:val="156"/>
        </w:trPr>
        <w:tc>
          <w:tcPr>
            <w:tcW w:w="106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9"/>
              </w:rPr>
            </w:pPr>
            <w:hyperlink r:id="rId590">
              <w:r>
                <w:rPr>
                  <w:rFonts w:ascii="Arial" w:cs="Arial" w:eastAsia="Arial" w:hAnsi="Arial"/>
                  <w:sz w:val="18"/>
                  <w:szCs w:val="18"/>
                  <w:color w:val="0000FF"/>
                  <w:w w:val="99"/>
                </w:rPr>
                <w:t>15, 2021, by and between Thomas Shortt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1260" w:type="dxa"/>
            <w:vAlign w:val="bottom"/>
            <w:tcBorders>
              <w:bottom w:val="single" w:sz="8" w:color="0000FF"/>
            </w:tcBorders>
            <w:gridSpan w:val="6"/>
          </w:tcPr>
          <w:p>
            <w:pPr>
              <w:spacing w:after="0" w:line="156" w:lineRule="exact"/>
              <w:rPr>
                <w:rFonts w:ascii="Arial" w:cs="Arial" w:eastAsia="Arial" w:hAnsi="Arial"/>
                <w:sz w:val="18"/>
                <w:szCs w:val="18"/>
                <w:color w:val="0000FF"/>
                <w:w w:val="97"/>
              </w:rPr>
            </w:pPr>
            <w:hyperlink r:id="rId590">
              <w:r>
                <w:rPr>
                  <w:rFonts w:ascii="Arial" w:cs="Arial" w:eastAsia="Arial" w:hAnsi="Arial"/>
                  <w:sz w:val="18"/>
                  <w:szCs w:val="18"/>
                  <w:color w:val="0000FF"/>
                  <w:w w:val="97"/>
                </w:rPr>
                <w:t>and Vroom, Inc.</w:t>
              </w:r>
            </w:hyperlink>
          </w:p>
        </w:tc>
        <w:tc>
          <w:tcPr>
            <w:tcW w:w="20" w:type="dxa"/>
            <w:vAlign w:val="bottom"/>
            <w:tcBorders>
              <w:bottom w:val="single" w:sz="8" w:color="0000EE"/>
            </w:tcBorders>
          </w:tcPr>
          <w:p>
            <w:pPr>
              <w:spacing w:after="0"/>
              <w:rPr>
                <w:sz w:val="13"/>
                <w:szCs w:val="13"/>
                <w:color w:val="auto"/>
              </w:rPr>
            </w:pPr>
          </w:p>
        </w:tc>
        <w:tc>
          <w:tcPr>
            <w:tcW w:w="2080" w:type="dxa"/>
            <w:vAlign w:val="bottom"/>
            <w:gridSpan w:val="2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371"/>
        </w:trPr>
        <w:tc>
          <w:tcPr>
            <w:tcW w:w="1060" w:type="dxa"/>
            <w:vAlign w:val="bottom"/>
          </w:tcPr>
          <w:p>
            <w:pPr>
              <w:ind w:left="20"/>
              <w:spacing w:after="0"/>
              <w:rPr>
                <w:sz w:val="20"/>
                <w:szCs w:val="20"/>
                <w:color w:val="auto"/>
              </w:rPr>
            </w:pPr>
            <w:r>
              <w:rPr>
                <w:rFonts w:ascii="Arial" w:cs="Arial" w:eastAsia="Arial" w:hAnsi="Arial"/>
                <w:sz w:val="18"/>
                <w:szCs w:val="18"/>
                <w:color w:val="auto"/>
              </w:rPr>
              <w:t>10.37</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91">
              <w:r>
                <w:rPr>
                  <w:rFonts w:ascii="Arial" w:cs="Arial" w:eastAsia="Arial" w:hAnsi="Arial"/>
                  <w:sz w:val="18"/>
                  <w:szCs w:val="18"/>
                  <w:color w:val="0000FF"/>
                </w:rPr>
                <w:t>Nominee and Indemnity Agreement, dated</w:t>
              </w:r>
            </w:hyperlink>
          </w:p>
        </w:tc>
        <w:tc>
          <w:tcPr>
            <w:tcW w:w="76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97"/>
              </w:rPr>
              <w:t>10.20</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September 8, 2020</w:t>
            </w:r>
          </w:p>
        </w:tc>
      </w:tr>
      <w:tr>
        <w:trPr>
          <w:trHeight w:val="155"/>
        </w:trPr>
        <w:tc>
          <w:tcPr>
            <w:tcW w:w="1060" w:type="dxa"/>
            <w:vAlign w:val="bottom"/>
          </w:tcPr>
          <w:p>
            <w:pPr>
              <w:spacing w:after="0"/>
              <w:rPr>
                <w:sz w:val="13"/>
                <w:szCs w:val="13"/>
                <w:color w:val="auto"/>
              </w:rPr>
            </w:pPr>
          </w:p>
        </w:tc>
        <w:tc>
          <w:tcPr>
            <w:tcW w:w="3440" w:type="dxa"/>
            <w:vAlign w:val="bottom"/>
            <w:tcBorders>
              <w:top w:val="single" w:sz="8" w:color="0000FF"/>
            </w:tcBorders>
            <w:gridSpan w:val="32"/>
          </w:tcPr>
          <w:p>
            <w:pPr>
              <w:spacing w:after="0" w:line="154" w:lineRule="exact"/>
              <w:rPr>
                <w:rFonts w:ascii="Arial" w:cs="Arial" w:eastAsia="Arial" w:hAnsi="Arial"/>
                <w:sz w:val="17"/>
                <w:szCs w:val="17"/>
                <w:color w:val="0000FF"/>
              </w:rPr>
            </w:pPr>
            <w:hyperlink r:id="rId591">
              <w:r>
                <w:rPr>
                  <w:rFonts w:ascii="Arial" w:cs="Arial" w:eastAsia="Arial" w:hAnsi="Arial"/>
                  <w:sz w:val="17"/>
                  <w:szCs w:val="17"/>
                  <w:color w:val="0000FF"/>
                </w:rPr>
                <w:t>September 1, 2020, by and among</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17"/>
          </w:tcPr>
          <w:p>
            <w:pPr>
              <w:spacing w:after="0" w:line="157" w:lineRule="exact"/>
              <w:rPr>
                <w:rFonts w:ascii="Arial" w:cs="Arial" w:eastAsia="Arial" w:hAnsi="Arial"/>
                <w:sz w:val="18"/>
                <w:szCs w:val="18"/>
                <w:color w:val="0000FF"/>
              </w:rPr>
            </w:pPr>
            <w:hyperlink r:id="rId591">
              <w:r>
                <w:rPr>
                  <w:rFonts w:ascii="Arial" w:cs="Arial" w:eastAsia="Arial" w:hAnsi="Arial"/>
                  <w:sz w:val="18"/>
                  <w:szCs w:val="18"/>
                  <w:color w:val="0000FF"/>
                </w:rPr>
                <w:t>Catterton Management Company,</w:t>
              </w:r>
            </w:hyperlink>
          </w:p>
        </w:tc>
        <w:tc>
          <w:tcPr>
            <w:tcW w:w="700" w:type="dxa"/>
            <w:vAlign w:val="bottom"/>
            <w:tcBorders>
              <w:bottom w:val="single" w:sz="8" w:color="0000FF"/>
            </w:tcBorders>
            <w:gridSpan w:val="19"/>
          </w:tcPr>
          <w:p>
            <w:pPr>
              <w:jc w:val="right"/>
              <w:ind w:right="60"/>
              <w:spacing w:after="0" w:line="157" w:lineRule="exact"/>
              <w:rPr>
                <w:rFonts w:ascii="Arial" w:cs="Arial" w:eastAsia="Arial" w:hAnsi="Arial"/>
                <w:sz w:val="18"/>
                <w:szCs w:val="18"/>
                <w:color w:val="0000FF"/>
                <w:w w:val="85"/>
              </w:rPr>
            </w:pPr>
            <w:hyperlink r:id="rId591">
              <w:r>
                <w:rPr>
                  <w:rFonts w:ascii="Arial" w:cs="Arial" w:eastAsia="Arial" w:hAnsi="Arial"/>
                  <w:sz w:val="18"/>
                  <w:szCs w:val="18"/>
                  <w:color w:val="0000FF"/>
                  <w:w w:val="85"/>
                </w:rPr>
                <w:t>L.L.C. as</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20" w:type="dxa"/>
            <w:vAlign w:val="bottom"/>
            <w:gridSpan w:val="36"/>
          </w:tcPr>
          <w:p>
            <w:pPr>
              <w:spacing w:after="0" w:line="156" w:lineRule="exact"/>
              <w:rPr>
                <w:rFonts w:ascii="Arial" w:cs="Arial" w:eastAsia="Arial" w:hAnsi="Arial"/>
                <w:sz w:val="18"/>
                <w:szCs w:val="18"/>
                <w:color w:val="0000FF"/>
              </w:rPr>
            </w:pPr>
            <w:hyperlink r:id="rId591">
              <w:r>
                <w:rPr>
                  <w:rFonts w:ascii="Arial" w:cs="Arial" w:eastAsia="Arial" w:hAnsi="Arial"/>
                  <w:sz w:val="18"/>
                  <w:szCs w:val="18"/>
                  <w:color w:val="0000FF"/>
                </w:rPr>
                <w:t>investment manager of CGP2 Lone Star,</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7"/>
              </w:rPr>
            </w:pPr>
            <w:hyperlink r:id="rId591">
              <w:r>
                <w:rPr>
                  <w:rFonts w:ascii="Arial" w:cs="Arial" w:eastAsia="Arial" w:hAnsi="Arial"/>
                  <w:sz w:val="18"/>
                  <w:szCs w:val="18"/>
                  <w:color w:val="0000FF"/>
                  <w:w w:val="97"/>
                </w:rPr>
                <w:t>L.P., Scott Dahnke and Vroom, Inc.</w:t>
              </w:r>
            </w:hyperlink>
          </w:p>
        </w:tc>
        <w:tc>
          <w:tcPr>
            <w:tcW w:w="20" w:type="dxa"/>
            <w:vAlign w:val="bottom"/>
            <w:tcBorders>
              <w:top w:val="single" w:sz="8" w:color="0000FF"/>
              <w:bottom w:val="single" w:sz="8" w:color="0000EE"/>
            </w:tcBorders>
          </w:tcPr>
          <w:p>
            <w:pPr>
              <w:spacing w:after="0"/>
              <w:rPr>
                <w:sz w:val="13"/>
                <w:szCs w:val="13"/>
                <w:color w:val="auto"/>
              </w:rPr>
            </w:pPr>
          </w:p>
        </w:tc>
        <w:tc>
          <w:tcPr>
            <w:tcW w:w="4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10.38</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92">
              <w:r>
                <w:rPr>
                  <w:rFonts w:ascii="Arial" w:cs="Arial" w:eastAsia="Arial" w:hAnsi="Arial"/>
                  <w:sz w:val="18"/>
                  <w:szCs w:val="18"/>
                  <w:color w:val="0000FF"/>
                </w:rPr>
                <w:t>Nominee and Indemnity Agreement, dated</w:t>
              </w:r>
            </w:hyperlink>
          </w:p>
        </w:tc>
        <w:tc>
          <w:tcPr>
            <w:tcW w:w="760" w:type="dxa"/>
            <w:vAlign w:val="bottom"/>
          </w:tcPr>
          <w:p>
            <w:pPr>
              <w:jc w:val="center"/>
              <w:spacing w:after="0"/>
              <w:rPr>
                <w:sz w:val="20"/>
                <w:szCs w:val="20"/>
                <w:color w:val="auto"/>
              </w:rPr>
            </w:pPr>
            <w:r>
              <w:rPr>
                <w:rFonts w:ascii="Arial" w:cs="Arial" w:eastAsia="Arial" w:hAnsi="Arial"/>
                <w:sz w:val="18"/>
                <w:szCs w:val="18"/>
                <w:color w:val="auto"/>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97"/>
              </w:rPr>
              <w:t>10.21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September 8, 2020</w:t>
            </w:r>
          </w:p>
        </w:tc>
      </w:tr>
      <w:tr>
        <w:trPr>
          <w:trHeight w:val="155"/>
        </w:trPr>
        <w:tc>
          <w:tcPr>
            <w:tcW w:w="1060" w:type="dxa"/>
            <w:vAlign w:val="bottom"/>
          </w:tcPr>
          <w:p>
            <w:pPr>
              <w:spacing w:after="0"/>
              <w:rPr>
                <w:sz w:val="13"/>
                <w:szCs w:val="13"/>
                <w:color w:val="auto"/>
              </w:rPr>
            </w:pPr>
          </w:p>
        </w:tc>
        <w:tc>
          <w:tcPr>
            <w:tcW w:w="3440" w:type="dxa"/>
            <w:vAlign w:val="bottom"/>
            <w:tcBorders>
              <w:top w:val="single" w:sz="8" w:color="0000FF"/>
            </w:tcBorders>
            <w:gridSpan w:val="32"/>
          </w:tcPr>
          <w:p>
            <w:pPr>
              <w:spacing w:after="0" w:line="154" w:lineRule="exact"/>
              <w:rPr>
                <w:rFonts w:ascii="Arial" w:cs="Arial" w:eastAsia="Arial" w:hAnsi="Arial"/>
                <w:sz w:val="17"/>
                <w:szCs w:val="17"/>
                <w:color w:val="0000FF"/>
              </w:rPr>
            </w:pPr>
            <w:hyperlink r:id="rId592">
              <w:r>
                <w:rPr>
                  <w:rFonts w:ascii="Arial" w:cs="Arial" w:eastAsia="Arial" w:hAnsi="Arial"/>
                  <w:sz w:val="17"/>
                  <w:szCs w:val="17"/>
                  <w:color w:val="0000FF"/>
                </w:rPr>
                <w:t>September 1, 2020, by and among</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17"/>
          </w:tcPr>
          <w:p>
            <w:pPr>
              <w:spacing w:after="0" w:line="157" w:lineRule="exact"/>
              <w:rPr>
                <w:rFonts w:ascii="Arial" w:cs="Arial" w:eastAsia="Arial" w:hAnsi="Arial"/>
                <w:sz w:val="18"/>
                <w:szCs w:val="18"/>
                <w:color w:val="0000FF"/>
              </w:rPr>
            </w:pPr>
            <w:hyperlink r:id="rId592">
              <w:r>
                <w:rPr>
                  <w:rFonts w:ascii="Arial" w:cs="Arial" w:eastAsia="Arial" w:hAnsi="Arial"/>
                  <w:sz w:val="18"/>
                  <w:szCs w:val="18"/>
                  <w:color w:val="0000FF"/>
                </w:rPr>
                <w:t>Catterton Management Company,</w:t>
              </w:r>
            </w:hyperlink>
          </w:p>
        </w:tc>
        <w:tc>
          <w:tcPr>
            <w:tcW w:w="700" w:type="dxa"/>
            <w:vAlign w:val="bottom"/>
            <w:tcBorders>
              <w:bottom w:val="single" w:sz="8" w:color="0000FF"/>
            </w:tcBorders>
            <w:gridSpan w:val="19"/>
          </w:tcPr>
          <w:p>
            <w:pPr>
              <w:jc w:val="right"/>
              <w:ind w:right="60"/>
              <w:spacing w:after="0" w:line="157" w:lineRule="exact"/>
              <w:rPr>
                <w:rFonts w:ascii="Arial" w:cs="Arial" w:eastAsia="Arial" w:hAnsi="Arial"/>
                <w:sz w:val="18"/>
                <w:szCs w:val="18"/>
                <w:color w:val="0000FF"/>
                <w:w w:val="85"/>
              </w:rPr>
            </w:pPr>
            <w:hyperlink r:id="rId592">
              <w:r>
                <w:rPr>
                  <w:rFonts w:ascii="Arial" w:cs="Arial" w:eastAsia="Arial" w:hAnsi="Arial"/>
                  <w:sz w:val="18"/>
                  <w:szCs w:val="18"/>
                  <w:color w:val="0000FF"/>
                  <w:w w:val="85"/>
                </w:rPr>
                <w:t>L.L.C. as</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20" w:type="dxa"/>
            <w:vAlign w:val="bottom"/>
            <w:gridSpan w:val="36"/>
          </w:tcPr>
          <w:p>
            <w:pPr>
              <w:spacing w:after="0" w:line="156" w:lineRule="exact"/>
              <w:rPr>
                <w:rFonts w:ascii="Arial" w:cs="Arial" w:eastAsia="Arial" w:hAnsi="Arial"/>
                <w:sz w:val="18"/>
                <w:szCs w:val="18"/>
                <w:color w:val="0000FF"/>
              </w:rPr>
            </w:pPr>
            <w:hyperlink r:id="rId592">
              <w:r>
                <w:rPr>
                  <w:rFonts w:ascii="Arial" w:cs="Arial" w:eastAsia="Arial" w:hAnsi="Arial"/>
                  <w:sz w:val="18"/>
                  <w:szCs w:val="18"/>
                  <w:color w:val="0000FF"/>
                </w:rPr>
                <w:t>investment manager of CGP2 Lone Star,</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7"/>
              </w:rPr>
            </w:pPr>
            <w:hyperlink r:id="rId592">
              <w:r>
                <w:rPr>
                  <w:rFonts w:ascii="Arial" w:cs="Arial" w:eastAsia="Arial" w:hAnsi="Arial"/>
                  <w:sz w:val="18"/>
                  <w:szCs w:val="18"/>
                  <w:color w:val="0000FF"/>
                  <w:w w:val="97"/>
                </w:rPr>
                <w:t>L.P., Michael Farello and Vroom, Inc.</w:t>
              </w:r>
            </w:hyperlink>
          </w:p>
        </w:tc>
        <w:tc>
          <w:tcPr>
            <w:tcW w:w="36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560"/>
        </w:trPr>
        <w:tc>
          <w:tcPr>
            <w:tcW w:w="1060" w:type="dxa"/>
            <w:vAlign w:val="bottom"/>
          </w:tcPr>
          <w:p>
            <w:pPr>
              <w:ind w:left="20"/>
              <w:spacing w:after="0"/>
              <w:rPr>
                <w:sz w:val="20"/>
                <w:szCs w:val="20"/>
                <w:color w:val="auto"/>
              </w:rPr>
            </w:pPr>
            <w:r>
              <w:rPr>
                <w:rFonts w:ascii="Arial" w:cs="Arial" w:eastAsia="Arial" w:hAnsi="Arial"/>
                <w:sz w:val="18"/>
                <w:szCs w:val="18"/>
                <w:color w:val="auto"/>
              </w:rPr>
              <w:t>10.39</w:t>
            </w:r>
            <w:r>
              <w:rPr>
                <w:rFonts w:ascii="Arial" w:cs="Arial" w:eastAsia="Arial" w:hAnsi="Arial"/>
                <w:sz w:val="16"/>
                <w:szCs w:val="16"/>
                <w:color w:val="auto"/>
              </w:rPr>
              <w:t>†</w:t>
            </w:r>
          </w:p>
        </w:tc>
        <w:tc>
          <w:tcPr>
            <w:tcW w:w="3520" w:type="dxa"/>
            <w:vAlign w:val="bottom"/>
            <w:gridSpan w:val="36"/>
          </w:tcPr>
          <w:p>
            <w:pPr>
              <w:spacing w:after="0"/>
              <w:rPr>
                <w:rFonts w:ascii="Arial" w:cs="Arial" w:eastAsia="Arial" w:hAnsi="Arial"/>
                <w:sz w:val="18"/>
                <w:szCs w:val="18"/>
                <w:color w:val="0000FF"/>
              </w:rPr>
            </w:pPr>
            <w:hyperlink r:id="rId593">
              <w:r>
                <w:rPr>
                  <w:rFonts w:ascii="Arial" w:cs="Arial" w:eastAsia="Arial" w:hAnsi="Arial"/>
                  <w:sz w:val="18"/>
                  <w:szCs w:val="18"/>
                  <w:color w:val="0000FF"/>
                </w:rPr>
                <w:t>Assignment of Contracts, dated July 29,</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rPr>
              <w:t>10.1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August 11, 2021</w:t>
            </w:r>
          </w:p>
        </w:tc>
      </w:tr>
      <w:tr>
        <w:trPr>
          <w:trHeight w:val="156"/>
        </w:trPr>
        <w:tc>
          <w:tcPr>
            <w:tcW w:w="106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24"/>
          </w:tcPr>
          <w:p>
            <w:pPr>
              <w:spacing w:after="0" w:line="157" w:lineRule="exact"/>
              <w:rPr>
                <w:rFonts w:ascii="Arial" w:cs="Arial" w:eastAsia="Arial" w:hAnsi="Arial"/>
                <w:sz w:val="18"/>
                <w:szCs w:val="18"/>
                <w:color w:val="0000FF"/>
              </w:rPr>
            </w:pPr>
            <w:hyperlink r:id="rId593">
              <w:r>
                <w:rPr>
                  <w:rFonts w:ascii="Arial" w:cs="Arial" w:eastAsia="Arial" w:hAnsi="Arial"/>
                  <w:sz w:val="18"/>
                  <w:szCs w:val="18"/>
                  <w:color w:val="0000FF"/>
                </w:rPr>
                <w:t>2021, by and between CGP2 Lone Star,</w:t>
              </w:r>
            </w:hyperlink>
          </w:p>
        </w:tc>
        <w:tc>
          <w:tcPr>
            <w:tcW w:w="280" w:type="dxa"/>
            <w:vAlign w:val="bottom"/>
            <w:tcBorders>
              <w:bottom w:val="single" w:sz="8" w:color="0000FF"/>
            </w:tcBorders>
            <w:gridSpan w:val="12"/>
          </w:tcPr>
          <w:p>
            <w:pPr>
              <w:jc w:val="right"/>
              <w:ind w:right="80"/>
              <w:spacing w:after="0" w:line="157" w:lineRule="exact"/>
              <w:rPr>
                <w:rFonts w:ascii="Arial" w:cs="Arial" w:eastAsia="Arial" w:hAnsi="Arial"/>
                <w:sz w:val="18"/>
                <w:szCs w:val="18"/>
                <w:color w:val="0000FF"/>
                <w:w w:val="81"/>
              </w:rPr>
            </w:pPr>
            <w:hyperlink r:id="rId593">
              <w:r>
                <w:rPr>
                  <w:rFonts w:ascii="Arial" w:cs="Arial" w:eastAsia="Arial" w:hAnsi="Arial"/>
                  <w:sz w:val="18"/>
                  <w:szCs w:val="18"/>
                  <w:color w:val="0000FF"/>
                  <w:w w:val="81"/>
                </w:rPr>
                <w:t>LP</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20" w:type="dxa"/>
            <w:vAlign w:val="bottom"/>
            <w:gridSpan w:val="36"/>
          </w:tcPr>
          <w:p>
            <w:pPr>
              <w:spacing w:after="0" w:line="156" w:lineRule="exact"/>
              <w:rPr>
                <w:rFonts w:ascii="Arial" w:cs="Arial" w:eastAsia="Arial" w:hAnsi="Arial"/>
                <w:sz w:val="18"/>
                <w:szCs w:val="18"/>
                <w:color w:val="0000FF"/>
              </w:rPr>
            </w:pPr>
            <w:hyperlink r:id="rId593">
              <w:r>
                <w:rPr>
                  <w:rFonts w:ascii="Arial" w:cs="Arial" w:eastAsia="Arial" w:hAnsi="Arial"/>
                  <w:sz w:val="18"/>
                  <w:szCs w:val="18"/>
                  <w:color w:val="0000FF"/>
                </w:rPr>
                <w:t>as assignor and Catterton Growth Partners</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00" w:type="dxa"/>
            <w:vAlign w:val="bottom"/>
            <w:tcBorders>
              <w:top w:val="single" w:sz="8" w:color="0000FF"/>
            </w:tcBorders>
            <w:gridSpan w:val="35"/>
          </w:tcPr>
          <w:p>
            <w:pPr>
              <w:spacing w:after="0" w:line="154" w:lineRule="exact"/>
              <w:rPr>
                <w:rFonts w:ascii="Arial" w:cs="Arial" w:eastAsia="Arial" w:hAnsi="Arial"/>
                <w:sz w:val="17"/>
                <w:szCs w:val="17"/>
                <w:color w:val="0000FF"/>
              </w:rPr>
            </w:pPr>
            <w:hyperlink r:id="rId593">
              <w:r>
                <w:rPr>
                  <w:rFonts w:ascii="Arial" w:cs="Arial" w:eastAsia="Arial" w:hAnsi="Arial"/>
                  <w:sz w:val="17"/>
                  <w:szCs w:val="17"/>
                  <w:color w:val="0000FF"/>
                </w:rPr>
                <w:t>II, L.P., Catterton Growth Partners II</w:t>
              </w:r>
            </w:hyperlink>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18"/>
          </w:tcPr>
          <w:p>
            <w:pPr>
              <w:spacing w:after="0" w:line="157" w:lineRule="exact"/>
              <w:rPr>
                <w:rFonts w:ascii="Arial" w:cs="Arial" w:eastAsia="Arial" w:hAnsi="Arial"/>
                <w:sz w:val="18"/>
                <w:szCs w:val="18"/>
                <w:color w:val="0000FF"/>
              </w:rPr>
            </w:pPr>
            <w:hyperlink r:id="rId593">
              <w:r>
                <w:rPr>
                  <w:rFonts w:ascii="Arial" w:cs="Arial" w:eastAsia="Arial" w:hAnsi="Arial"/>
                  <w:sz w:val="18"/>
                  <w:szCs w:val="18"/>
                  <w:color w:val="0000FF"/>
                </w:rPr>
                <w:t>Offshore, L.P., L Catterton Growth</w:t>
              </w:r>
            </w:hyperlink>
          </w:p>
        </w:tc>
        <w:tc>
          <w:tcPr>
            <w:tcW w:w="640" w:type="dxa"/>
            <w:vAlign w:val="bottom"/>
            <w:tcBorders>
              <w:bottom w:val="single" w:sz="8" w:color="0000FF"/>
            </w:tcBorders>
            <w:gridSpan w:val="18"/>
          </w:tcPr>
          <w:p>
            <w:pPr>
              <w:spacing w:after="0" w:line="157" w:lineRule="exact"/>
              <w:rPr>
                <w:rFonts w:ascii="Arial" w:cs="Arial" w:eastAsia="Arial" w:hAnsi="Arial"/>
                <w:sz w:val="18"/>
                <w:szCs w:val="18"/>
                <w:color w:val="0000FF"/>
                <w:w w:val="91"/>
              </w:rPr>
            </w:pPr>
            <w:hyperlink r:id="rId593">
              <w:r>
                <w:rPr>
                  <w:rFonts w:ascii="Arial" w:cs="Arial" w:eastAsia="Arial" w:hAnsi="Arial"/>
                  <w:sz w:val="18"/>
                  <w:szCs w:val="18"/>
                  <w:color w:val="0000FF"/>
                  <w:w w:val="91"/>
                </w:rPr>
                <w:t>Partners</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20" w:type="dxa"/>
            <w:vAlign w:val="bottom"/>
            <w:gridSpan w:val="36"/>
          </w:tcPr>
          <w:p>
            <w:pPr>
              <w:spacing w:after="0" w:line="156" w:lineRule="exact"/>
              <w:rPr>
                <w:rFonts w:ascii="Arial" w:cs="Arial" w:eastAsia="Arial" w:hAnsi="Arial"/>
                <w:sz w:val="18"/>
                <w:szCs w:val="18"/>
                <w:color w:val="0000FF"/>
              </w:rPr>
            </w:pPr>
            <w:hyperlink r:id="rId593">
              <w:r>
                <w:rPr>
                  <w:rFonts w:ascii="Arial" w:cs="Arial" w:eastAsia="Arial" w:hAnsi="Arial"/>
                  <w:sz w:val="18"/>
                  <w:szCs w:val="18"/>
                  <w:color w:val="0000FF"/>
                </w:rPr>
                <w:t>III, L.P. and L Catterton Growth Partners</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24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593">
              <w:r>
                <w:rPr>
                  <w:rFonts w:ascii="Arial" w:cs="Arial" w:eastAsia="Arial" w:hAnsi="Arial"/>
                  <w:sz w:val="17"/>
                  <w:szCs w:val="17"/>
                  <w:color w:val="0000FF"/>
                </w:rPr>
                <w:t>Offshore III, L.P. as assignees, of the</w:t>
              </w:r>
            </w:hyperlink>
          </w:p>
        </w:tc>
        <w:tc>
          <w:tcPr>
            <w:tcW w:w="80" w:type="dxa"/>
            <w:vAlign w:val="bottom"/>
            <w:gridSpan w:val="3"/>
          </w:tcPr>
          <w:p>
            <w:pPr>
              <w:spacing w:after="0"/>
              <w:rPr>
                <w:sz w:val="13"/>
                <w:szCs w:val="13"/>
                <w:color w:val="auto"/>
              </w:rPr>
            </w:pPr>
          </w:p>
        </w:tc>
        <w:tc>
          <w:tcPr>
            <w:tcW w:w="20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20"/>
          </w:tcPr>
          <w:p>
            <w:pPr>
              <w:spacing w:after="0" w:line="157" w:lineRule="exact"/>
              <w:rPr>
                <w:rFonts w:ascii="Arial" w:cs="Arial" w:eastAsia="Arial" w:hAnsi="Arial"/>
                <w:sz w:val="18"/>
                <w:szCs w:val="18"/>
                <w:color w:val="0000FF"/>
                <w:w w:val="99"/>
              </w:rPr>
            </w:pPr>
            <w:hyperlink r:id="rId593">
              <w:r>
                <w:rPr>
                  <w:rFonts w:ascii="Arial" w:cs="Arial" w:eastAsia="Arial" w:hAnsi="Arial"/>
                  <w:sz w:val="18"/>
                  <w:szCs w:val="18"/>
                  <w:color w:val="0000FF"/>
                  <w:w w:val="99"/>
                </w:rPr>
                <w:t>Nominee and Indemnity Agreements,</w:t>
              </w:r>
            </w:hyperlink>
          </w:p>
        </w:tc>
        <w:tc>
          <w:tcPr>
            <w:tcW w:w="540" w:type="dxa"/>
            <w:vAlign w:val="bottom"/>
            <w:tcBorders>
              <w:bottom w:val="single" w:sz="8" w:color="0000FF"/>
            </w:tcBorders>
            <w:gridSpan w:val="16"/>
          </w:tcPr>
          <w:p>
            <w:pPr>
              <w:jc w:val="right"/>
              <w:ind w:right="60"/>
              <w:spacing w:after="0" w:line="157" w:lineRule="exact"/>
              <w:rPr>
                <w:rFonts w:ascii="Arial" w:cs="Arial" w:eastAsia="Arial" w:hAnsi="Arial"/>
                <w:sz w:val="18"/>
                <w:szCs w:val="18"/>
                <w:color w:val="0000FF"/>
              </w:rPr>
            </w:pPr>
            <w:hyperlink r:id="rId593">
              <w:r>
                <w:rPr>
                  <w:rFonts w:ascii="Arial" w:cs="Arial" w:eastAsia="Arial" w:hAnsi="Arial"/>
                  <w:sz w:val="18"/>
                  <w:szCs w:val="18"/>
                  <w:color w:val="0000FF"/>
                </w:rPr>
                <w:t>dated</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520" w:type="dxa"/>
            <w:vAlign w:val="bottom"/>
            <w:gridSpan w:val="36"/>
          </w:tcPr>
          <w:p>
            <w:pPr>
              <w:spacing w:after="0" w:line="156" w:lineRule="exact"/>
              <w:rPr>
                <w:rFonts w:ascii="Arial" w:cs="Arial" w:eastAsia="Arial" w:hAnsi="Arial"/>
                <w:sz w:val="18"/>
                <w:szCs w:val="18"/>
                <w:color w:val="0000FF"/>
              </w:rPr>
            </w:pPr>
            <w:hyperlink r:id="rId593">
              <w:r>
                <w:rPr>
                  <w:rFonts w:ascii="Arial" w:cs="Arial" w:eastAsia="Arial" w:hAnsi="Arial"/>
                  <w:sz w:val="18"/>
                  <w:szCs w:val="18"/>
                  <w:color w:val="0000FF"/>
                </w:rPr>
                <w:t>September 1, 2020, of Scott Dahnke and</w:t>
              </w:r>
            </w:hyperlink>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593">
              <w:r>
                <w:rPr>
                  <w:rFonts w:ascii="Arial" w:cs="Arial" w:eastAsia="Arial" w:hAnsi="Arial"/>
                  <w:sz w:val="18"/>
                  <w:szCs w:val="18"/>
                  <w:color w:val="0000FF"/>
                  <w:w w:val="98"/>
                </w:rPr>
                <w:t>Michael Farello</w:t>
              </w:r>
            </w:hyperlink>
          </w:p>
        </w:tc>
        <w:tc>
          <w:tcPr>
            <w:tcW w:w="2100" w:type="dxa"/>
            <w:vAlign w:val="bottom"/>
            <w:tcBorders>
              <w:top w:val="single" w:sz="8" w:color="0000FF"/>
            </w:tcBorders>
            <w:gridSpan w:val="22"/>
          </w:tcPr>
          <w:p>
            <w:pPr>
              <w:spacing w:after="0"/>
              <w:rPr>
                <w:sz w:val="13"/>
                <w:szCs w:val="13"/>
                <w:color w:val="auto"/>
              </w:rPr>
            </w:pPr>
          </w:p>
        </w:tc>
        <w:tc>
          <w:tcPr>
            <w:tcW w:w="20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385"/>
        </w:trPr>
        <w:tc>
          <w:tcPr>
            <w:tcW w:w="1060" w:type="dxa"/>
            <w:vAlign w:val="bottom"/>
          </w:tcPr>
          <w:p>
            <w:pPr>
              <w:ind w:left="20"/>
              <w:spacing w:after="0"/>
              <w:rPr>
                <w:sz w:val="20"/>
                <w:szCs w:val="20"/>
                <w:color w:val="auto"/>
              </w:rPr>
            </w:pPr>
            <w:r>
              <w:rPr>
                <w:rFonts w:ascii="Arial" w:cs="Arial" w:eastAsia="Arial" w:hAnsi="Arial"/>
                <w:sz w:val="18"/>
                <w:szCs w:val="18"/>
                <w:color w:val="auto"/>
              </w:rPr>
              <w:t>21.1</w:t>
            </w:r>
          </w:p>
        </w:tc>
        <w:tc>
          <w:tcPr>
            <w:tcW w:w="3520" w:type="dxa"/>
            <w:vAlign w:val="bottom"/>
            <w:gridSpan w:val="36"/>
          </w:tcPr>
          <w:p>
            <w:pPr>
              <w:spacing w:after="0"/>
              <w:rPr>
                <w:rFonts w:ascii="Arial" w:cs="Arial" w:eastAsia="Arial" w:hAnsi="Arial"/>
                <w:sz w:val="18"/>
                <w:szCs w:val="18"/>
                <w:color w:val="0000FF"/>
              </w:rPr>
            </w:pPr>
            <w:hyperlink r:id="rId594">
              <w:r>
                <w:rPr>
                  <w:rFonts w:ascii="Arial" w:cs="Arial" w:eastAsia="Arial" w:hAnsi="Arial"/>
                  <w:sz w:val="18"/>
                  <w:szCs w:val="18"/>
                  <w:color w:val="0000FF"/>
                </w:rPr>
                <w:t>Subsidiaries of the Registrant</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rPr>
              <w:t>21.1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March 3, 2021</w:t>
            </w:r>
          </w:p>
        </w:tc>
      </w:tr>
      <w:tr>
        <w:trPr>
          <w:trHeight w:val="817"/>
        </w:trPr>
        <w:tc>
          <w:tcPr>
            <w:tcW w:w="106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jc w:val="right"/>
              <w:ind w:right="950"/>
              <w:spacing w:after="0"/>
              <w:rPr>
                <w:sz w:val="20"/>
                <w:szCs w:val="20"/>
                <w:color w:val="auto"/>
              </w:rPr>
            </w:pPr>
            <w:r>
              <w:rPr>
                <w:rFonts w:ascii="Arial" w:cs="Arial" w:eastAsia="Arial" w:hAnsi="Arial"/>
                <w:sz w:val="18"/>
                <w:szCs w:val="18"/>
                <w:color w:val="auto"/>
              </w:rPr>
              <w:t>133</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01"/>
        </w:trPr>
        <w:tc>
          <w:tcPr>
            <w:tcW w:w="10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4540" w:type="dxa"/>
            <w:vAlign w:val="bottom"/>
            <w:gridSpan w:val="1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300" w:type="dxa"/>
            <w:vAlign w:val="bottom"/>
          </w:tcPr>
          <w:p>
            <w:pPr>
              <w:spacing w:after="0"/>
              <w:rPr>
                <w:sz w:val="17"/>
                <w:szCs w:val="17"/>
                <w:color w:val="auto"/>
              </w:rPr>
            </w:pPr>
          </w:p>
        </w:tc>
      </w:tr>
      <w:tr>
        <w:trPr>
          <w:trHeight w:val="20"/>
        </w:trPr>
        <w:tc>
          <w:tcPr>
            <w:tcW w:w="1060" w:type="dxa"/>
            <w:vAlign w:val="bottom"/>
            <w:tcBorders>
              <w:right w:val="single" w:sz="8" w:color="0563C1"/>
            </w:tcBorders>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25"/>
        </w:trPr>
        <w:tc>
          <w:tcPr>
            <w:tcW w:w="1060" w:type="dxa"/>
            <w:vAlign w:val="bottom"/>
          </w:tcPr>
          <w:p>
            <w:pPr>
              <w:ind w:left="20"/>
              <w:spacing w:after="0"/>
              <w:rPr>
                <w:sz w:val="20"/>
                <w:szCs w:val="20"/>
                <w:color w:val="auto"/>
              </w:rPr>
            </w:pPr>
            <w:r>
              <w:rPr>
                <w:rFonts w:ascii="Arial" w:cs="Arial" w:eastAsia="Arial" w:hAnsi="Arial"/>
                <w:sz w:val="18"/>
                <w:szCs w:val="18"/>
                <w:color w:val="auto"/>
              </w:rPr>
              <w:t>23.1</w:t>
            </w:r>
          </w:p>
        </w:tc>
        <w:tc>
          <w:tcPr>
            <w:tcW w:w="3480" w:type="dxa"/>
            <w:vAlign w:val="bottom"/>
            <w:gridSpan w:val="9"/>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Consent of PricewaterhouseCoopers LLP</w:t>
              </w:r>
            </w:hyperlink>
          </w:p>
        </w:tc>
        <w:tc>
          <w:tcPr>
            <w:tcW w:w="6300" w:type="dxa"/>
            <w:vAlign w:val="bottom"/>
          </w:tcPr>
          <w:p>
            <w:pPr>
              <w:ind w:left="5320"/>
              <w:spacing w:after="0"/>
              <w:rPr>
                <w:sz w:val="20"/>
                <w:szCs w:val="20"/>
                <w:color w:val="auto"/>
              </w:rPr>
            </w:pPr>
            <w:r>
              <w:rPr>
                <w:rFonts w:ascii="Arial" w:cs="Arial" w:eastAsia="Arial" w:hAnsi="Arial"/>
                <w:sz w:val="18"/>
                <w:szCs w:val="18"/>
                <w:color w:val="auto"/>
              </w:rPr>
              <w:t>X</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3480" w:type="dxa"/>
            <w:vAlign w:val="bottom"/>
            <w:gridSpan w:val="9"/>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Certification of Principal Executive Officer</w:t>
              </w:r>
            </w:hyperlink>
          </w:p>
        </w:tc>
        <w:tc>
          <w:tcPr>
            <w:tcW w:w="6300" w:type="dxa"/>
            <w:vAlign w:val="bottom"/>
          </w:tcPr>
          <w:p>
            <w:pPr>
              <w:ind w:left="5320"/>
              <w:spacing w:after="0"/>
              <w:rPr>
                <w:sz w:val="20"/>
                <w:szCs w:val="20"/>
                <w:color w:val="auto"/>
              </w:rPr>
            </w:pPr>
            <w:r>
              <w:rPr>
                <w:rFonts w:ascii="Arial" w:cs="Arial" w:eastAsia="Arial" w:hAnsi="Arial"/>
                <w:sz w:val="18"/>
                <w:szCs w:val="18"/>
                <w:color w:val="auto"/>
              </w:rPr>
              <w:t>X</w:t>
            </w:r>
          </w:p>
        </w:tc>
      </w:tr>
      <w:tr>
        <w:trPr>
          <w:trHeight w:val="155"/>
        </w:trPr>
        <w:tc>
          <w:tcPr>
            <w:tcW w:w="106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6"/>
              </w:rPr>
            </w:pPr>
            <w:hyperlink w:anchor="page139">
              <w:r>
                <w:rPr>
                  <w:rFonts w:ascii="Arial" w:cs="Arial" w:eastAsia="Arial" w:hAnsi="Arial"/>
                  <w:sz w:val="18"/>
                  <w:szCs w:val="18"/>
                  <w:color w:val="0000FF"/>
                  <w:w w:val="96"/>
                </w:rPr>
                <w:t>Pursuant to Rules 13a-14(a) and 15d-14(a)</w:t>
              </w:r>
            </w:hyperlink>
          </w:p>
        </w:tc>
        <w:tc>
          <w:tcPr>
            <w:tcW w:w="8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630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480" w:type="dxa"/>
            <w:vAlign w:val="bottom"/>
            <w:tcBorders>
              <w:bottom w:val="single" w:sz="8" w:color="0000FF"/>
            </w:tcBorders>
            <w:gridSpan w:val="9"/>
          </w:tcPr>
          <w:p>
            <w:pPr>
              <w:spacing w:after="0" w:line="156" w:lineRule="exact"/>
              <w:rPr>
                <w:rFonts w:ascii="Arial" w:cs="Arial" w:eastAsia="Arial" w:hAnsi="Arial"/>
                <w:sz w:val="18"/>
                <w:szCs w:val="18"/>
                <w:color w:val="0000FF"/>
                <w:w w:val="99"/>
              </w:rPr>
            </w:pPr>
            <w:hyperlink w:anchor="page139">
              <w:r>
                <w:rPr>
                  <w:rFonts w:ascii="Arial" w:cs="Arial" w:eastAsia="Arial" w:hAnsi="Arial"/>
                  <w:sz w:val="18"/>
                  <w:szCs w:val="18"/>
                  <w:color w:val="0000FF"/>
                  <w:w w:val="99"/>
                </w:rPr>
                <w:t>under the Securities Exchange Act of 1934,</w:t>
              </w:r>
            </w:hyperlink>
          </w:p>
        </w:tc>
        <w:tc>
          <w:tcPr>
            <w:tcW w:w="630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480" w:type="dxa"/>
            <w:vAlign w:val="bottom"/>
            <w:gridSpan w:val="9"/>
          </w:tcPr>
          <w:p>
            <w:pPr>
              <w:spacing w:after="0" w:line="156" w:lineRule="exact"/>
              <w:rPr>
                <w:rFonts w:ascii="Arial" w:cs="Arial" w:eastAsia="Arial" w:hAnsi="Arial"/>
                <w:sz w:val="18"/>
                <w:szCs w:val="18"/>
                <w:color w:val="0000FF"/>
              </w:rPr>
            </w:pPr>
            <w:hyperlink w:anchor="page139">
              <w:r>
                <w:rPr>
                  <w:rFonts w:ascii="Arial" w:cs="Arial" w:eastAsia="Arial" w:hAnsi="Arial"/>
                  <w:sz w:val="18"/>
                  <w:szCs w:val="18"/>
                  <w:color w:val="0000FF"/>
                </w:rPr>
                <w:t>as Adopted Pursuant to Section 302 of the</w:t>
              </w:r>
            </w:hyperlink>
          </w:p>
        </w:tc>
        <w:tc>
          <w:tcPr>
            <w:tcW w:w="630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139">
              <w:r>
                <w:rPr>
                  <w:rFonts w:ascii="Arial" w:cs="Arial" w:eastAsia="Arial" w:hAnsi="Arial"/>
                  <w:sz w:val="18"/>
                  <w:szCs w:val="18"/>
                  <w:color w:val="0000FF"/>
                  <w:w w:val="98"/>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16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6300" w:type="dxa"/>
            <w:vAlign w:val="bottom"/>
          </w:tcPr>
          <w:p>
            <w:pPr>
              <w:spacing w:after="0"/>
              <w:rPr>
                <w:sz w:val="13"/>
                <w:szCs w:val="13"/>
                <w:color w:val="auto"/>
              </w:rPr>
            </w:pPr>
          </w:p>
        </w:tc>
      </w:tr>
      <w:tr>
        <w:trPr>
          <w:trHeight w:val="507"/>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3480" w:type="dxa"/>
            <w:vAlign w:val="bottom"/>
            <w:gridSpan w:val="9"/>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Certification of Principal Financial Officer</w:t>
              </w:r>
            </w:hyperlink>
          </w:p>
        </w:tc>
        <w:tc>
          <w:tcPr>
            <w:tcW w:w="6300" w:type="dxa"/>
            <w:vAlign w:val="bottom"/>
          </w:tcPr>
          <w:p>
            <w:pPr>
              <w:ind w:left="5320"/>
              <w:spacing w:after="0"/>
              <w:rPr>
                <w:sz w:val="20"/>
                <w:szCs w:val="20"/>
                <w:color w:val="auto"/>
              </w:rPr>
            </w:pPr>
            <w:r>
              <w:rPr>
                <w:rFonts w:ascii="Arial" w:cs="Arial" w:eastAsia="Arial" w:hAnsi="Arial"/>
                <w:sz w:val="18"/>
                <w:szCs w:val="18"/>
                <w:color w:val="auto"/>
              </w:rPr>
              <w:t>X</w:t>
            </w:r>
          </w:p>
        </w:tc>
      </w:tr>
      <w:tr>
        <w:trPr>
          <w:trHeight w:val="20"/>
        </w:trPr>
        <w:tc>
          <w:tcPr>
            <w:tcW w:w="1060" w:type="dxa"/>
            <w:vAlign w:val="bottom"/>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3480" w:type="dxa"/>
            <w:vAlign w:val="bottom"/>
            <w:tcBorders>
              <w:bottom w:val="single" w:sz="8" w:color="0000FF"/>
            </w:tcBorders>
            <w:gridSpan w:val="9"/>
          </w:tcPr>
          <w:p>
            <w:pPr>
              <w:spacing w:after="0" w:line="156" w:lineRule="exact"/>
              <w:rPr>
                <w:rFonts w:ascii="Arial" w:cs="Arial" w:eastAsia="Arial" w:hAnsi="Arial"/>
                <w:sz w:val="18"/>
                <w:szCs w:val="18"/>
                <w:color w:val="0000FF"/>
              </w:rPr>
            </w:pPr>
            <w:hyperlink w:anchor="page141">
              <w:r>
                <w:rPr>
                  <w:rFonts w:ascii="Arial" w:cs="Arial" w:eastAsia="Arial" w:hAnsi="Arial"/>
                  <w:sz w:val="18"/>
                  <w:szCs w:val="18"/>
                  <w:color w:val="0000FF"/>
                </w:rPr>
                <w:t>Pursuant to Rules 13a-14(a) and 15d-14(a)</w:t>
              </w:r>
            </w:hyperlink>
          </w:p>
        </w:tc>
        <w:tc>
          <w:tcPr>
            <w:tcW w:w="630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480" w:type="dxa"/>
            <w:vAlign w:val="bottom"/>
            <w:tcBorders>
              <w:bottom w:val="single" w:sz="8" w:color="0000FF"/>
            </w:tcBorders>
            <w:gridSpan w:val="9"/>
          </w:tcPr>
          <w:p>
            <w:pPr>
              <w:spacing w:after="0" w:line="156" w:lineRule="exact"/>
              <w:rPr>
                <w:rFonts w:ascii="Arial" w:cs="Arial" w:eastAsia="Arial" w:hAnsi="Arial"/>
                <w:sz w:val="18"/>
                <w:szCs w:val="18"/>
                <w:color w:val="0000FF"/>
                <w:w w:val="99"/>
              </w:rPr>
            </w:pPr>
            <w:hyperlink w:anchor="page141">
              <w:r>
                <w:rPr>
                  <w:rFonts w:ascii="Arial" w:cs="Arial" w:eastAsia="Arial" w:hAnsi="Arial"/>
                  <w:sz w:val="18"/>
                  <w:szCs w:val="18"/>
                  <w:color w:val="0000FF"/>
                  <w:w w:val="99"/>
                </w:rPr>
                <w:t>under the Securities Exchange Act of 1934,</w:t>
              </w:r>
            </w:hyperlink>
          </w:p>
        </w:tc>
        <w:tc>
          <w:tcPr>
            <w:tcW w:w="630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480" w:type="dxa"/>
            <w:vAlign w:val="bottom"/>
            <w:gridSpan w:val="9"/>
          </w:tcPr>
          <w:p>
            <w:pPr>
              <w:spacing w:after="0" w:line="156" w:lineRule="exact"/>
              <w:rPr>
                <w:rFonts w:ascii="Arial" w:cs="Arial" w:eastAsia="Arial" w:hAnsi="Arial"/>
                <w:sz w:val="18"/>
                <w:szCs w:val="18"/>
                <w:color w:val="0000FF"/>
              </w:rPr>
            </w:pPr>
            <w:hyperlink w:anchor="page141">
              <w:r>
                <w:rPr>
                  <w:rFonts w:ascii="Arial" w:cs="Arial" w:eastAsia="Arial" w:hAnsi="Arial"/>
                  <w:sz w:val="18"/>
                  <w:szCs w:val="18"/>
                  <w:color w:val="0000FF"/>
                </w:rPr>
                <w:t>as Adopted Pursuant to Section 302 of the</w:t>
              </w:r>
            </w:hyperlink>
          </w:p>
        </w:tc>
        <w:tc>
          <w:tcPr>
            <w:tcW w:w="630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141">
              <w:r>
                <w:rPr>
                  <w:rFonts w:ascii="Arial" w:cs="Arial" w:eastAsia="Arial" w:hAnsi="Arial"/>
                  <w:sz w:val="18"/>
                  <w:szCs w:val="18"/>
                  <w:color w:val="0000FF"/>
                  <w:w w:val="98"/>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16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630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3480" w:type="dxa"/>
            <w:vAlign w:val="bottom"/>
            <w:gridSpan w:val="9"/>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Certification of Principal Executive Officer</w:t>
              </w:r>
            </w:hyperlink>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156"/>
        </w:trPr>
        <w:tc>
          <w:tcPr>
            <w:tcW w:w="1060" w:type="dxa"/>
            <w:vAlign w:val="bottom"/>
          </w:tcPr>
          <w:p>
            <w:pPr>
              <w:spacing w:after="0"/>
              <w:rPr>
                <w:sz w:val="13"/>
                <w:szCs w:val="13"/>
                <w:color w:val="auto"/>
              </w:rPr>
            </w:pPr>
          </w:p>
        </w:tc>
        <w:tc>
          <w:tcPr>
            <w:tcW w:w="33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43">
              <w:r>
                <w:rPr>
                  <w:rFonts w:ascii="Arial" w:cs="Arial" w:eastAsia="Arial" w:hAnsi="Arial"/>
                  <w:sz w:val="18"/>
                  <w:szCs w:val="18"/>
                  <w:color w:val="0000FF"/>
                </w:rPr>
                <w:t>Pursuant to 18 U.S.C. Section 1350, as</w:t>
              </w:r>
            </w:hyperlink>
          </w:p>
        </w:tc>
        <w:tc>
          <w:tcPr>
            <w:tcW w:w="140" w:type="dxa"/>
            <w:vAlign w:val="bottom"/>
            <w:gridSpan w:val="2"/>
          </w:tcPr>
          <w:p>
            <w:pPr>
              <w:spacing w:after="0"/>
              <w:rPr>
                <w:sz w:val="13"/>
                <w:szCs w:val="13"/>
                <w:color w:val="auto"/>
              </w:rPr>
            </w:pPr>
          </w:p>
        </w:tc>
        <w:tc>
          <w:tcPr>
            <w:tcW w:w="630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w:anchor="page143">
              <w:r>
                <w:rPr>
                  <w:rFonts w:ascii="Arial" w:cs="Arial" w:eastAsia="Arial" w:hAnsi="Arial"/>
                  <w:sz w:val="18"/>
                  <w:szCs w:val="18"/>
                  <w:color w:val="0000FF"/>
                </w:rPr>
                <w:t>Adopted Pursuant to Section 906 of the</w:t>
              </w:r>
            </w:hyperlink>
          </w:p>
        </w:tc>
        <w:tc>
          <w:tcPr>
            <w:tcW w:w="20" w:type="dxa"/>
            <w:vAlign w:val="bottom"/>
            <w:tcBorders>
              <w:bottom w:val="single" w:sz="8" w:color="0000FF"/>
            </w:tcBorders>
          </w:tcPr>
          <w:p>
            <w:pPr>
              <w:spacing w:after="0"/>
              <w:rPr>
                <w:sz w:val="13"/>
                <w:szCs w:val="13"/>
                <w:color w:val="auto"/>
              </w:rPr>
            </w:pPr>
          </w:p>
        </w:tc>
        <w:tc>
          <w:tcPr>
            <w:tcW w:w="280" w:type="dxa"/>
            <w:vAlign w:val="bottom"/>
            <w:gridSpan w:val="4"/>
          </w:tcPr>
          <w:p>
            <w:pPr>
              <w:spacing w:after="0"/>
              <w:rPr>
                <w:sz w:val="13"/>
                <w:szCs w:val="13"/>
                <w:color w:val="auto"/>
              </w:rPr>
            </w:pPr>
          </w:p>
        </w:tc>
        <w:tc>
          <w:tcPr>
            <w:tcW w:w="630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240" w:type="dxa"/>
            <w:vAlign w:val="bottom"/>
            <w:tcBorders>
              <w:bottom w:val="single" w:sz="8" w:color="0000FF"/>
            </w:tcBorders>
            <w:gridSpan w:val="2"/>
          </w:tcPr>
          <w:p>
            <w:pPr>
              <w:spacing w:after="0" w:line="156" w:lineRule="exact"/>
              <w:rPr>
                <w:rFonts w:ascii="Arial" w:cs="Arial" w:eastAsia="Arial" w:hAnsi="Arial"/>
                <w:sz w:val="18"/>
                <w:szCs w:val="18"/>
                <w:color w:val="0000FF"/>
                <w:w w:val="98"/>
              </w:rPr>
            </w:pPr>
            <w:hyperlink w:anchor="page143">
              <w:r>
                <w:rPr>
                  <w:rFonts w:ascii="Arial" w:cs="Arial" w:eastAsia="Arial" w:hAnsi="Arial"/>
                  <w:sz w:val="18"/>
                  <w:szCs w:val="18"/>
                  <w:color w:val="0000FF"/>
                  <w:w w:val="98"/>
                </w:rPr>
                <w:t>Sarbanes-Oxley Act of 2002</w:t>
              </w:r>
            </w:hyperlink>
          </w:p>
        </w:tc>
        <w:tc>
          <w:tcPr>
            <w:tcW w:w="20" w:type="dxa"/>
            <w:vAlign w:val="bottom"/>
            <w:tcBorders>
              <w:bottom w:val="single" w:sz="8" w:color="0000EE"/>
            </w:tcBorders>
          </w:tcPr>
          <w:p>
            <w:pPr>
              <w:spacing w:after="0"/>
              <w:rPr>
                <w:sz w:val="13"/>
                <w:szCs w:val="13"/>
                <w:color w:val="auto"/>
              </w:rPr>
            </w:pPr>
          </w:p>
        </w:tc>
        <w:tc>
          <w:tcPr>
            <w:tcW w:w="94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630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3480" w:type="dxa"/>
            <w:vAlign w:val="bottom"/>
            <w:gridSpan w:val="9"/>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Certification of Principal Financial Officer</w:t>
              </w:r>
            </w:hyperlink>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156"/>
        </w:trPr>
        <w:tc>
          <w:tcPr>
            <w:tcW w:w="1060" w:type="dxa"/>
            <w:vAlign w:val="bottom"/>
          </w:tcPr>
          <w:p>
            <w:pPr>
              <w:spacing w:after="0"/>
              <w:rPr>
                <w:sz w:val="13"/>
                <w:szCs w:val="13"/>
                <w:color w:val="auto"/>
              </w:rPr>
            </w:pPr>
          </w:p>
        </w:tc>
        <w:tc>
          <w:tcPr>
            <w:tcW w:w="32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44">
              <w:r>
                <w:rPr>
                  <w:rFonts w:ascii="Arial" w:cs="Arial" w:eastAsia="Arial" w:hAnsi="Arial"/>
                  <w:sz w:val="18"/>
                  <w:szCs w:val="18"/>
                  <w:color w:val="0000FF"/>
                </w:rPr>
                <w:t>Pursuant to 18 U.S.C. Section 1350, as</w:t>
              </w:r>
            </w:hyperlink>
          </w:p>
        </w:tc>
        <w:tc>
          <w:tcPr>
            <w:tcW w:w="200" w:type="dxa"/>
            <w:vAlign w:val="bottom"/>
            <w:gridSpan w:val="3"/>
          </w:tcPr>
          <w:p>
            <w:pPr>
              <w:spacing w:after="0"/>
              <w:rPr>
                <w:sz w:val="13"/>
                <w:szCs w:val="13"/>
                <w:color w:val="auto"/>
              </w:rPr>
            </w:pPr>
          </w:p>
        </w:tc>
        <w:tc>
          <w:tcPr>
            <w:tcW w:w="630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1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44">
              <w:r>
                <w:rPr>
                  <w:rFonts w:ascii="Arial" w:cs="Arial" w:eastAsia="Arial" w:hAnsi="Arial"/>
                  <w:sz w:val="18"/>
                  <w:szCs w:val="18"/>
                  <w:color w:val="0000FF"/>
                </w:rPr>
                <w:t>Adopted Pursuant to Section 906 of the</w:t>
              </w:r>
            </w:hyperlink>
          </w:p>
        </w:tc>
        <w:tc>
          <w:tcPr>
            <w:tcW w:w="300" w:type="dxa"/>
            <w:vAlign w:val="bottom"/>
            <w:gridSpan w:val="5"/>
          </w:tcPr>
          <w:p>
            <w:pPr>
              <w:spacing w:after="0"/>
              <w:rPr>
                <w:sz w:val="13"/>
                <w:szCs w:val="13"/>
                <w:color w:val="auto"/>
              </w:rPr>
            </w:pPr>
          </w:p>
        </w:tc>
        <w:tc>
          <w:tcPr>
            <w:tcW w:w="630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144">
              <w:r>
                <w:rPr>
                  <w:rFonts w:ascii="Arial" w:cs="Arial" w:eastAsia="Arial" w:hAnsi="Arial"/>
                  <w:sz w:val="18"/>
                  <w:szCs w:val="18"/>
                  <w:color w:val="0000FF"/>
                  <w:w w:val="98"/>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40" w:type="dxa"/>
            <w:vAlign w:val="bottom"/>
            <w:tcBorders>
              <w:top w:val="single" w:sz="8" w:color="0000FF"/>
            </w:tcBorders>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6300" w:type="dxa"/>
            <w:vAlign w:val="bottom"/>
          </w:tcPr>
          <w:p>
            <w:pPr>
              <w:spacing w:after="0"/>
              <w:rPr>
                <w:sz w:val="13"/>
                <w:szCs w:val="13"/>
                <w:color w:val="auto"/>
              </w:rPr>
            </w:pPr>
          </w:p>
        </w:tc>
      </w:tr>
      <w:tr>
        <w:trPr>
          <w:trHeight w:val="331"/>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348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269"/>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34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217"/>
        </w:trPr>
        <w:tc>
          <w:tcPr>
            <w:tcW w:w="1060" w:type="dxa"/>
            <w:vAlign w:val="bottom"/>
          </w:tcPr>
          <w:p>
            <w:pPr>
              <w:spacing w:after="0"/>
              <w:rPr>
                <w:sz w:val="18"/>
                <w:szCs w:val="18"/>
                <w:color w:val="auto"/>
              </w:rPr>
            </w:pPr>
          </w:p>
        </w:tc>
        <w:tc>
          <w:tcPr>
            <w:tcW w:w="34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6300" w:type="dxa"/>
            <w:vAlign w:val="bottom"/>
          </w:tcPr>
          <w:p>
            <w:pPr>
              <w:spacing w:after="0"/>
              <w:rPr>
                <w:sz w:val="18"/>
                <w:szCs w:val="18"/>
                <w:color w:val="auto"/>
              </w:rPr>
            </w:pPr>
          </w:p>
        </w:tc>
      </w:tr>
      <w:tr>
        <w:trPr>
          <w:trHeight w:val="269"/>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34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217"/>
        </w:trPr>
        <w:tc>
          <w:tcPr>
            <w:tcW w:w="1060" w:type="dxa"/>
            <w:vAlign w:val="bottom"/>
          </w:tcPr>
          <w:p>
            <w:pPr>
              <w:spacing w:after="0"/>
              <w:rPr>
                <w:sz w:val="18"/>
                <w:szCs w:val="18"/>
                <w:color w:val="auto"/>
              </w:rPr>
            </w:pPr>
          </w:p>
        </w:tc>
        <w:tc>
          <w:tcPr>
            <w:tcW w:w="3480" w:type="dxa"/>
            <w:vAlign w:val="bottom"/>
            <w:gridSpan w:val="9"/>
          </w:tcPr>
          <w:p>
            <w:pPr>
              <w:spacing w:after="0"/>
              <w:rPr>
                <w:sz w:val="20"/>
                <w:szCs w:val="20"/>
                <w:color w:val="auto"/>
              </w:rPr>
            </w:pPr>
            <w:r>
              <w:rPr>
                <w:rFonts w:ascii="Arial" w:cs="Arial" w:eastAsia="Arial" w:hAnsi="Arial"/>
                <w:sz w:val="18"/>
                <w:szCs w:val="18"/>
                <w:color w:val="auto"/>
              </w:rPr>
              <w:t>Calculation Linkbase Document</w:t>
            </w:r>
          </w:p>
        </w:tc>
        <w:tc>
          <w:tcPr>
            <w:tcW w:w="6300" w:type="dxa"/>
            <w:vAlign w:val="bottom"/>
          </w:tcPr>
          <w:p>
            <w:pPr>
              <w:spacing w:after="0"/>
              <w:rPr>
                <w:sz w:val="18"/>
                <w:szCs w:val="18"/>
                <w:color w:val="auto"/>
              </w:rPr>
            </w:pPr>
          </w:p>
        </w:tc>
      </w:tr>
      <w:tr>
        <w:trPr>
          <w:trHeight w:val="269"/>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3480" w:type="dxa"/>
            <w:vAlign w:val="bottom"/>
            <w:gridSpan w:val="9"/>
          </w:tcPr>
          <w:p>
            <w:pPr>
              <w:spacing w:after="0"/>
              <w:rPr>
                <w:sz w:val="20"/>
                <w:szCs w:val="20"/>
                <w:color w:val="auto"/>
              </w:rPr>
            </w:pPr>
            <w:r>
              <w:rPr>
                <w:rFonts w:ascii="Arial" w:cs="Arial" w:eastAsia="Arial" w:hAnsi="Arial"/>
                <w:sz w:val="18"/>
                <w:szCs w:val="18"/>
                <w:color w:val="auto"/>
                <w:w w:val="99"/>
              </w:rPr>
              <w:t>Inline XBRL Taxonomy Extension Definition</w:t>
            </w:r>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217"/>
        </w:trPr>
        <w:tc>
          <w:tcPr>
            <w:tcW w:w="1060" w:type="dxa"/>
            <w:vAlign w:val="bottom"/>
          </w:tcPr>
          <w:p>
            <w:pPr>
              <w:spacing w:after="0"/>
              <w:rPr>
                <w:sz w:val="18"/>
                <w:szCs w:val="18"/>
                <w:color w:val="auto"/>
              </w:rPr>
            </w:pPr>
          </w:p>
        </w:tc>
        <w:tc>
          <w:tcPr>
            <w:tcW w:w="348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6300" w:type="dxa"/>
            <w:vAlign w:val="bottom"/>
          </w:tcPr>
          <w:p>
            <w:pPr>
              <w:spacing w:after="0"/>
              <w:rPr>
                <w:sz w:val="18"/>
                <w:szCs w:val="18"/>
                <w:color w:val="auto"/>
              </w:rPr>
            </w:pPr>
          </w:p>
        </w:tc>
      </w:tr>
      <w:tr>
        <w:trPr>
          <w:trHeight w:val="269"/>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34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w:t>
            </w:r>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217"/>
        </w:trPr>
        <w:tc>
          <w:tcPr>
            <w:tcW w:w="1060" w:type="dxa"/>
            <w:vAlign w:val="bottom"/>
          </w:tcPr>
          <w:p>
            <w:pPr>
              <w:spacing w:after="0"/>
              <w:rPr>
                <w:sz w:val="18"/>
                <w:szCs w:val="18"/>
                <w:color w:val="auto"/>
              </w:rPr>
            </w:pPr>
          </w:p>
        </w:tc>
        <w:tc>
          <w:tcPr>
            <w:tcW w:w="348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6300" w:type="dxa"/>
            <w:vAlign w:val="bottom"/>
          </w:tcPr>
          <w:p>
            <w:pPr>
              <w:spacing w:after="0"/>
              <w:rPr>
                <w:sz w:val="18"/>
                <w:szCs w:val="18"/>
                <w:color w:val="auto"/>
              </w:rPr>
            </w:pPr>
          </w:p>
        </w:tc>
      </w:tr>
      <w:tr>
        <w:trPr>
          <w:trHeight w:val="269"/>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34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217"/>
        </w:trPr>
        <w:tc>
          <w:tcPr>
            <w:tcW w:w="1060" w:type="dxa"/>
            <w:vAlign w:val="bottom"/>
          </w:tcPr>
          <w:p>
            <w:pPr>
              <w:spacing w:after="0"/>
              <w:rPr>
                <w:sz w:val="18"/>
                <w:szCs w:val="18"/>
                <w:color w:val="auto"/>
              </w:rPr>
            </w:pPr>
          </w:p>
        </w:tc>
        <w:tc>
          <w:tcPr>
            <w:tcW w:w="3480" w:type="dxa"/>
            <w:vAlign w:val="bottom"/>
            <w:gridSpan w:val="9"/>
          </w:tcPr>
          <w:p>
            <w:pPr>
              <w:spacing w:after="0"/>
              <w:rPr>
                <w:sz w:val="20"/>
                <w:szCs w:val="20"/>
                <w:color w:val="auto"/>
              </w:rPr>
            </w:pPr>
            <w:r>
              <w:rPr>
                <w:rFonts w:ascii="Arial" w:cs="Arial" w:eastAsia="Arial" w:hAnsi="Arial"/>
                <w:sz w:val="18"/>
                <w:szCs w:val="18"/>
                <w:color w:val="auto"/>
              </w:rPr>
              <w:t>Presentation Linkbase Document</w:t>
            </w:r>
          </w:p>
        </w:tc>
        <w:tc>
          <w:tcPr>
            <w:tcW w:w="6300" w:type="dxa"/>
            <w:vAlign w:val="bottom"/>
          </w:tcPr>
          <w:p>
            <w:pPr>
              <w:spacing w:after="0"/>
              <w:rPr>
                <w:sz w:val="18"/>
                <w:szCs w:val="18"/>
                <w:color w:val="auto"/>
              </w:rPr>
            </w:pPr>
          </w:p>
        </w:tc>
      </w:tr>
      <w:tr>
        <w:trPr>
          <w:trHeight w:val="364"/>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3480" w:type="dxa"/>
            <w:vAlign w:val="bottom"/>
            <w:gridSpan w:val="9"/>
          </w:tcPr>
          <w:p>
            <w:pPr>
              <w:spacing w:after="0"/>
              <w:rPr>
                <w:sz w:val="20"/>
                <w:szCs w:val="20"/>
                <w:color w:val="auto"/>
              </w:rPr>
            </w:pPr>
            <w:r>
              <w:rPr>
                <w:rFonts w:ascii="Arial" w:cs="Arial" w:eastAsia="Arial" w:hAnsi="Arial"/>
                <w:sz w:val="18"/>
                <w:szCs w:val="18"/>
                <w:color w:val="auto"/>
              </w:rPr>
              <w:t>Cover Page Interactive Data File</w:t>
            </w:r>
          </w:p>
        </w:tc>
        <w:tc>
          <w:tcPr>
            <w:tcW w:w="6300" w:type="dxa"/>
            <w:vAlign w:val="bottom"/>
          </w:tcPr>
          <w:p>
            <w:pPr>
              <w:ind w:left="6180"/>
              <w:spacing w:after="0"/>
              <w:rPr>
                <w:sz w:val="20"/>
                <w:szCs w:val="20"/>
                <w:color w:val="auto"/>
              </w:rPr>
            </w:pPr>
            <w:r>
              <w:rPr>
                <w:rFonts w:ascii="Arial" w:cs="Arial" w:eastAsia="Arial" w:hAnsi="Arial"/>
                <w:sz w:val="18"/>
                <w:szCs w:val="18"/>
                <w:color w:val="auto"/>
                <w:w w:val="82"/>
              </w:rPr>
              <w:t>X</w:t>
            </w:r>
          </w:p>
        </w:tc>
      </w:tr>
      <w:tr>
        <w:trPr>
          <w:trHeight w:val="175"/>
        </w:trPr>
        <w:tc>
          <w:tcPr>
            <w:tcW w:w="1060" w:type="dxa"/>
            <w:vAlign w:val="bottom"/>
          </w:tcPr>
          <w:p>
            <w:pPr>
              <w:spacing w:after="0"/>
              <w:rPr>
                <w:sz w:val="15"/>
                <w:szCs w:val="15"/>
                <w:color w:val="auto"/>
              </w:rPr>
            </w:pPr>
          </w:p>
        </w:tc>
        <w:tc>
          <w:tcPr>
            <w:tcW w:w="3480" w:type="dxa"/>
            <w:vAlign w:val="bottom"/>
            <w:gridSpan w:val="9"/>
          </w:tcPr>
          <w:p>
            <w:pPr>
              <w:spacing w:after="0" w:line="176" w:lineRule="exact"/>
              <w:rPr>
                <w:sz w:val="20"/>
                <w:szCs w:val="20"/>
                <w:color w:val="auto"/>
              </w:rPr>
            </w:pPr>
            <w:r>
              <w:rPr>
                <w:rFonts w:ascii="Arial" w:cs="Arial" w:eastAsia="Arial" w:hAnsi="Arial"/>
                <w:sz w:val="18"/>
                <w:szCs w:val="18"/>
                <w:color w:val="auto"/>
              </w:rPr>
              <w:t>(embedded within the Inline XBRL</w:t>
            </w:r>
          </w:p>
        </w:tc>
        <w:tc>
          <w:tcPr>
            <w:tcW w:w="6300" w:type="dxa"/>
            <w:vAlign w:val="bottom"/>
          </w:tcPr>
          <w:p>
            <w:pPr>
              <w:spacing w:after="0"/>
              <w:rPr>
                <w:sz w:val="15"/>
                <w:szCs w:val="15"/>
                <w:color w:val="auto"/>
              </w:rPr>
            </w:pPr>
          </w:p>
        </w:tc>
      </w:tr>
      <w:tr>
        <w:trPr>
          <w:trHeight w:val="217"/>
        </w:trPr>
        <w:tc>
          <w:tcPr>
            <w:tcW w:w="1060" w:type="dxa"/>
            <w:vAlign w:val="bottom"/>
          </w:tcPr>
          <w:p>
            <w:pPr>
              <w:spacing w:after="0"/>
              <w:rPr>
                <w:sz w:val="18"/>
                <w:szCs w:val="18"/>
                <w:color w:val="auto"/>
              </w:rPr>
            </w:pPr>
          </w:p>
        </w:tc>
        <w:tc>
          <w:tcPr>
            <w:tcW w:w="34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6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6"/>
          <w:szCs w:val="16"/>
          <w:color w:val="auto"/>
          <w:highlight w:val="white"/>
        </w:rPr>
      </w:pPr>
      <w:r>
        <w:rPr>
          <w:rFonts w:ascii="Arial" w:cs="Arial" w:eastAsia="Arial" w:hAnsi="Arial"/>
          <w:sz w:val="16"/>
          <w:szCs w:val="16"/>
          <w:color w:val="auto"/>
          <w:highlight w:val="white"/>
        </w:rPr>
        <w:t>Indicates a management contract or compensatory plan or arrangement.</w:t>
      </w:r>
    </w:p>
    <w:p>
      <w:pPr>
        <w:ind w:left="360" w:hanging="352"/>
        <w:spacing w:after="0"/>
        <w:tabs>
          <w:tab w:leader="none" w:pos="360" w:val="left"/>
        </w:tabs>
        <w:numPr>
          <w:ilvl w:val="0"/>
          <w:numId w:val="49"/>
        </w:numPr>
        <w:rPr>
          <w:rFonts w:ascii="Arial" w:cs="Arial" w:eastAsia="Arial" w:hAnsi="Arial"/>
          <w:sz w:val="16"/>
          <w:szCs w:val="16"/>
          <w:color w:val="auto"/>
          <w:highlight w:val="white"/>
        </w:rPr>
      </w:pPr>
      <w:r>
        <w:rPr>
          <w:rFonts w:ascii="Arial" w:cs="Arial" w:eastAsia="Arial" w:hAnsi="Arial"/>
          <w:sz w:val="16"/>
          <w:szCs w:val="16"/>
          <w:color w:val="auto"/>
          <w:highlight w:val="white"/>
        </w:rPr>
        <w:t>Certain portions of this exhibit (indicated by “[***]”) have been omitted pursuant to Regulation S-K, Item (601)(b)(10).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8" w:right="73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90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2680" w:type="dxa"/>
            <w:vAlign w:val="bottom"/>
            <w:gridSpan w:val="2"/>
          </w:tcPr>
          <w:p>
            <w:pPr>
              <w:ind w:left="1320"/>
              <w:spacing w:after="0"/>
              <w:rPr>
                <w:sz w:val="20"/>
                <w:szCs w:val="20"/>
                <w:color w:val="auto"/>
              </w:rPr>
            </w:pPr>
            <w:r>
              <w:rPr>
                <w:rFonts w:ascii="Arial" w:cs="Arial" w:eastAsia="Arial" w:hAnsi="Arial"/>
                <w:sz w:val="18"/>
                <w:szCs w:val="18"/>
                <w:color w:val="auto"/>
              </w:rPr>
              <w:t>Vroom, Inc.</w:t>
            </w:r>
          </w:p>
        </w:tc>
        <w:tc>
          <w:tcPr>
            <w:tcW w:w="5280" w:type="dxa"/>
            <w:vAlign w:val="bottom"/>
          </w:tcPr>
          <w:p>
            <w:pPr>
              <w:spacing w:after="0"/>
              <w:rPr>
                <w:sz w:val="18"/>
                <w:szCs w:val="18"/>
                <w:color w:val="auto"/>
              </w:rPr>
            </w:pP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Date: February 28, 2022</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990"/>
              <w:spacing w:after="0"/>
              <w:rPr>
                <w:sz w:val="20"/>
                <w:szCs w:val="20"/>
                <w:color w:val="auto"/>
              </w:rPr>
            </w:pPr>
            <w:r>
              <w:rPr>
                <w:rFonts w:ascii="Arial" w:cs="Arial" w:eastAsia="Arial" w:hAnsi="Arial"/>
                <w:sz w:val="18"/>
                <w:szCs w:val="18"/>
                <w:color w:val="auto"/>
                <w:w w:val="99"/>
              </w:rPr>
              <w:t>/s/ Paul J. Hennessy</w:t>
            </w:r>
          </w:p>
        </w:tc>
      </w:tr>
      <w:tr>
        <w:trPr>
          <w:trHeight w:val="195"/>
        </w:trPr>
        <w:tc>
          <w:tcPr>
            <w:tcW w:w="3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280" w:type="dxa"/>
            <w:vAlign w:val="bottom"/>
            <w:tcBorders>
              <w:top w:val="single" w:sz="8" w:color="auto"/>
            </w:tcBorders>
          </w:tcPr>
          <w:p>
            <w:pPr>
              <w:jc w:val="center"/>
              <w:ind w:right="990"/>
              <w:spacing w:after="0" w:line="195" w:lineRule="exact"/>
              <w:rPr>
                <w:sz w:val="20"/>
                <w:szCs w:val="20"/>
                <w:color w:val="auto"/>
              </w:rPr>
            </w:pPr>
            <w:r>
              <w:rPr>
                <w:rFonts w:ascii="Arial" w:cs="Arial" w:eastAsia="Arial" w:hAnsi="Arial"/>
                <w:sz w:val="18"/>
                <w:szCs w:val="18"/>
                <w:color w:val="auto"/>
                <w:w w:val="99"/>
              </w:rPr>
              <w:t>Paul J. Hennessy</w:t>
            </w:r>
          </w:p>
        </w:tc>
      </w:tr>
      <w:tr>
        <w:trPr>
          <w:trHeight w:val="184"/>
        </w:trPr>
        <w:tc>
          <w:tcPr>
            <w:tcW w:w="3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80" w:type="dxa"/>
            <w:vAlign w:val="bottom"/>
          </w:tcPr>
          <w:p>
            <w:pPr>
              <w:jc w:val="center"/>
              <w:ind w:right="970"/>
              <w:spacing w:after="0" w:line="184" w:lineRule="exact"/>
              <w:rPr>
                <w:sz w:val="20"/>
                <w:szCs w:val="20"/>
                <w:color w:val="auto"/>
              </w:rPr>
            </w:pPr>
            <w:r>
              <w:rPr>
                <w:rFonts w:ascii="Arial" w:cs="Arial" w:eastAsia="Arial" w:hAnsi="Arial"/>
                <w:sz w:val="18"/>
                <w:szCs w:val="18"/>
                <w:color w:val="auto"/>
                <w:w w:val="99"/>
              </w:rPr>
              <w:t>Chief Executive Officer</w:t>
            </w:r>
          </w:p>
        </w:tc>
      </w:tr>
      <w:tr>
        <w:trPr>
          <w:trHeight w:val="235"/>
        </w:trPr>
        <w:tc>
          <w:tcPr>
            <w:tcW w:w="3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jc w:val="center"/>
              <w:ind w:right="101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27"/>
        </w:trPr>
        <w:tc>
          <w:tcPr>
            <w:tcW w:w="3260" w:type="dxa"/>
            <w:vAlign w:val="bottom"/>
          </w:tcPr>
          <w:p>
            <w:pPr>
              <w:spacing w:after="0"/>
              <w:rPr>
                <w:sz w:val="20"/>
                <w:szCs w:val="20"/>
                <w:color w:val="auto"/>
              </w:rPr>
            </w:pPr>
            <w:r>
              <w:rPr>
                <w:rFonts w:ascii="Arial" w:cs="Arial" w:eastAsia="Arial" w:hAnsi="Arial"/>
                <w:sz w:val="18"/>
                <w:szCs w:val="18"/>
                <w:color w:val="auto"/>
              </w:rPr>
              <w:t>Date: February 28, 2022</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970"/>
              <w:spacing w:after="0"/>
              <w:rPr>
                <w:sz w:val="20"/>
                <w:szCs w:val="20"/>
                <w:color w:val="auto"/>
              </w:rPr>
            </w:pPr>
            <w:r>
              <w:rPr>
                <w:rFonts w:ascii="Arial" w:cs="Arial" w:eastAsia="Arial" w:hAnsi="Arial"/>
                <w:sz w:val="18"/>
                <w:szCs w:val="18"/>
                <w:color w:val="auto"/>
              </w:rPr>
              <w:t>/s/ Robert R. Krakowiak</w:t>
            </w:r>
          </w:p>
        </w:tc>
      </w:tr>
      <w:tr>
        <w:trPr>
          <w:trHeight w:val="195"/>
        </w:trPr>
        <w:tc>
          <w:tcPr>
            <w:tcW w:w="3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280" w:type="dxa"/>
            <w:vAlign w:val="bottom"/>
            <w:tcBorders>
              <w:top w:val="single" w:sz="8" w:color="auto"/>
            </w:tcBorders>
          </w:tcPr>
          <w:p>
            <w:pPr>
              <w:jc w:val="center"/>
              <w:ind w:right="970"/>
              <w:spacing w:after="0" w:line="195" w:lineRule="exact"/>
              <w:rPr>
                <w:sz w:val="20"/>
                <w:szCs w:val="20"/>
                <w:color w:val="auto"/>
              </w:rPr>
            </w:pPr>
            <w:r>
              <w:rPr>
                <w:rFonts w:ascii="Arial" w:cs="Arial" w:eastAsia="Arial" w:hAnsi="Arial"/>
                <w:sz w:val="18"/>
                <w:szCs w:val="18"/>
                <w:color w:val="auto"/>
              </w:rPr>
              <w:t>Robert R. Krakowiak</w:t>
            </w:r>
          </w:p>
        </w:tc>
      </w:tr>
      <w:tr>
        <w:trPr>
          <w:trHeight w:val="184"/>
        </w:trPr>
        <w:tc>
          <w:tcPr>
            <w:tcW w:w="3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80" w:type="dxa"/>
            <w:vAlign w:val="bottom"/>
          </w:tcPr>
          <w:p>
            <w:pPr>
              <w:jc w:val="center"/>
              <w:ind w:right="970"/>
              <w:spacing w:after="0" w:line="184" w:lineRule="exact"/>
              <w:rPr>
                <w:sz w:val="20"/>
                <w:szCs w:val="20"/>
                <w:color w:val="auto"/>
              </w:rPr>
            </w:pPr>
            <w:r>
              <w:rPr>
                <w:rFonts w:ascii="Arial" w:cs="Arial" w:eastAsia="Arial" w:hAnsi="Arial"/>
                <w:sz w:val="18"/>
                <w:szCs w:val="18"/>
                <w:color w:val="auto"/>
              </w:rPr>
              <w:t>Chief Financial Officer</w:t>
            </w:r>
          </w:p>
        </w:tc>
      </w:tr>
      <w:tr>
        <w:trPr>
          <w:trHeight w:val="235"/>
        </w:trPr>
        <w:tc>
          <w:tcPr>
            <w:tcW w:w="3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jc w:val="center"/>
              <w:ind w:right="970"/>
              <w:spacing w:after="0"/>
              <w:rPr>
                <w:sz w:val="20"/>
                <w:szCs w:val="20"/>
                <w:color w:val="auto"/>
              </w:rPr>
            </w:pPr>
            <w:r>
              <w:rPr>
                <w:rFonts w:ascii="Arial" w:cs="Arial" w:eastAsia="Arial" w:hAnsi="Arial"/>
                <w:sz w:val="18"/>
                <w:szCs w:val="18"/>
                <w:i w:val="1"/>
                <w:iCs w:val="1"/>
                <w:color w:val="auto"/>
                <w:w w:val="99"/>
              </w:rPr>
              <w:t>(principal financial and accounting officer)</w:t>
            </w:r>
          </w:p>
        </w:tc>
      </w:tr>
    </w:tbl>
    <w:p>
      <w:pPr>
        <w:spacing w:after="0" w:line="188"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4"/>
                <w:szCs w:val="14"/>
                <w:color w:val="auto"/>
              </w:rPr>
            </w:pPr>
          </w:p>
        </w:tc>
        <w:tc>
          <w:tcPr>
            <w:tcW w:w="5240" w:type="dxa"/>
            <w:vAlign w:val="bottom"/>
            <w:tcBorders>
              <w:bottom w:val="single" w:sz="8" w:color="auto"/>
            </w:tcBorders>
          </w:tcPr>
          <w:p>
            <w:pPr>
              <w:jc w:val="right"/>
              <w:ind w:right="2388"/>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7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601"/>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Hennessy</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(Principal Executive Officer) and 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Paul J. Hennessy</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R. Krakowiak</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Robert R. Krakowiak</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Mylod, Jr.</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Robert J. Mylod, Jr.</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A. Dahnke</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Scott A. Dahnke</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Farello</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Michael J. Farello</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W. Lang</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Laura W. Lang</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G. O’Shaughnessy</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Laura G. O’Shaughnessy</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B. Pretlow</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Paula B. Pretlow</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55"/>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O. Terrell</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Frederick O. Terrell</w:t>
            </w:r>
          </w:p>
        </w:tc>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8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380" w:type="dxa"/>
            <w:vAlign w:val="bottom"/>
            <w:gridSpan w:val="2"/>
          </w:tcPr>
          <w:p>
            <w:pPr>
              <w:jc w:val="right"/>
              <w:ind w:right="3508"/>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INVENTORY FINANCING AND SECURITY AGREEMENT</w:t>
      </w:r>
    </w:p>
    <w:p>
      <w:pPr>
        <w:spacing w:after="0" w:line="200" w:lineRule="exact"/>
        <w:rPr>
          <w:sz w:val="20"/>
          <w:szCs w:val="20"/>
          <w:color w:val="auto"/>
        </w:rPr>
      </w:pPr>
    </w:p>
    <w:p>
      <w:pPr>
        <w:spacing w:after="0" w:line="201" w:lineRule="exact"/>
        <w:rPr>
          <w:sz w:val="20"/>
          <w:szCs w:val="20"/>
          <w:color w:val="auto"/>
        </w:rPr>
      </w:pPr>
    </w:p>
    <w:p>
      <w:pPr>
        <w:ind w:left="4160" w:hanging="191"/>
        <w:spacing w:after="0"/>
        <w:tabs>
          <w:tab w:leader="none" w:pos="41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THE PARTIES TO THIS AGREEMENT</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Fourth Amendment to Inventory Financing and Security Agreement (“Amendment”) is effective as of February 24, 2022, and is made by and among the following parties:</w:t>
      </w:r>
    </w:p>
    <w:p>
      <w:pPr>
        <w:spacing w:after="0" w:line="161" w:lineRule="exact"/>
        <w:rPr>
          <w:sz w:val="20"/>
          <w:szCs w:val="20"/>
          <w:color w:val="auto"/>
        </w:rPr>
      </w:pPr>
    </w:p>
    <w:p>
      <w:pPr>
        <w:ind w:left="560" w:hanging="552"/>
        <w:spacing w:after="0" w:line="271"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Ally Bank (Ally Capital in Hawaii, Mississippi, Montana and New Jersey) </w:t>
      </w:r>
      <w:r>
        <w:rPr>
          <w:rFonts w:ascii="Arial" w:cs="Arial" w:eastAsia="Arial" w:hAnsi="Arial"/>
          <w:sz w:val="18"/>
          <w:szCs w:val="18"/>
          <w:color w:val="auto"/>
        </w:rPr>
        <w:t>(together with its successors and assigns, “Bank”), a</w:t>
      </w:r>
      <w:r>
        <w:rPr>
          <w:rFonts w:ascii="Arial" w:cs="Arial" w:eastAsia="Arial" w:hAnsi="Arial"/>
          <w:sz w:val="18"/>
          <w:szCs w:val="18"/>
          <w:b w:val="1"/>
          <w:bCs w:val="1"/>
          <w:color w:val="auto"/>
        </w:rPr>
        <w:t xml:space="preserve"> </w:t>
      </w:r>
      <w:r>
        <w:rPr>
          <w:rFonts w:ascii="Arial" w:cs="Arial" w:eastAsia="Arial" w:hAnsi="Arial"/>
          <w:sz w:val="18"/>
          <w:szCs w:val="18"/>
          <w:color w:val="auto"/>
        </w:rPr>
        <w:t>Utah state-chartered bank with a local business office currently located at 5851 Legacy Circle, Suite 200, Plano, Texas 75024; and</w:t>
      </w:r>
    </w:p>
    <w:p>
      <w:pPr>
        <w:spacing w:after="0" w:line="180" w:lineRule="exact"/>
        <w:rPr>
          <w:rFonts w:ascii="Arial" w:cs="Arial" w:eastAsia="Arial" w:hAnsi="Arial"/>
          <w:sz w:val="18"/>
          <w:szCs w:val="18"/>
          <w:color w:val="auto"/>
        </w:rPr>
      </w:pPr>
    </w:p>
    <w:p>
      <w:pPr>
        <w:ind w:left="560" w:right="20" w:hanging="552"/>
        <w:spacing w:after="0" w:line="271"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Ally Financial Inc.</w:t>
      </w:r>
      <w:r>
        <w:rPr>
          <w:rFonts w:ascii="Arial" w:cs="Arial" w:eastAsia="Arial" w:hAnsi="Arial"/>
          <w:sz w:val="18"/>
          <w:szCs w:val="18"/>
          <w:color w:val="auto"/>
        </w:rPr>
        <w:t>, a Delaware corporation (“Ally”) with a local business office currently located at 5851 Legacy Circle, Suite 200,</w:t>
      </w:r>
      <w:r>
        <w:rPr>
          <w:rFonts w:ascii="Arial" w:cs="Arial" w:eastAsia="Arial" w:hAnsi="Arial"/>
          <w:sz w:val="18"/>
          <w:szCs w:val="18"/>
          <w:b w:val="1"/>
          <w:bCs w:val="1"/>
          <w:color w:val="auto"/>
        </w:rPr>
        <w:t xml:space="preserve"> </w:t>
      </w:r>
      <w:r>
        <w:rPr>
          <w:rFonts w:ascii="Arial" w:cs="Arial" w:eastAsia="Arial" w:hAnsi="Arial"/>
          <w:sz w:val="18"/>
          <w:szCs w:val="18"/>
          <w:color w:val="auto"/>
        </w:rPr>
        <w:t>Plano, Texas 75024 (together with Bank, the “Ally Parties” and Bank and Ally each being, an “Ally Party”);</w:t>
      </w:r>
    </w:p>
    <w:p>
      <w:pPr>
        <w:spacing w:after="0" w:line="140" w:lineRule="exact"/>
        <w:rPr>
          <w:rFonts w:ascii="Arial" w:cs="Arial" w:eastAsia="Arial" w:hAnsi="Arial"/>
          <w:sz w:val="18"/>
          <w:szCs w:val="18"/>
          <w:color w:val="auto"/>
        </w:rPr>
      </w:pPr>
    </w:p>
    <w:p>
      <w:pPr>
        <w:jc w:val="both"/>
        <w:ind w:left="560" w:hanging="552"/>
        <w:spacing w:after="0" w:line="253"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Vroom Automotive, LLC</w:t>
      </w:r>
      <w:r>
        <w:rPr>
          <w:rFonts w:ascii="Arial" w:cs="Arial" w:eastAsia="Arial" w:hAnsi="Arial"/>
          <w:sz w:val="18"/>
          <w:szCs w:val="18"/>
          <w:color w:val="auto"/>
        </w:rPr>
        <w:t>, a Texas limited liability company, formerly known as Left Gate Property Holding, LLC, doing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Texas Direct Auto, with its principal executive office currently located at 12053 Southwest Freeway, Stafford, Texas 77477 (“Dealership”); and</w:t>
      </w:r>
    </w:p>
    <w:p>
      <w:pPr>
        <w:spacing w:after="0" w:line="195" w:lineRule="exact"/>
        <w:rPr>
          <w:rFonts w:ascii="Arial" w:cs="Arial" w:eastAsia="Arial" w:hAnsi="Arial"/>
          <w:sz w:val="18"/>
          <w:szCs w:val="18"/>
          <w:color w:val="auto"/>
        </w:rPr>
      </w:pPr>
    </w:p>
    <w:p>
      <w:pPr>
        <w:ind w:left="560" w:hanging="552"/>
        <w:spacing w:after="0" w:line="271"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Vroom, Inc.</w:t>
      </w:r>
      <w:r>
        <w:rPr>
          <w:rFonts w:ascii="Arial" w:cs="Arial" w:eastAsia="Arial" w:hAnsi="Arial"/>
          <w:sz w:val="18"/>
          <w:szCs w:val="18"/>
          <w:color w:val="auto"/>
        </w:rPr>
        <w:t>, a Delaware corporation, with its principal executive office currently located at 1375 Broadway, 11th Floor, New York,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10018 (“Vroom”).</w:t>
      </w:r>
    </w:p>
    <w:p>
      <w:pPr>
        <w:spacing w:after="0" w:line="203" w:lineRule="exact"/>
        <w:rPr>
          <w:sz w:val="20"/>
          <w:szCs w:val="20"/>
          <w:color w:val="auto"/>
        </w:rPr>
      </w:pPr>
    </w:p>
    <w:p>
      <w:pPr>
        <w:ind w:left="5120" w:hanging="259"/>
        <w:spacing w:after="0"/>
        <w:tabs>
          <w:tab w:leader="none" w:pos="51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THE RECITALS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essential facts relied on by Bank, Ally, Dealership and Vroom as true and complete, and giving rise to this Amendment, are as follows:</w:t>
      </w:r>
    </w:p>
    <w:p>
      <w:pPr>
        <w:spacing w:after="0" w:line="198" w:lineRule="exact"/>
        <w:rPr>
          <w:sz w:val="20"/>
          <w:szCs w:val="20"/>
          <w:color w:val="auto"/>
        </w:rPr>
      </w:pPr>
    </w:p>
    <w:p>
      <w:pPr>
        <w:ind w:left="560" w:right="20" w:hanging="552"/>
        <w:spacing w:after="0" w:line="246"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Ally Parties, Dealership and Vroom are parties to an Inventory Financing and Security Agreement, effective as of March 6, 2020, as amended by (as amended, the “IFSA”):</w:t>
      </w:r>
    </w:p>
    <w:p>
      <w:pPr>
        <w:spacing w:after="0" w:line="219" w:lineRule="exact"/>
        <w:rPr>
          <w:rFonts w:ascii="Arial" w:cs="Arial" w:eastAsia="Arial" w:hAnsi="Arial"/>
          <w:sz w:val="18"/>
          <w:szCs w:val="18"/>
          <w:color w:val="auto"/>
        </w:rPr>
      </w:pPr>
    </w:p>
    <w:p>
      <w:pPr>
        <w:ind w:left="1140" w:hanging="383"/>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First Amendment to Inventory Financing and Security Agreement, effective as of June 19, 2020;</w:t>
      </w:r>
    </w:p>
    <w:p>
      <w:pPr>
        <w:ind w:left="1140" w:hanging="383"/>
        <w:spacing w:after="0" w:line="23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Second Amendment to Inventory Financing and Security Agreement, effective as of October 1, 2020; and</w:t>
      </w:r>
    </w:p>
    <w:p>
      <w:pPr>
        <w:ind w:left="1140" w:hanging="383"/>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Third Amendment to Inventory Financing and Security Agreement, effective as of December 16, 2021.</w:t>
      </w:r>
    </w:p>
    <w:p>
      <w:pPr>
        <w:spacing w:after="0" w:line="198" w:lineRule="exact"/>
        <w:rPr>
          <w:rFonts w:ascii="Arial" w:cs="Arial" w:eastAsia="Arial" w:hAnsi="Arial"/>
          <w:sz w:val="18"/>
          <w:szCs w:val="18"/>
          <w:color w:val="auto"/>
        </w:rPr>
      </w:pPr>
    </w:p>
    <w:p>
      <w:pPr>
        <w:ind w:left="560" w:hanging="552"/>
        <w:spacing w:after="0" w:line="246"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Left Gate Property Holding, LLC, a Texas limited liability company, changed its name to Vroom Automotive, LLC, effective as of March 1, 2021.</w:t>
      </w:r>
    </w:p>
    <w:p>
      <w:pPr>
        <w:spacing w:after="0" w:line="183" w:lineRule="exact"/>
        <w:rPr>
          <w:rFonts w:ascii="Arial" w:cs="Arial" w:eastAsia="Arial" w:hAnsi="Arial"/>
          <w:sz w:val="18"/>
          <w:szCs w:val="18"/>
          <w:color w:val="auto"/>
        </w:rPr>
      </w:pPr>
    </w:p>
    <w:p>
      <w:pPr>
        <w:ind w:left="560" w:hanging="552"/>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parties to this Amendment desire to amend the IFSA as outlined in this Amendment.</w:t>
      </w:r>
    </w:p>
    <w:p>
      <w:pPr>
        <w:spacing w:after="0" w:line="239" w:lineRule="exact"/>
        <w:rPr>
          <w:sz w:val="20"/>
          <w:szCs w:val="20"/>
          <w:color w:val="auto"/>
        </w:rPr>
      </w:pPr>
    </w:p>
    <w:p>
      <w:pPr>
        <w:ind w:left="5000" w:hanging="301"/>
        <w:spacing w:after="0"/>
        <w:tabs>
          <w:tab w:leader="none" w:pos="50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THE AGREEMENT</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consideration of the premises and the mutual promises in this Amendment, which are acknowledged to be sufficient, Bank, Ally, Dealership and Vroom agree to the following:</w:t>
      </w:r>
    </w:p>
    <w:p>
      <w:pPr>
        <w:spacing w:after="0" w:line="183" w:lineRule="exact"/>
        <w:rPr>
          <w:sz w:val="20"/>
          <w:szCs w:val="20"/>
          <w:color w:val="auto"/>
        </w:rPr>
      </w:pPr>
    </w:p>
    <w:p>
      <w:pPr>
        <w:ind w:left="560" w:hanging="552"/>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Capitalized terms used but not defined herein have the meanings given to them in the IFSA.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Certain information has been excluded because it both (i) is not material and (ii) would be competitively harmful if publicly disclosed.</w:t>
      </w: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6" w:name="page137"/>
    <w:bookmarkEnd w:id="136"/>
    <w:p>
      <w:pPr>
        <w:ind w:left="560" w:hanging="552"/>
        <w:spacing w:after="0"/>
        <w:tabs>
          <w:tab w:leader="none" w:pos="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“Maturity Date” is amended from September 30, 2022 to March 31, 2023. This amends Section III.C.2(c) of the IFSA.</w:t>
      </w:r>
    </w:p>
    <w:p>
      <w:pPr>
        <w:spacing w:after="0" w:line="144" w:lineRule="exact"/>
        <w:rPr>
          <w:rFonts w:ascii="Arial" w:cs="Arial" w:eastAsia="Arial" w:hAnsi="Arial"/>
          <w:sz w:val="18"/>
          <w:szCs w:val="18"/>
          <w:color w:val="auto"/>
        </w:rPr>
      </w:pPr>
    </w:p>
    <w:p>
      <w:pPr>
        <w:ind w:left="560" w:hanging="552"/>
        <w:spacing w:after="0"/>
        <w:tabs>
          <w:tab w:leader="none" w:pos="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new Subsection III.B.7(d) is added to the IFSA as follows:</w:t>
      </w:r>
    </w:p>
    <w:p>
      <w:pPr>
        <w:spacing w:after="0" w:line="234" w:lineRule="exact"/>
        <w:rPr>
          <w:sz w:val="20"/>
          <w:szCs w:val="20"/>
          <w:color w:val="auto"/>
        </w:rPr>
      </w:pPr>
    </w:p>
    <w:p>
      <w:pPr>
        <w:ind w:left="1540" w:hanging="409"/>
        <w:spacing w:after="0"/>
        <w:tabs>
          <w:tab w:leader="none" w:pos="15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The Fourth Amendment Commitment Fee</w:t>
      </w:r>
      <w:r>
        <w:rPr>
          <w:rFonts w:ascii="Arial" w:cs="Arial" w:eastAsia="Arial" w:hAnsi="Arial"/>
          <w:sz w:val="18"/>
          <w:szCs w:val="18"/>
          <w:color w:val="auto"/>
        </w:rPr>
        <w:t>.  On or before February 24, 2022, the Dealership shall pay the Ally</w:t>
      </w:r>
    </w:p>
    <w:p>
      <w:pPr>
        <w:ind w:left="1700"/>
        <w:spacing w:after="0"/>
        <w:tabs>
          <w:tab w:leader="none" w:pos="5880" w:val="left"/>
        </w:tabs>
        <w:rPr>
          <w:sz w:val="20"/>
          <w:szCs w:val="20"/>
          <w:color w:val="auto"/>
        </w:rPr>
      </w:pPr>
      <w:r>
        <w:rPr>
          <w:rFonts w:ascii="Arial" w:cs="Arial" w:eastAsia="Arial" w:hAnsi="Arial"/>
          <w:sz w:val="18"/>
          <w:szCs w:val="18"/>
          <w:color w:val="auto"/>
        </w:rPr>
        <w:t>Parties a “Fourth Amendment Commitment Fee” of</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-19050</wp:posOffset>
            </wp:positionV>
            <wp:extent cx="32385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3">
                      <a:extLst>
                        <a:ext uri="{28A0092B-C50C-407E-A947-70E740481C1C}"/>
                      </a:extLst>
                    </a:blip>
                    <a:srcRect/>
                    <a:stretch>
                      <a:fillRect/>
                    </a:stretch>
                  </pic:blipFill>
                  <pic:spPr bwMode="auto">
                    <a:xfrm>
                      <a:off x="0" y="0"/>
                      <a:ext cx="323850" cy="8890"/>
                    </a:xfrm>
                    <a:prstGeom prst="rect">
                      <a:avLst/>
                    </a:prstGeom>
                    <a:noFill/>
                  </pic:spPr>
                </pic:pic>
              </a:graphicData>
            </a:graphic>
          </wp:anchor>
        </w:drawing>
      </w:r>
    </w:p>
    <w:p>
      <w:pPr>
        <w:spacing w:after="0" w:line="219" w:lineRule="exact"/>
        <w:rPr>
          <w:sz w:val="20"/>
          <w:szCs w:val="20"/>
          <w:color w:val="auto"/>
        </w:rPr>
      </w:pPr>
    </w:p>
    <w:p>
      <w:pPr>
        <w:jc w:val="both"/>
        <w:ind w:left="560" w:hanging="552"/>
        <w:spacing w:after="0"/>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provided above, the IFSA and all other agreements between each of the Ally Parties and Dealership and Vroom remain in full force and effect as written. In the event of a conflict between the terms of the IFSA and this Amendment, the terms of this Amendment prevail. The parties hereto ratify all terms of the IFSA as amended by the Amendment.</w:t>
      </w:r>
    </w:p>
    <w:p>
      <w:pPr>
        <w:spacing w:after="0" w:line="229" w:lineRule="exact"/>
        <w:rPr>
          <w:rFonts w:ascii="Arial" w:cs="Arial" w:eastAsia="Arial" w:hAnsi="Arial"/>
          <w:sz w:val="18"/>
          <w:szCs w:val="18"/>
          <w:color w:val="auto"/>
        </w:rPr>
      </w:pPr>
    </w:p>
    <w:p>
      <w:pPr>
        <w:ind w:left="560" w:right="20" w:hanging="552"/>
        <w:spacing w:after="0" w:line="246"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provision of this Amendment is held to be invalid or unenforceable by a court of competent jurisdiction, all other provisions remain valid and enforceable.</w:t>
      </w:r>
    </w:p>
    <w:p>
      <w:pPr>
        <w:spacing w:after="0" w:line="223" w:lineRule="exact"/>
        <w:rPr>
          <w:rFonts w:ascii="Arial" w:cs="Arial" w:eastAsia="Arial" w:hAnsi="Arial"/>
          <w:sz w:val="18"/>
          <w:szCs w:val="18"/>
          <w:color w:val="auto"/>
        </w:rPr>
      </w:pPr>
    </w:p>
    <w:p>
      <w:pPr>
        <w:ind w:left="560" w:hanging="552"/>
        <w:spacing w:after="0"/>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Amendment:</w:t>
      </w:r>
    </w:p>
    <w:p>
      <w:pPr>
        <w:spacing w:after="0" w:line="238" w:lineRule="exact"/>
        <w:rPr>
          <w:rFonts w:ascii="Arial" w:cs="Arial" w:eastAsia="Arial" w:hAnsi="Arial"/>
          <w:sz w:val="18"/>
          <w:szCs w:val="18"/>
          <w:color w:val="auto"/>
        </w:rPr>
      </w:pPr>
    </w:p>
    <w:p>
      <w:pPr>
        <w:ind w:left="1140" w:hanging="570"/>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May be modified only by a writing signed by all parties.</w:t>
      </w:r>
    </w:p>
    <w:p>
      <w:pPr>
        <w:spacing w:after="0" w:line="238" w:lineRule="exact"/>
        <w:rPr>
          <w:rFonts w:ascii="Arial" w:cs="Arial" w:eastAsia="Arial" w:hAnsi="Arial"/>
          <w:sz w:val="18"/>
          <w:szCs w:val="18"/>
          <w:color w:val="auto"/>
        </w:rPr>
      </w:pPr>
    </w:p>
    <w:p>
      <w:pPr>
        <w:jc w:val="both"/>
        <w:ind w:left="1140" w:right="20" w:hanging="570"/>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May be signed in counterparts, each of which is deemed an original, and all of which taken together constitute one and the same agreement. The signatures of the parties, exchanged via fax or e-mail, shall constitute and be deemed original signatures for all purposes.</w:t>
      </w:r>
    </w:p>
    <w:p>
      <w:pPr>
        <w:spacing w:after="0" w:line="229" w:lineRule="exact"/>
        <w:rPr>
          <w:rFonts w:ascii="Arial" w:cs="Arial" w:eastAsia="Arial" w:hAnsi="Arial"/>
          <w:sz w:val="18"/>
          <w:szCs w:val="18"/>
          <w:color w:val="auto"/>
        </w:rPr>
      </w:pPr>
    </w:p>
    <w:p>
      <w:pPr>
        <w:ind w:left="1140" w:hanging="570"/>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Binds and inures to the benefit of the parties and their respective successors and assigns.</w:t>
      </w:r>
    </w:p>
    <w:p>
      <w:pPr>
        <w:spacing w:after="0" w:line="238" w:lineRule="exact"/>
        <w:rPr>
          <w:rFonts w:ascii="Arial" w:cs="Arial" w:eastAsia="Arial" w:hAnsi="Arial"/>
          <w:sz w:val="18"/>
          <w:szCs w:val="18"/>
          <w:color w:val="auto"/>
        </w:rPr>
      </w:pPr>
    </w:p>
    <w:p>
      <w:pPr>
        <w:ind w:left="1140" w:hanging="570"/>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Constitutes the entire agreement of the parties with respect to its subject matter.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60" w:type="dxa"/>
            <w:vAlign w:val="bottom"/>
            <w:gridSpan w:val="8"/>
          </w:tcPr>
          <w:p>
            <w:pPr>
              <w:spacing w:after="0"/>
              <w:rPr>
                <w:sz w:val="20"/>
                <w:szCs w:val="20"/>
                <w:color w:val="auto"/>
              </w:rPr>
            </w:pPr>
            <w:r>
              <w:rPr>
                <w:rFonts w:ascii="Arial" w:cs="Arial" w:eastAsia="Arial" w:hAnsi="Arial"/>
                <w:sz w:val="18"/>
                <w:szCs w:val="18"/>
                <w:color w:val="auto"/>
              </w:rPr>
              <w:t>Agreed to as of February 24, 2022.</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45"/>
        </w:trPr>
        <w:tc>
          <w:tcPr>
            <w:tcW w:w="4260" w:type="dxa"/>
            <w:vAlign w:val="bottom"/>
            <w:gridSpan w:val="8"/>
          </w:tcPr>
          <w:p>
            <w:pPr>
              <w:ind w:left="100"/>
              <w:spacing w:after="0"/>
              <w:rPr>
                <w:sz w:val="20"/>
                <w:szCs w:val="20"/>
                <w:color w:val="auto"/>
              </w:rPr>
            </w:pPr>
            <w:r>
              <w:rPr>
                <w:rFonts w:ascii="Arial" w:cs="Arial" w:eastAsia="Arial" w:hAnsi="Arial"/>
                <w:sz w:val="18"/>
                <w:szCs w:val="18"/>
                <w:b w:val="1"/>
                <w:bCs w:val="1"/>
                <w:color w:val="auto"/>
              </w:rPr>
              <w:t>Ally Bank</w:t>
            </w:r>
          </w:p>
        </w:tc>
        <w:tc>
          <w:tcPr>
            <w:tcW w:w="3700" w:type="dxa"/>
            <w:vAlign w:val="bottom"/>
            <w:gridSpan w:val="6"/>
          </w:tcPr>
          <w:p>
            <w:pPr>
              <w:ind w:left="1460"/>
              <w:spacing w:after="0"/>
              <w:rPr>
                <w:sz w:val="20"/>
                <w:szCs w:val="20"/>
                <w:color w:val="auto"/>
              </w:rPr>
            </w:pPr>
            <w:r>
              <w:rPr>
                <w:rFonts w:ascii="Arial" w:cs="Arial" w:eastAsia="Arial" w:hAnsi="Arial"/>
                <w:sz w:val="18"/>
                <w:szCs w:val="18"/>
                <w:b w:val="1"/>
                <w:bCs w:val="1"/>
                <w:color w:val="auto"/>
              </w:rPr>
              <w:t>Vroom Automotive, LLC</w:t>
            </w:r>
          </w:p>
        </w:tc>
      </w:tr>
      <w:tr>
        <w:trPr>
          <w:trHeight w:val="310"/>
        </w:trPr>
        <w:tc>
          <w:tcPr>
            <w:tcW w:w="4260" w:type="dxa"/>
            <w:vAlign w:val="bottom"/>
            <w:gridSpan w:val="8"/>
          </w:tcPr>
          <w:p>
            <w:pPr>
              <w:ind w:left="100"/>
              <w:spacing w:after="0"/>
              <w:rPr>
                <w:sz w:val="20"/>
                <w:szCs w:val="20"/>
                <w:color w:val="auto"/>
              </w:rPr>
            </w:pPr>
            <w:r>
              <w:rPr>
                <w:rFonts w:ascii="Arial" w:cs="Arial" w:eastAsia="Arial" w:hAnsi="Arial"/>
                <w:sz w:val="18"/>
                <w:szCs w:val="18"/>
                <w:color w:val="auto"/>
              </w:rPr>
              <w:t>By: /s/ Stephen B. Gambrel</w:t>
            </w:r>
          </w:p>
        </w:tc>
        <w:tc>
          <w:tcPr>
            <w:tcW w:w="3700" w:type="dxa"/>
            <w:vAlign w:val="bottom"/>
            <w:gridSpan w:val="6"/>
          </w:tcPr>
          <w:p>
            <w:pPr>
              <w:ind w:left="1460"/>
              <w:spacing w:after="0"/>
              <w:rPr>
                <w:sz w:val="20"/>
                <w:szCs w:val="20"/>
                <w:color w:val="auto"/>
              </w:rPr>
            </w:pPr>
            <w:r>
              <w:rPr>
                <w:rFonts w:ascii="Arial" w:cs="Arial" w:eastAsia="Arial" w:hAnsi="Arial"/>
                <w:sz w:val="18"/>
                <w:szCs w:val="18"/>
                <w:color w:val="auto"/>
              </w:rPr>
              <w:t>By: /s/ Robert R. Krakowiak</w:t>
            </w:r>
          </w:p>
        </w:tc>
      </w:tr>
      <w:tr>
        <w:trPr>
          <w:trHeight w:val="20"/>
        </w:trPr>
        <w:tc>
          <w:tcPr>
            <w:tcW w:w="3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4260" w:type="dxa"/>
            <w:vAlign w:val="bottom"/>
            <w:gridSpan w:val="8"/>
          </w:tcPr>
          <w:p>
            <w:pPr>
              <w:ind w:left="100"/>
              <w:spacing w:after="0"/>
              <w:rPr>
                <w:sz w:val="20"/>
                <w:szCs w:val="20"/>
                <w:color w:val="auto"/>
              </w:rPr>
            </w:pPr>
            <w:r>
              <w:rPr>
                <w:rFonts w:ascii="Arial" w:cs="Arial" w:eastAsia="Arial" w:hAnsi="Arial"/>
                <w:sz w:val="18"/>
                <w:szCs w:val="18"/>
                <w:color w:val="auto"/>
              </w:rPr>
              <w:t>Name: Stephen B. Gambrel</w:t>
            </w:r>
          </w:p>
        </w:tc>
        <w:tc>
          <w:tcPr>
            <w:tcW w:w="3700" w:type="dxa"/>
            <w:vAlign w:val="bottom"/>
            <w:gridSpan w:val="6"/>
          </w:tcPr>
          <w:p>
            <w:pPr>
              <w:ind w:left="1460"/>
              <w:spacing w:after="0"/>
              <w:rPr>
                <w:sz w:val="20"/>
                <w:szCs w:val="20"/>
                <w:color w:val="auto"/>
              </w:rPr>
            </w:pPr>
            <w:r>
              <w:rPr>
                <w:rFonts w:ascii="Arial" w:cs="Arial" w:eastAsia="Arial" w:hAnsi="Arial"/>
                <w:sz w:val="18"/>
                <w:szCs w:val="18"/>
                <w:color w:val="auto"/>
                <w:w w:val="99"/>
              </w:rPr>
              <w:t>Name: Robert R. Krakowiak</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331"/>
        </w:trPr>
        <w:tc>
          <w:tcPr>
            <w:tcW w:w="4260" w:type="dxa"/>
            <w:vAlign w:val="bottom"/>
            <w:gridSpan w:val="8"/>
          </w:tcPr>
          <w:p>
            <w:pPr>
              <w:ind w:left="100"/>
              <w:spacing w:after="0"/>
              <w:rPr>
                <w:sz w:val="20"/>
                <w:szCs w:val="20"/>
                <w:color w:val="auto"/>
              </w:rPr>
            </w:pPr>
            <w:r>
              <w:rPr>
                <w:rFonts w:ascii="Arial" w:cs="Arial" w:eastAsia="Arial" w:hAnsi="Arial"/>
                <w:sz w:val="18"/>
                <w:szCs w:val="18"/>
                <w:color w:val="auto"/>
              </w:rPr>
              <w:t>Title: Authorized Representative</w:t>
            </w:r>
          </w:p>
        </w:tc>
        <w:tc>
          <w:tcPr>
            <w:tcW w:w="3700" w:type="dxa"/>
            <w:vAlign w:val="bottom"/>
            <w:gridSpan w:val="6"/>
          </w:tcPr>
          <w:p>
            <w:pPr>
              <w:ind w:left="146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4260" w:type="dxa"/>
            <w:vAlign w:val="bottom"/>
            <w:gridSpan w:val="8"/>
          </w:tcPr>
          <w:p>
            <w:pPr>
              <w:ind w:left="100"/>
              <w:spacing w:after="0"/>
              <w:rPr>
                <w:sz w:val="20"/>
                <w:szCs w:val="20"/>
                <w:color w:val="auto"/>
              </w:rPr>
            </w:pPr>
            <w:r>
              <w:rPr>
                <w:rFonts w:ascii="Arial" w:cs="Arial" w:eastAsia="Arial" w:hAnsi="Arial"/>
                <w:sz w:val="18"/>
                <w:szCs w:val="18"/>
                <w:color w:val="auto"/>
              </w:rPr>
              <w:t>Date: 2/24/22</w:t>
            </w:r>
          </w:p>
        </w:tc>
        <w:tc>
          <w:tcPr>
            <w:tcW w:w="3700" w:type="dxa"/>
            <w:vAlign w:val="bottom"/>
            <w:gridSpan w:val="6"/>
          </w:tcPr>
          <w:p>
            <w:pPr>
              <w:ind w:left="1460"/>
              <w:spacing w:after="0"/>
              <w:rPr>
                <w:sz w:val="20"/>
                <w:szCs w:val="20"/>
                <w:color w:val="auto"/>
              </w:rPr>
            </w:pPr>
            <w:r>
              <w:rPr>
                <w:rFonts w:ascii="Arial" w:cs="Arial" w:eastAsia="Arial" w:hAnsi="Arial"/>
                <w:sz w:val="18"/>
                <w:szCs w:val="18"/>
                <w:color w:val="auto"/>
              </w:rPr>
              <w:t>Date: 2/24/22</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80" w:type="dxa"/>
            <w:vAlign w:val="bottom"/>
            <w:gridSpan w:val="8"/>
          </w:tcPr>
          <w:p>
            <w:pPr>
              <w:ind w:left="100"/>
              <w:spacing w:after="0"/>
              <w:rPr>
                <w:sz w:val="20"/>
                <w:szCs w:val="20"/>
                <w:color w:val="auto"/>
              </w:rPr>
            </w:pPr>
            <w:r>
              <w:rPr>
                <w:rFonts w:ascii="Arial" w:cs="Arial" w:eastAsia="Arial" w:hAnsi="Arial"/>
                <w:sz w:val="18"/>
                <w:szCs w:val="18"/>
                <w:b w:val="1"/>
                <w:bCs w:val="1"/>
                <w:color w:val="auto"/>
              </w:rPr>
              <w:t>Ally Financial Inc.</w:t>
            </w:r>
          </w:p>
        </w:tc>
        <w:tc>
          <w:tcPr>
            <w:tcW w:w="7760" w:type="dxa"/>
            <w:vAlign w:val="bottom"/>
            <w:gridSpan w:val="6"/>
          </w:tcPr>
          <w:p>
            <w:pPr>
              <w:ind w:left="2240"/>
              <w:spacing w:after="0"/>
              <w:rPr>
                <w:sz w:val="20"/>
                <w:szCs w:val="20"/>
                <w:color w:val="auto"/>
              </w:rPr>
            </w:pPr>
            <w:r>
              <w:rPr>
                <w:rFonts w:ascii="Arial" w:cs="Arial" w:eastAsia="Arial" w:hAnsi="Arial"/>
                <w:sz w:val="18"/>
                <w:szCs w:val="18"/>
                <w:b w:val="1"/>
                <w:bCs w:val="1"/>
                <w:color w:val="auto"/>
              </w:rPr>
              <w:t>Vroom, Inc.</w:t>
            </w:r>
          </w:p>
        </w:tc>
      </w:tr>
      <w:tr>
        <w:trPr>
          <w:trHeight w:val="310"/>
        </w:trPr>
        <w:tc>
          <w:tcPr>
            <w:tcW w:w="3480" w:type="dxa"/>
            <w:vAlign w:val="bottom"/>
            <w:gridSpan w:val="8"/>
          </w:tcPr>
          <w:p>
            <w:pPr>
              <w:ind w:left="100"/>
              <w:spacing w:after="0"/>
              <w:rPr>
                <w:sz w:val="20"/>
                <w:szCs w:val="20"/>
                <w:color w:val="auto"/>
              </w:rPr>
            </w:pPr>
            <w:r>
              <w:rPr>
                <w:rFonts w:ascii="Arial" w:cs="Arial" w:eastAsia="Arial" w:hAnsi="Arial"/>
                <w:sz w:val="18"/>
                <w:szCs w:val="18"/>
                <w:color w:val="auto"/>
              </w:rPr>
              <w:t>By: /s/ Stephen B. Gambrel</w:t>
            </w:r>
          </w:p>
        </w:tc>
        <w:tc>
          <w:tcPr>
            <w:tcW w:w="7760" w:type="dxa"/>
            <w:vAlign w:val="bottom"/>
            <w:gridSpan w:val="6"/>
          </w:tcPr>
          <w:p>
            <w:pPr>
              <w:ind w:left="2240"/>
              <w:spacing w:after="0"/>
              <w:rPr>
                <w:sz w:val="20"/>
                <w:szCs w:val="20"/>
                <w:color w:val="auto"/>
              </w:rPr>
            </w:pPr>
            <w:r>
              <w:rPr>
                <w:rFonts w:ascii="Arial" w:cs="Arial" w:eastAsia="Arial" w:hAnsi="Arial"/>
                <w:sz w:val="18"/>
                <w:szCs w:val="18"/>
                <w:color w:val="auto"/>
              </w:rPr>
              <w:t>By: /s/ Robert R. Krakowiak</w:t>
            </w:r>
          </w:p>
        </w:tc>
      </w:tr>
      <w:tr>
        <w:trPr>
          <w:trHeight w:val="20"/>
        </w:trPr>
        <w:tc>
          <w:tcPr>
            <w:tcW w:w="3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31"/>
        </w:trPr>
        <w:tc>
          <w:tcPr>
            <w:tcW w:w="3480" w:type="dxa"/>
            <w:vAlign w:val="bottom"/>
            <w:gridSpan w:val="8"/>
          </w:tcPr>
          <w:p>
            <w:pPr>
              <w:ind w:left="100"/>
              <w:spacing w:after="0"/>
              <w:rPr>
                <w:sz w:val="20"/>
                <w:szCs w:val="20"/>
                <w:color w:val="auto"/>
              </w:rPr>
            </w:pPr>
            <w:r>
              <w:rPr>
                <w:rFonts w:ascii="Arial" w:cs="Arial" w:eastAsia="Arial" w:hAnsi="Arial"/>
                <w:sz w:val="18"/>
                <w:szCs w:val="18"/>
                <w:color w:val="auto"/>
              </w:rPr>
              <w:t>Name: Stephen B. Gambrel</w:t>
            </w:r>
          </w:p>
        </w:tc>
        <w:tc>
          <w:tcPr>
            <w:tcW w:w="7760" w:type="dxa"/>
            <w:vAlign w:val="bottom"/>
            <w:gridSpan w:val="6"/>
          </w:tcPr>
          <w:p>
            <w:pPr>
              <w:ind w:left="2240"/>
              <w:spacing w:after="0"/>
              <w:rPr>
                <w:sz w:val="20"/>
                <w:szCs w:val="20"/>
                <w:color w:val="auto"/>
              </w:rPr>
            </w:pPr>
            <w:r>
              <w:rPr>
                <w:rFonts w:ascii="Arial" w:cs="Arial" w:eastAsia="Arial" w:hAnsi="Arial"/>
                <w:sz w:val="18"/>
                <w:szCs w:val="18"/>
                <w:color w:val="auto"/>
              </w:rPr>
              <w:t>Name: Robert R. Krakowiak</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320" w:type="dxa"/>
            <w:vAlign w:val="bottom"/>
            <w:tcBorders>
              <w:left w:val="single" w:sz="8" w:color="auto"/>
            </w:tcBorders>
          </w:tcPr>
          <w:p>
            <w:pPr>
              <w:spacing w:after="0" w:line="20" w:lineRule="exact"/>
              <w:rPr>
                <w:sz w:val="1"/>
                <w:szCs w:val="1"/>
                <w:color w:val="auto"/>
              </w:rPr>
            </w:pPr>
          </w:p>
        </w:tc>
      </w:tr>
      <w:tr>
        <w:trPr>
          <w:trHeight w:val="331"/>
        </w:trPr>
        <w:tc>
          <w:tcPr>
            <w:tcW w:w="3480" w:type="dxa"/>
            <w:vAlign w:val="bottom"/>
            <w:gridSpan w:val="8"/>
          </w:tcPr>
          <w:p>
            <w:pPr>
              <w:ind w:left="100"/>
              <w:spacing w:after="0"/>
              <w:rPr>
                <w:sz w:val="20"/>
                <w:szCs w:val="20"/>
                <w:color w:val="auto"/>
              </w:rPr>
            </w:pPr>
            <w:r>
              <w:rPr>
                <w:rFonts w:ascii="Arial" w:cs="Arial" w:eastAsia="Arial" w:hAnsi="Arial"/>
                <w:sz w:val="18"/>
                <w:szCs w:val="18"/>
                <w:color w:val="auto"/>
              </w:rPr>
              <w:t>Title: Authorized Representative</w:t>
            </w:r>
          </w:p>
        </w:tc>
        <w:tc>
          <w:tcPr>
            <w:tcW w:w="7760" w:type="dxa"/>
            <w:vAlign w:val="bottom"/>
            <w:gridSpan w:val="6"/>
          </w:tcPr>
          <w:p>
            <w:pPr>
              <w:ind w:left="224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31"/>
        </w:trPr>
        <w:tc>
          <w:tcPr>
            <w:tcW w:w="3480" w:type="dxa"/>
            <w:vAlign w:val="bottom"/>
            <w:gridSpan w:val="8"/>
          </w:tcPr>
          <w:p>
            <w:pPr>
              <w:ind w:left="100"/>
              <w:spacing w:after="0"/>
              <w:rPr>
                <w:sz w:val="20"/>
                <w:szCs w:val="20"/>
                <w:color w:val="auto"/>
              </w:rPr>
            </w:pPr>
            <w:r>
              <w:rPr>
                <w:rFonts w:ascii="Arial" w:cs="Arial" w:eastAsia="Arial" w:hAnsi="Arial"/>
                <w:sz w:val="18"/>
                <w:szCs w:val="18"/>
                <w:color w:val="auto"/>
              </w:rPr>
              <w:t>Date: 2/24/22</w:t>
            </w:r>
          </w:p>
        </w:tc>
        <w:tc>
          <w:tcPr>
            <w:tcW w:w="7760" w:type="dxa"/>
            <w:vAlign w:val="bottom"/>
            <w:gridSpan w:val="6"/>
          </w:tcPr>
          <w:p>
            <w:pPr>
              <w:ind w:left="2240"/>
              <w:spacing w:after="0"/>
              <w:rPr>
                <w:sz w:val="20"/>
                <w:szCs w:val="20"/>
                <w:color w:val="auto"/>
              </w:rPr>
            </w:pPr>
            <w:r>
              <w:rPr>
                <w:rFonts w:ascii="Arial" w:cs="Arial" w:eastAsia="Arial" w:hAnsi="Arial"/>
                <w:sz w:val="18"/>
                <w:szCs w:val="18"/>
                <w:color w:val="auto"/>
              </w:rPr>
              <w:t>Date: 2/24/22</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9"/>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60" w:type="dxa"/>
            <w:vAlign w:val="bottom"/>
            <w:gridSpan w:val="6"/>
          </w:tcPr>
          <w:p>
            <w:pPr>
              <w:ind w:left="840"/>
              <w:spacing w:after="0"/>
              <w:rPr>
                <w:sz w:val="20"/>
                <w:szCs w:val="20"/>
                <w:color w:val="auto"/>
              </w:rPr>
            </w:pPr>
            <w:r>
              <w:rPr>
                <w:rFonts w:ascii="Arial" w:cs="Arial" w:eastAsia="Arial" w:hAnsi="Arial"/>
                <w:sz w:val="14"/>
                <w:szCs w:val="14"/>
                <w:color w:val="auto"/>
              </w:rPr>
              <w:t>***[Redacted for confidentiality purposes]</w:t>
            </w:r>
          </w:p>
        </w:tc>
      </w:tr>
      <w:tr>
        <w:trPr>
          <w:trHeight w:val="403"/>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ind w:left="21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02"/>
        </w:trPr>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hereby consent to the incorporation by reference in the Registration Statement on Form S-8 (No. 333-239093) of Vroom, Inc. of our report dated February 28, 2022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Paul J. Hennessy, certify that:</w:t>
      </w:r>
    </w:p>
    <w:p>
      <w:pPr>
        <w:spacing w:after="0" w:line="212" w:lineRule="exact"/>
        <w:rPr>
          <w:sz w:val="20"/>
          <w:szCs w:val="20"/>
          <w:color w:val="auto"/>
        </w:rPr>
      </w:pPr>
    </w:p>
    <w:p>
      <w:pPr>
        <w:ind w:left="540" w:hanging="519"/>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Vroom, Inc.;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right="240" w:hanging="519"/>
        <w:spacing w:after="0" w:line="224"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40" w:right="200" w:hanging="519"/>
        <w:spacing w:after="0" w:line="258"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540" w:right="240" w:hanging="519"/>
        <w:spacing w:after="0" w:line="224"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40" w:right="160" w:hanging="506"/>
        <w:spacing w:after="0" w:line="224"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1" w:lineRule="exact"/>
        <w:rPr>
          <w:rFonts w:ascii="Arial" w:cs="Arial" w:eastAsia="Arial" w:hAnsi="Arial"/>
          <w:sz w:val="18"/>
          <w:szCs w:val="18"/>
          <w:color w:val="auto"/>
        </w:rPr>
      </w:pPr>
    </w:p>
    <w:p>
      <w:pPr>
        <w:ind w:left="1040" w:right="300" w:hanging="506"/>
        <w:spacing w:after="0" w:line="181" w:lineRule="auto"/>
        <w:tabs>
          <w:tab w:leader="none" w:pos="1040" w:val="left"/>
        </w:tabs>
        <w:numPr>
          <w:ilvl w:val="1"/>
          <w:numId w:val="59"/>
        </w:numPr>
        <w:rPr>
          <w:rFonts w:ascii="Arial" w:cs="Arial" w:eastAsia="Arial" w:hAnsi="Arial"/>
          <w:sz w:val="33"/>
          <w:szCs w:val="33"/>
          <w:color w:val="auto"/>
          <w:vertAlign w:val="subscript"/>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0" w:lineRule="exact"/>
        <w:rPr>
          <w:rFonts w:ascii="Arial" w:cs="Arial" w:eastAsia="Arial" w:hAnsi="Arial"/>
          <w:sz w:val="33"/>
          <w:szCs w:val="33"/>
          <w:color w:val="auto"/>
          <w:vertAlign w:val="subscript"/>
        </w:rPr>
      </w:pPr>
    </w:p>
    <w:p>
      <w:pPr>
        <w:jc w:val="both"/>
        <w:ind w:left="1040" w:right="460" w:hanging="506"/>
        <w:spacing w:after="0" w:line="289" w:lineRule="auto"/>
        <w:tabs>
          <w:tab w:leader="none" w:pos="10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3" w:lineRule="exact"/>
        <w:rPr>
          <w:rFonts w:ascii="Arial" w:cs="Arial" w:eastAsia="Arial" w:hAnsi="Arial"/>
          <w:sz w:val="16"/>
          <w:szCs w:val="16"/>
          <w:color w:val="auto"/>
        </w:rPr>
      </w:pPr>
    </w:p>
    <w:p>
      <w:pPr>
        <w:ind w:left="1040" w:right="160" w:hanging="506"/>
        <w:spacing w:after="0" w:line="224"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40" w:right="120" w:hanging="519"/>
        <w:spacing w:after="0" w:line="258"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040" w:right="700" w:hanging="506"/>
        <w:spacing w:after="0" w:line="289" w:lineRule="auto"/>
        <w:tabs>
          <w:tab w:leader="none" w:pos="10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3" w:lineRule="exact"/>
        <w:rPr>
          <w:rFonts w:ascii="Arial" w:cs="Arial" w:eastAsia="Arial" w:hAnsi="Arial"/>
          <w:sz w:val="16"/>
          <w:szCs w:val="16"/>
          <w:color w:val="auto"/>
        </w:rPr>
      </w:pPr>
    </w:p>
    <w:p>
      <w:pPr>
        <w:ind w:left="1040" w:right="400" w:hanging="506"/>
        <w:spacing w:after="0" w:line="235"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9" w:name="page140"/>
    <w:bookmarkEnd w:id="139"/>
    <w:p>
      <w:pPr>
        <w:ind w:left="4580" w:right="779" w:hanging="8000"/>
        <w:spacing w:after="0"/>
        <w:tabs>
          <w:tab w:leader="none" w:pos="456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 xml:space="preserve">By: /s/ Paul J. Hennessy </w:t>
      </w:r>
      <w:r>
        <w:rPr>
          <w:rFonts w:ascii="Arial" w:cs="Arial" w:eastAsia="Arial" w:hAnsi="Arial"/>
          <w:sz w:val="18"/>
          <w:szCs w:val="18"/>
          <w:color w:val="auto"/>
          <w:highlight w:val="white"/>
        </w:rPr>
        <w:t>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-8255</wp:posOffset>
            </wp:positionV>
            <wp:extent cx="330898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6" w:lineRule="exact"/>
        <w:rPr>
          <w:sz w:val="20"/>
          <w:szCs w:val="20"/>
          <w:color w:val="auto"/>
        </w:rPr>
      </w:pPr>
    </w:p>
    <w:p>
      <w:pPr>
        <w:ind w:left="6620"/>
        <w:spacing w:after="0"/>
        <w:rPr>
          <w:sz w:val="20"/>
          <w:szCs w:val="20"/>
          <w:color w:val="auto"/>
        </w:rPr>
      </w:pPr>
      <w:r>
        <w:rPr>
          <w:rFonts w:ascii="Arial" w:cs="Arial" w:eastAsia="Arial" w:hAnsi="Arial"/>
          <w:sz w:val="18"/>
          <w:szCs w:val="18"/>
          <w:color w:val="auto"/>
          <w:highlight w:val="white"/>
        </w:rPr>
        <w:t>Chief Executive Officer</w:t>
      </w:r>
    </w:p>
    <w:p>
      <w:pPr>
        <w:ind w:left="6520"/>
        <w:spacing w:after="0"/>
        <w:rPr>
          <w:sz w:val="20"/>
          <w:szCs w:val="20"/>
          <w:color w:val="auto"/>
        </w:rPr>
      </w:pPr>
      <w:r>
        <w:rPr>
          <w:rFonts w:ascii="Arial" w:cs="Arial" w:eastAsia="Arial" w:hAnsi="Arial"/>
          <w:sz w:val="16"/>
          <w:szCs w:val="16"/>
          <w:i w:val="1"/>
          <w:iCs w:val="1"/>
          <w:color w:val="auto"/>
          <w:highlight w:val="white"/>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581025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12" w:lineRule="exact"/>
        <w:rPr>
          <w:sz w:val="20"/>
          <w:szCs w:val="20"/>
          <w:color w:val="auto"/>
        </w:rPr>
      </w:pPr>
    </w:p>
    <w:p>
      <w:pPr>
        <w:ind w:left="540" w:hanging="519"/>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Vroom,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540" w:right="240" w:hanging="519"/>
        <w:spacing w:after="0" w:line="224"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rFonts w:ascii="Arial" w:cs="Arial" w:eastAsia="Arial" w:hAnsi="Arial"/>
          <w:sz w:val="18"/>
          <w:szCs w:val="18"/>
          <w:color w:val="auto"/>
        </w:rPr>
      </w:pPr>
    </w:p>
    <w:p>
      <w:pPr>
        <w:ind w:left="540" w:right="200" w:hanging="519"/>
        <w:spacing w:after="0" w:line="258"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6" w:lineRule="exact"/>
        <w:rPr>
          <w:rFonts w:ascii="Arial" w:cs="Arial" w:eastAsia="Arial" w:hAnsi="Arial"/>
          <w:sz w:val="17"/>
          <w:szCs w:val="17"/>
          <w:color w:val="auto"/>
        </w:rPr>
      </w:pPr>
    </w:p>
    <w:p>
      <w:pPr>
        <w:ind w:left="540" w:right="240" w:hanging="519"/>
        <w:spacing w:after="0" w:line="224"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2" w:lineRule="exact"/>
        <w:rPr>
          <w:rFonts w:ascii="Arial" w:cs="Arial" w:eastAsia="Arial" w:hAnsi="Arial"/>
          <w:sz w:val="18"/>
          <w:szCs w:val="18"/>
          <w:color w:val="auto"/>
        </w:rPr>
      </w:pPr>
    </w:p>
    <w:p>
      <w:pPr>
        <w:ind w:left="1040" w:right="160" w:hanging="506"/>
        <w:spacing w:after="0" w:line="224"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1" w:lineRule="exact"/>
        <w:rPr>
          <w:rFonts w:ascii="Arial" w:cs="Arial" w:eastAsia="Arial" w:hAnsi="Arial"/>
          <w:sz w:val="18"/>
          <w:szCs w:val="18"/>
          <w:color w:val="auto"/>
        </w:rPr>
      </w:pPr>
    </w:p>
    <w:p>
      <w:pPr>
        <w:ind w:left="1040" w:right="300" w:hanging="506"/>
        <w:spacing w:after="0" w:line="181" w:lineRule="auto"/>
        <w:tabs>
          <w:tab w:leader="none" w:pos="1040" w:val="left"/>
        </w:tabs>
        <w:numPr>
          <w:ilvl w:val="1"/>
          <w:numId w:val="60"/>
        </w:numPr>
        <w:rPr>
          <w:rFonts w:ascii="Arial" w:cs="Arial" w:eastAsia="Arial" w:hAnsi="Arial"/>
          <w:sz w:val="33"/>
          <w:szCs w:val="33"/>
          <w:color w:val="auto"/>
          <w:vertAlign w:val="subscript"/>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0" w:lineRule="exact"/>
        <w:rPr>
          <w:rFonts w:ascii="Arial" w:cs="Arial" w:eastAsia="Arial" w:hAnsi="Arial"/>
          <w:sz w:val="33"/>
          <w:szCs w:val="33"/>
          <w:color w:val="auto"/>
          <w:vertAlign w:val="subscript"/>
        </w:rPr>
      </w:pPr>
    </w:p>
    <w:p>
      <w:pPr>
        <w:jc w:val="both"/>
        <w:ind w:left="1040" w:right="460" w:hanging="506"/>
        <w:spacing w:after="0" w:line="289" w:lineRule="auto"/>
        <w:tabs>
          <w:tab w:leader="none" w:pos="1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369" w:lineRule="exact"/>
        <w:rPr>
          <w:rFonts w:ascii="Arial" w:cs="Arial" w:eastAsia="Arial" w:hAnsi="Arial"/>
          <w:sz w:val="16"/>
          <w:szCs w:val="16"/>
          <w:color w:val="auto"/>
        </w:rPr>
      </w:pPr>
    </w:p>
    <w:p>
      <w:pPr>
        <w:ind w:left="1040" w:right="160" w:hanging="506"/>
        <w:spacing w:after="0" w:line="224"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2" w:lineRule="exact"/>
        <w:rPr>
          <w:rFonts w:ascii="Arial" w:cs="Arial" w:eastAsia="Arial" w:hAnsi="Arial"/>
          <w:sz w:val="18"/>
          <w:szCs w:val="18"/>
          <w:color w:val="auto"/>
        </w:rPr>
      </w:pPr>
    </w:p>
    <w:p>
      <w:pPr>
        <w:ind w:left="540" w:right="120" w:hanging="519"/>
        <w:spacing w:after="0" w:line="258"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6" w:lineRule="exact"/>
        <w:rPr>
          <w:rFonts w:ascii="Arial" w:cs="Arial" w:eastAsia="Arial" w:hAnsi="Arial"/>
          <w:sz w:val="17"/>
          <w:szCs w:val="17"/>
          <w:color w:val="auto"/>
        </w:rPr>
      </w:pPr>
    </w:p>
    <w:p>
      <w:pPr>
        <w:ind w:left="1040" w:right="700" w:hanging="506"/>
        <w:spacing w:after="0" w:line="289" w:lineRule="auto"/>
        <w:tabs>
          <w:tab w:leader="none" w:pos="1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3" w:lineRule="exact"/>
        <w:rPr>
          <w:rFonts w:ascii="Arial" w:cs="Arial" w:eastAsia="Arial" w:hAnsi="Arial"/>
          <w:sz w:val="16"/>
          <w:szCs w:val="16"/>
          <w:color w:val="auto"/>
        </w:rPr>
      </w:pPr>
    </w:p>
    <w:p>
      <w:pPr>
        <w:ind w:left="1040" w:right="400" w:hanging="506"/>
        <w:spacing w:after="0" w:line="235"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p>
      <w:pPr>
        <w:spacing w:after="0"/>
        <w:tabs>
          <w:tab w:leader="none" w:pos="5660" w:val="left"/>
          <w:tab w:leader="none" w:pos="772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6350</wp:posOffset>
            </wp:positionV>
            <wp:extent cx="116586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1">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6350</wp:posOffset>
            </wp:positionV>
            <wp:extent cx="11658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7840"/>
        <w:spacing w:after="0" w:line="232" w:lineRule="auto"/>
        <w:rPr>
          <w:sz w:val="20"/>
          <w:szCs w:val="20"/>
          <w:color w:val="auto"/>
        </w:rPr>
      </w:pPr>
      <w:r>
        <w:rPr>
          <w:rFonts w:ascii="Arial" w:cs="Arial" w:eastAsia="Arial" w:hAnsi="Arial"/>
          <w:sz w:val="18"/>
          <w:szCs w:val="18"/>
          <w:color w:val="auto"/>
          <w:highlight w:val="white"/>
        </w:rPr>
        <w:t>Robert R. Krakowiak</w:t>
      </w:r>
    </w:p>
    <w:p>
      <w:pPr>
        <w:ind w:left="7780"/>
        <w:spacing w:after="0" w:line="203" w:lineRule="auto"/>
        <w:rPr>
          <w:sz w:val="20"/>
          <w:szCs w:val="20"/>
          <w:color w:val="auto"/>
        </w:rPr>
      </w:pPr>
      <w:r>
        <w:rPr>
          <w:rFonts w:ascii="Arial" w:cs="Arial" w:eastAsia="Arial" w:hAnsi="Arial"/>
          <w:sz w:val="18"/>
          <w:szCs w:val="18"/>
          <w:color w:val="auto"/>
          <w:highlight w:val="white"/>
        </w:rPr>
        <w:t>Chief Financial Officer</w:t>
      </w:r>
    </w:p>
    <w:p>
      <w:pPr>
        <w:spacing w:after="0" w:line="1"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highlight w:val="white"/>
        </w:rPr>
        <w:t>(</w:t>
      </w:r>
      <w:r>
        <w:rPr>
          <w:rFonts w:ascii="Arial" w:cs="Arial" w:eastAsia="Arial" w:hAnsi="Arial"/>
          <w:sz w:val="18"/>
          <w:szCs w:val="18"/>
          <w:i w:val="1"/>
          <w:iCs w:val="1"/>
          <w:color w:val="auto"/>
          <w:highlight w:val="white"/>
        </w:rPr>
        <w:t>principal financial officer</w:t>
      </w:r>
      <w:r>
        <w:rPr>
          <w:rFonts w:ascii="Arial" w:cs="Arial" w:eastAsia="Arial" w:hAnsi="Arial"/>
          <w:sz w:val="18"/>
          <w:szCs w:val="18"/>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1106170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12"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In connection with the Annual Report on Form 10-K of Vroom, Inc. (the “Company”) for the period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40" w:hanging="506"/>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1040" w:right="520" w:hanging="506"/>
        <w:spacing w:after="0" w:line="235"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J. Hennessy</w:t>
            </w:r>
          </w:p>
        </w:tc>
      </w:tr>
      <w:tr>
        <w:trPr>
          <w:trHeight w:val="155"/>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20" w:type="dxa"/>
            <w:vAlign w:val="bottom"/>
          </w:tcPr>
          <w:p>
            <w:pPr>
              <w:jc w:val="center"/>
              <w:spacing w:after="0" w:line="154" w:lineRule="exact"/>
              <w:rPr>
                <w:sz w:val="20"/>
                <w:szCs w:val="20"/>
                <w:color w:val="auto"/>
              </w:rPr>
            </w:pPr>
            <w:r>
              <w:rPr>
                <w:rFonts w:ascii="Arial" w:cs="Arial" w:eastAsia="Arial" w:hAnsi="Arial"/>
                <w:sz w:val="17"/>
                <w:szCs w:val="17"/>
                <w:color w:val="auto"/>
                <w:w w:val="92"/>
              </w:rPr>
              <w:t>Paul J. Hennessy</w:t>
            </w:r>
          </w:p>
        </w:tc>
      </w:tr>
      <w:tr>
        <w:trPr>
          <w:trHeight w:val="176"/>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tcPr>
          <w:p>
            <w:pPr>
              <w:ind w:left="17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951"/>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In connection with the Annual Report on Form 10-K of Vroom, Inc. (the “Company”) for the period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40" w:hanging="506"/>
        <w:spacing w:after="0"/>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1040" w:right="520" w:hanging="506"/>
        <w:spacing w:after="0" w:line="235"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3"/>
              </w:rPr>
              <w:t>/s/ Robert R. Krakowiak</w:t>
            </w:r>
          </w:p>
        </w:tc>
      </w:tr>
      <w:tr>
        <w:trPr>
          <w:trHeight w:val="155"/>
        </w:trPr>
        <w:tc>
          <w:tcPr>
            <w:tcW w:w="3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540" w:type="dxa"/>
            <w:vAlign w:val="bottom"/>
          </w:tcPr>
          <w:p>
            <w:pPr>
              <w:jc w:val="center"/>
              <w:spacing w:after="0" w:line="154" w:lineRule="exact"/>
              <w:rPr>
                <w:sz w:val="20"/>
                <w:szCs w:val="20"/>
                <w:color w:val="auto"/>
              </w:rPr>
            </w:pPr>
            <w:r>
              <w:rPr>
                <w:rFonts w:ascii="Arial" w:cs="Arial" w:eastAsia="Arial" w:hAnsi="Arial"/>
                <w:sz w:val="17"/>
                <w:szCs w:val="17"/>
                <w:color w:val="auto"/>
                <w:highlight w:val="white"/>
                <w:w w:val="98"/>
              </w:rPr>
              <w:t>Robert R. Krakowiak</w:t>
            </w:r>
          </w:p>
        </w:tc>
        <w:tc>
          <w:tcPr>
            <w:tcW w:w="1840" w:type="dxa"/>
            <w:vAlign w:val="bottom"/>
            <w:tcBorders>
              <w:top w:val="single" w:sz="8" w:color="auto"/>
            </w:tcBorders>
          </w:tcPr>
          <w:p>
            <w:pPr>
              <w:spacing w:after="0"/>
              <w:rPr>
                <w:sz w:val="13"/>
                <w:szCs w:val="13"/>
                <w:color w:val="auto"/>
              </w:rPr>
            </w:pPr>
          </w:p>
        </w:tc>
      </w:tr>
      <w:tr>
        <w:trPr>
          <w:trHeight w:val="176"/>
        </w:trPr>
        <w:tc>
          <w:tcPr>
            <w:tcW w:w="3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20" w:type="dxa"/>
            <w:vAlign w:val="bottom"/>
            <w:gridSpan w:val="3"/>
          </w:tcPr>
          <w:p>
            <w:pPr>
              <w:jc w:val="center"/>
              <w:spacing w:after="0" w:line="176" w:lineRule="exact"/>
              <w:rPr>
                <w:sz w:val="20"/>
                <w:szCs w:val="20"/>
                <w:color w:val="auto"/>
              </w:rPr>
            </w:pPr>
            <w:r>
              <w:rPr>
                <w:rFonts w:ascii="Arial" w:cs="Arial" w:eastAsia="Arial" w:hAnsi="Arial"/>
                <w:sz w:val="18"/>
                <w:szCs w:val="18"/>
                <w:color w:val="auto"/>
                <w:highlight w:val="white"/>
                <w:w w:val="94"/>
              </w:rPr>
              <w:t>Chief Financial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highlight w:val="white"/>
                <w:w w:val="97"/>
              </w:rPr>
              <w:t>(</w:t>
            </w:r>
            <w:r>
              <w:rPr>
                <w:rFonts w:ascii="Arial" w:cs="Arial" w:eastAsia="Arial" w:hAnsi="Arial"/>
                <w:sz w:val="18"/>
                <w:szCs w:val="18"/>
                <w:i w:val="1"/>
                <w:iCs w:val="1"/>
                <w:color w:val="auto"/>
                <w:highlight w:val="white"/>
                <w:w w:val="97"/>
              </w:rPr>
              <w:t>principal financial officer)</w:t>
            </w:r>
          </w:p>
        </w:tc>
      </w:tr>
      <w:tr>
        <w:trPr>
          <w:trHeight w:val="158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lowerRoman"/>
      <w:start w:val="4"/>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lowerLetter"/>
      <w:start w:val="2"/>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2"/>
    </w:lvl>
  </w:abstractNum>
  <w:abstractNum w:abstractNumId="39">
    <w:nsid w:val="1BA026FA"/>
    <w:multiLevelType w:val="hybridMultilevel"/>
    <w:lvl w:ilvl="0">
      <w:lvlJc w:val="left"/>
      <w:lvlText w:val="\endash "/>
      <w:numFmt w:val="bullet"/>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upperLetter"/>
      <w:start w:val="9"/>
    </w:lvl>
  </w:abstractNum>
  <w:abstractNum w:abstractNumId="50">
    <w:nsid w:val="39386575"/>
    <w:multiLevelType w:val="hybridMultilevel"/>
    <w:lvl w:ilvl="0">
      <w:lvlJc w:val="left"/>
      <w:lvlText w:val="%1."/>
      <w:numFmt w:val="upperLetter"/>
      <w:start w:val="1"/>
    </w:lvl>
  </w:abstractNum>
  <w:abstractNum w:abstractNumId="51">
    <w:nsid w:val="1CF10FD8"/>
    <w:multiLevelType w:val="hybridMultilevel"/>
    <w:lvl w:ilvl="0">
      <w:lvlJc w:val="left"/>
      <w:lvlText w:val="%1."/>
      <w:numFmt w:val="upperLetter"/>
      <w:start w:val="35"/>
    </w:lvl>
  </w:abstractNum>
  <w:abstractNum w:abstractNumId="52">
    <w:nsid w:val="180115BE"/>
    <w:multiLevelType w:val="hybridMultilevel"/>
    <w:lvl w:ilvl="0">
      <w:lvlJc w:val="left"/>
      <w:lvlText w:val="%1."/>
      <w:numFmt w:val="upperLetter"/>
      <w:start w:val="1"/>
    </w:lvl>
    <w:lvl w:ilvl="1">
      <w:lvlJc w:val="left"/>
      <w:lvlText w:val="%2."/>
      <w:numFmt w:val="lowerRoman"/>
      <w:start w:val="1"/>
    </w:lvl>
  </w:abstractNum>
  <w:abstractNum w:abstractNumId="53">
    <w:nsid w:val="235BA861"/>
    <w:multiLevelType w:val="hybridMultilevel"/>
    <w:lvl w:ilvl="0">
      <w:lvlJc w:val="left"/>
      <w:lvlText w:val="%1."/>
      <w:numFmt w:val="upperLetter"/>
      <w:start w:val="61"/>
    </w:lvl>
  </w:abstractNum>
  <w:abstractNum w:abstractNumId="54">
    <w:nsid w:val="47398C89"/>
    <w:multiLevelType w:val="hybridMultilevel"/>
    <w:lvl w:ilvl="0">
      <w:lvlJc w:val="left"/>
      <w:lvlText w:val="%1."/>
      <w:numFmt w:val="upperLetter"/>
      <w:start w:val="1"/>
    </w:lvl>
  </w:abstractNum>
  <w:abstractNum w:abstractNumId="55">
    <w:nsid w:val="354FE9F9"/>
    <w:multiLevelType w:val="hybridMultilevel"/>
    <w:lvl w:ilvl="0">
      <w:lvlJc w:val="left"/>
      <w:lvlText w:val="%1."/>
      <w:numFmt w:val="upperLetter"/>
      <w:start w:val="2"/>
    </w:lvl>
  </w:abstractNum>
  <w:abstractNum w:abstractNumId="56">
    <w:nsid w:val="15B5AF5C"/>
    <w:multiLevelType w:val="hybridMultilevel"/>
    <w:lvl w:ilvl="0">
      <w:lvlJc w:val="left"/>
      <w:lvlText w:val="(%1)"/>
      <w:numFmt w:val="lowerLetter"/>
      <w:start w:val="3"/>
    </w:lvl>
  </w:abstractNum>
  <w:abstractNum w:abstractNumId="57">
    <w:nsid w:val="741226BB"/>
    <w:multiLevelType w:val="hybridMultilevel"/>
    <w:lvl w:ilvl="0">
      <w:lvlJc w:val="left"/>
      <w:lvlText w:val="%1."/>
      <w:numFmt w:val="upperLetter"/>
      <w:start w:val="4"/>
    </w:lvl>
    <w:lvl w:ilvl="1">
      <w:lvlJc w:val="left"/>
      <w:lvlText w:val="%2."/>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10" Type="http://schemas.openxmlformats.org/officeDocument/2006/relationships/image" Target="media/image490.png"/><Relationship Id="rId512"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7" Type="http://schemas.openxmlformats.org/officeDocument/2006/relationships/image" Target="media/image494.png"/><Relationship Id="rId518" Type="http://schemas.openxmlformats.org/officeDocument/2006/relationships/image" Target="media/image495.png"/><Relationship Id="rId520" Type="http://schemas.openxmlformats.org/officeDocument/2006/relationships/image" Target="media/image496.png"/><Relationship Id="rId522"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9" Type="http://schemas.openxmlformats.org/officeDocument/2006/relationships/image" Target="media/image502.png"/><Relationship Id="rId530" Type="http://schemas.openxmlformats.org/officeDocument/2006/relationships/image" Target="media/image503.png"/><Relationship Id="rId531" Type="http://schemas.openxmlformats.org/officeDocument/2006/relationships/image" Target="media/image504.png"/><Relationship Id="rId532" Type="http://schemas.openxmlformats.org/officeDocument/2006/relationships/image" Target="media/image505.png"/><Relationship Id="rId534" Type="http://schemas.openxmlformats.org/officeDocument/2006/relationships/image" Target="media/image506.png"/><Relationship Id="rId535" Type="http://schemas.openxmlformats.org/officeDocument/2006/relationships/image" Target="media/image507.png"/><Relationship Id="rId536" Type="http://schemas.openxmlformats.org/officeDocument/2006/relationships/image" Target="media/image508.png"/><Relationship Id="rId538" Type="http://schemas.openxmlformats.org/officeDocument/2006/relationships/image" Target="media/image509.png"/><Relationship Id="rId539" Type="http://schemas.openxmlformats.org/officeDocument/2006/relationships/image" Target="media/image510.png"/><Relationship Id="rId540" Type="http://schemas.openxmlformats.org/officeDocument/2006/relationships/image" Target="media/image511.png"/><Relationship Id="rId541"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50" Type="http://schemas.openxmlformats.org/officeDocument/2006/relationships/image" Target="media/image519.png"/><Relationship Id="rId551" Type="http://schemas.openxmlformats.org/officeDocument/2006/relationships/image" Target="media/image520.png"/><Relationship Id="rId552" Type="http://schemas.openxmlformats.org/officeDocument/2006/relationships/image" Target="media/image521.png"/><Relationship Id="rId553"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81" Type="http://schemas.openxmlformats.org/officeDocument/2006/relationships/image" Target="media/image539.png"/><Relationship Id="rId582" Type="http://schemas.openxmlformats.org/officeDocument/2006/relationships/image" Target="media/image540.png"/><Relationship Id="rId583" Type="http://schemas.openxmlformats.org/officeDocument/2006/relationships/image" Target="media/image541.png"/><Relationship Id="rId595" Type="http://schemas.openxmlformats.org/officeDocument/2006/relationships/image" Target="media/image542.png"/><Relationship Id="rId596" Type="http://schemas.openxmlformats.org/officeDocument/2006/relationships/image" Target="media/image543.png"/><Relationship Id="rId597" Type="http://schemas.openxmlformats.org/officeDocument/2006/relationships/image" Target="media/image544.png"/><Relationship Id="rId598" Type="http://schemas.openxmlformats.org/officeDocument/2006/relationships/image" Target="media/image545.png"/><Relationship Id="rId599" Type="http://schemas.openxmlformats.org/officeDocument/2006/relationships/image" Target="media/image546.png"/><Relationship Id="rId600" Type="http://schemas.openxmlformats.org/officeDocument/2006/relationships/image" Target="media/image547.png"/><Relationship Id="rId601" Type="http://schemas.openxmlformats.org/officeDocument/2006/relationships/image" Target="media/image548.png"/><Relationship Id="rId602" Type="http://schemas.openxmlformats.org/officeDocument/2006/relationships/image" Target="media/image549.png"/><Relationship Id="rId603" Type="http://schemas.openxmlformats.org/officeDocument/2006/relationships/image" Target="media/image550.png"/><Relationship Id="rId604" Type="http://schemas.openxmlformats.org/officeDocument/2006/relationships/image" Target="media/image551.png"/><Relationship Id="rId605" Type="http://schemas.openxmlformats.org/officeDocument/2006/relationships/image" Target="media/image552.png"/><Relationship Id="rId606" Type="http://schemas.openxmlformats.org/officeDocument/2006/relationships/image" Target="media/image553.png"/><Relationship Id="rId607" Type="http://schemas.openxmlformats.org/officeDocument/2006/relationships/image" Target="media/image554.png"/><Relationship Id="rId608" Type="http://schemas.openxmlformats.org/officeDocument/2006/relationships/image" Target="media/image555.png"/><Relationship Id="rId609" Type="http://schemas.openxmlformats.org/officeDocument/2006/relationships/image" Target="media/image556.png"/><Relationship Id="rId610" Type="http://schemas.openxmlformats.org/officeDocument/2006/relationships/image" Target="media/image557.png"/><Relationship Id="rId611" Type="http://schemas.openxmlformats.org/officeDocument/2006/relationships/image" Target="media/image558.png"/><Relationship Id="rId612" Type="http://schemas.openxmlformats.org/officeDocument/2006/relationships/image" Target="media/image559.png"/><Relationship Id="rId613" Type="http://schemas.openxmlformats.org/officeDocument/2006/relationships/image" Target="media/image560.png"/><Relationship Id="rId614" Type="http://schemas.openxmlformats.org/officeDocument/2006/relationships/image" Target="media/image561.png"/><Relationship Id="rId615" Type="http://schemas.openxmlformats.org/officeDocument/2006/relationships/image" Target="media/image562.png"/><Relationship Id="rId616" Type="http://schemas.openxmlformats.org/officeDocument/2006/relationships/image" Target="media/image563.png"/><Relationship Id="rId617" Type="http://schemas.openxmlformats.org/officeDocument/2006/relationships/image" Target="media/image564.png"/><Relationship Id="rId482" Type="http://schemas.openxmlformats.org/officeDocument/2006/relationships/hyperlink" Target="https://www.sec.gov/Archives/edgar/data/1580864/000095017021002077/vrm-ex2_1.htm" TargetMode="External"/><Relationship Id="rId483" Type="http://schemas.openxmlformats.org/officeDocument/2006/relationships/hyperlink" Target="https://www.sec.gov/Archives/edgar/data/1580864/000156459020039778/vrm-ex31_460.htm" TargetMode="External"/><Relationship Id="rId484" Type="http://schemas.openxmlformats.org/officeDocument/2006/relationships/hyperlink" Target="https://www.sec.gov/Archives/edgar/data/1580864/000156459020039778/vrm-ex32_234.htm" TargetMode="External"/><Relationship Id="rId485" Type="http://schemas.openxmlformats.org/officeDocument/2006/relationships/hyperlink" Target="https://www.sec.gov/Archives/edgar/data/1580864/000119312520157158/d801274dex41.htm" TargetMode="External"/><Relationship Id="rId486" Type="http://schemas.openxmlformats.org/officeDocument/2006/relationships/hyperlink" Target="https://www.sec.gov/Archives/edgar/data/1580864/000119312521195245/d93781dex41.htm" TargetMode="External"/><Relationship Id="rId487" Type="http://schemas.openxmlformats.org/officeDocument/2006/relationships/hyperlink" Target="https://www.sec.gov/Archives/edgar/data/1580864/000119312520145219/d801274dex42.htm" TargetMode="External"/><Relationship Id="rId488" Type="http://schemas.openxmlformats.org/officeDocument/2006/relationships/hyperlink" Target="https://www.sec.gov/Archives/edgar/data/0001580864/000156459021010584/vrm-ex43_991.htm" TargetMode="External"/><Relationship Id="rId489" Type="http://schemas.openxmlformats.org/officeDocument/2006/relationships/hyperlink" Target="https://www.sec.gov/Archives/edgar/data/1580864/000119312520145219/d801274dex101.htm" TargetMode="External"/><Relationship Id="rId493" Type="http://schemas.openxmlformats.org/officeDocument/2006/relationships/hyperlink" Target="https://www.sec.gov/Archives/edgar/data/1580864/000156459020039778/vrm-ex103_232.htm" TargetMode="External"/><Relationship Id="rId497" Type="http://schemas.openxmlformats.org/officeDocument/2006/relationships/hyperlink" Target="https://www.sec.gov/Archives/edgar/data/1580864/000156459020039778/vrm-ex104_233.htm" TargetMode="External"/><Relationship Id="rId501" Type="http://schemas.openxmlformats.org/officeDocument/2006/relationships/hyperlink" Target="https://www.sec.gov/Archives/edgar/data/1580864/000156459021010584/vrm-ex104_993.htm" TargetMode="External"/><Relationship Id="rId505" Type="http://schemas.openxmlformats.org/officeDocument/2006/relationships/hyperlink" Target="https://www.sec.gov/Archives/edgar/data/1580864/000156459021010584/vrm-ex105_992.htm" TargetMode="External"/><Relationship Id="rId509" Type="http://schemas.openxmlformats.org/officeDocument/2006/relationships/hyperlink" Target="https://www.sec.gov/Archives/edgar/data/1580864/000119312520145219/d801274dex102.htm" TargetMode="External"/><Relationship Id="rId511" Type="http://schemas.openxmlformats.org/officeDocument/2006/relationships/hyperlink" Target="https://www.sec.gov/Archives/edgar/data/1580864/000119312520157158/d801274dex103.htm" TargetMode="External"/><Relationship Id="rId513" Type="http://schemas.openxmlformats.org/officeDocument/2006/relationships/hyperlink" Target="https://www.sec.gov/Archives/edgar/data/1580864/000156459020039778/vrm-ex102_602.htm" TargetMode="External"/><Relationship Id="rId516" Type="http://schemas.openxmlformats.org/officeDocument/2006/relationships/hyperlink" Target="https://www.sec.gov/Archives/edgar/data/1580864/000156459021027054/vrm-ex101_211.htm" TargetMode="External"/><Relationship Id="rId519" Type="http://schemas.openxmlformats.org/officeDocument/2006/relationships/hyperlink" Target="https://www.sec.gov/Archives/edgar/data/1580864/000119312520157158/d801274dex105.htm" TargetMode="External"/><Relationship Id="rId521" Type="http://schemas.openxmlformats.org/officeDocument/2006/relationships/hyperlink" Target="https://www.sec.gov/Archives/edgar/data/1580864/000156459021010584/vrm-ex1011_1117.htm" TargetMode="External"/><Relationship Id="rId523" Type="http://schemas.openxmlformats.org/officeDocument/2006/relationships/hyperlink" Target="https://www.sec.gov/Archives/edgar/data/1580864/000119312520157158/d801274dex106.htm" TargetMode="External"/><Relationship Id="rId528" Type="http://schemas.openxmlformats.org/officeDocument/2006/relationships/hyperlink" Target="https://www.sec.gov/Archives/edgar/data/1580864/000119312520157158/d801274dex107.htm" TargetMode="External"/><Relationship Id="rId533" Type="http://schemas.openxmlformats.org/officeDocument/2006/relationships/hyperlink" Target="https://www.sec.gov/Archives/edgar/data/1580864/000156459021010584/vrm-ex1014_1407.htm" TargetMode="External"/><Relationship Id="rId537" Type="http://schemas.openxmlformats.org/officeDocument/2006/relationships/hyperlink" Target="https://www.sec.gov/Archives/edgar/data/1580864/000156459021010584/vrm-ex1015_995.htm" TargetMode="External"/><Relationship Id="rId542" Type="http://schemas.openxmlformats.org/officeDocument/2006/relationships/hyperlink" Target="https://www.sec.gov/Archives/edgar/data/1580864/000119312520157158/d801274dex108.htm" TargetMode="External"/><Relationship Id="rId549" Type="http://schemas.openxmlformats.org/officeDocument/2006/relationships/hyperlink" Target="https://www.sec.gov/Archives/edgar/data/1580864/000156459021010584/vrm-ex1017_812.htm" TargetMode="External"/><Relationship Id="rId554" Type="http://schemas.openxmlformats.org/officeDocument/2006/relationships/hyperlink" Target="https://www.sec.gov/Archives/edgar/data/1580864/000156459021010584/vrm-ex1018_813.htm" TargetMode="External"/><Relationship Id="rId560" Type="http://schemas.openxmlformats.org/officeDocument/2006/relationships/hyperlink" Target="https://www.sec.gov/Archives/edgar/data/1580864/000156459021010584/vrm-ex1019_994.htm" TargetMode="External"/><Relationship Id="rId566" Type="http://schemas.openxmlformats.org/officeDocument/2006/relationships/hyperlink" Target="https://www.sec.gov/Archives/edgar/data/1580864/000119312520157158/d801274dex109.htm" TargetMode="External"/><Relationship Id="rId573" Type="http://schemas.openxmlformats.org/officeDocument/2006/relationships/hyperlink" Target="https://www.sec.gov/Archives/edgar/data/1580864/000119312520145219/d801274dex1010.htm" TargetMode="External"/><Relationship Id="rId574" Type="http://schemas.openxmlformats.org/officeDocument/2006/relationships/hyperlink" Target="https://www.sec.gov/Archives/edgar/data/1580864/000156459020039778/vrm-ex109_603.htm" TargetMode="External"/><Relationship Id="rId575" Type="http://schemas.openxmlformats.org/officeDocument/2006/relationships/hyperlink" Target="https://www.sec.gov/Archives/edgar/data/1580864/000156459020053205/vrm-ex101_619.htm" TargetMode="External"/><Relationship Id="rId576" Type="http://schemas.openxmlformats.org/officeDocument/2006/relationships/hyperlink" Target="https://www.sec.gov/Archives/edgar/data/1580864/000095017021005287/vrm-ex10_1.htm" TargetMode="External"/><Relationship Id="rId577" Type="http://schemas.openxmlformats.org/officeDocument/2006/relationships/hyperlink" Target="https://www.sec.gov/Archives/edgar/data/1580864/000119312520157158/d801274dex1011.htm" TargetMode="External"/><Relationship Id="rId578" Type="http://schemas.openxmlformats.org/officeDocument/2006/relationships/hyperlink" Target="https://www.sec.gov/Archives/edgar/data/1580864/000156459021010584/vrm-ex1025_1623.htm" TargetMode="External"/><Relationship Id="rId579" Type="http://schemas.openxmlformats.org/officeDocument/2006/relationships/hyperlink" Target="https://www.sec.gov/Archives/edgar/data/1580864/000119312520157158/d801274dex1012.htm" TargetMode="External"/><Relationship Id="rId580" Type="http://schemas.openxmlformats.org/officeDocument/2006/relationships/hyperlink" Target="https://www.sec.gov/Archives/edgar/data/1580864/000119312520157158/d801274dex1013.htm" TargetMode="External"/><Relationship Id="rId584" Type="http://schemas.openxmlformats.org/officeDocument/2006/relationships/hyperlink" Target="https://www.sec.gov/Archives/edgar/data/1580864/000119312520157158/d801274dex1014.htm" TargetMode="External"/><Relationship Id="rId585" Type="http://schemas.openxmlformats.org/officeDocument/2006/relationships/hyperlink" Target="https://www.sec.gov/Archives/edgar/data/1580864/000119312520157158/d801274dex1015.htm" TargetMode="External"/><Relationship Id="rId586" Type="http://schemas.openxmlformats.org/officeDocument/2006/relationships/hyperlink" Target="https://www.sec.gov/Archives/edgar/data/1580864/000119312520241003/d94166dex1018.htm" TargetMode="External"/><Relationship Id="rId587" Type="http://schemas.openxmlformats.org/officeDocument/2006/relationships/hyperlink" Target="https://www.sec.gov/Archives/edgar/data/1580864/000119312520241003/d94166dex1019.htm" TargetMode="External"/><Relationship Id="rId588" Type="http://schemas.openxmlformats.org/officeDocument/2006/relationships/hyperlink" Target="https://www.sec.gov/Archives/edgar/data/1580864/000119312521270936/d212413dex101.htm" TargetMode="External"/><Relationship Id="rId589" Type="http://schemas.openxmlformats.org/officeDocument/2006/relationships/hyperlink" Target="https://www.sec.gov/Archives/edgar/data/1580864/000119312521270936/d212413dex102.htm" TargetMode="External"/><Relationship Id="rId590" Type="http://schemas.openxmlformats.org/officeDocument/2006/relationships/hyperlink" Target="https://www.sec.gov/Archives/edgar/data/1580864/000119312521359499/d162285dex101.htm" TargetMode="External"/><Relationship Id="rId591" Type="http://schemas.openxmlformats.org/officeDocument/2006/relationships/hyperlink" Target="https://www.sec.gov/Archives/edgar/data/0001580864/000119312520241003/d94166dex1020.htm" TargetMode="External"/><Relationship Id="rId592" Type="http://schemas.openxmlformats.org/officeDocument/2006/relationships/hyperlink" Target="https://www.sec.gov/Archives/edgar/data/0001580864/000119312520241003/d94166dex1021.htm" TargetMode="External"/><Relationship Id="rId593" Type="http://schemas.openxmlformats.org/officeDocument/2006/relationships/hyperlink" Target="https://www.sec.gov/Archives/edgar/data/1580864/000156459021043465/vrm-ex101_353.htm" TargetMode="External"/><Relationship Id="rId594" Type="http://schemas.openxmlformats.org/officeDocument/2006/relationships/hyperlink" Target="https://www.sec.gov/Archives/edgar/data/1580864/000156459021010584/vrm-ex211_9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2022-03-01T10:54:20Z</dcterms:created>
  <dcterms:modified xsi:type="dcterms:W3CDTF">2022-03-01T10:54:20Z</dcterms:modified>
</cp:coreProperties>
</file>