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48895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2"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2023</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49"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70485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452"/>
        </w:trPr>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center"/>
              <w:ind w:right="540"/>
              <w:spacing w:after="0"/>
              <w:rPr>
                <w:sz w:val="20"/>
                <w:szCs w:val="20"/>
                <w:color w:val="auto"/>
              </w:rPr>
            </w:pPr>
            <w:r>
              <w:rPr>
                <w:rFonts w:ascii="Arial" w:cs="Arial" w:eastAsia="Arial" w:hAnsi="Arial"/>
                <w:sz w:val="36"/>
                <w:szCs w:val="36"/>
                <w:b w:val="1"/>
                <w:bCs w:val="1"/>
                <w:color w:val="auto"/>
                <w:w w:val="99"/>
              </w:rPr>
              <w:t>VROOM,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901112566</w:t>
            </w:r>
          </w:p>
        </w:tc>
        <w:tc>
          <w:tcPr>
            <w:tcW w:w="0" w:type="dxa"/>
            <w:vAlign w:val="bottom"/>
          </w:tcPr>
          <w:p>
            <w:pPr>
              <w:spacing w:after="0"/>
              <w:rPr>
                <w:sz w:val="1"/>
                <w:szCs w:val="1"/>
                <w:color w:val="auto"/>
              </w:rPr>
            </w:pPr>
          </w:p>
        </w:tc>
      </w:tr>
      <w:tr>
        <w:trPr>
          <w:trHeight w:val="251"/>
        </w:trPr>
        <w:tc>
          <w:tcPr>
            <w:tcW w:w="354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rPr>
              <w:t>3600 W Sam Houston Pkwy S, Floor 4</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5"/>
            <w:vMerge w:val="continue"/>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rPr>
              <w:t>Houston, Texas 77042</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2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560" w:type="dxa"/>
            <w:vAlign w:val="bottom"/>
            <w:gridSpan w:val="8"/>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3540" w:type="dxa"/>
            <w:vAlign w:val="bottom"/>
            <w:tcBorders>
              <w:bottom w:val="single" w:sz="8" w:color="auto"/>
            </w:tcBorders>
          </w:tcPr>
          <w:p>
            <w:pPr>
              <w:jc w:val="center"/>
              <w:ind w:left="525"/>
              <w:spacing w:after="0"/>
              <w:rPr>
                <w:sz w:val="20"/>
                <w:szCs w:val="20"/>
                <w:color w:val="auto"/>
              </w:rPr>
            </w:pPr>
            <w:r>
              <w:rPr>
                <w:rFonts w:ascii="Arial" w:cs="Arial" w:eastAsia="Arial" w:hAnsi="Arial"/>
                <w:sz w:val="14"/>
                <w:szCs w:val="14"/>
                <w:b w:val="1"/>
                <w:bCs w:val="1"/>
                <w:color w:val="auto"/>
              </w:rPr>
              <w:t>Title of each class</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3540" w:type="dxa"/>
            <w:vAlign w:val="bottom"/>
          </w:tcPr>
          <w:p>
            <w:pPr>
              <w:jc w:val="center"/>
              <w:ind w:left="545"/>
              <w:spacing w:after="0"/>
              <w:rPr>
                <w:sz w:val="20"/>
                <w:szCs w:val="20"/>
                <w:color w:val="auto"/>
              </w:rPr>
            </w:pPr>
            <w:r>
              <w:rPr>
                <w:rFonts w:ascii="Arial" w:cs="Arial" w:eastAsia="Arial" w:hAnsi="Arial"/>
                <w:sz w:val="16"/>
                <w:szCs w:val="16"/>
                <w:color w:val="auto"/>
              </w:rPr>
              <w:t>Common Stock, $0.001 par value</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4"/>
          </w:tcPr>
          <w:p>
            <w:pPr>
              <w:jc w:val="center"/>
              <w:ind w:right="740"/>
              <w:spacing w:after="0"/>
              <w:rPr>
                <w:sz w:val="20"/>
                <w:szCs w:val="20"/>
                <w:color w:val="auto"/>
              </w:rPr>
            </w:pPr>
            <w:r>
              <w:rPr>
                <w:rFonts w:ascii="Arial" w:cs="Arial" w:eastAsia="Arial" w:hAnsi="Arial"/>
                <w:sz w:val="16"/>
                <w:szCs w:val="16"/>
                <w:color w:val="auto"/>
              </w:rPr>
              <w:t>VRM</w:t>
            </w:r>
          </w:p>
        </w:tc>
        <w:tc>
          <w:tcPr>
            <w:tcW w:w="3680" w:type="dxa"/>
            <w:vAlign w:val="bottom"/>
          </w:tcPr>
          <w:p>
            <w:pPr>
              <w:jc w:val="center"/>
              <w:ind w:right="306"/>
              <w:spacing w:after="0"/>
              <w:rPr>
                <w:sz w:val="20"/>
                <w:szCs w:val="20"/>
                <w:color w:val="auto"/>
              </w:rPr>
            </w:pPr>
            <w:r>
              <w:rPr>
                <w:rFonts w:ascii="Arial" w:cs="Arial" w:eastAsia="Arial" w:hAnsi="Arial"/>
                <w:sz w:val="16"/>
                <w:szCs w:val="16"/>
                <w:color w:val="auto"/>
              </w:rPr>
              <w:t>Nasdaq Global Select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4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ind w:right="12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8" w:lineRule="exact"/>
        <w:rPr>
          <w:sz w:val="24"/>
          <w:szCs w:val="24"/>
          <w:color w:val="auto"/>
        </w:rPr>
      </w:pPr>
    </w:p>
    <w:p>
      <w:pPr>
        <w:jc w:val="both"/>
        <w:ind w:firstLine="37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1" w:lineRule="exact"/>
        <w:rPr>
          <w:sz w:val="24"/>
          <w:szCs w:val="24"/>
          <w:color w:val="auto"/>
        </w:rPr>
      </w:pPr>
    </w:p>
    <w:p>
      <w:pPr>
        <w:ind w:right="300" w:firstLine="37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left="380" w:right="2460"/>
        <w:spacing w:after="0" w:line="28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2023, 138,830,093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65"/>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40" w:type="dxa"/>
            <w:vAlign w:val="bottom"/>
            <w:gridSpan w:val="11"/>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11"/>
        </w:trPr>
        <w:tc>
          <w:tcPr>
            <w:tcW w:w="20" w:type="dxa"/>
            <w:vAlign w:val="bottom"/>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Part I - Financial Information</w:t>
            </w:r>
          </w:p>
        </w:tc>
        <w:tc>
          <w:tcPr>
            <w:tcW w:w="818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920" w:type="dxa"/>
            <w:vAlign w:val="bottom"/>
            <w:gridSpan w:val="3"/>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Balance Sheets as of March 31, 2023 and December 31, 2022 (unaudited)</w:t>
            </w:r>
          </w:p>
        </w:tc>
        <w:tc>
          <w:tcPr>
            <w:tcW w:w="20" w:type="dxa"/>
            <w:vAlign w:val="bottom"/>
            <w:tcBorders>
              <w:bottom w:val="single" w:sz="8" w:color="0000EE"/>
            </w:tcBorders>
          </w:tcPr>
          <w:p>
            <w:pPr>
              <w:spacing w:after="0"/>
              <w:rPr>
                <w:sz w:val="18"/>
                <w:szCs w:val="18"/>
                <w:color w:val="auto"/>
              </w:rPr>
            </w:pPr>
          </w:p>
        </w:tc>
        <w:tc>
          <w:tcPr>
            <w:tcW w:w="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2023 and 2022</w:t>
            </w:r>
          </w:p>
        </w:tc>
        <w:tc>
          <w:tcPr>
            <w:tcW w:w="4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60" w:type="dxa"/>
            <w:vAlign w:val="bottom"/>
            <w:gridSpan w:val="22"/>
          </w:tcPr>
          <w:p>
            <w:pPr>
              <w:spacing w:after="0" w:line="182" w:lineRule="exact"/>
              <w:rPr>
                <w:sz w:val="20"/>
                <w:szCs w:val="20"/>
                <w:color w:val="auto"/>
              </w:rPr>
            </w:pPr>
            <w:r>
              <w:rPr>
                <w:rFonts w:ascii="Arial" w:cs="Arial" w:eastAsia="Arial" w:hAnsi="Arial"/>
                <w:sz w:val="18"/>
                <w:szCs w:val="18"/>
                <w:color w:val="0000FF"/>
              </w:rPr>
              <w:t>(unaudited)</w:t>
            </w: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Condensed Consolidated Statements of Changes in Stockholders' Equity for the Three Months Ended March 31,</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60" w:type="dxa"/>
            <w:vAlign w:val="bottom"/>
            <w:gridSpan w:val="22"/>
          </w:tcPr>
          <w:p>
            <w:pPr>
              <w:spacing w:after="0" w:line="182" w:lineRule="exact"/>
              <w:rPr>
                <w:sz w:val="20"/>
                <w:szCs w:val="20"/>
                <w:color w:val="auto"/>
              </w:rPr>
            </w:pPr>
            <w:r>
              <w:rPr>
                <w:rFonts w:ascii="Arial" w:cs="Arial" w:eastAsia="Arial" w:hAnsi="Arial"/>
                <w:sz w:val="18"/>
                <w:szCs w:val="18"/>
                <w:color w:val="0000FF"/>
              </w:rPr>
              <w:t>2023 and 2022 (unaudited)</w:t>
            </w: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2023 and 2022</w:t>
            </w:r>
          </w:p>
        </w:tc>
        <w:tc>
          <w:tcPr>
            <w:tcW w:w="3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60" w:type="dxa"/>
            <w:vAlign w:val="bottom"/>
            <w:gridSpan w:val="22"/>
          </w:tcPr>
          <w:p>
            <w:pPr>
              <w:spacing w:after="0" w:line="182" w:lineRule="exact"/>
              <w:rPr>
                <w:sz w:val="20"/>
                <w:szCs w:val="20"/>
                <w:color w:val="auto"/>
              </w:rPr>
            </w:pPr>
            <w:r>
              <w:rPr>
                <w:rFonts w:ascii="Arial" w:cs="Arial" w:eastAsia="Arial" w:hAnsi="Arial"/>
                <w:sz w:val="18"/>
                <w:szCs w:val="18"/>
                <w:color w:val="0000FF"/>
              </w:rPr>
              <w:t>(unaudited)</w:t>
            </w: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8"/>
                <w:szCs w:val="18"/>
                <w:color w:val="auto"/>
              </w:rPr>
            </w:pPr>
          </w:p>
        </w:tc>
        <w:tc>
          <w:tcPr>
            <w:tcW w:w="35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920" w:type="dxa"/>
            <w:vAlign w:val="bottom"/>
            <w:gridSpan w:val="3"/>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3.</w:t>
            </w:r>
          </w:p>
        </w:tc>
        <w:tc>
          <w:tcPr>
            <w:tcW w:w="920" w:type="dxa"/>
            <w:vAlign w:val="bottom"/>
            <w:gridSpan w:val="3"/>
          </w:tcPr>
          <w:p>
            <w:pPr>
              <w:spacing w:after="0"/>
              <w:rPr>
                <w:sz w:val="18"/>
                <w:szCs w:val="18"/>
                <w:color w:val="auto"/>
              </w:rPr>
            </w:pPr>
          </w:p>
        </w:tc>
        <w:tc>
          <w:tcPr>
            <w:tcW w:w="7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19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8"/>
              </w:rPr>
              <w:t>Item 4.</w:t>
            </w:r>
          </w:p>
        </w:tc>
        <w:tc>
          <w:tcPr>
            <w:tcW w:w="920" w:type="dxa"/>
            <w:vAlign w:val="bottom"/>
            <w:gridSpan w:val="3"/>
          </w:tcPr>
          <w:p>
            <w:pPr>
              <w:spacing w:after="0"/>
              <w:rPr>
                <w:sz w:val="18"/>
                <w:szCs w:val="18"/>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8"/>
              </w:rPr>
              <w:t>Controls and Procedures</w:t>
            </w:r>
          </w:p>
        </w:tc>
        <w:tc>
          <w:tcPr>
            <w:tcW w:w="2620" w:type="dxa"/>
            <w:vAlign w:val="bottom"/>
            <w:tcBorders>
              <w:top w:val="single" w:sz="8" w:color="0000FF"/>
            </w:tcBorders>
            <w:gridSpan w:val="4"/>
          </w:tcPr>
          <w:p>
            <w:pPr>
              <w:spacing w:after="0"/>
              <w:rPr>
                <w:sz w:val="18"/>
                <w:szCs w:val="18"/>
                <w:color w:val="auto"/>
              </w:rPr>
            </w:pPr>
          </w:p>
        </w:tc>
        <w:tc>
          <w:tcPr>
            <w:tcW w:w="43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52"/>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8"/>
                <w:szCs w:val="18"/>
                <w:color w:val="0000FF"/>
              </w:rPr>
              <w:t>Part II - 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1.</w:t>
            </w:r>
          </w:p>
        </w:tc>
        <w:tc>
          <w:tcPr>
            <w:tcW w:w="920" w:type="dxa"/>
            <w:vAlign w:val="bottom"/>
            <w:gridSpan w:val="3"/>
          </w:tcPr>
          <w:p>
            <w:pPr>
              <w:spacing w:after="0"/>
              <w:rPr>
                <w:sz w:val="18"/>
                <w:szCs w:val="18"/>
                <w:color w:val="auto"/>
              </w:rPr>
            </w:pPr>
          </w:p>
        </w:tc>
        <w:tc>
          <w:tcPr>
            <w:tcW w:w="14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Legal Proceedings</w:t>
            </w:r>
          </w:p>
        </w:tc>
        <w:tc>
          <w:tcPr>
            <w:tcW w:w="74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Item 1A.</w:t>
            </w:r>
          </w:p>
        </w:tc>
        <w:tc>
          <w:tcPr>
            <w:tcW w:w="800" w:type="dxa"/>
            <w:vAlign w:val="bottom"/>
            <w:gridSpan w:val="2"/>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8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12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3.</w:t>
            </w:r>
          </w:p>
        </w:tc>
        <w:tc>
          <w:tcPr>
            <w:tcW w:w="920" w:type="dxa"/>
            <w:vAlign w:val="bottom"/>
            <w:gridSpan w:val="3"/>
          </w:tcPr>
          <w:p>
            <w:pPr>
              <w:spacing w:after="0"/>
              <w:rPr>
                <w:sz w:val="18"/>
                <w:szCs w:val="18"/>
                <w:color w:val="auto"/>
              </w:rPr>
            </w:pPr>
          </w:p>
        </w:tc>
        <w:tc>
          <w:tcPr>
            <w:tcW w:w="25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Defaults Upon Senior Securities</w:t>
            </w:r>
          </w:p>
        </w:tc>
        <w:tc>
          <w:tcPr>
            <w:tcW w:w="6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4.</w:t>
            </w:r>
          </w:p>
        </w:tc>
        <w:tc>
          <w:tcPr>
            <w:tcW w:w="920" w:type="dxa"/>
            <w:vAlign w:val="bottom"/>
            <w:gridSpan w:val="3"/>
          </w:tcPr>
          <w:p>
            <w:pPr>
              <w:spacing w:after="0"/>
              <w:rPr>
                <w:sz w:val="18"/>
                <w:szCs w:val="18"/>
                <w:color w:val="auto"/>
              </w:rPr>
            </w:pPr>
          </w:p>
        </w:tc>
        <w:tc>
          <w:tcPr>
            <w:tcW w:w="19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Mine Safety Disclosures</w:t>
            </w:r>
          </w:p>
        </w:tc>
        <w:tc>
          <w:tcPr>
            <w:tcW w:w="704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5.</w:t>
            </w:r>
          </w:p>
        </w:tc>
        <w:tc>
          <w:tcPr>
            <w:tcW w:w="920" w:type="dxa"/>
            <w:vAlign w:val="bottom"/>
            <w:gridSpan w:val="3"/>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6.</w:t>
            </w:r>
          </w:p>
        </w:tc>
        <w:tc>
          <w:tcPr>
            <w:tcW w:w="920" w:type="dxa"/>
            <w:vAlign w:val="bottom"/>
            <w:gridSpan w:val="3"/>
          </w:tcPr>
          <w:p>
            <w:pPr>
              <w:spacing w:after="0"/>
              <w:rPr>
                <w:sz w:val="18"/>
                <w:szCs w:val="18"/>
                <w:color w:val="auto"/>
              </w:rPr>
            </w:pPr>
          </w:p>
        </w:tc>
        <w:tc>
          <w:tcPr>
            <w:tcW w:w="13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5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804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66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12"/>
          </w:tcPr>
          <w:p>
            <w:pPr>
              <w:ind w:left="40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08" w:lineRule="exact"/>
        <w:rPr>
          <w:sz w:val="20"/>
          <w:szCs w:val="20"/>
          <w:color w:val="auto"/>
        </w:rPr>
      </w:pPr>
    </w:p>
    <w:p>
      <w:pPr>
        <w:ind w:right="20" w:firstLine="761"/>
        <w:spacing w:after="0" w:line="254" w:lineRule="auto"/>
        <w:rPr>
          <w:sz w:val="20"/>
          <w:szCs w:val="20"/>
          <w:color w:val="auto"/>
        </w:rPr>
      </w:pPr>
      <w:r>
        <w:rPr>
          <w:rFonts w:ascii="Arial" w:cs="Arial" w:eastAsia="Arial" w:hAnsi="Arial"/>
          <w:sz w:val="17"/>
          <w:szCs w:val="17"/>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Quarterly Report on Form 10-Q.</w:t>
      </w:r>
    </w:p>
    <w:p>
      <w:pPr>
        <w:spacing w:after="0" w:line="193"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5"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33" w:lineRule="exact"/>
        <w:rPr>
          <w:sz w:val="20"/>
          <w:szCs w:val="20"/>
          <w:color w:val="auto"/>
        </w:rPr>
      </w:pPr>
    </w:p>
    <w:p>
      <w:pPr>
        <w:ind w:right="400" w:firstLine="761"/>
        <w:spacing w:after="0"/>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02" w:lineRule="exact"/>
        <w:rPr>
          <w:sz w:val="20"/>
          <w:szCs w:val="20"/>
          <w:color w:val="auto"/>
        </w:rPr>
      </w:pPr>
    </w:p>
    <w:p>
      <w:pPr>
        <w:ind w:left="760" w:right="300" w:hanging="378"/>
        <w:spacing w:after="0" w:line="23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liquidity and profitability contemplated by our Business Realignment Plan and long-term roadmap, we may need to raise additional capital through debt or equity financings to achieve our business objectives and there can be no assurance that such financings will be available in amounts or on terms acceptable to us, if at all;</w:t>
      </w:r>
    </w:p>
    <w:p>
      <w:pPr>
        <w:spacing w:after="0" w:line="2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24" w:lineRule="exact"/>
        <w:rPr>
          <w:rFonts w:ascii="Arial" w:cs="Arial" w:eastAsia="Arial" w:hAnsi="Arial"/>
          <w:sz w:val="18"/>
          <w:szCs w:val="18"/>
          <w:color w:val="auto"/>
        </w:rPr>
      </w:pPr>
    </w:p>
    <w:p>
      <w:pPr>
        <w:ind w:left="760" w:right="16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24" w:lineRule="exact"/>
        <w:rPr>
          <w:rFonts w:ascii="Arial" w:cs="Arial" w:eastAsia="Arial" w:hAnsi="Arial"/>
          <w:sz w:val="18"/>
          <w:szCs w:val="18"/>
          <w:color w:val="auto"/>
        </w:rPr>
      </w:pPr>
    </w:p>
    <w:p>
      <w:pPr>
        <w:ind w:left="760" w:right="12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meet the continued listing requirements of the Nasdaq Global Select Market could result in a delisting of our common stock;</w:t>
      </w:r>
    </w:p>
    <w:p>
      <w:pPr>
        <w:spacing w:after="0" w:line="197" w:lineRule="exact"/>
        <w:rPr>
          <w:rFonts w:ascii="Arial" w:cs="Arial" w:eastAsia="Arial" w:hAnsi="Arial"/>
          <w:sz w:val="18"/>
          <w:szCs w:val="18"/>
          <w:color w:val="auto"/>
        </w:rPr>
      </w:pPr>
    </w:p>
    <w:p>
      <w:pPr>
        <w:ind w:left="760" w:right="36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prior rapid growth is not indicative of our near term growth under our long-term roadmap and, if and when we return to rapid growth, we may not be able to manage our growth effectively;</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complete the integration of the United Auto Credit Corporation ("UACC") business into our business and support UACC as a captive lending operation for Vroom, or realize the anticipated benefits of the UACC Acquisition or those benefits could take longer than anticipated;</w:t>
      </w:r>
    </w:p>
    <w:p>
      <w:pPr>
        <w:spacing w:after="0" w:line="201" w:lineRule="exact"/>
        <w:rPr>
          <w:rFonts w:ascii="Arial" w:cs="Arial" w:eastAsia="Arial" w:hAnsi="Arial"/>
          <w:sz w:val="18"/>
          <w:szCs w:val="18"/>
          <w:color w:val="auto"/>
        </w:rPr>
      </w:pPr>
    </w:p>
    <w:p>
      <w:pPr>
        <w:ind w:left="760" w:right="6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24" w:lineRule="exact"/>
        <w:rPr>
          <w:rFonts w:ascii="Arial" w:cs="Arial" w:eastAsia="Arial" w:hAnsi="Arial"/>
          <w:sz w:val="18"/>
          <w:szCs w:val="18"/>
          <w:color w:val="auto"/>
        </w:rPr>
      </w:pPr>
    </w:p>
    <w:p>
      <w:pPr>
        <w:ind w:left="760" w:right="4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w:t>
      </w:r>
    </w:p>
    <w:p>
      <w:pPr>
        <w:spacing w:after="0" w:line="9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24" w:lineRule="exact"/>
        <w:rPr>
          <w:rFonts w:ascii="Arial" w:cs="Arial" w:eastAsia="Arial" w:hAnsi="Arial"/>
          <w:sz w:val="18"/>
          <w:szCs w:val="18"/>
          <w:color w:val="auto"/>
        </w:rPr>
      </w:pPr>
    </w:p>
    <w:p>
      <w:pPr>
        <w:ind w:left="760" w:right="580" w:hanging="378"/>
        <w:spacing w:after="0" w:line="274"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 any of which could materially and adversely affect our business, financial condition and results of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right="40" w:hanging="378"/>
        <w:spacing w:after="0" w:line="27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3" w:lineRule="exact"/>
        <w:rPr>
          <w:rFonts w:ascii="Arial" w:cs="Arial" w:eastAsia="Arial" w:hAnsi="Arial"/>
          <w:sz w:val="17"/>
          <w:szCs w:val="17"/>
          <w:color w:val="auto"/>
        </w:rPr>
      </w:pPr>
    </w:p>
    <w:p>
      <w:pPr>
        <w:ind w:left="760" w:right="18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1" w:lineRule="exact"/>
        <w:rPr>
          <w:rFonts w:ascii="Arial" w:cs="Arial" w:eastAsia="Arial" w:hAnsi="Arial"/>
          <w:sz w:val="18"/>
          <w:szCs w:val="18"/>
          <w:color w:val="auto"/>
        </w:rPr>
      </w:pPr>
    </w:p>
    <w:p>
      <w:pPr>
        <w:ind w:left="760" w:right="2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1" w:lineRule="exact"/>
        <w:rPr>
          <w:rFonts w:ascii="Arial" w:cs="Arial" w:eastAsia="Arial" w:hAnsi="Arial"/>
          <w:sz w:val="18"/>
          <w:szCs w:val="18"/>
          <w:color w:val="auto"/>
        </w:rPr>
      </w:pPr>
    </w:p>
    <w:p>
      <w:pPr>
        <w:ind w:left="760" w:right="4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201" w:lineRule="exact"/>
        <w:rPr>
          <w:rFonts w:ascii="Arial" w:cs="Arial" w:eastAsia="Arial" w:hAnsi="Arial"/>
          <w:sz w:val="18"/>
          <w:szCs w:val="18"/>
          <w:color w:val="auto"/>
        </w:rPr>
      </w:pPr>
    </w:p>
    <w:p>
      <w:pPr>
        <w:ind w:left="760" w:right="4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20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0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89"/>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2022</w:t>
            </w:r>
          </w:p>
        </w:tc>
      </w:tr>
      <w:tr>
        <w:trPr>
          <w:trHeight w:val="20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316,714</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398,915</w:t>
            </w:r>
          </w:p>
        </w:tc>
      </w:tr>
      <w:tr>
        <w:trPr>
          <w:trHeight w:val="204"/>
        </w:trPr>
        <w:tc>
          <w:tcPr>
            <w:tcW w:w="7460" w:type="dxa"/>
            <w:vAlign w:val="bottom"/>
          </w:tcPr>
          <w:p>
            <w:pPr>
              <w:ind w:left="20"/>
              <w:spacing w:after="0"/>
              <w:rPr>
                <w:sz w:val="20"/>
                <w:szCs w:val="20"/>
                <w:color w:val="auto"/>
              </w:rPr>
            </w:pPr>
            <w:r>
              <w:rPr>
                <w:rFonts w:ascii="Arial" w:cs="Arial" w:eastAsia="Arial" w:hAnsi="Arial"/>
                <w:sz w:val="16"/>
                <w:szCs w:val="16"/>
                <w:color w:val="auto"/>
              </w:rPr>
              <w:t>Restricted cash (including restricted cash of consolidated VIEs of $48.0 million and $24.7 million,</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746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71,994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73,095</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$10.0 million and $21.5 million, respectively</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10,077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13,967</w:t>
            </w:r>
          </w:p>
        </w:tc>
      </w:tr>
      <w:tr>
        <w:trPr>
          <w:trHeight w:val="204"/>
        </w:trPr>
        <w:tc>
          <w:tcPr>
            <w:tcW w:w="746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 $12.1 million</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7460" w:type="dxa"/>
            <w:vAlign w:val="bottom"/>
          </w:tcPr>
          <w:p>
            <w:pPr>
              <w:ind w:left="20"/>
              <w:spacing w:after="0"/>
              <w:rPr>
                <w:sz w:val="20"/>
                <w:szCs w:val="20"/>
                <w:color w:val="auto"/>
              </w:rPr>
            </w:pPr>
            <w:r>
              <w:rPr>
                <w:rFonts w:ascii="Arial" w:cs="Arial" w:eastAsia="Arial" w:hAnsi="Arial"/>
                <w:sz w:val="16"/>
                <w:szCs w:val="16"/>
                <w:color w:val="auto"/>
              </w:rPr>
              <w:t>and $11.5 million, respectively)</w:t>
            </w:r>
          </w:p>
        </w:tc>
        <w:tc>
          <w:tcPr>
            <w:tcW w:w="30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13,091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12,939</w:t>
            </w:r>
          </w:p>
        </w:tc>
      </w:tr>
      <w:tr>
        <w:trPr>
          <w:trHeight w:val="207"/>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$163.7 million and $305.9 million, respectively)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186,777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321,626</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212,982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320,648</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7,976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20,592</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59,357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58,327</w:t>
            </w:r>
          </w:p>
        </w:tc>
      </w:tr>
      <w:tr>
        <w:trPr>
          <w:trHeight w:val="212"/>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878,968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1,220,109</w:t>
            </w:r>
          </w:p>
        </w:tc>
      </w:tr>
      <w:tr>
        <w:trPr>
          <w:trHeight w:val="204"/>
        </w:trPr>
        <w:tc>
          <w:tcPr>
            <w:tcW w:w="746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 $508.3 million</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7460" w:type="dxa"/>
            <w:vAlign w:val="bottom"/>
          </w:tcPr>
          <w:p>
            <w:pPr>
              <w:ind w:left="20"/>
              <w:spacing w:after="0"/>
              <w:rPr>
                <w:sz w:val="20"/>
                <w:szCs w:val="20"/>
                <w:color w:val="auto"/>
              </w:rPr>
            </w:pPr>
            <w:r>
              <w:rPr>
                <w:rFonts w:ascii="Arial" w:cs="Arial" w:eastAsia="Arial" w:hAnsi="Arial"/>
                <w:sz w:val="16"/>
                <w:szCs w:val="16"/>
                <w:color w:val="auto"/>
              </w:rPr>
              <w:t>and $119.6 million, respectively)</w:t>
            </w:r>
          </w:p>
        </w:tc>
        <w:tc>
          <w:tcPr>
            <w:tcW w:w="300" w:type="dxa"/>
            <w:vAlign w:val="bottom"/>
          </w:tcPr>
          <w:p>
            <w:pPr>
              <w:spacing w:after="0"/>
              <w:rPr>
                <w:sz w:val="17"/>
                <w:szCs w:val="17"/>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523,179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140,235</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51,427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50,201</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152,155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158,910</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21,741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23,568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24,166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26,004</w:t>
            </w:r>
          </w:p>
        </w:tc>
      </w:tr>
      <w:tr>
        <w:trPr>
          <w:trHeight w:val="24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1,651,636</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1,619,027</w:t>
            </w:r>
          </w:p>
        </w:tc>
      </w:tr>
      <w:tr>
        <w:trPr>
          <w:trHeight w:val="199"/>
        </w:trPr>
        <w:tc>
          <w:tcPr>
            <w:tcW w:w="74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28,861</w:t>
            </w:r>
          </w:p>
        </w:tc>
        <w:tc>
          <w:tcPr>
            <w:tcW w:w="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34,702</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58,492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76,795</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147,428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276,988</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124,247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229,518</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Current portion of securitization debt of consolidated VIEs at fair value</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261,746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47,239</w:t>
            </w:r>
          </w:p>
        </w:tc>
      </w:tr>
      <w:tr>
        <w:trPr>
          <w:trHeight w:val="21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13,037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10,655</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9,021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9,730</w:t>
            </w:r>
          </w:p>
        </w:tc>
      </w:tr>
      <w:tr>
        <w:trPr>
          <w:trHeight w:val="21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15,251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17,693</w:t>
            </w: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658,083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703,320</w:t>
            </w:r>
          </w:p>
        </w:tc>
      </w:tr>
      <w:tr>
        <w:trPr>
          <w:trHeight w:val="207"/>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$199.2 million and $32.6 million at fair value, respectively)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554,655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402,154</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18,278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20,129</w:t>
            </w:r>
          </w:p>
        </w:tc>
      </w:tr>
      <w:tr>
        <w:trPr>
          <w:trHeight w:val="21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18,382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18,183</w:t>
            </w: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1,249,398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1,143,786</w:t>
            </w:r>
          </w:p>
        </w:tc>
      </w:tr>
      <w:tr>
        <w:trPr>
          <w:trHeight w:val="212"/>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13)</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7"/>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$0.001 par value; 500,000,000 shares authorized as of March 31, 2023 and</w:t>
            </w:r>
          </w:p>
        </w:tc>
        <w:tc>
          <w:tcPr>
            <w:tcW w:w="3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189"/>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2022; 138,802,011 and 138,201,903 shares issued and outstanding as of March 31,</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00"/>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 and December 31, 2022, respectively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w:t>
            </w: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3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2,077,839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2,075,798</w:t>
            </w:r>
          </w:p>
        </w:tc>
      </w:tr>
      <w:tr>
        <w:trPr>
          <w:trHeight w:val="216"/>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(1,675,736 )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r>
      <w:tr>
        <w:trPr>
          <w:trHeight w:val="209"/>
        </w:trPr>
        <w:tc>
          <w:tcPr>
            <w:tcW w:w="746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402,238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475,241</w:t>
            </w:r>
          </w:p>
        </w:tc>
      </w:tr>
      <w:tr>
        <w:trPr>
          <w:trHeight w:val="249"/>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1,651,636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1,619,027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-3467100</wp:posOffset>
            </wp:positionV>
            <wp:extent cx="10287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-2071370</wp:posOffset>
            </wp:positionV>
            <wp:extent cx="10287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-1395095</wp:posOffset>
            </wp:positionV>
            <wp:extent cx="1028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-316230</wp:posOffset>
            </wp:positionV>
            <wp:extent cx="1028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135,270</w:t>
            </w:r>
          </w:p>
        </w:tc>
        <w:tc>
          <w:tcPr>
            <w:tcW w:w="5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707,186</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13,895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139,984</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4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24,449</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31,988</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47,687</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3,814</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212"/>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196,467</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923,775</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135,724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695,509</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4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13,833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142,737</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Finance</w:t>
            </w:r>
          </w:p>
        </w:tc>
        <w:tc>
          <w:tcPr>
            <w:tcW w:w="4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6,214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157,662</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842,135</w:t>
            </w:r>
          </w:p>
        </w:tc>
        <w:tc>
          <w:tcPr>
            <w:tcW w:w="0" w:type="dxa"/>
            <w:vAlign w:val="bottom"/>
          </w:tcPr>
          <w:p>
            <w:pPr>
              <w:spacing w:after="0"/>
              <w:rPr>
                <w:sz w:val="1"/>
                <w:szCs w:val="1"/>
                <w:color w:val="auto"/>
              </w:rPr>
            </w:pPr>
          </w:p>
        </w:tc>
      </w:tr>
      <w:tr>
        <w:trPr>
          <w:trHeight w:val="212"/>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profit</w:t>
            </w: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38,805</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81,640</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96,537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187,994</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10,531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7,856</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201,703</w:t>
            </w:r>
          </w:p>
        </w:tc>
        <w:tc>
          <w:tcPr>
            <w:tcW w:w="0" w:type="dxa"/>
            <w:vAlign w:val="bottom"/>
          </w:tcPr>
          <w:p>
            <w:pPr>
              <w:spacing w:after="0"/>
              <w:rPr>
                <w:sz w:val="1"/>
                <w:szCs w:val="1"/>
                <w:color w:val="auto"/>
              </w:rPr>
            </w:pPr>
          </w:p>
        </w:tc>
      </w:tr>
      <w:tr>
        <w:trPr>
          <w:trHeight w:val="212"/>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(68,263 )</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(315,913 )</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Gain on debt extinguishment</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(8,709 )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9,919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(5,942 )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(3,952 )</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net</w:t>
            </w: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11,240</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12,358</w:t>
            </w:r>
          </w:p>
        </w:tc>
        <w:tc>
          <w:tcPr>
            <w:tcW w:w="0" w:type="dxa"/>
            <w:vAlign w:val="bottom"/>
          </w:tcPr>
          <w:p>
            <w:pPr>
              <w:spacing w:after="0"/>
              <w:rPr>
                <w:sz w:val="1"/>
                <w:szCs w:val="1"/>
                <w:color w:val="auto"/>
              </w:rPr>
            </w:pP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(74,771 )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(333,699 )</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(23,240 )</w:t>
            </w:r>
          </w:p>
        </w:tc>
        <w:tc>
          <w:tcPr>
            <w:tcW w:w="0" w:type="dxa"/>
            <w:vAlign w:val="bottom"/>
          </w:tcPr>
          <w:p>
            <w:pPr>
              <w:spacing w:after="0"/>
              <w:rPr>
                <w:sz w:val="1"/>
                <w:szCs w:val="1"/>
                <w:color w:val="auto"/>
              </w:rPr>
            </w:pPr>
          </w:p>
        </w:tc>
      </w:tr>
      <w:tr>
        <w:trPr>
          <w:trHeight w:val="209"/>
        </w:trPr>
        <w:tc>
          <w:tcPr>
            <w:tcW w:w="7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(75,044 )</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(0.54 )</w:t>
            </w:r>
          </w:p>
        </w:tc>
        <w:tc>
          <w:tcPr>
            <w:tcW w:w="58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01"/>
        </w:trPr>
        <w:tc>
          <w:tcPr>
            <w:tcW w:w="72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number of shares outstanding used to compute net loss per share attributable</w:t>
            </w: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138,530,884</w:t>
            </w: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137,259,629</w:t>
            </w:r>
          </w:p>
        </w:tc>
        <w:tc>
          <w:tcPr>
            <w:tcW w:w="0" w:type="dxa"/>
            <w:vAlign w:val="bottom"/>
          </w:tcPr>
          <w:p>
            <w:pPr>
              <w:spacing w:after="0"/>
              <w:rPr>
                <w:sz w:val="1"/>
                <w:szCs w:val="1"/>
                <w:color w:val="auto"/>
              </w:rPr>
            </w:pPr>
          </w:p>
        </w:tc>
      </w:tr>
      <w:tr>
        <w:trPr>
          <w:trHeight w:val="160"/>
        </w:trPr>
        <w:tc>
          <w:tcPr>
            <w:tcW w:w="7260" w:type="dxa"/>
            <w:vAlign w:val="bottom"/>
          </w:tcPr>
          <w:p>
            <w:pPr>
              <w:ind w:left="20"/>
              <w:spacing w:after="0" w:line="160" w:lineRule="exact"/>
              <w:rPr>
                <w:sz w:val="20"/>
                <w:szCs w:val="20"/>
                <w:color w:val="auto"/>
              </w:rPr>
            </w:pPr>
            <w:r>
              <w:rPr>
                <w:rFonts w:ascii="Arial" w:cs="Arial" w:eastAsia="Arial" w:hAnsi="Arial"/>
                <w:sz w:val="16"/>
                <w:szCs w:val="16"/>
                <w:color w:val="auto"/>
              </w:rPr>
              <w:t>to common stockholders, basic and diluted</w:t>
            </w: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-2251075</wp:posOffset>
            </wp:positionV>
            <wp:extent cx="1111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-855345</wp:posOffset>
            </wp:positionV>
            <wp:extent cx="11112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-572770</wp:posOffset>
            </wp:positionV>
            <wp:extent cx="1111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-264795</wp:posOffset>
            </wp:positionV>
            <wp:extent cx="11112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26543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4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82"/>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18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137,092,891</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2,063,841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(1,148,782 )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3,629</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602,630</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(310,459 )</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137,695,521</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2,067,470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(1,459,241 )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608,364</w:t>
            </w: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224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82"/>
              <w:spacing w:after="0" w:line="145"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242"/>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24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182"/>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118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138,201,903</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2,075,798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475,241</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2,041</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600,108</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(75,044 )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(75,044 )</w:t>
            </w:r>
          </w:p>
        </w:tc>
        <w:tc>
          <w:tcPr>
            <w:tcW w:w="0" w:type="dxa"/>
            <w:vAlign w:val="bottom"/>
          </w:tcPr>
          <w:p>
            <w:pPr>
              <w:spacing w:after="0"/>
              <w:rPr>
                <w:sz w:val="1"/>
                <w:szCs w:val="1"/>
                <w:color w:val="auto"/>
              </w:rPr>
            </w:pPr>
          </w:p>
        </w:tc>
      </w:tr>
      <w:tr>
        <w:trPr>
          <w:trHeight w:val="249"/>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138,802,011</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7"/>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2,077,839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(1,675,736 )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402,238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-1703070</wp:posOffset>
            </wp:positionV>
            <wp:extent cx="262001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20010" cy="16256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-1120775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-1103630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-1120775</wp:posOffset>
            </wp:positionV>
            <wp:extent cx="1755140" cy="376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55140" cy="3765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-607060</wp:posOffset>
            </wp:positionV>
            <wp:extent cx="262001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20010" cy="162560"/>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2022</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(75,044 )</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(310,459 )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201,703</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debt extinguishment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(8,709 )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10,637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7,895</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1,115</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1,254</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Realized gains on securitization transactions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(29,617 )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(23,855 )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16,603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15,725</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2,041</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3,629</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(7,315 )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469</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bad debt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5,853</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(1,251 )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158</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(5,320 )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(3,942 )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(5,067 )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(274 )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(143,174 )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(118,861 )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20,731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2,659</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272,309</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1,850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(1,705 )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4,312</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(4,331 )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114,981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(15,453 )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13,006</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6,928</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1,838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(2,763 )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(5,841 )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(6,824 )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(18,915 )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8,036</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2,382</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(2,449 )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(3,459 )</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(21,163 )</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(85,021 )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(15,078 )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Purchases of finance receivables at fair value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41,850</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33,570</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29,043</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Consolidation of VIEs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11,409</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2,144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714</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(5,193 )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(7,096 )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(268,194 )</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46,818</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(211,963 )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borrowings under secured financing agreements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238,735</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(42,784 )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(68,402 )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vehicle floorplan</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41,180</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801,971</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Repayments of vehicle floorplan</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(170,740 )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(744,831 )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135,900</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49,000</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(241,351 )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(227,067 )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convertible senior notes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(5,883 )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(156 )</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(875 )</w:t>
            </w:r>
          </w:p>
        </w:tc>
      </w:tr>
      <w:tr>
        <w:trPr>
          <w:trHeight w:val="18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(45,099 )</w:t>
            </w:r>
          </w:p>
        </w:tc>
        <w:tc>
          <w:tcPr>
            <w:tcW w:w="1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(190,204 )</w:t>
            </w: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(83,302 )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(417,245 )</w:t>
            </w:r>
          </w:p>
        </w:tc>
      </w:tr>
      <w:tr>
        <w:trPr>
          <w:trHeight w:val="18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472,010</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1,214,775</w:t>
            </w: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388,708</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797,530</w:t>
            </w:r>
          </w:p>
        </w:tc>
      </w:tr>
      <w:tr>
        <w:trPr>
          <w:trHeight w:val="20"/>
        </w:trPr>
        <w:tc>
          <w:tcPr>
            <w:tcW w:w="7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-401955</wp:posOffset>
            </wp:positionV>
            <wp:extent cx="10287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-153670</wp:posOffset>
            </wp:positionV>
            <wp:extent cx="10287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ind w:left="4980"/>
        <w:spacing w:after="0" w:line="234"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12,335</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5,991</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income taxes</w:t>
            </w:r>
          </w:p>
        </w:tc>
        <w:tc>
          <w:tcPr>
            <w:tcW w:w="60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1,189</w:t>
            </w:r>
          </w:p>
        </w:tc>
        <w:tc>
          <w:tcPr>
            <w:tcW w:w="820" w:type="dxa"/>
            <w:vAlign w:val="bottom"/>
            <w:gridSpan w:val="2"/>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r>
      <w:tr>
        <w:trPr>
          <w:trHeight w:val="169"/>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r>
      <w:tr>
        <w:trPr>
          <w:trHeight w:val="22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receivables from consolidation of 2022-2 securitization transaction</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180,706</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Elimination of beneficial interest from the consolidation of 2022-2 securitization transaction</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9,811</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Securitization debt from consolidation of 2022-2 securitization transaction</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186,386</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Reclassification of finance receivables held for sale to finance receivables at fair value, net</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248,081</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-881380</wp:posOffset>
            </wp:positionV>
            <wp:extent cx="10287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-607060</wp:posOffset>
            </wp:positionV>
            <wp:extent cx="10287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-316230</wp:posOffset>
            </wp:positionV>
            <wp:extent cx="10287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84"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93"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As part of the Company's Business Realignment Plan ("Realignment Plan"), which was substantially completed in 2022, the Company streamlined TDA's operations and closed its service center. The Company also reevaluated its reporting segments based on relative revenue and gross profit and significance in the Company's long-term strategy. As a result of the quantitative analysis, the Company determined to no longer report TDA as a separate segment. Starting in the three months ended June 30, 2022, the Company is organized into three reportable segments: Ecommerce, Wholesale, and Retail Financing. The Company reclassified TDA revenue and TDA gross profit for the comparative period from the TDA reportable segment to the “All Other” category to conform to current year presentation. 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188"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2022,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Annual Report on Form 10-K for the year ended December 31, 2022.</w:t>
      </w:r>
    </w:p>
    <w:p>
      <w:pPr>
        <w:spacing w:after="0" w:line="193"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2023 and its results of operations for the three months ended March 31, 2023 and 2022. The results for the three months ended March 31, 2023 are not necessarily indicative of the results expected for the current fiscal year or any other future periods. Certain prior year amounts have been reclassified to conform to the current year presentation.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600" w:firstLine="761"/>
        <w:spacing w:after="0" w:line="24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months ended March 31, 2023 and 2022.</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Restricted cash includes cash deposits required under the Company’s 2022 Vehicle Floorplan Facility as explained in Note 10 – Vehicle Floorplan Facility. Additionally, restricted cash includes UACC restricted cash. UACC collects and services receivables under the securitization transactions and warehouse credit facilities. These collections are restricted for use until properly remitted each month under the terms of the servicing agreement. Refer to Note 11 — Warehouse Credit Facilities of Consolidated VIEs and Note 12 — Long Term Debt for further detail.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held-for-sale. The Company intends to sell finance receivables either through securitization transactions or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and "Product, net" in the condensed consolidated statements of operations. Refer to Note 3 – Revenue Recognition.</w:t>
      </w:r>
    </w:p>
    <w:p>
      <w:pPr>
        <w:spacing w:after="0" w:line="192" w:lineRule="exact"/>
        <w:rPr>
          <w:sz w:val="20"/>
          <w:szCs w:val="20"/>
          <w:color w:val="auto"/>
        </w:rPr>
      </w:pPr>
    </w:p>
    <w:p>
      <w:pPr>
        <w:ind w:right="460" w:firstLine="761"/>
        <w:spacing w:after="0"/>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To determine the valuation allowance, finance receivables are evaluated collectively as they represent a large group of smaller-balance homogeneous loans. To the extent that actual experience differs from estimates, significant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adjustments to the Company's valuation allowance may be needed. Fair value adjustments are recorded in "Other loss, net" in the condensed consolidated statements of operations. Principal balances of finance receivables are charged-off when the Company is unable to sell the finance receivable and the related vehicle has been repossessed and liquidated or the receivable has otherwise been deemed uncollectible. As of March 31, 2023 and December 31, 2022, the valuation allowance for finance receivables classified as held for sale was $7.6 million and $10.5 million, respectively. Refer to Note 16 – Financial Instruments and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Finance receivables at fair value represent finance receivables that the Company does not intend to sell in the immediate future and for which the fair value option was elected. From time to time, the Company accounts for certain other finance receivables under the fair value designation. Fair value adjustments are recorded in "Other loss, net" in the condensed consolidated statements of operations. Refer to Note 16 – Financial Instruments and Fair Value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 xml:space="preserve">The Company elected the fair value option upon consolidation of the assets and liabilities of its VIEs related to the 2021-1, 2022-2, and 2023-1 securitization transactions. These VIEs are consolidated collateralized financing entities (CFEs) and are accounted for using the measurement alternative in accordance with ASU 2014-13, </w:t>
      </w:r>
      <w:r>
        <w:rPr>
          <w:rFonts w:ascii="Arial" w:cs="Arial" w:eastAsia="Arial" w:hAnsi="Arial"/>
          <w:sz w:val="18"/>
          <w:szCs w:val="18"/>
          <w:i w:val="1"/>
          <w:iCs w:val="1"/>
          <w:color w:val="auto"/>
        </w:rPr>
        <w:t>Measuring the Financial Assets and Liabilities of a Consolidated Collateralized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Financing Entity </w:t>
      </w:r>
      <w:r>
        <w:rPr>
          <w:rFonts w:ascii="Arial" w:cs="Arial" w:eastAsia="Arial" w:hAnsi="Arial"/>
          <w:sz w:val="18"/>
          <w:szCs w:val="18"/>
          <w:color w:val="auto"/>
        </w:rPr>
        <w:t>(“ASU 2014-13"). During the three months ended March 31, 2023 and 2022, the Company recognized the following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statements of operations associated with these CFEs: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6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March 31,</w:t>
            </w:r>
          </w:p>
        </w:tc>
        <w:tc>
          <w:tcPr>
            <w:tcW w:w="1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6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977"/>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0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revenue</w:t>
            </w: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14,919</w:t>
            </w: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2,331</w:t>
            </w:r>
          </w:p>
        </w:tc>
        <w:tc>
          <w:tcPr>
            <w:tcW w:w="5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cost of sales</w:t>
            </w: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(3,499 )</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Product cost of sales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2340" w:type="dxa"/>
            <w:vAlign w:val="bottom"/>
            <w:gridSpan w:val="2"/>
          </w:tcPr>
          <w:p>
            <w:pPr>
              <w:jc w:val="right"/>
              <w:ind w:right="420"/>
              <w:spacing w:after="0"/>
              <w:rPr>
                <w:sz w:val="20"/>
                <w:szCs w:val="20"/>
                <w:color w:val="auto"/>
              </w:rPr>
            </w:pPr>
            <w:r>
              <w:rPr>
                <w:rFonts w:ascii="Arial" w:cs="Arial" w:eastAsia="Arial" w:hAnsi="Arial"/>
                <w:sz w:val="18"/>
                <w:szCs w:val="18"/>
                <w:color w:val="auto"/>
              </w:rPr>
              <w:t>(898 )</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loss, net</w:t>
            </w: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3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(8,675 )</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(12,008 )</w:t>
            </w:r>
          </w:p>
        </w:tc>
      </w:tr>
    </w:tbl>
    <w:p>
      <w:pPr>
        <w:spacing w:after="0" w:line="201" w:lineRule="exact"/>
        <w:rPr>
          <w:sz w:val="20"/>
          <w:szCs w:val="20"/>
          <w:color w:val="auto"/>
        </w:rPr>
      </w:pPr>
    </w:p>
    <w:p>
      <w:pPr>
        <w:ind w:right="80" w:firstLine="811"/>
        <w:spacing w:after="0" w:line="238" w:lineRule="auto"/>
        <w:rPr>
          <w:sz w:val="20"/>
          <w:szCs w:val="20"/>
          <w:color w:val="auto"/>
        </w:rPr>
      </w:pPr>
      <w:r>
        <w:rPr>
          <w:rFonts w:ascii="Arial" w:cs="Arial" w:eastAsia="Arial" w:hAnsi="Arial"/>
          <w:sz w:val="18"/>
          <w:szCs w:val="18"/>
          <w:color w:val="auto"/>
        </w:rPr>
        <w:t>The assets and liabilities of the CFEs are presented as part of the current and noncurrent “Finance receivables at fair value”, “Current portion of securitization debt of consolidated VIEs at fair value”, and "Long term debt, net of current portion", respectively, on the condensed consolidated balance sheets. Refer to Note 4 – Variable Interest Entities and Securitizations and Note 16 – Financial Instruments and Fair Value Measurements for further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80" w:firstLine="764"/>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ind w:right="36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$11.5 million and $33.7 million for the three months ended March 31, 2023 and 2022,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condensed consolidated statements of operations and were $2.1 million and $26.7 million for the three months ended March 31, 2023 and 2022,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89" w:lineRule="exact"/>
        <w:rPr>
          <w:sz w:val="20"/>
          <w:szCs w:val="20"/>
          <w:color w:val="auto"/>
        </w:rPr>
      </w:pPr>
    </w:p>
    <w:p>
      <w:pPr>
        <w:ind w:right="120" w:firstLine="761"/>
        <w:spacing w:after="0" w:line="245" w:lineRule="auto"/>
        <w:rPr>
          <w:sz w:val="20"/>
          <w:szCs w:val="20"/>
          <w:color w:val="auto"/>
        </w:rPr>
      </w:pPr>
      <w:r>
        <w:rPr>
          <w:rFonts w:ascii="Arial" w:cs="Arial" w:eastAsia="Arial" w:hAnsi="Arial"/>
          <w:sz w:val="18"/>
          <w:szCs w:val="18"/>
          <w:color w:val="auto"/>
        </w:rPr>
        <w:t>For the three months ended March 31, 2023 and 2022, no customer represented 10% or more of the Company’s revenues and no customer represented more than 10% of the Company’s accounts receivable as of March 31, 2023 and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The Company has had negative cash flows and generated losses from operations since inception and has historically had to rely on debt and equity financing to fund its operations. Further, the Company expects to incur additional losses in the future.</w:t>
      </w:r>
    </w:p>
    <w:p>
      <w:pPr>
        <w:spacing w:after="0" w:line="184"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On May 5, 2022, the Company approved the long-term roadmap, which was designed to position the Company for long-term profitable growth by prioritizing unit economics, reducing operating expenses and maximizing liquidity. On January 18, 2023, the Company executed a reduction in force as part of the continued focus on reducing variable and fixed costs. Refer to Note 17 – Restructuring Activities for further discussion. On April 26, 2023, the Company executed another reduction in force. Refer to Note 21 – Subsequent Events for further discussion.</w:t>
      </w:r>
    </w:p>
    <w:p>
      <w:pPr>
        <w:spacing w:after="0" w:line="192" w:lineRule="exact"/>
        <w:rPr>
          <w:sz w:val="20"/>
          <w:szCs w:val="20"/>
          <w:color w:val="auto"/>
        </w:rPr>
      </w:pPr>
    </w:p>
    <w:p>
      <w:pPr>
        <w:ind w:right="460" w:firstLine="761"/>
        <w:spacing w:after="0" w:line="245" w:lineRule="auto"/>
        <w:rPr>
          <w:sz w:val="20"/>
          <w:szCs w:val="20"/>
          <w:color w:val="auto"/>
        </w:rPr>
      </w:pPr>
      <w:r>
        <w:rPr>
          <w:rFonts w:ascii="Arial" w:cs="Arial" w:eastAsia="Arial" w:hAnsi="Arial"/>
          <w:sz w:val="18"/>
          <w:szCs w:val="18"/>
          <w:color w:val="auto"/>
        </w:rPr>
        <w:t>As of March 31, 2023, the Company had cash and cash equivalents of $316.7 million and restricted cash of $72.0 million. The primary source of liquidity is cash generated through financing activities.</w:t>
      </w:r>
    </w:p>
    <w:p>
      <w:pPr>
        <w:spacing w:after="0" w:line="184"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For the three months ended March 31, 2023, the Company repurchased $14.6 million in aggregate principal amount of the Notes (as defined in Note 12), net of deferred issuance costs of $0.3 million, for $5.9 million in open-market transactions. The Company recognized a gain on extinguishment of debt of $8.7 million for the three months ended March 31, 2023. As of March 31, 2023, $345.1 million aggregate principal amount of the Notes remain outstanding, net of deferred issuance costs of $5.8 million. Refer to Note 12 – Long Term Debt for further discussion.</w:t>
      </w:r>
    </w:p>
    <w:p>
      <w:pPr>
        <w:spacing w:after="0" w:line="189"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The Company has a 2022 Vehicle Floorplan Facility (as defined in Note 10) with a borrowing capacity of $214.7 million as of March 31, 2023, of which $67.3 million was unutilized. The 2022 Vehicle Floorplan Facility provides a committed credit line of up to $500.0 million which is scheduled to mature on March 31, 2024. Refer to Note 10 – Vehicle Floorplan Facility for further discussion.</w:t>
      </w:r>
    </w:p>
    <w:p>
      <w:pPr>
        <w:spacing w:after="0" w:line="188" w:lineRule="exact"/>
        <w:rPr>
          <w:sz w:val="20"/>
          <w:szCs w:val="20"/>
          <w:color w:val="auto"/>
        </w:rPr>
      </w:pPr>
    </w:p>
    <w:p>
      <w:pPr>
        <w:jc w:val="both"/>
        <w:ind w:right="260" w:firstLine="761"/>
        <w:spacing w:after="0"/>
        <w:rPr>
          <w:sz w:val="20"/>
          <w:szCs w:val="20"/>
          <w:color w:val="auto"/>
        </w:rPr>
      </w:pPr>
      <w:r>
        <w:rPr>
          <w:rFonts w:ascii="Arial" w:cs="Arial" w:eastAsia="Arial" w:hAnsi="Arial"/>
          <w:sz w:val="18"/>
          <w:szCs w:val="18"/>
          <w:color w:val="auto"/>
        </w:rPr>
        <w:t>In January 2023, UACC sold approximately $238.7 million of rated asset-backed securities in auto loan securitization transaction from a securitization trust, established and sponsored by UACC for proceeds of $237.8 million. Refer to Note 4 – Variable Interest Entities and Securitizations for further discussion.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UACC has four warehouse credit facilities with an aggregate borrowing limit of $850.0 million as of March 31, 2023. As of March 31, 2023, outstanding borrowings related to the Warehouse Credit Facilities were $124.2 million and excess borrowing capacity was $57.9 million. Refer to Note 11 – Warehouse Credit Facilities of Consolidated VIEs for further discussion.</w:t>
      </w:r>
    </w:p>
    <w:p>
      <w:pPr>
        <w:spacing w:after="0" w:line="188"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anticipates that the existing cash and cash equivalents, the 2022 Vehicle Floorplan Facility and UACC credit facilities will be sufficient to support its operations for at least the next twelve months from the date of issuance of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202" w:lineRule="exact"/>
        <w:rPr>
          <w:sz w:val="20"/>
          <w:szCs w:val="20"/>
          <w:color w:val="auto"/>
        </w:rPr>
      </w:pPr>
    </w:p>
    <w:p>
      <w:pPr>
        <w:ind w:right="60" w:firstLine="761"/>
        <w:spacing w:after="0" w:line="264"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w:t>
      </w:r>
      <w:r>
        <w:rPr>
          <w:rFonts w:ascii="Arial" w:cs="Arial" w:eastAsia="Arial" w:hAnsi="Arial"/>
          <w:sz w:val="17"/>
          <w:szCs w:val="17"/>
          <w:color w:val="auto"/>
        </w:rPr>
        <w:t>, which requires contract assets and contract liabilities acquired in a business combination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accordance with Topic 606 as if the acquirer had originated the contracts. The Company adopted the guidance on January 1, 2023, which did not have a material impact on the Company's condensed consolidated financial statements and related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90" w:lineRule="exact"/>
        <w:rPr>
          <w:sz w:val="20"/>
          <w:szCs w:val="20"/>
          <w:color w:val="auto"/>
        </w:rPr>
      </w:pPr>
    </w:p>
    <w:p>
      <w:pPr>
        <w:ind w:right="540" w:firstLine="761"/>
        <w:spacing w:after="0" w:line="245"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92" w:lineRule="exact"/>
        <w:rPr>
          <w:sz w:val="20"/>
          <w:szCs w:val="20"/>
          <w:color w:val="auto"/>
        </w:rPr>
      </w:pPr>
    </w:p>
    <w:p>
      <w:pPr>
        <w:jc w:val="both"/>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arranges financing within a short period of time following the sale. Payments received prior to delivery or pick-up at the TDA retail location of used vehicles are recorded as “Deferred revenue” within the condensed consolidated balance sheets.</w:t>
      </w:r>
    </w:p>
    <w:p>
      <w:pPr>
        <w:spacing w:after="0" w:line="188"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580"/>
        <w:spacing w:after="0" w:line="245" w:lineRule="auto"/>
        <w:rPr>
          <w:sz w:val="20"/>
          <w:szCs w:val="20"/>
          <w:color w:val="auto"/>
        </w:rPr>
      </w:pPr>
      <w:r>
        <w:rPr>
          <w:rFonts w:ascii="Arial" w:cs="Arial" w:eastAsia="Arial" w:hAnsi="Arial"/>
          <w:sz w:val="18"/>
          <w:szCs w:val="18"/>
          <w:color w:val="auto"/>
        </w:rPr>
        <w:t>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Company’s product revenue consists of income from financing vehicle sales for Vroom customers through UACC and fees earned on selling third-party financing and value-added products, such as vehicle service contracts, guaranteed asset protection (“GAP”) and tire and wheel coverage.</w:t>
      </w:r>
    </w:p>
    <w:p>
      <w:pPr>
        <w:spacing w:after="0" w:line="188"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As a result of the UACC Acquisition (as defined below), the Company generates ecommerce product revenue by providing Vroom customers with automotive financing solutions through its captive financing operation. The Company earns interest income on finance receivables before they are sold, interest income on finance receivables held in consolidated VIEs, and gains on the sale of finance receivables. Refer to Note 4 – Variable Interest Entities and Securitizations.</w:t>
      </w:r>
    </w:p>
    <w:p>
      <w:pPr>
        <w:spacing w:after="0" w:line="19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also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90" w:lineRule="exact"/>
        <w:rPr>
          <w:sz w:val="20"/>
          <w:szCs w:val="20"/>
          <w:color w:val="auto"/>
        </w:rPr>
      </w:pPr>
    </w:p>
    <w:p>
      <w:pPr>
        <w:ind w:right="360" w:firstLine="761"/>
        <w:spacing w:after="0" w:line="237"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92"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2023 and December 31, 2022, the Company’s reserve for chargebacks was $7.3 million and $8.2 million, respectively, of which $3.8 million and $4.4 million, respectively, are included within “Accrued expenses” and $3.5 million and $3.8 million, respectively, are included in “Other long-term liabilities.”</w:t>
      </w:r>
    </w:p>
    <w:p>
      <w:pPr>
        <w:spacing w:after="0" w:line="19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March 31, 2023 and December 31, 2022, the Company recognized $21.3 million and $22.5 million, respectively, related to cumulative profit-sharing payments to which it expects to be entitled, of which $1.9 million and $1.6 million, respectively, are included within “Prepaid expenses and other current assets” and $19.4 million and $20.9 million, respectively, are included within “Other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20" w:lineRule="exact"/>
        <w:rPr>
          <w:sz w:val="20"/>
          <w:szCs w:val="20"/>
          <w:color w:val="auto"/>
        </w:rPr>
      </w:pPr>
    </w:p>
    <w:p>
      <w:pPr>
        <w:ind w:right="20" w:firstLine="761"/>
        <w:spacing w:after="0" w:line="261" w:lineRule="auto"/>
        <w:rPr>
          <w:sz w:val="20"/>
          <w:szCs w:val="20"/>
          <w:color w:val="auto"/>
        </w:rPr>
      </w:pPr>
      <w:r>
        <w:rPr>
          <w:rFonts w:ascii="Arial" w:cs="Arial" w:eastAsia="Arial" w:hAnsi="Arial"/>
          <w:sz w:val="17"/>
          <w:szCs w:val="17"/>
          <w:color w:val="auto"/>
        </w:rPr>
        <w:t>The Company’s finance revenue is related to finance receivables originated by UACC for its network of third-party dealership customers and consists of interest income earned on finance receivables before they are sold, interest income earned on finance receivables held in consolidated VIEs, and gains on the sale of finance receivables. Refer to Note 4 – Variable Interest Entities and Securitizations.</w:t>
      </w:r>
    </w:p>
    <w:p>
      <w:pPr>
        <w:spacing w:after="0" w:line="171" w:lineRule="exact"/>
        <w:rPr>
          <w:sz w:val="20"/>
          <w:szCs w:val="20"/>
          <w:color w:val="auto"/>
        </w:rPr>
      </w:pPr>
    </w:p>
    <w:p>
      <w:pPr>
        <w:ind w:right="640" w:firstLine="761"/>
        <w:spacing w:after="0" w:line="245"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9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 During the three months ended March 31, 2023, UACC waived the monthly servicing fees related to the 2022-2 securitization transaction, which resulted in consolidation of the 2022-2 VIE. Refer to Note 4 – Variable Interest Entities and Securitizations.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93"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90"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 In February and July 2022, UACC completed the 2022-1 and 2022-2 securitization transactions, respectively, and in January 2023, UACC completed the 2023-1 securitization transaction.</w:t>
      </w:r>
    </w:p>
    <w:p>
      <w:pPr>
        <w:spacing w:after="0" w:line="192" w:lineRule="exact"/>
        <w:rPr>
          <w:sz w:val="20"/>
          <w:szCs w:val="20"/>
          <w:color w:val="auto"/>
        </w:rPr>
      </w:pPr>
    </w:p>
    <w:p>
      <w:pPr>
        <w:jc w:val="both"/>
        <w:ind w:right="40" w:firstLine="761"/>
        <w:spacing w:after="0" w:line="238"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 For all securitization transactions consummated prior to the Acquisition Date, the Company consolidated VIEs and accounted for these transactions as secured borrowings.</w:t>
      </w:r>
    </w:p>
    <w:p>
      <w:pPr>
        <w:spacing w:after="0" w:line="19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92" w:lineRule="exact"/>
        <w:rPr>
          <w:sz w:val="20"/>
          <w:szCs w:val="20"/>
          <w:color w:val="auto"/>
        </w:rPr>
      </w:pPr>
    </w:p>
    <w:p>
      <w:pPr>
        <w:ind w:right="480" w:firstLine="761"/>
        <w:spacing w:after="0" w:line="245" w:lineRule="auto"/>
        <w:rPr>
          <w:sz w:val="20"/>
          <w:szCs w:val="20"/>
          <w:color w:val="auto"/>
        </w:rPr>
      </w:pPr>
      <w:r>
        <w:rPr>
          <w:rFonts w:ascii="Arial" w:cs="Arial" w:eastAsia="Arial" w:hAnsi="Arial"/>
          <w:sz w:val="18"/>
          <w:szCs w:val="18"/>
          <w:color w:val="auto"/>
        </w:rPr>
        <w:t>In January 2023, UACC completed the 2023-1 securitization transaction, in which it sold approximately $238.7 million of rated asset-backed securities, for proceeds of $237.8 million, and retained the non-investment grade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and residual interests. The trust is collateralized by finance receivables with an aggregate principal balance of $326.4 million. These finance receivables are serviced by UACC. The Company consolidated the 2023-1 VIE and accounted for this transaction as a secured borrowing.</w:t>
      </w:r>
    </w:p>
    <w:p>
      <w:pPr>
        <w:spacing w:after="0" w:line="16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UACC is the primary beneficiary of the 2021-1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2021-1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12 – Long Term Debt for further details.</w:t>
      </w:r>
    </w:p>
    <w:p>
      <w:pPr>
        <w:spacing w:after="0" w:line="189"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In July 2022, UACC sold a pool of finance receivables in the 2022-2 securitization transaction. UACC retained the servicing rights to these finance receivables and received beneficial interests in the form of asset-backed securities. UACC owns an insignificant portion of these securities and receives an at market servicing fee. Originally, the Company concluded that is not the primary beneficiary of the 2022-2 securitization trust because UACC retained interests in the VIE are insignificant. Therefore, the Company did not originally consolidate the 2022-2 trust. During the three months ended March 31, 2023, although not contractually required, UACC elected to waive its servicing fee on the 2022-2 securitization, due to higher-than-expected losses, which transferred more than an insignificant portion of the corresponding risk of loss from the VIE to the Company. By having the power to direct the significant activities of the VIE and absorbing the risk of loss, the Company is deemed to be the primary beneficiary and must consolidate the 2022-2 securitization transaction. This transaction is now accounted for as secured borrowings and the beneficial interest was eliminated.</w:t>
      </w:r>
    </w:p>
    <w:p>
      <w:pPr>
        <w:spacing w:after="0" w:line="191"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2021-1, 2022-2, and 2023-1 securitization trusts consolidated by UACC meet the definition of a CFE, therefore, the Company has elected to apply the measurement alternative when consolidating these VIEs. Refer to Note 16 – Financial Instruments and Fair Value Measurements for further detail.</w:t>
      </w:r>
    </w:p>
    <w:p>
      <w:pPr>
        <w:spacing w:after="0" w:line="189" w:lineRule="exact"/>
        <w:rPr>
          <w:sz w:val="20"/>
          <w:szCs w:val="20"/>
          <w:color w:val="auto"/>
        </w:rPr>
      </w:pPr>
    </w:p>
    <w:p>
      <w:pPr>
        <w:jc w:val="both"/>
        <w:ind w:right="180" w:firstLine="761"/>
        <w:spacing w:after="0" w:line="248" w:lineRule="auto"/>
        <w:rPr>
          <w:sz w:val="20"/>
          <w:szCs w:val="20"/>
          <w:color w:val="auto"/>
        </w:rPr>
      </w:pPr>
      <w:r>
        <w:rPr>
          <w:rFonts w:ascii="Arial" w:cs="Arial" w:eastAsia="Arial" w:hAnsi="Arial"/>
          <w:sz w:val="17"/>
          <w:szCs w:val="17"/>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20" w:firstLine="764"/>
        <w:spacing w:after="0" w:line="238"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b w:val="1"/>
                <w:bCs w:val="1"/>
                <w:color w:val="auto"/>
              </w:rPr>
              <w:t>As of March 31, 2023</w:t>
            </w: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center"/>
              <w:ind w:right="273"/>
              <w:spacing w:after="0" w:line="142" w:lineRule="exact"/>
              <w:rPr>
                <w:sz w:val="20"/>
                <w:szCs w:val="20"/>
                <w:color w:val="auto"/>
              </w:rPr>
            </w:pPr>
            <w:r>
              <w:rPr>
                <w:rFonts w:ascii="Arial" w:cs="Arial" w:eastAsia="Arial" w:hAnsi="Arial"/>
                <w:sz w:val="14"/>
                <w:szCs w:val="14"/>
                <w:b w:val="1"/>
                <w:bCs w:val="1"/>
                <w:color w:val="auto"/>
              </w:rPr>
              <w:t>Warehouse</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5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Securitization Vehicles</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33"/>
              <w:spacing w:after="0" w:line="203" w:lineRule="exact"/>
              <w:rPr>
                <w:sz w:val="20"/>
                <w:szCs w:val="20"/>
                <w:color w:val="auto"/>
              </w:rPr>
            </w:pPr>
            <w:r>
              <w:rPr>
                <w:rFonts w:ascii="Arial" w:cs="Arial" w:eastAsia="Arial" w:hAnsi="Arial"/>
                <w:sz w:val="14"/>
                <w:szCs w:val="14"/>
                <w:b w:val="1"/>
                <w:bCs w:val="1"/>
                <w:color w:val="auto"/>
                <w:w w:val="98"/>
              </w:rPr>
              <w:t>Facilities</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38,901</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9,085</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47,986</w:t>
            </w: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12,060</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163,679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163,679</w:t>
            </w:r>
          </w:p>
        </w:tc>
        <w:tc>
          <w:tcPr>
            <w:tcW w:w="100" w:type="dxa"/>
            <w:vAlign w:val="bottom"/>
          </w:tcPr>
          <w:p>
            <w:pPr>
              <w:spacing w:after="0"/>
              <w:rPr>
                <w:sz w:val="19"/>
                <w:szCs w:val="19"/>
                <w:color w:val="auto"/>
              </w:rPr>
            </w:pPr>
          </w:p>
        </w:tc>
      </w:tr>
      <w:tr>
        <w:trPr>
          <w:trHeight w:val="22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54,694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173,869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9"/>
                <w:szCs w:val="19"/>
                <w:color w:val="auto"/>
              </w:rPr>
            </w:pPr>
          </w:p>
        </w:tc>
      </w:tr>
      <w:tr>
        <w:trPr>
          <w:trHeight w:val="22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480,934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27,325</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535,628</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201,194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736,822</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Current portion of securitization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261,746</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261,746</w:t>
            </w:r>
          </w:p>
        </w:tc>
        <w:tc>
          <w:tcPr>
            <w:tcW w:w="100" w:type="dxa"/>
            <w:vAlign w:val="bottom"/>
          </w:tcPr>
          <w:p>
            <w:pPr>
              <w:spacing w:after="0"/>
              <w:rPr>
                <w:sz w:val="19"/>
                <w:szCs w:val="19"/>
                <w:color w:val="auto"/>
              </w:rPr>
            </w:pPr>
          </w:p>
        </w:tc>
      </w:tr>
      <w:tr>
        <w:trPr>
          <w:trHeight w:val="22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124,247</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261,746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124,247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385,993</w:t>
            </w: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199,198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199,198</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463,097</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2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52"/>
        </w:trPr>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jc w:val="center"/>
              <w:ind w:right="273"/>
              <w:spacing w:after="0" w:line="142" w:lineRule="exact"/>
              <w:rPr>
                <w:sz w:val="20"/>
                <w:szCs w:val="20"/>
                <w:color w:val="auto"/>
              </w:rPr>
            </w:pPr>
            <w:r>
              <w:rPr>
                <w:rFonts w:ascii="Arial" w:cs="Arial" w:eastAsia="Arial" w:hAnsi="Arial"/>
                <w:sz w:val="14"/>
                <w:szCs w:val="14"/>
                <w:b w:val="1"/>
                <w:bCs w:val="1"/>
                <w:color w:val="auto"/>
              </w:rPr>
              <w:t>Warehouse</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5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Securitization Vehicles</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33"/>
              <w:spacing w:after="0" w:line="203" w:lineRule="exact"/>
              <w:rPr>
                <w:sz w:val="20"/>
                <w:szCs w:val="20"/>
                <w:color w:val="auto"/>
              </w:rPr>
            </w:pPr>
            <w:r>
              <w:rPr>
                <w:rFonts w:ascii="Arial" w:cs="Arial" w:eastAsia="Arial" w:hAnsi="Arial"/>
                <w:sz w:val="14"/>
                <w:szCs w:val="14"/>
                <w:b w:val="1"/>
                <w:bCs w:val="1"/>
                <w:color w:val="auto"/>
                <w:w w:val="98"/>
              </w:rPr>
              <w:t>Facilities</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56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w:t>
            </w: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6,156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held for sale</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305,917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305,917</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329,288</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344,444</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72,568</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47,024</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119,592</w:t>
            </w:r>
          </w:p>
        </w:tc>
        <w:tc>
          <w:tcPr>
            <w:tcW w:w="100" w:type="dxa"/>
            <w:vAlign w:val="bottom"/>
          </w:tcPr>
          <w:p>
            <w:pPr>
              <w:spacing w:after="0"/>
              <w:rPr>
                <w:sz w:val="19"/>
                <w:szCs w:val="19"/>
                <w:color w:val="auto"/>
              </w:rPr>
            </w:pPr>
          </w:p>
        </w:tc>
      </w:tr>
      <w:tr>
        <w:trPr>
          <w:trHeight w:val="26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87,724</w:t>
            </w:r>
          </w:p>
        </w:tc>
        <w:tc>
          <w:tcPr>
            <w:tcW w:w="56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376,312</w:t>
            </w: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464,036</w:t>
            </w:r>
          </w:p>
        </w:tc>
        <w:tc>
          <w:tcPr>
            <w:tcW w:w="100" w:type="dxa"/>
            <w:vAlign w:val="bottom"/>
            <w:shd w:val="clear" w:color="auto" w:fill="CFF0FC"/>
          </w:tcPr>
          <w:p>
            <w:pPr>
              <w:spacing w:after="0"/>
              <w:rPr>
                <w:sz w:val="22"/>
                <w:szCs w:val="22"/>
                <w:color w:val="auto"/>
              </w:rPr>
            </w:pPr>
          </w:p>
        </w:tc>
      </w:tr>
      <w:tr>
        <w:trPr>
          <w:trHeight w:val="210"/>
        </w:trPr>
        <w:tc>
          <w:tcPr>
            <w:tcW w:w="5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56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229,518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229,518</w:t>
            </w:r>
          </w:p>
        </w:tc>
        <w:tc>
          <w:tcPr>
            <w:tcW w:w="100" w:type="dxa"/>
            <w:vAlign w:val="bottom"/>
          </w:tcPr>
          <w:p>
            <w:pPr>
              <w:spacing w:after="0"/>
              <w:rPr>
                <w:sz w:val="19"/>
                <w:szCs w:val="19"/>
                <w:color w:val="auto"/>
              </w:rPr>
            </w:pPr>
          </w:p>
        </w:tc>
      </w:tr>
      <w:tr>
        <w:trPr>
          <w:trHeight w:val="22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229,518</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276,757</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32,590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tcPr>
          <w:p>
            <w:pPr>
              <w:spacing w:after="0"/>
              <w:rPr>
                <w:sz w:val="19"/>
                <w:szCs w:val="19"/>
                <w:color w:val="auto"/>
              </w:rPr>
            </w:pPr>
          </w:p>
        </w:tc>
      </w:tr>
      <w:tr>
        <w:trPr>
          <w:trHeight w:val="229"/>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79,919</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230,834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310,753</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-4349115</wp:posOffset>
            </wp:positionV>
            <wp:extent cx="7683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-4349115</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-4349115</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-4049395</wp:posOffset>
            </wp:positionV>
            <wp:extent cx="76835"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-4049395</wp:posOffset>
            </wp:positionV>
            <wp:extent cx="6858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-3432810</wp:posOffset>
            </wp:positionV>
            <wp:extent cx="7683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-3432810</wp:posOffset>
            </wp:positionV>
            <wp:extent cx="685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-2833370</wp:posOffset>
            </wp:positionV>
            <wp:extent cx="2551430" cy="7105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1430" cy="71056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-1086485</wp:posOffset>
            </wp:positionV>
            <wp:extent cx="255143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51430" cy="17145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-179070</wp:posOffset>
            </wp:positionV>
            <wp:extent cx="7683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240" w:lineRule="exact"/>
        <w:rPr>
          <w:sz w:val="20"/>
          <w:szCs w:val="20"/>
          <w:color w:val="auto"/>
        </w:rPr>
      </w:pPr>
    </w:p>
    <w:p>
      <w:pPr>
        <w:jc w:val="both"/>
        <w:ind w:right="340" w:firstLine="761"/>
        <w:spacing w:after="0" w:line="238"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w:t>
      </w:r>
    </w:p>
    <w:p>
      <w:pPr>
        <w:spacing w:after="0" w:line="190" w:lineRule="exact"/>
        <w:rPr>
          <w:sz w:val="20"/>
          <w:szCs w:val="20"/>
          <w:color w:val="auto"/>
        </w:rPr>
      </w:pPr>
    </w:p>
    <w:p>
      <w:pPr>
        <w:ind w:right="360" w:firstLine="761"/>
        <w:spacing w:after="0" w:line="238" w:lineRule="auto"/>
        <w:rPr>
          <w:sz w:val="20"/>
          <w:szCs w:val="20"/>
          <w:color w:val="auto"/>
        </w:rPr>
      </w:pPr>
      <w:r>
        <w:rPr>
          <w:rFonts w:ascii="Arial" w:cs="Arial" w:eastAsia="Arial" w:hAnsi="Arial"/>
          <w:sz w:val="18"/>
          <w:szCs w:val="18"/>
          <w:color w:val="auto"/>
        </w:rPr>
        <w:t>On February 16, 2022, UACC sold a pool of finance receivables in the 2022-1 securitization transaction. UACC retained the servicing rights to these finance receivables and received beneficial interests in the form of asset-backed securities. UACC owns an insignificant portion of these securities and receives an at market servicing fee. The 2022-1 securitization trust is a VIE that the Company does not consolidate. As the servicer, UACC retained the power to direct</w:t>
      </w:r>
    </w:p>
    <w:p>
      <w:pPr>
        <w:sectPr>
          <w:pgSz w:w="11900" w:h="16838" w:orient="portrait"/>
          <w:cols w:equalWidth="0" w:num="1">
            <w:col w:w="11240"/>
          </w:cols>
          <w:pgMar w:left="320" w:top="140"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 During the three months ended March 31, 2022, the Company sold $281.4 million of rated asset-backed securities and $32.3 million of residual certificates through securitization transactions. The total gain related to finance receivables sold pursuant to the 2022-1 securitization transactions was $29.6 million for the three months ended March 31, 2022.</w:t>
      </w:r>
    </w:p>
    <w:p>
      <w:pPr>
        <w:spacing w:after="0" w:line="189"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As of March 31, 2023 and December 31, 2022, the assets UACC retains in the unconsolidated VIEs were approximately $8.0 million and $20.6 million, respectively, and are included in "Beneficial interests in securitizations"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w:t>
      </w:r>
    </w:p>
    <w:p>
      <w:pPr>
        <w:spacing w:after="0" w:line="190" w:lineRule="exact"/>
        <w:rPr>
          <w:sz w:val="20"/>
          <w:szCs w:val="20"/>
          <w:color w:val="auto"/>
        </w:rPr>
      </w:pPr>
    </w:p>
    <w:p>
      <w:pPr>
        <w:ind w:right="420" w:firstLine="761"/>
        <w:spacing w:after="0" w:line="245"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March 31, 2023</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As of December 31, 2022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1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6"/>
                <w:szCs w:val="16"/>
                <w:color w:val="auto"/>
              </w:rPr>
            </w:pPr>
          </w:p>
        </w:tc>
      </w:tr>
      <w:tr>
        <w:trPr>
          <w:trHeight w:val="223"/>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6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6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100" w:type="dxa"/>
            <w:vAlign w:val="bottom"/>
            <w:shd w:val="clear" w:color="auto" w:fill="CFF0FC"/>
          </w:tcPr>
          <w:p>
            <w:pPr>
              <w:spacing w:after="0"/>
              <w:rPr>
                <w:sz w:val="19"/>
                <w:szCs w:val="19"/>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r>
      <w:tr>
        <w:trPr>
          <w:trHeight w:val="229"/>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7,840</w:t>
            </w: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8,286</w:t>
            </w:r>
          </w:p>
        </w:tc>
        <w:tc>
          <w:tcPr>
            <w:tcW w:w="26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19,543</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6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-179070</wp:posOffset>
            </wp:positionV>
            <wp:extent cx="7683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-179070</wp:posOffset>
            </wp:positionV>
            <wp:extent cx="7683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-179070</wp:posOffset>
            </wp:positionV>
            <wp:extent cx="685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-179070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UACC, as well as their other subsidiaries, are now wholly owned subsidiaries of the Company. This acquisition accelerates the Company's strategy of establishing a captive financing arm and underwriting vehicle financing for its customers, the results of which are included within the Ecommerce reporting segment. UACC will also continue its current operations with its network of third-party dealership customers, including the purchases and servicing of vehicle installment contracts, which constitutes the separate Retail Financing reporting segment. The cash consideration transferred was approximately $315.4 million at the Acquisition Date, inclusive of immaterial measurement period adjustments.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260" w:firstLine="799"/>
        <w:spacing w:after="0" w:line="245"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20" w:type="dxa"/>
            <w:vAlign w:val="bottom"/>
            <w:gridSpan w:val="2"/>
          </w:tcPr>
          <w:p>
            <w:pPr>
              <w:jc w:val="right"/>
              <w:ind w:right="2160"/>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3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42,631</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080" w:type="dxa"/>
            <w:vAlign w:val="bottom"/>
            <w:shd w:val="clear" w:color="auto" w:fill="CFF0FC"/>
          </w:tcPr>
          <w:p>
            <w:pPr>
              <w:spacing w:after="0"/>
              <w:rPr>
                <w:sz w:val="19"/>
                <w:szCs w:val="19"/>
                <w:color w:val="auto"/>
              </w:rPr>
            </w:pP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296,927</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263,393</w:t>
            </w: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19"/>
                <w:szCs w:val="19"/>
                <w:color w:val="auto"/>
              </w:rPr>
            </w:pPr>
          </w:p>
        </w:tc>
        <w:tc>
          <w:tcPr>
            <w:tcW w:w="3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r>
      <w:tr>
        <w:trPr>
          <w:trHeight w:val="229"/>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3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833,065</w:t>
            </w:r>
          </w:p>
        </w:tc>
        <w:tc>
          <w:tcPr>
            <w:tcW w:w="100" w:type="dxa"/>
            <w:vAlign w:val="bottom"/>
          </w:tcPr>
          <w:p>
            <w:pPr>
              <w:spacing w:after="0"/>
              <w:rPr>
                <w:sz w:val="19"/>
                <w:szCs w:val="19"/>
                <w:color w:val="auto"/>
              </w:rPr>
            </w:pPr>
          </w:p>
        </w:tc>
      </w:tr>
      <w:tr>
        <w:trPr>
          <w:trHeight w:val="22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10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(178,067 )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080" w:type="dxa"/>
            <w:vAlign w:val="bottom"/>
          </w:tcPr>
          <w:p>
            <w:pPr>
              <w:spacing w:after="0"/>
              <w:rPr>
                <w:sz w:val="19"/>
                <w:szCs w:val="19"/>
                <w:color w:val="auto"/>
              </w:rPr>
            </w:pPr>
          </w:p>
        </w:tc>
        <w:tc>
          <w:tcPr>
            <w:tcW w:w="3820" w:type="dxa"/>
            <w:vAlign w:val="bottom"/>
            <w:gridSpan w:val="2"/>
          </w:tcPr>
          <w:p>
            <w:pPr>
              <w:jc w:val="right"/>
              <w:ind w:right="40"/>
              <w:spacing w:after="0"/>
              <w:rPr>
                <w:sz w:val="20"/>
                <w:szCs w:val="20"/>
                <w:color w:val="auto"/>
              </w:rPr>
            </w:pPr>
            <w:r>
              <w:rPr>
                <w:rFonts w:ascii="Arial" w:cs="Arial" w:eastAsia="Arial" w:hAnsi="Arial"/>
                <w:sz w:val="18"/>
                <w:szCs w:val="18"/>
                <w:color w:val="auto"/>
              </w:rPr>
              <w:t>(285,704 )</w:t>
            </w: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(23,855 )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3820" w:type="dxa"/>
            <w:vAlign w:val="bottom"/>
            <w:gridSpan w:val="2"/>
          </w:tcPr>
          <w:p>
            <w:pPr>
              <w:jc w:val="right"/>
              <w:ind w:right="40"/>
              <w:spacing w:after="0"/>
              <w:rPr>
                <w:sz w:val="20"/>
                <w:szCs w:val="20"/>
                <w:color w:val="auto"/>
              </w:rPr>
            </w:pPr>
            <w:r>
              <w:rPr>
                <w:rFonts w:ascii="Arial" w:cs="Arial" w:eastAsia="Arial" w:hAnsi="Arial"/>
                <w:sz w:val="18"/>
                <w:szCs w:val="18"/>
                <w:color w:val="auto"/>
              </w:rPr>
              <w:t>(30,026 )</w:t>
            </w:r>
          </w:p>
        </w:tc>
      </w:tr>
      <w:tr>
        <w:trPr>
          <w:trHeight w:val="20"/>
        </w:trPr>
        <w:tc>
          <w:tcPr>
            <w:tcW w:w="6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3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(517,652 )</w:t>
            </w:r>
          </w:p>
        </w:tc>
      </w:tr>
      <w:tr>
        <w:trPr>
          <w:trHeight w:val="223"/>
        </w:trPr>
        <w:tc>
          <w:tcPr>
            <w:tcW w:w="6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3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315,413</w:t>
            </w:r>
          </w:p>
        </w:tc>
        <w:tc>
          <w:tcPr>
            <w:tcW w:w="100" w:type="dxa"/>
            <w:vAlign w:val="bottom"/>
            <w:tcBorders>
              <w:top w:val="single" w:sz="8" w:color="CFF0FC"/>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89"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16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92" w:lineRule="exact"/>
        <w:rPr>
          <w:sz w:val="20"/>
          <w:szCs w:val="20"/>
          <w:color w:val="auto"/>
        </w:rPr>
      </w:pPr>
    </w:p>
    <w:p>
      <w:pPr>
        <w:ind w:right="300" w:firstLine="749"/>
        <w:spacing w:after="0"/>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transaction that UACC completed on February 16, 2022.</w:t>
      </w:r>
    </w:p>
    <w:p>
      <w:pPr>
        <w:spacing w:after="0" w:line="188"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280" w:firstLine="749"/>
        <w:spacing w:after="0" w:line="245"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Weighted Average Useful Life</w:t>
            </w:r>
          </w:p>
        </w:tc>
      </w:tr>
      <w:tr>
        <w:trPr>
          <w:trHeight w:val="22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technology</w:t>
            </w:r>
          </w:p>
        </w:tc>
        <w:tc>
          <w:tcPr>
            <w:tcW w:w="2480" w:type="dxa"/>
            <w:vAlign w:val="bottom"/>
            <w:shd w:val="clear" w:color="auto" w:fill="CFF0FC"/>
          </w:tcPr>
          <w:p>
            <w:pPr>
              <w:jc w:val="right"/>
              <w:ind w:right="227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3000" w:type="dxa"/>
            <w:vAlign w:val="bottom"/>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9"/>
              </w:rPr>
              <w:t>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w:t>
            </w:r>
          </w:p>
        </w:tc>
        <w:tc>
          <w:tcPr>
            <w:tcW w:w="30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w:t>
            </w:r>
          </w:p>
        </w:tc>
      </w:tr>
      <w:tr>
        <w:trPr>
          <w:trHeight w:val="229"/>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24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300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10</w:t>
            </w:r>
          </w:p>
        </w:tc>
      </w:tr>
      <w:tr>
        <w:trPr>
          <w:trHeight w:val="223"/>
        </w:trPr>
        <w:tc>
          <w:tcPr>
            <w:tcW w:w="4700" w:type="dxa"/>
            <w:vAlign w:val="bottom"/>
          </w:tcPr>
          <w:p>
            <w:pPr>
              <w:spacing w:after="0"/>
              <w:rPr>
                <w:sz w:val="19"/>
                <w:szCs w:val="19"/>
                <w:color w:val="auto"/>
              </w:rPr>
            </w:pPr>
          </w:p>
        </w:tc>
        <w:tc>
          <w:tcPr>
            <w:tcW w:w="2480" w:type="dxa"/>
            <w:vAlign w:val="bottom"/>
            <w:tcBorders>
              <w:bottom w:val="single" w:sz="8" w:color="auto"/>
            </w:tcBorders>
          </w:tcPr>
          <w:p>
            <w:pPr>
              <w:jc w:val="right"/>
              <w:ind w:right="227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-179070</wp:posOffset>
            </wp:positionV>
            <wp:extent cx="685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80" w:firstLine="799"/>
        <w:spacing w:after="0" w:line="237"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w:t>
      </w:r>
    </w:p>
    <w:p>
      <w:pPr>
        <w:spacing w:after="0" w:line="192"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spacing w:after="0" w:line="189" w:lineRule="exact"/>
        <w:rPr>
          <w:sz w:val="20"/>
          <w:szCs w:val="20"/>
          <w:color w:val="auto"/>
        </w:rPr>
      </w:pPr>
    </w:p>
    <w:p>
      <w:pPr>
        <w:ind w:right="200" w:firstLine="799"/>
        <w:spacing w:after="0" w:line="238"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90"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The fair values assigned to assets acquired and liabilities assumed are based on management’s estimates and assumptions. The allocation of the total consideration transferred to the assets acquired, including intangible assets and goodwill, as well as the liabilities assumed was final as of December 31, 2022.</w:t>
      </w:r>
    </w:p>
    <w:p>
      <w:pPr>
        <w:spacing w:after="0" w:line="188"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The transaction costs associated with the UACC Acquisition were $5.7 million for the three months ended March 31, 2022, and are included within "Selling, general and administrative expenses" in the condensed consolidated statement of operations.</w:t>
      </w:r>
    </w:p>
    <w:p>
      <w:pPr>
        <w:spacing w:after="0" w:line="184" w:lineRule="exact"/>
        <w:rPr>
          <w:sz w:val="20"/>
          <w:szCs w:val="20"/>
          <w:color w:val="auto"/>
        </w:rPr>
      </w:pPr>
    </w:p>
    <w:p>
      <w:pPr>
        <w:ind w:right="680" w:firstLine="749"/>
        <w:spacing w:after="0" w:line="245" w:lineRule="auto"/>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$49.0 million and $19.2 million for the three months ended March 31, 2022,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20"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and a non-recurring tax adjustment of $ 24.1 million for the three months ended March 31, 2022.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three months ended March 31,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3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080" w:type="dxa"/>
            <w:vAlign w:val="bottom"/>
            <w:tcBorders>
              <w:top w:val="single" w:sz="8" w:color="auto"/>
              <w:bottom w:val="single" w:sz="8" w:color="auto"/>
            </w:tcBorders>
          </w:tcPr>
          <w:p>
            <w:pPr>
              <w:jc w:val="right"/>
              <w:ind w:right="21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74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4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939,246</w:t>
            </w:r>
          </w:p>
        </w:tc>
        <w:tc>
          <w:tcPr>
            <w:tcW w:w="100" w:type="dxa"/>
            <w:vAlign w:val="bottom"/>
            <w:shd w:val="clear" w:color="auto" w:fill="CFF0FC"/>
          </w:tcPr>
          <w:p>
            <w:pPr>
              <w:spacing w:after="0"/>
              <w:rPr>
                <w:sz w:val="19"/>
                <w:szCs w:val="19"/>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7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180" w:type="dxa"/>
            <w:vAlign w:val="bottom"/>
            <w:gridSpan w:val="2"/>
          </w:tcPr>
          <w:p>
            <w:pPr>
              <w:jc w:val="right"/>
              <w:ind w:right="40"/>
              <w:spacing w:after="0"/>
              <w:rPr>
                <w:sz w:val="20"/>
                <w:szCs w:val="20"/>
                <w:color w:val="auto"/>
              </w:rPr>
            </w:pPr>
            <w:r>
              <w:rPr>
                <w:rFonts w:ascii="Arial" w:cs="Arial" w:eastAsia="Arial" w:hAnsi="Arial"/>
                <w:sz w:val="18"/>
                <w:szCs w:val="18"/>
                <w:color w:val="auto"/>
              </w:rPr>
              <w:t>(322,650 )</w:t>
            </w:r>
          </w:p>
        </w:tc>
      </w:tr>
      <w:tr>
        <w:trPr>
          <w:trHeight w:val="634"/>
        </w:trPr>
        <w:tc>
          <w:tcPr>
            <w:tcW w:w="3320" w:type="dxa"/>
            <w:vAlign w:val="bottom"/>
          </w:tcPr>
          <w:p>
            <w:pPr>
              <w:spacing w:after="0"/>
              <w:rPr>
                <w:sz w:val="24"/>
                <w:szCs w:val="24"/>
                <w:color w:val="auto"/>
              </w:rPr>
            </w:pPr>
          </w:p>
        </w:tc>
        <w:tc>
          <w:tcPr>
            <w:tcW w:w="302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3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2022</w:t>
            </w: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210,008</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317,994</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2,974</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2,654</w:t>
            </w:r>
          </w:p>
        </w:tc>
      </w:tr>
      <w:tr>
        <w:trPr>
          <w:trHeight w:val="26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212,982</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320,648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-24765</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As of March 31, 2023 and December 31, 2022, “Inventory” includes an adjustment of $16.9 million and $24.2 million, respectively, to record the balances at the lower of cost or net realizable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3,543</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3,357</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1,896</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Logistics fleet</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32,537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32,468</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7,547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6,577</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34,371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30,725</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8,320</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8,081</w:t>
            </w:r>
          </w:p>
        </w:tc>
      </w:tr>
      <w:tr>
        <w:trPr>
          <w:trHeight w:val="223"/>
        </w:trPr>
        <w:tc>
          <w:tcPr>
            <w:tcW w:w="7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88,218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83,104</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(36,791 )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(32,903 )</w:t>
            </w:r>
          </w:p>
        </w:tc>
      </w:tr>
      <w:tr>
        <w:trPr>
          <w:trHeight w:val="26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51,427</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-24765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Depreciation and amortization expense was $3.9 million and $2.9 million for the three months ended March 31, 2023 and 2022, respectively. Depreciation and amortization expense included within “Cost of sales” in the condensed consolidated statements of operations was not material for the three months ended March 31, 2023 and 2022.</w:t>
      </w:r>
    </w:p>
    <w:p>
      <w:pPr>
        <w:spacing w:after="0" w:line="188"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$7.8 million and $5.1 million as of March 31, 2023, respectively, and $7.7 million and $4.6 million as of December 31, 2022, respectively, and were included within “Other assets” in the condensed consolidated balance sheets. Amortization expense of $0.4 million and $0.5 million was included within “Selling, general and administrative expenses” in the condensed consolidated statements of operations for the three months ended March 31,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three months ended March 31, 2022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Wholesale</w:t>
            </w:r>
          </w:p>
        </w:tc>
        <w:tc>
          <w:tcPr>
            <w:tcW w:w="360" w:type="dxa"/>
            <w:vAlign w:val="bottom"/>
          </w:tcPr>
          <w:p>
            <w:pPr>
              <w:spacing w:after="0"/>
              <w:rPr>
                <w:sz w:val="16"/>
                <w:szCs w:val="16"/>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TDA</w:t>
            </w:r>
          </w:p>
        </w:tc>
        <w:tc>
          <w:tcPr>
            <w:tcW w:w="360" w:type="dxa"/>
            <w:vAlign w:val="bottom"/>
          </w:tcPr>
          <w:p>
            <w:pPr>
              <w:spacing w:after="0"/>
              <w:rPr>
                <w:sz w:val="16"/>
                <w:szCs w:val="16"/>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Total</w:t>
            </w:r>
          </w:p>
        </w:tc>
      </w:tr>
      <w:tr>
        <w:trPr>
          <w:trHeight w:val="22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152,876</w:t>
            </w:r>
          </w:p>
        </w:tc>
        <w:tc>
          <w:tcPr>
            <w:tcW w:w="3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3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158,817</w:t>
            </w:r>
          </w:p>
        </w:tc>
        <w:tc>
          <w:tcPr>
            <w:tcW w:w="100" w:type="dxa"/>
            <w:vAlign w:val="bottom"/>
            <w:shd w:val="clear" w:color="auto" w:fill="CFF0FC"/>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42,886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(195,762 )</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(1,720 )</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(4,221 )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(201,703 )</w:t>
            </w:r>
          </w:p>
        </w:tc>
      </w:tr>
      <w:tr>
        <w:trPr>
          <w:trHeight w:val="223"/>
        </w:trPr>
        <w:tc>
          <w:tcPr>
            <w:tcW w:w="39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March 31,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4"/>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-650240</wp:posOffset>
            </wp:positionV>
            <wp:extent cx="7683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-650240</wp:posOffset>
            </wp:positionV>
            <wp:extent cx="76835"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-650240</wp:posOffset>
            </wp:positionV>
            <wp:extent cx="685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goodwill as of March 31, 2023.</w:t>
      </w:r>
    </w:p>
    <w:p>
      <w:pPr>
        <w:spacing w:after="0" w:line="192" w:lineRule="exact"/>
        <w:rPr>
          <w:sz w:val="20"/>
          <w:szCs w:val="20"/>
          <w:color w:val="auto"/>
        </w:rPr>
      </w:pPr>
    </w:p>
    <w:p>
      <w:pPr>
        <w:ind w:right="280" w:firstLine="761"/>
        <w:spacing w:after="0" w:line="242"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91" w:lineRule="exact"/>
        <w:rPr>
          <w:sz w:val="20"/>
          <w:szCs w:val="20"/>
          <w:color w:val="auto"/>
        </w:rPr>
      </w:pPr>
    </w:p>
    <w:p>
      <w:pPr>
        <w:ind w:right="340" w:firstLine="764"/>
        <w:spacing w:after="0" w:line="236" w:lineRule="auto"/>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93" w:lineRule="exact"/>
        <w:rPr>
          <w:sz w:val="20"/>
          <w:szCs w:val="20"/>
          <w:color w:val="auto"/>
        </w:rPr>
      </w:pPr>
    </w:p>
    <w:p>
      <w:pPr>
        <w:ind w:right="140" w:firstLine="764"/>
        <w:spacing w:after="0"/>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condensed consolidated statements of operations for the three months ended March 31, 2022.</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Acquisitions for more information related to the acquisition that occurred in the three months ended March 31,</w:t>
      </w:r>
    </w:p>
    <w:p>
      <w:pPr>
        <w:spacing w:after="0"/>
        <w:rPr>
          <w:sz w:val="20"/>
          <w:szCs w:val="20"/>
          <w:color w:val="auto"/>
        </w:rPr>
      </w:pPr>
      <w:r>
        <w:rPr>
          <w:rFonts w:ascii="Arial" w:cs="Arial" w:eastAsia="Arial" w:hAnsi="Arial"/>
          <w:sz w:val="18"/>
          <w:szCs w:val="18"/>
          <w:color w:val="auto"/>
        </w:rPr>
        <w:t>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Accumulat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8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84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r>
      <w:tr>
        <w:trPr>
          <w:trHeight w:val="189"/>
        </w:trPr>
        <w:tc>
          <w:tcPr>
            <w:tcW w:w="48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and purchased technology</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(25,302 )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(21,053 )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87,647</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860" w:type="dxa"/>
            <w:vAlign w:val="bottom"/>
          </w:tcPr>
          <w:p>
            <w:pPr>
              <w:jc w:val="right"/>
              <w:spacing w:after="0"/>
              <w:rPr>
                <w:sz w:val="20"/>
                <w:szCs w:val="20"/>
                <w:color w:val="auto"/>
              </w:rPr>
            </w:pPr>
            <w:r>
              <w:rPr>
                <w:rFonts w:ascii="Arial" w:cs="Arial" w:eastAsia="Arial" w:hAnsi="Arial"/>
                <w:sz w:val="18"/>
                <w:szCs w:val="18"/>
                <w:color w:val="auto"/>
              </w:rPr>
              <w:t>69,400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(10,830 )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(8,661 )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(2,013 )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(1,676 )</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840" w:type="dxa"/>
            <w:vAlign w:val="bottom"/>
          </w:tcPr>
          <w:p>
            <w:pPr>
              <w:ind w:left="320"/>
              <w:spacing w:after="0"/>
              <w:rPr>
                <w:sz w:val="20"/>
                <w:szCs w:val="20"/>
                <w:color w:val="auto"/>
              </w:rPr>
            </w:pPr>
            <w:r>
              <w:rPr>
                <w:rFonts w:ascii="Arial" w:cs="Arial" w:eastAsia="Arial" w:hAnsi="Arial"/>
                <w:sz w:val="18"/>
                <w:szCs w:val="18"/>
                <w:color w:val="auto"/>
              </w:rPr>
              <w:t>Total intangible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$ 190,300</w:t>
            </w: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(38,145 )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152,155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$ 190,300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(31,390 )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158,910</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-179070</wp:posOffset>
            </wp:positionV>
            <wp:extent cx="7683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-179070</wp:posOffset>
            </wp:positionV>
            <wp:extent cx="7683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-179070</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-179070</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-179070</wp:posOffset>
            </wp:positionV>
            <wp:extent cx="685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Acquisitions for more information related to the acquisitions that occurred in the three months ended March 31,</w:t>
      </w:r>
    </w:p>
    <w:p>
      <w:pPr>
        <w:spacing w:after="0"/>
        <w:rPr>
          <w:sz w:val="20"/>
          <w:szCs w:val="20"/>
          <w:color w:val="auto"/>
        </w:rPr>
      </w:pPr>
      <w:r>
        <w:rPr>
          <w:rFonts w:ascii="Arial" w:cs="Arial" w:eastAsia="Arial" w:hAnsi="Arial"/>
          <w:sz w:val="18"/>
          <w:szCs w:val="18"/>
          <w:color w:val="auto"/>
        </w:rPr>
        <w:t>2022.</w:t>
      </w:r>
    </w:p>
    <w:p>
      <w:pPr>
        <w:spacing w:after="0" w:line="198" w:lineRule="exact"/>
        <w:rPr>
          <w:sz w:val="20"/>
          <w:szCs w:val="20"/>
          <w:color w:val="auto"/>
        </w:rPr>
      </w:pPr>
    </w:p>
    <w:p>
      <w:pPr>
        <w:jc w:val="both"/>
        <w:ind w:right="100" w:firstLine="761"/>
        <w:spacing w:after="0" w:line="245" w:lineRule="auto"/>
        <w:rPr>
          <w:sz w:val="20"/>
          <w:szCs w:val="20"/>
          <w:color w:val="auto"/>
        </w:rPr>
      </w:pPr>
      <w:r>
        <w:rPr>
          <w:rFonts w:ascii="Arial" w:cs="Arial" w:eastAsia="Arial" w:hAnsi="Arial"/>
          <w:sz w:val="18"/>
          <w:szCs w:val="18"/>
          <w:color w:val="auto"/>
        </w:rPr>
        <w:t>Amortization expense for intangible assets was $6.8 million and $5.0 million for the three months ended March 31, 2023 and 2022, respectively.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March 31, 2023, consists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remainder of 2023</w:t>
            </w:r>
          </w:p>
        </w:tc>
        <w:tc>
          <w:tcPr>
            <w:tcW w:w="602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20,267</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2024</w:t>
            </w: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2026</w:t>
            </w: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21,979</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c>
          <w:tcPr>
            <w:tcW w:w="100" w:type="dxa"/>
            <w:vAlign w:val="bottom"/>
          </w:tcPr>
          <w:p>
            <w:pPr>
              <w:spacing w:after="0"/>
              <w:rPr>
                <w:sz w:val="19"/>
                <w:szCs w:val="19"/>
                <w:color w:val="auto"/>
              </w:rPr>
            </w:pPr>
          </w:p>
        </w:tc>
      </w:tr>
      <w:tr>
        <w:trPr>
          <w:trHeight w:val="263"/>
        </w:trPr>
        <w:tc>
          <w:tcPr>
            <w:tcW w:w="3680" w:type="dxa"/>
            <w:vAlign w:val="bottom"/>
            <w:shd w:val="clear" w:color="auto" w:fill="CFF0FC"/>
          </w:tcPr>
          <w:p>
            <w:pPr>
              <w:spacing w:after="0"/>
              <w:rPr>
                <w:sz w:val="22"/>
                <w:szCs w:val="22"/>
                <w:color w:val="auto"/>
              </w:rPr>
            </w:pPr>
          </w:p>
        </w:tc>
        <w:tc>
          <w:tcPr>
            <w:tcW w:w="602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152,155</w:t>
            </w:r>
          </w:p>
        </w:tc>
        <w:tc>
          <w:tcPr>
            <w:tcW w:w="100" w:type="dxa"/>
            <w:vAlign w:val="bottom"/>
            <w:shd w:val="clear" w:color="auto" w:fill="CFF0FC"/>
          </w:tcPr>
          <w:p>
            <w:pPr>
              <w:spacing w:after="0"/>
              <w:rPr>
                <w:sz w:val="22"/>
                <w:szCs w:val="22"/>
                <w:color w:val="auto"/>
              </w:rPr>
            </w:pPr>
          </w:p>
        </w:tc>
      </w:tr>
      <w:tr>
        <w:trPr>
          <w:trHeight w:val="614"/>
        </w:trPr>
        <w:tc>
          <w:tcPr>
            <w:tcW w:w="3680" w:type="dxa"/>
            <w:vAlign w:val="bottom"/>
            <w:tcBorders>
              <w:top w:val="single" w:sz="8" w:color="CFF0FC"/>
            </w:tcBorders>
          </w:tcPr>
          <w:p>
            <w:pPr>
              <w:spacing w:after="0"/>
              <w:rPr>
                <w:sz w:val="24"/>
                <w:szCs w:val="24"/>
                <w:color w:val="auto"/>
              </w:rPr>
            </w:pPr>
          </w:p>
        </w:tc>
        <w:tc>
          <w:tcPr>
            <w:tcW w:w="4880" w:type="dxa"/>
            <w:vAlign w:val="bottom"/>
            <w:tcBorders>
              <w:top w:val="single" w:sz="8" w:color="CFF0FC"/>
            </w:tcBorders>
          </w:tcPr>
          <w:p>
            <w:pPr>
              <w:jc w:val="right"/>
              <w:ind w:right="275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100" w:type="dxa"/>
            <w:vAlign w:val="bottom"/>
          </w:tcPr>
          <w:p>
            <w:pPr>
              <w:spacing w:after="0"/>
              <w:rPr>
                <w:sz w:val="15"/>
                <w:szCs w:val="15"/>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expenses</w:t>
            </w:r>
          </w:p>
        </w:tc>
        <w:tc>
          <w:tcPr>
            <w:tcW w:w="130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4,303</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2,093</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Vehicle related expenses</w:t>
            </w:r>
          </w:p>
        </w:tc>
        <w:tc>
          <w:tcPr>
            <w:tcW w:w="13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12,877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14,789</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taxes</w:t>
            </w:r>
          </w:p>
        </w:tc>
        <w:tc>
          <w:tcPr>
            <w:tcW w:w="1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5,693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5,983</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3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14,912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28,276</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1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2,725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3,488</w:t>
            </w:r>
          </w:p>
        </w:tc>
      </w:tr>
      <w:tr>
        <w:trPr>
          <w:trHeight w:val="229"/>
        </w:trPr>
        <w:tc>
          <w:tcPr>
            <w:tcW w:w="7100" w:type="dxa"/>
            <w:vAlign w:val="bottom"/>
          </w:tcPr>
          <w:p>
            <w:pPr>
              <w:ind w:left="20"/>
              <w:spacing w:after="0" w:line="229" w:lineRule="exact"/>
              <w:rPr>
                <w:sz w:val="20"/>
                <w:szCs w:val="20"/>
                <w:color w:val="auto"/>
              </w:rPr>
            </w:pPr>
            <w:r>
              <w:rPr>
                <w:rFonts w:ascii="Arial" w:cs="Arial" w:eastAsia="Arial" w:hAnsi="Arial"/>
                <w:sz w:val="18"/>
                <w:szCs w:val="18"/>
                <w:color w:val="auto"/>
              </w:rPr>
              <w:t>Accrued legal settlements</w:t>
            </w:r>
            <w:r>
              <w:rPr>
                <w:rFonts w:ascii="Arial" w:cs="Arial" w:eastAsia="Arial" w:hAnsi="Arial"/>
                <w:sz w:val="24"/>
                <w:szCs w:val="24"/>
                <w:color w:val="auto"/>
                <w:vertAlign w:val="superscript"/>
              </w:rPr>
              <w:t>(1)</w:t>
            </w:r>
          </w:p>
        </w:tc>
        <w:tc>
          <w:tcPr>
            <w:tcW w:w="13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4,979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7,383</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payable</w:t>
            </w:r>
          </w:p>
        </w:tc>
        <w:tc>
          <w:tcPr>
            <w:tcW w:w="1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5,168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3,990</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7,835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10,793</w:t>
            </w:r>
          </w:p>
        </w:tc>
      </w:tr>
      <w:tr>
        <w:trPr>
          <w:trHeight w:val="26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30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58,492</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-24765</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1" w:lineRule="exact"/>
        <w:rPr>
          <w:sz w:val="20"/>
          <w:szCs w:val="20"/>
          <w:color w:val="auto"/>
        </w:rPr>
      </w:pPr>
    </w:p>
    <w:p>
      <w:pPr>
        <w:ind w:right="500" w:firstLine="768"/>
        <w:spacing w:after="0" w:line="317" w:lineRule="auto"/>
        <w:tabs>
          <w:tab w:leader="none" w:pos="941" w:val="left"/>
        </w:tabs>
        <w:numPr>
          <w:ilvl w:val="0"/>
          <w:numId w:val="5"/>
        </w:numPr>
        <w:rPr>
          <w:rFonts w:ascii="Arial" w:cs="Arial" w:eastAsia="Arial" w:hAnsi="Arial"/>
          <w:sz w:val="12"/>
          <w:szCs w:val="12"/>
          <w:color w:val="auto"/>
        </w:rPr>
      </w:pPr>
      <w:r>
        <w:rPr>
          <w:rFonts w:ascii="Arial" w:cs="Arial" w:eastAsia="Arial" w:hAnsi="Arial"/>
          <w:sz w:val="12"/>
          <w:szCs w:val="12"/>
          <w:color w:val="auto"/>
        </w:rPr>
        <w:t>Accrued legal settlements are primarily related to legal challenges stemming from operational challenges created by the Company's prior rapid growth, which resulted in additional costs incurred, including legal settlements.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100" w:type="dxa"/>
            <w:vAlign w:val="bottom"/>
          </w:tcPr>
          <w:p>
            <w:pPr>
              <w:spacing w:after="0"/>
              <w:rPr>
                <w:sz w:val="15"/>
                <w:szCs w:val="15"/>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130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3,849</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3,617</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13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3,565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3,919</w:t>
            </w: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payable</w:t>
            </w:r>
          </w:p>
        </w:tc>
        <w:tc>
          <w:tcPr>
            <w:tcW w:w="1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4,551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State income tax payable</w:t>
            </w:r>
          </w:p>
        </w:tc>
        <w:tc>
          <w:tcPr>
            <w:tcW w:w="130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4,543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4,041</w:t>
            </w:r>
          </w:p>
        </w:tc>
      </w:tr>
      <w:tr>
        <w:trPr>
          <w:trHeight w:val="229"/>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1,469</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1,565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300" w:type="dxa"/>
            <w:vAlign w:val="bottom"/>
          </w:tcPr>
          <w:p>
            <w:pPr>
              <w:jc w:val="right"/>
              <w:ind w:right="109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15,251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17,693</w:t>
            </w:r>
          </w:p>
        </w:tc>
      </w:tr>
      <w:tr>
        <w:trPr>
          <w:trHeight w:val="20"/>
        </w:trPr>
        <w:tc>
          <w:tcPr>
            <w:tcW w:w="7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-179070</wp:posOffset>
            </wp:positionV>
            <wp:extent cx="120015"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220" w:lineRule="exact"/>
        <w:rPr>
          <w:sz w:val="20"/>
          <w:szCs w:val="20"/>
          <w:color w:val="auto"/>
        </w:rPr>
      </w:pPr>
    </w:p>
    <w:p>
      <w:pPr>
        <w:ind w:right="100" w:firstLine="761"/>
        <w:spacing w:after="0"/>
        <w:rPr>
          <w:sz w:val="20"/>
          <w:szCs w:val="20"/>
          <w:color w:val="auto"/>
        </w:rPr>
      </w:pPr>
      <w:r>
        <w:rPr>
          <w:rFonts w:ascii="Arial" w:cs="Arial" w:eastAsia="Arial" w:hAnsi="Arial"/>
          <w:sz w:val="18"/>
          <w:szCs w:val="18"/>
          <w:color w:val="auto"/>
        </w:rPr>
        <w:t>In November 2022, the Company amended its floorplan facility with Ally Bank and Ally Financial (the “2022 Vehicle Floorplan Facility”). The 2022 Vehicle Floorplan Facility provides a committed credit line of up to $500.0 million which is scheduled to mature on March 31, 2024.</w:t>
      </w:r>
    </w:p>
    <w:p>
      <w:pPr>
        <w:spacing w:after="0" w:line="188"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The amount of credit available to the Company on a monthly basis to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As of March 31, 2023, the borrowing capacity of the 2022 Vehicle Floorplan Facility was $214.7 million, of which $67.3 million was unutilized. As of December 31, 2022, the borrowing capacity of the 2022 Vehicle Floorplan Facility was $343.9 million, of which $66.9 million was unutilized.</w:t>
      </w:r>
    </w:p>
    <w:p>
      <w:pPr>
        <w:spacing w:after="0" w:line="193" w:lineRule="exact"/>
        <w:rPr>
          <w:sz w:val="20"/>
          <w:szCs w:val="20"/>
          <w:color w:val="auto"/>
        </w:rPr>
      </w:pPr>
    </w:p>
    <w:p>
      <w:pPr>
        <w:ind w:right="200" w:firstLine="761"/>
        <w:spacing w:after="0" w:line="237" w:lineRule="auto"/>
        <w:rPr>
          <w:sz w:val="20"/>
          <w:szCs w:val="20"/>
          <w:color w:val="auto"/>
        </w:rPr>
      </w:pPr>
      <w:r>
        <w:rPr>
          <w:rFonts w:ascii="Arial" w:cs="Arial" w:eastAsia="Arial" w:hAnsi="Arial"/>
          <w:sz w:val="18"/>
          <w:szCs w:val="18"/>
          <w:color w:val="auto"/>
        </w:rPr>
        <w:t>Additionally, the Company may elect to increase its monthly credit line availability by an additional $25.0 million during any four months in the period from November 1, 2022 through March 31, 2024, subject to the maximum $500.0 million credit limit. The 2022 Vehicle Floorplan Facility will allow for more flexibility in the Company's borrowing capacity. Consistent with the terms of the 2020 Vehicle Floorplan Facility, the Company and Vroom Automotive, LLC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the Company is subject to amended covenants and events of default. The Company is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The Company was required to pay a commitment fee upon execution of the 2022 Vehicle Floorplan Facility.</w:t>
      </w:r>
    </w:p>
    <w:p>
      <w:pPr>
        <w:spacing w:after="0" w:line="189" w:lineRule="exact"/>
        <w:rPr>
          <w:sz w:val="20"/>
          <w:szCs w:val="20"/>
          <w:color w:val="auto"/>
        </w:rPr>
      </w:pPr>
    </w:p>
    <w:p>
      <w:pPr>
        <w:jc w:val="both"/>
        <w:ind w:right="280" w:firstLine="761"/>
        <w:spacing w:after="0"/>
        <w:rPr>
          <w:sz w:val="20"/>
          <w:szCs w:val="20"/>
          <w:color w:val="auto"/>
        </w:rPr>
      </w:pPr>
      <w:r>
        <w:rPr>
          <w:rFonts w:ascii="Arial" w:cs="Arial" w:eastAsia="Arial" w:hAnsi="Arial"/>
          <w:sz w:val="18"/>
          <w:szCs w:val="18"/>
          <w:color w:val="auto"/>
        </w:rPr>
        <w:t>As of March 31, 2023 and December 31, 2022, outstanding borrowings on the vehicle floorplan facilities were $147.4 million and $277.0 million, respectively. Cash deposits required under the vehicle floorplan facilities of $22.1 million and $34.6 million are classified as "Restricted cash" within the condensed consolidated balance sheets as of March 31, 2023 and December 31, 2022, respectively.</w:t>
      </w:r>
    </w:p>
    <w:p>
      <w:pPr>
        <w:spacing w:after="0" w:line="188" w:lineRule="exact"/>
        <w:rPr>
          <w:sz w:val="20"/>
          <w:szCs w:val="20"/>
          <w:color w:val="auto"/>
        </w:rPr>
      </w:pPr>
    </w:p>
    <w:p>
      <w:pPr>
        <w:ind w:right="200" w:firstLine="761"/>
        <w:spacing w:after="0" w:line="238" w:lineRule="auto"/>
        <w:rPr>
          <w:sz w:val="20"/>
          <w:szCs w:val="20"/>
          <w:color w:val="auto"/>
        </w:rPr>
      </w:pPr>
      <w:r>
        <w:rPr>
          <w:rFonts w:ascii="Arial" w:cs="Arial" w:eastAsia="Arial" w:hAnsi="Arial"/>
          <w:sz w:val="18"/>
          <w:szCs w:val="18"/>
          <w:color w:val="auto"/>
        </w:rPr>
        <w:t>Interest expense incurred by the Company for the vehicle floorplan facilities was $5.4 million and $7.0 million for the three months ended March 31, 2023 and 2022, respectively, which are recorded within “Interest expense” in the condensed consolidated statements of operations. The weighted average interest rate on the vehicle floorplan borrowings was 9.50% and 9.25% as of March 31, 2023 and December 31, 2022, respectively.</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March 31, 2023 and December 31, 2022, the Company was in compliance with all covenants related to the vehicle floorplan</w:t>
      </w:r>
    </w:p>
    <w:p>
      <w:pPr>
        <w:spacing w:after="0"/>
        <w:rPr>
          <w:sz w:val="20"/>
          <w:szCs w:val="20"/>
          <w:color w:val="auto"/>
        </w:rPr>
      </w:pPr>
      <w:r>
        <w:rPr>
          <w:rFonts w:ascii="Arial" w:cs="Arial" w:eastAsia="Arial" w:hAnsi="Arial"/>
          <w:sz w:val="18"/>
          <w:szCs w:val="18"/>
          <w:color w:val="auto"/>
        </w:rPr>
        <w:t>facilities.</w:t>
      </w:r>
    </w:p>
    <w:p>
      <w:pPr>
        <w:spacing w:after="0" w:line="198"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$3.5 million and $3.9 million for the three months ended March 31, 2023 and 2022, respectively, which are recorded within “Interest income” in the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Warehouse Credit Facilities of Consolidated VIEs</w:t>
      </w:r>
    </w:p>
    <w:p>
      <w:pPr>
        <w:spacing w:after="0" w:line="220" w:lineRule="exact"/>
        <w:rPr>
          <w:sz w:val="20"/>
          <w:szCs w:val="20"/>
          <w:color w:val="auto"/>
        </w:rPr>
      </w:pPr>
    </w:p>
    <w:p>
      <w:pPr>
        <w:ind w:right="240" w:firstLine="764"/>
        <w:spacing w:after="0" w:line="237"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March 31, 2023. The Warehouse Credit Facilities are collateralized by eligible finance receivables and available borrowings are computed based on a percentage of eligible finance receivables. As of March 31, 2023 and December 31, 2022, the Company had excess borrowing capacity of $57.9 million and $105.8 million on UACC's Warehouse Credit Facilities, respectively. The terms of the Warehouse Credit Facilities include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Facility One</w:t>
            </w:r>
          </w:p>
        </w:tc>
        <w:tc>
          <w:tcPr>
            <w:tcW w:w="280" w:type="dxa"/>
            <w:vAlign w:val="bottom"/>
          </w:tcPr>
          <w:p>
            <w:pPr>
              <w:spacing w:after="0"/>
              <w:rPr>
                <w:sz w:val="16"/>
                <w:szCs w:val="16"/>
                <w:color w:val="auto"/>
              </w:rPr>
            </w:pPr>
          </w:p>
        </w:tc>
        <w:tc>
          <w:tcPr>
            <w:tcW w:w="1400" w:type="dxa"/>
            <w:vAlign w:val="bottom"/>
          </w:tcPr>
          <w:p>
            <w:pPr>
              <w:jc w:val="right"/>
              <w:ind w:right="352"/>
              <w:spacing w:after="0"/>
              <w:rPr>
                <w:sz w:val="20"/>
                <w:szCs w:val="20"/>
                <w:color w:val="auto"/>
              </w:rPr>
            </w:pPr>
            <w:r>
              <w:rPr>
                <w:rFonts w:ascii="Arial" w:cs="Arial" w:eastAsia="Arial" w:hAnsi="Arial"/>
                <w:sz w:val="14"/>
                <w:szCs w:val="14"/>
                <w:b w:val="1"/>
                <w:bCs w:val="1"/>
                <w:color w:val="auto"/>
              </w:rPr>
              <w:t>Facility Two</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Facility Three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Facility Four</w:t>
            </w:r>
          </w:p>
        </w:tc>
        <w:tc>
          <w:tcPr>
            <w:tcW w:w="100" w:type="dxa"/>
            <w:vAlign w:val="bottom"/>
          </w:tcPr>
          <w:p>
            <w:pPr>
              <w:spacing w:after="0"/>
              <w:rPr>
                <w:sz w:val="16"/>
                <w:szCs w:val="16"/>
                <w:color w:val="auto"/>
              </w:rPr>
            </w:pPr>
          </w:p>
        </w:tc>
      </w:tr>
      <w:tr>
        <w:trPr>
          <w:trHeight w:val="208"/>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Execution date</w:t>
            </w:r>
          </w:p>
        </w:tc>
        <w:tc>
          <w:tcPr>
            <w:tcW w:w="2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November 18,</w:t>
            </w:r>
          </w:p>
        </w:tc>
        <w:tc>
          <w:tcPr>
            <w:tcW w:w="100" w:type="dxa"/>
            <w:vAlign w:val="bottom"/>
            <w:shd w:val="clear" w:color="auto" w:fill="CFF0FC"/>
          </w:tcPr>
          <w:p>
            <w:pPr>
              <w:spacing w:after="0"/>
              <w:rPr>
                <w:sz w:val="18"/>
                <w:szCs w:val="18"/>
                <w:color w:val="auto"/>
              </w:rPr>
            </w:pPr>
          </w:p>
        </w:tc>
      </w:tr>
      <w:tr>
        <w:trPr>
          <w:trHeight w:val="217"/>
        </w:trPr>
        <w:tc>
          <w:tcPr>
            <w:tcW w:w="4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May 30, 2012</w:t>
            </w:r>
          </w:p>
        </w:tc>
        <w:tc>
          <w:tcPr>
            <w:tcW w:w="16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November 19, 2013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8"/>
                <w:szCs w:val="18"/>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December 12,</w:t>
            </w:r>
          </w:p>
        </w:tc>
        <w:tc>
          <w:tcPr>
            <w:tcW w:w="100" w:type="dxa"/>
            <w:vAlign w:val="bottom"/>
          </w:tcPr>
          <w:p>
            <w:pPr>
              <w:spacing w:after="0"/>
              <w:rPr>
                <w:sz w:val="18"/>
                <w:szCs w:val="18"/>
                <w:color w:val="auto"/>
              </w:rPr>
            </w:pPr>
          </w:p>
        </w:tc>
      </w:tr>
      <w:tr>
        <w:trPr>
          <w:trHeight w:val="217"/>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July 20, 2024</w:t>
            </w: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9"/>
              </w:rPr>
              <w:t>September 27, 2024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May 24, 2024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19"/>
                <w:szCs w:val="19"/>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principal balance of finance</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Outstanding balance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61,400</w:t>
            </w:r>
          </w:p>
        </w:tc>
        <w:tc>
          <w:tcPr>
            <w:tcW w:w="3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20,600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44,200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principal balance of finance</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143,919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Outstanding balance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110,602</w:t>
            </w:r>
          </w:p>
        </w:tc>
        <w:tc>
          <w:tcPr>
            <w:tcW w:w="3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19,615</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101,435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634"/>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40" w:firstLine="764"/>
        <w:spacing w:after="0" w:line="245" w:lineRule="auto"/>
        <w:rPr>
          <w:sz w:val="20"/>
          <w:szCs w:val="20"/>
          <w:color w:val="auto"/>
        </w:rPr>
      </w:pPr>
      <w:r>
        <w:rPr>
          <w:rFonts w:ascii="Arial" w:cs="Arial" w:eastAsia="Arial" w:hAnsi="Arial"/>
          <w:sz w:val="18"/>
          <w:szCs w:val="18"/>
          <w:color w:val="auto"/>
        </w:rPr>
        <w:t>As of March 31, 2023 and December 31, 2022, the Company's weighted average interest rate on the Warehouse Credit Facilities borrowings was approximately 6.70% and 6.19%, respectively.</w:t>
      </w:r>
    </w:p>
    <w:p>
      <w:pPr>
        <w:spacing w:after="0" w:line="184" w:lineRule="exact"/>
        <w:rPr>
          <w:sz w:val="20"/>
          <w:szCs w:val="20"/>
          <w:color w:val="auto"/>
        </w:rPr>
      </w:pPr>
    </w:p>
    <w:p>
      <w:pPr>
        <w:ind w:right="40" w:firstLine="764"/>
        <w:spacing w:after="0" w:line="237"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the Company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March 31, 2023 and December 31, 2022, the Company was in compliance with all covenants related to the Warehouse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Debt</w:t>
      </w:r>
    </w:p>
    <w:p>
      <w:pPr>
        <w:spacing w:after="0" w:line="220" w:lineRule="exact"/>
        <w:rPr>
          <w:sz w:val="20"/>
          <w:szCs w:val="20"/>
          <w:color w:val="auto"/>
        </w:rPr>
      </w:pPr>
    </w:p>
    <w:p>
      <w:pPr>
        <w:ind w:right="360" w:firstLine="764"/>
        <w:spacing w:after="0"/>
        <w:rPr>
          <w:sz w:val="20"/>
          <w:szCs w:val="20"/>
          <w:color w:val="auto"/>
        </w:rPr>
      </w:pPr>
      <w:r>
        <w:rPr>
          <w:rFonts w:ascii="Arial" w:cs="Arial" w:eastAsia="Arial" w:hAnsi="Arial"/>
          <w:sz w:val="18"/>
          <w:szCs w:val="18"/>
          <w:color w:val="auto"/>
        </w:rPr>
        <w:t>Debt instruments, excluding the 2022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6780" w:type="dxa"/>
            <w:vAlign w:val="bottom"/>
          </w:tcPr>
          <w:p>
            <w:pPr>
              <w:spacing w:after="0"/>
              <w:rPr>
                <w:sz w:val="15"/>
                <w:szCs w:val="15"/>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 of consolidated VIEs</w:t>
            </w:r>
          </w:p>
        </w:tc>
        <w:tc>
          <w:tcPr>
            <w:tcW w:w="1320" w:type="dxa"/>
            <w:vAlign w:val="bottom"/>
            <w:shd w:val="clear" w:color="auto" w:fill="CFF0FC"/>
          </w:tcPr>
          <w:p>
            <w:pPr>
              <w:jc w:val="right"/>
              <w:ind w:right="111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261,746</w:t>
            </w: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345,147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359,254</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 net of current portion</w:t>
            </w: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199,198</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Junior subordinated debentures</w:t>
            </w: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 term debt, net of current portion</w:t>
            </w:r>
          </w:p>
        </w:tc>
        <w:tc>
          <w:tcPr>
            <w:tcW w:w="1320" w:type="dxa"/>
            <w:vAlign w:val="bottom"/>
            <w:tcBorders>
              <w:bottom w:val="single" w:sz="8" w:color="auto"/>
            </w:tcBorders>
            <w:shd w:val="clear" w:color="auto" w:fill="CFF0FC"/>
          </w:tcPr>
          <w:p>
            <w:pPr>
              <w:jc w:val="right"/>
              <w:ind w:right="111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554,655</w:t>
            </w:r>
          </w:p>
        </w:tc>
        <w:tc>
          <w:tcPr>
            <w:tcW w:w="3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320" w:type="dxa"/>
            <w:vAlign w:val="bottom"/>
          </w:tcPr>
          <w:p>
            <w:pPr>
              <w:jc w:val="right"/>
              <w:ind w:right="111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816,401</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449,393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-179070</wp:posOffset>
            </wp:positionV>
            <wp:extent cx="685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60"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90"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31"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31" w:lineRule="exact"/>
        <w:rPr>
          <w:sz w:val="20"/>
          <w:szCs w:val="20"/>
          <w:color w:val="auto"/>
        </w:rPr>
      </w:pPr>
    </w:p>
    <w:p>
      <w:pPr>
        <w:ind w:left="760" w:right="60" w:hanging="378"/>
        <w:spacing w:after="0" w:line="23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both"/>
        <w:ind w:left="760" w:right="20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8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211" w:lineRule="exact"/>
        <w:rPr>
          <w:rFonts w:ascii="Arial" w:cs="Arial" w:eastAsia="Arial" w:hAnsi="Arial"/>
          <w:sz w:val="18"/>
          <w:szCs w:val="18"/>
          <w:color w:val="auto"/>
        </w:rPr>
      </w:pPr>
    </w:p>
    <w:p>
      <w:pPr>
        <w:ind w:left="760" w:right="780" w:hanging="378"/>
        <w:spacing w:after="0" w:line="245"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25" w:lineRule="exact"/>
        <w:rPr>
          <w:sz w:val="20"/>
          <w:szCs w:val="20"/>
          <w:color w:val="auto"/>
        </w:rPr>
      </w:pPr>
    </w:p>
    <w:p>
      <w:pPr>
        <w:ind w:right="120" w:firstLine="764"/>
        <w:spacing w:after="0" w:line="245"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25" w:lineRule="exact"/>
        <w:rPr>
          <w:sz w:val="20"/>
          <w:szCs w:val="20"/>
          <w:color w:val="auto"/>
        </w:rPr>
      </w:pPr>
    </w:p>
    <w:p>
      <w:pPr>
        <w:ind w:right="120" w:firstLine="824"/>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31"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months ended March 31, 2023, the conditions allowing holders of the Notes to convert were not met.</w:t>
      </w:r>
    </w:p>
    <w:p>
      <w:pPr>
        <w:spacing w:after="0" w:line="189" w:lineRule="exact"/>
        <w:rPr>
          <w:sz w:val="20"/>
          <w:szCs w:val="20"/>
          <w:color w:val="auto"/>
        </w:rPr>
      </w:pPr>
    </w:p>
    <w:p>
      <w:pPr>
        <w:jc w:val="both"/>
        <w:ind w:right="560" w:firstLine="749"/>
        <w:spacing w:after="0"/>
        <w:rPr>
          <w:sz w:val="20"/>
          <w:szCs w:val="20"/>
          <w:color w:val="auto"/>
        </w:rPr>
      </w:pPr>
      <w:r>
        <w:rPr>
          <w:rFonts w:ascii="Arial" w:cs="Arial" w:eastAsia="Arial" w:hAnsi="Arial"/>
          <w:sz w:val="18"/>
          <w:szCs w:val="18"/>
          <w:color w:val="auto"/>
        </w:rPr>
        <w:t>During the three months ended March 31, 2023, the company repurchased $14.6 million in aggregate principal amount of the Notes, net of deferred issuance costs of $0.3 million, for $5.9 million in open-market transactions. The Company recognized a gain on extinguishment of debt of $8.7 million for the three months ended March 31, 2023.</w:t>
      </w:r>
    </w:p>
    <w:p>
      <w:pPr>
        <w:spacing w:after="0" w:line="229" w:lineRule="exact"/>
        <w:rPr>
          <w:sz w:val="20"/>
          <w:szCs w:val="20"/>
          <w:color w:val="auto"/>
        </w:rPr>
      </w:pPr>
    </w:p>
    <w:p>
      <w:pPr>
        <w:jc w:val="both"/>
        <w:ind w:right="180" w:firstLine="764"/>
        <w:spacing w:after="0" w:line="261" w:lineRule="auto"/>
        <w:rPr>
          <w:sz w:val="20"/>
          <w:szCs w:val="20"/>
          <w:color w:val="auto"/>
        </w:rPr>
      </w:pPr>
      <w:r>
        <w:rPr>
          <w:rFonts w:ascii="Arial" w:cs="Arial" w:eastAsia="Arial" w:hAnsi="Arial"/>
          <w:sz w:val="17"/>
          <w:szCs w:val="17"/>
          <w:color w:val="auto"/>
        </w:rPr>
        <w:t>The Company accounts for the Notes as a single liability-classified instrument measured at amortized cost. As of March 31, 2023, the unamortized debt discount and debt issuance costs was $5.8 million and the net carrying value was $345.1 million. As of December 31, 2022, the unamortized debt discount and debt issuance costs was $6.5 million and the net carrying value was $359.3 million.</w:t>
      </w:r>
    </w:p>
    <w:p>
      <w:pPr>
        <w:spacing w:after="0" w:line="171" w:lineRule="exact"/>
        <w:rPr>
          <w:sz w:val="20"/>
          <w:szCs w:val="20"/>
          <w:color w:val="auto"/>
        </w:rPr>
      </w:pPr>
    </w:p>
    <w:p>
      <w:pPr>
        <w:ind w:right="160" w:firstLine="764"/>
        <w:spacing w:after="0"/>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months ended March 31, 2023 and 2022 were $1.1 million and $2.0 million, respectively. The effective interest rate of the Notes is 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20" w:lineRule="exact"/>
        <w:rPr>
          <w:sz w:val="20"/>
          <w:szCs w:val="20"/>
          <w:color w:val="auto"/>
        </w:rPr>
      </w:pPr>
    </w:p>
    <w:p>
      <w:pPr>
        <w:ind w:firstLine="764"/>
        <w:spacing w:after="0" w:line="237"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using the measurement alternative. Fair value adjustments are recorded in "Other loss, net" in the condensed consolidated statements of operations. Refer to Note 16 – Financial Instruments and Fair Value Measurements. For the 2021-1, 2022-2, and 2023-1 securitization transactions, the Company consolidated the VIEs and accounted for these transactions as secured borrowings. Refer to Note 4 – Variable Interest Entities and Securitizations for further discussion.</w:t>
      </w:r>
    </w:p>
    <w:p>
      <w:pPr>
        <w:spacing w:after="0" w:line="192"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Upon the issuance of the securitization debt for the 2021-1 and 2023-1 securitization transactions, UACC retained the residual interests. UACC also retains the servicing rights for all finance receivables that were securitized; therefore, it is responsible for the administration and collection of the amounts owed under the contracts. The securitization agreements also require certain funds to be held in restricted cash accounts to provide additional collateral for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1140"/>
        <w:spacing w:after="0" w:line="245" w:lineRule="auto"/>
        <w:rPr>
          <w:sz w:val="20"/>
          <w:szCs w:val="20"/>
          <w:color w:val="auto"/>
        </w:rPr>
      </w:pPr>
      <w:r>
        <w:rPr>
          <w:rFonts w:ascii="Arial" w:cs="Arial" w:eastAsia="Arial" w:hAnsi="Arial"/>
          <w:sz w:val="18"/>
          <w:szCs w:val="18"/>
          <w:color w:val="auto"/>
        </w:rPr>
        <w:t>borrowings or to be applied to make payments on the securitization debt. Restricted cash under the various agreements totaled approximately $38.9 million and $9.0 million as of March 31, 2023 and December 31, 2022, respectively.</w:t>
      </w:r>
    </w:p>
    <w:p>
      <w:pPr>
        <w:spacing w:after="0" w:line="184" w:lineRule="exact"/>
        <w:rPr>
          <w:sz w:val="20"/>
          <w:szCs w:val="20"/>
          <w:color w:val="auto"/>
        </w:rPr>
      </w:pPr>
    </w:p>
    <w:p>
      <w:pPr>
        <w:ind w:right="240" w:firstLine="764"/>
        <w:spacing w:after="0" w:line="238"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90"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The securitization debt issued is included in “Current portion of securitization debt of consolidated VIEs at fair value” and "Long term debt, net of current portion" on the condensed consolidated balance sheet. The securitization debt of consolidated VIEs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220" w:type="dxa"/>
            <w:vAlign w:val="bottom"/>
          </w:tcPr>
          <w:p>
            <w:pPr>
              <w:spacing w:after="0"/>
              <w:rPr>
                <w:sz w:val="16"/>
                <w:szCs w:val="16"/>
                <w:color w:val="auto"/>
              </w:rPr>
            </w:pPr>
          </w:p>
        </w:tc>
        <w:tc>
          <w:tcPr>
            <w:tcW w:w="15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Final Scheduled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vMerge w:val="restart"/>
          </w:tcPr>
          <w:p>
            <w:pPr>
              <w:jc w:val="center"/>
              <w:ind w:right="31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6"/>
                <w:szCs w:val="16"/>
                <w:color w:val="auto"/>
              </w:rPr>
            </w:pP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2021-1-C</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29,640</w:t>
            </w:r>
          </w:p>
        </w:tc>
        <w:tc>
          <w:tcPr>
            <w:tcW w:w="2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0.84 %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2021-1-D</w:t>
            </w:r>
          </w:p>
        </w:tc>
        <w:tc>
          <w:tcPr>
            <w:tcW w:w="2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29,380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1.14 %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2021-1-E</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2.58 %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2021-1-F</w:t>
            </w:r>
          </w:p>
        </w:tc>
        <w:tc>
          <w:tcPr>
            <w:tcW w:w="22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September 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4.30 %</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2022-2-A</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10, 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119,140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4.39 %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2022-2-B</w:t>
            </w:r>
          </w:p>
        </w:tc>
        <w:tc>
          <w:tcPr>
            <w:tcW w:w="22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December 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30,324</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5.41 %</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30,324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2022-2-C</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10, 2027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5.81 %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2022-2-D</w:t>
            </w:r>
          </w:p>
        </w:tc>
        <w:tc>
          <w:tcPr>
            <w:tcW w:w="2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January 10, 2028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32,889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6.84 %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32,889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2022-2-E</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10, 2029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2023-1-A</w:t>
            </w:r>
          </w:p>
        </w:tc>
        <w:tc>
          <w:tcPr>
            <w:tcW w:w="2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July 10, 2025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118,598</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5.57 %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97,228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2023-1-B</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5.91 %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2023-1-C</w:t>
            </w:r>
          </w:p>
        </w:tc>
        <w:tc>
          <w:tcPr>
            <w:tcW w:w="2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33,326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6.28 %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2023-1-D</w:t>
            </w:r>
          </w:p>
        </w:tc>
        <w:tc>
          <w:tcPr>
            <w:tcW w:w="2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July 10, 2028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19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8.00 %</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Total rated notes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574,791</w:t>
            </w:r>
          </w:p>
        </w:tc>
        <w:tc>
          <w:tcPr>
            <w:tcW w:w="1940" w:type="dxa"/>
            <w:vAlign w:val="bottom"/>
            <w:gridSpan w:val="3"/>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460,523</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2022-2-R</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Total rated notes and residual</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574,791</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460,523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Final Scheduled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vMerge w:val="restart"/>
          </w:tcPr>
          <w:p>
            <w:pPr>
              <w:jc w:val="center"/>
              <w:ind w:right="31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6"/>
                <w:szCs w:val="16"/>
                <w:color w:val="auto"/>
              </w:rPr>
            </w:pP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2021-1-C</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29,640</w:t>
            </w:r>
          </w:p>
        </w:tc>
        <w:tc>
          <w:tcPr>
            <w:tcW w:w="2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0.84 %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18,466</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2021-1-D</w:t>
            </w:r>
          </w:p>
        </w:tc>
        <w:tc>
          <w:tcPr>
            <w:tcW w:w="22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29,380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1.14 %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2021-1-E</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10, 2026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2.58 %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United Auto Credit 2021-1-F</w:t>
            </w:r>
          </w:p>
        </w:tc>
        <w:tc>
          <w:tcPr>
            <w:tcW w:w="22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September 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78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94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4.30 %</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93,730</w:t>
            </w:r>
          </w:p>
        </w:tc>
        <w:tc>
          <w:tcPr>
            <w:tcW w:w="1940" w:type="dxa"/>
            <w:vAlign w:val="bottom"/>
            <w:tcBorders>
              <w:bottom w:val="single" w:sz="8" w:color="CFF0FC"/>
            </w:tcBorders>
            <w:gridSpan w:val="3"/>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82,556</w:t>
            </w: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-2122805</wp:posOffset>
            </wp:positionV>
            <wp:extent cx="6858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-2122805</wp:posOffset>
            </wp:positionV>
            <wp:extent cx="6858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-2122805</wp:posOffset>
            </wp:positionV>
            <wp:extent cx="685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-1797685</wp:posOffset>
            </wp:positionV>
            <wp:extent cx="6858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-1797685</wp:posOffset>
            </wp:positionV>
            <wp:extent cx="6858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The final scheduled payment date represents final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$177.1 million in 2023, $159.6 million in 2024, $87.0 million in 2025, $31.7 million in 2026 and $5.1 million in 2027.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40" w:firstLine="764"/>
        <w:spacing w:after="0" w:line="245"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center"/>
              <w:ind w:right="114"/>
              <w:spacing w:after="0"/>
              <w:rPr>
                <w:sz w:val="20"/>
                <w:szCs w:val="20"/>
                <w:color w:val="auto"/>
              </w:rPr>
            </w:pPr>
            <w:r>
              <w:rPr>
                <w:rFonts w:ascii="Arial" w:cs="Arial" w:eastAsia="Arial" w:hAnsi="Arial"/>
                <w:sz w:val="14"/>
                <w:szCs w:val="14"/>
                <w:b w:val="1"/>
                <w:bCs w:val="1"/>
                <w:color w:val="auto"/>
              </w:rPr>
              <w:t>As of March 31,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6"/>
                <w:szCs w:val="16"/>
                <w:color w:val="auto"/>
              </w:rPr>
            </w:pPr>
          </w:p>
        </w:tc>
      </w:tr>
      <w:tr>
        <w:trPr>
          <w:trHeight w:val="25"/>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7"/>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2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69,833</w:t>
            </w:r>
          </w:p>
        </w:tc>
        <w:tc>
          <w:tcPr>
            <w:tcW w:w="5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63,371</w:t>
            </w: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84,477</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United Auto Credit 2022-2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170,618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2023-1</w:t>
            </w: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296,851</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258,154</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562,060</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492,143</w:t>
            </w: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84,477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-179070</wp:posOffset>
            </wp:positionV>
            <wp:extent cx="76835"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-179070</wp:posOffset>
            </wp:positionV>
            <wp:extent cx="685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-179070</wp:posOffset>
            </wp:positionV>
            <wp:extent cx="685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0" w:lineRule="exact"/>
        <w:rPr>
          <w:sz w:val="20"/>
          <w:szCs w:val="20"/>
          <w:color w:val="auto"/>
        </w:rPr>
      </w:pPr>
    </w:p>
    <w:p>
      <w:pPr>
        <w:ind w:right="340" w:firstLine="764"/>
        <w:spacing w:after="0" w:line="238"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UACC. The interest is paid quarterly at a variable rate, equal to the three-month LIBOR plus 3.05 percent. The final maturity of these securities is on October 7, 2033; however, they can be called at par any time at the Company’s discretion.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92"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60" w:firstLine="761"/>
        <w:spacing w:after="0" w:line="252"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81" w:lineRule="exact"/>
        <w:rPr>
          <w:sz w:val="20"/>
          <w:szCs w:val="20"/>
          <w:color w:val="auto"/>
        </w:rPr>
      </w:pPr>
    </w:p>
    <w:p>
      <w:pPr>
        <w:ind w:right="60" w:firstLine="599"/>
        <w:spacing w:after="0" w:line="237"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88"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0"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0" w:lineRule="exact"/>
        <w:rPr>
          <w:sz w:val="20"/>
          <w:szCs w:val="20"/>
          <w:color w:val="auto"/>
        </w:rPr>
      </w:pPr>
    </w:p>
    <w:p>
      <w:pPr>
        <w:ind w:right="10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Preferred Stock and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0" w:lineRule="exact"/>
        <w:rPr>
          <w:sz w:val="20"/>
          <w:szCs w:val="20"/>
          <w:color w:val="auto"/>
        </w:rPr>
      </w:pPr>
    </w:p>
    <w:p>
      <w:pPr>
        <w:ind w:right="420" w:firstLine="637"/>
        <w:spacing w:after="0" w:line="245"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March 31, 2023, there was no preferred stock issued or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380" w:firstLine="637"/>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0" w:lineRule="exact"/>
        <w:rPr>
          <w:sz w:val="20"/>
          <w:szCs w:val="20"/>
          <w:color w:val="auto"/>
        </w:rPr>
      </w:pPr>
    </w:p>
    <w:p>
      <w:pPr>
        <w:jc w:val="both"/>
        <w:ind w:right="12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As of March 31, 2023, the Company has registered an additional 11,011,780 shares of the Company's common stock to be issued pursuant to the 2020 Plan. As of March 31, 2023, there were 824,666 shares available for future issuance under the 2020 Plan.</w:t>
      </w:r>
    </w:p>
    <w:p>
      <w:pPr>
        <w:spacing w:after="0" w:line="187"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 shares of the Company’s common stock are reserved for issuance under the Inducement Award Plan. As of March 31, 2023, there were 2,483,746 shares available for future issuance under the Inducement Award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Company recognized $0.2 million and $0.4 million of stock-based compensation expense related to stock options for the three months ended March 31, 2023 and 2022, respectively. As of March 31, 2023 and December 31, 2022, the Company had $1.3 million and $1.6 million, respectively, of unrecognized stock-based compensation expense that is expected to be recognized over a weighted-average period of 1.8 years and 1.9 years, respectively.</w:t>
      </w:r>
    </w:p>
    <w:p>
      <w:pPr>
        <w:spacing w:after="0" w:line="190"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On May 9, 2022 and May 20, 2022, 600,000 stock options having a fair value of $0.83 per share were granted to the CEO and an aggregate of 650,000 stock options having a grant date fair value of $1.14 per share were granted to certain members of key management, respectively. The exercise price of the stock options is $7.50 per share. The stock options vest ratably over a three-year period subject to continued employment through each applicable vesting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The Company recognized $1.8 million and $3.2 million of stock-based compensation expense related to RSUs for the three months ended March 31, 2023 and 2022, respectively. As of March 31, 2023 and December 31, 2022, the Company had $21.1 million and $18.2 million, respectively, of unrecognized stock-based compensation expense that is expected to be recognized over a weighted-average period of 2.1 and 1.9 years, respectively.</w:t>
      </w:r>
    </w:p>
    <w:p>
      <w:pPr>
        <w:spacing w:after="0" w:line="19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On May 9, 2022 and May 20, 2022, 1,200,000 RSUs having a grant date fair value of $1.08 per share were granted to the CEO and an aggregate of 3,190,000 RSUs having a grant date fair value of $1.45 per share were granted to certain members of the management team. On July 25, 2022, 140,000 RSUs having a grant date fair value of $1.64 per share were granted to a member of the management team. The RSUs were issued under the 2020 Plan and will vest on the third anniversary of the grant date, subject to continued employment through that date. The vesting of RSUs will accelerate in one-third increments if the Company's common stock achieves a closing price at or above $7.50 per share for twenty consecutive trading days during the three-year vesting period; a closing price at or above $15.00 per share for twenty consecutive trading days in the second or third years of the vesting period; and a closing price at or above $21.00 per share for twenty consecutive trading days during the third year of the vesting period. As of March 31, 2023, the accelerated vesting conditions were not met.</w:t>
      </w:r>
    </w:p>
    <w:p>
      <w:pPr>
        <w:spacing w:after="0" w:line="191"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and Fair Value Measurements</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3" w:lineRule="exact"/>
        <w:rPr>
          <w:sz w:val="20"/>
          <w:szCs w:val="20"/>
          <w:color w:val="auto"/>
        </w:rPr>
      </w:pPr>
    </w:p>
    <w:p>
      <w:pPr>
        <w:jc w:val="both"/>
        <w:ind w:left="760" w:right="12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60" w:right="80"/>
        <w:spacing w:after="0" w:line="245"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0"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 to be sold as of the acquisition date, and certain other finance receivables.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920" w:firstLine="761"/>
        <w:spacing w:after="0" w:line="245"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As of March 31, 2023</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2"/>
        </w:trPr>
        <w:tc>
          <w:tcPr>
            <w:tcW w:w="5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182,853</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182,853</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492,143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492,143</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44,127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44,127</w:t>
            </w:r>
          </w:p>
        </w:tc>
      </w:tr>
      <w:tr>
        <w:trPr>
          <w:trHeight w:val="22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7,976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7,976</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182,853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7,976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536,270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727,099</w:t>
            </w:r>
          </w:p>
        </w:tc>
      </w:tr>
      <w:tr>
        <w:trPr>
          <w:trHeight w:val="20"/>
        </w:trPr>
        <w:tc>
          <w:tcPr>
            <w:tcW w:w="5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460,944</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460,944</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460,944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460,944</w:t>
            </w: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98"/>
        </w:trPr>
        <w:tc>
          <w:tcPr>
            <w:tcW w:w="5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2"/>
        </w:trPr>
        <w:tc>
          <w:tcPr>
            <w:tcW w:w="5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182,687</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182,687</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77,904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77,904</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75,270</w:t>
            </w:r>
          </w:p>
        </w:tc>
      </w:tr>
      <w:tr>
        <w:trPr>
          <w:trHeight w:val="22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20,592</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20,592</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182,687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20,592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153,174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356,453</w:t>
            </w:r>
          </w:p>
        </w:tc>
      </w:tr>
      <w:tr>
        <w:trPr>
          <w:trHeight w:val="20"/>
        </w:trPr>
        <w:tc>
          <w:tcPr>
            <w:tcW w:w="5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79,829</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79,829</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79,829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79,829</w:t>
            </w:r>
          </w:p>
        </w:tc>
      </w:tr>
      <w:tr>
        <w:trPr>
          <w:trHeight w:val="20"/>
        </w:trPr>
        <w:tc>
          <w:tcPr>
            <w:tcW w:w="5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-3013075</wp:posOffset>
            </wp:positionV>
            <wp:extent cx="8572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-3013075</wp:posOffset>
            </wp:positionV>
            <wp:extent cx="8572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-3013075</wp:posOffset>
            </wp:positionV>
            <wp:extent cx="8572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-2397125</wp:posOffset>
            </wp:positionV>
            <wp:extent cx="85725" cy="325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-2397125</wp:posOffset>
            </wp:positionV>
            <wp:extent cx="85725" cy="3251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-2397125</wp:posOffset>
            </wp:positionV>
            <wp:extent cx="85725" cy="3251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-795655</wp:posOffset>
            </wp:positionV>
            <wp:extent cx="8572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-795655</wp:posOffset>
            </wp:positionV>
            <wp:extent cx="8572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-795655</wp:posOffset>
            </wp:positionV>
            <wp:extent cx="8572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-179070</wp:posOffset>
            </wp:positionV>
            <wp:extent cx="85725"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-179070</wp:posOffset>
            </wp:positionV>
            <wp:extent cx="85725"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8572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20" w:lineRule="exact"/>
        <w:rPr>
          <w:sz w:val="20"/>
          <w:szCs w:val="20"/>
          <w:color w:val="auto"/>
        </w:rPr>
      </w:pPr>
    </w:p>
    <w:p>
      <w:pPr>
        <w:ind w:right="440" w:firstLine="749"/>
        <w:spacing w:after="0"/>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70" w:lineRule="exact"/>
        <w:rPr>
          <w:sz w:val="20"/>
          <w:szCs w:val="20"/>
          <w:color w:val="auto"/>
        </w:rPr>
      </w:pPr>
    </w:p>
    <w:p>
      <w:pPr>
        <w:ind w:right="40"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62" w:lineRule="exact"/>
        <w:rPr>
          <w:sz w:val="20"/>
          <w:szCs w:val="20"/>
          <w:color w:val="auto"/>
        </w:rPr>
      </w:pPr>
    </w:p>
    <w:p>
      <w:pPr>
        <w:ind w:right="240" w:firstLine="749"/>
        <w:spacing w:after="0" w:line="266"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The Company elected the fair value option for the assets and liabilities of its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VIEs related to securitization transactions that were deemed to be CFEs.</w:t>
      </w:r>
    </w:p>
    <w:p>
      <w:pPr>
        <w:spacing w:after="0" w:line="166"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In accordance with ASC 825, the Company has elected the fair value option, for the eligible financial assets and liabilities of the 2021-1, 2022-2, and 2023-1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780"/>
        <w:spacing w:after="0" w:line="245" w:lineRule="auto"/>
        <w:rPr>
          <w:sz w:val="20"/>
          <w:szCs w:val="20"/>
          <w:color w:val="auto"/>
        </w:rPr>
      </w:pPr>
      <w:r>
        <w:rPr>
          <w:rFonts w:ascii="Arial" w:cs="Arial" w:eastAsia="Arial" w:hAnsi="Arial"/>
          <w:sz w:val="18"/>
          <w:szCs w:val="18"/>
          <w:color w:val="auto"/>
        </w:rPr>
        <w:t>changes in the CFE’s net assets, including changes in fair value adjustments and net interest earned, in its condensed consolidated statements of operations.</w:t>
      </w:r>
    </w:p>
    <w:p>
      <w:pPr>
        <w:spacing w:after="0" w:line="184"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92"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51" w:lineRule="exact"/>
        <w:rPr>
          <w:sz w:val="20"/>
          <w:szCs w:val="20"/>
          <w:color w:val="auto"/>
        </w:rPr>
      </w:pPr>
    </w:p>
    <w:p>
      <w:pPr>
        <w:ind w:right="20" w:firstLine="749"/>
        <w:spacing w:after="0"/>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These receivables primarily relate to finance receivables that the Company does not intend to sell in the immediate future due to 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74"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2022-1 securitization completed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 rated notes as well as certificates. The beneficial interests in the 2022-2 securitization completed in July 2022 was eliminated upon consolidation of the VIE during the three months ended March 31, 2023. Refer to Note 4 – Variable Interest Entities and Securitizations. The Company elected the fair value option on its beneficial interests in securitization.</w:t>
      </w:r>
    </w:p>
    <w:p>
      <w:pPr>
        <w:spacing w:after="0" w:line="184"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rPr>
          <w:sz w:val="20"/>
          <w:szCs w:val="20"/>
          <w:color w:val="auto"/>
        </w:rPr>
      </w:pPr>
      <w:r>
        <w:rPr>
          <w:rFonts w:ascii="Arial" w:cs="Arial" w:eastAsia="Arial" w:hAnsi="Arial"/>
          <w:sz w:val="18"/>
          <w:szCs w:val="18"/>
          <w:color w:val="auto"/>
        </w:rPr>
        <w:t>Level 3 inputs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Finance Receivables of</w:t>
            </w:r>
          </w:p>
        </w:tc>
        <w:tc>
          <w:tcPr>
            <w:tcW w:w="18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Finance Receivables at Fair</w:t>
            </w:r>
          </w:p>
        </w:tc>
      </w:tr>
      <w:tr>
        <w:trPr>
          <w:trHeight w:val="189"/>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Consolidated CFEs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2023</w:t>
            </w: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3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shd w:val="clear" w:color="auto" w:fill="CFF0FC"/>
          </w:tcPr>
          <w:p>
            <w:pPr>
              <w:spacing w:after="0"/>
              <w:rPr>
                <w:sz w:val="19"/>
                <w:szCs w:val="19"/>
                <w:color w:val="auto"/>
              </w:rPr>
            </w:pPr>
          </w:p>
        </w:tc>
      </w:tr>
      <w:tr>
        <w:trPr>
          <w:trHeight w:val="215"/>
        </w:trPr>
        <w:tc>
          <w:tcPr>
            <w:tcW w:w="7340" w:type="dxa"/>
            <w:vAlign w:val="bottom"/>
            <w:gridSpan w:val="5"/>
          </w:tcPr>
          <w:p>
            <w:pPr>
              <w:ind w:left="20"/>
              <w:spacing w:after="0"/>
              <w:rPr>
                <w:sz w:val="20"/>
                <w:szCs w:val="20"/>
                <w:color w:val="auto"/>
              </w:rPr>
            </w:pPr>
            <w:r>
              <w:rPr>
                <w:rFonts w:ascii="Arial" w:cs="Arial" w:eastAsia="Arial" w:hAnsi="Arial"/>
                <w:sz w:val="18"/>
                <w:szCs w:val="18"/>
                <w:color w:val="auto"/>
              </w:rPr>
              <w:t>Reclassification of finance receivables held for sale to finance receivables at</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300" w:type="dxa"/>
            <w:vAlign w:val="bottom"/>
          </w:tcPr>
          <w:p>
            <w:pPr>
              <w:ind w:left="20"/>
              <w:spacing w:after="0"/>
              <w:rPr>
                <w:sz w:val="20"/>
                <w:szCs w:val="20"/>
                <w:color w:val="auto"/>
              </w:rPr>
            </w:pPr>
            <w:r>
              <w:rPr>
                <w:rFonts w:ascii="Arial" w:cs="Arial" w:eastAsia="Arial" w:hAnsi="Arial"/>
                <w:sz w:val="18"/>
                <w:szCs w:val="18"/>
                <w:color w:val="auto"/>
              </w:rPr>
              <w:t>fair value, net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(26,128 )</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Consolidation of VIEs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other income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(12,624 )</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(32,787 )</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(9,062 )</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r>
      <w:tr>
        <w:trPr>
          <w:trHeight w:val="263"/>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March 31, 2023</w:t>
            </w:r>
          </w:p>
        </w:tc>
        <w:tc>
          <w:tcPr>
            <w:tcW w:w="1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492,143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45"/>
        </w:trPr>
        <w:tc>
          <w:tcPr>
            <w:tcW w:w="5300" w:type="dxa"/>
            <w:vAlign w:val="bottom"/>
          </w:tcPr>
          <w:p>
            <w:pPr>
              <w:spacing w:after="0"/>
              <w:rPr>
                <w:sz w:val="24"/>
                <w:szCs w:val="24"/>
                <w:color w:val="auto"/>
              </w:rPr>
            </w:pPr>
          </w:p>
        </w:tc>
        <w:tc>
          <w:tcPr>
            <w:tcW w:w="20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Finance Receivables of</w:t>
            </w:r>
          </w:p>
        </w:tc>
        <w:tc>
          <w:tcPr>
            <w:tcW w:w="20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24"/>
                <w:szCs w:val="24"/>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b w:val="1"/>
                <w:bCs w:val="1"/>
                <w:color w:val="auto"/>
              </w:rPr>
              <w:t>Consolidated CFEs</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Consolidated CFEs</w:t>
            </w:r>
          </w:p>
        </w:tc>
        <w:tc>
          <w:tcPr>
            <w:tcW w:w="100" w:type="dxa"/>
            <w:vAlign w:val="bottom"/>
          </w:tcPr>
          <w:p>
            <w:pPr>
              <w:spacing w:after="0"/>
              <w:rPr>
                <w:sz w:val="16"/>
                <w:szCs w:val="16"/>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Fair value as of January 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 business combination</w:t>
            </w: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262,644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34,283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275,394</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(275,394 )</w:t>
            </w: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60" w:type="dxa"/>
            <w:vAlign w:val="bottom"/>
            <w:shd w:val="clear" w:color="auto" w:fill="CFF0FC"/>
          </w:tcPr>
          <w:p>
            <w:pPr>
              <w:spacing w:after="0"/>
              <w:rPr>
                <w:sz w:val="19"/>
                <w:szCs w:val="19"/>
                <w:color w:val="auto"/>
              </w:rPr>
            </w:pPr>
          </w:p>
        </w:tc>
        <w:tc>
          <w:tcPr>
            <w:tcW w:w="1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(10,019 )</w:t>
            </w:r>
          </w:p>
        </w:tc>
        <w:tc>
          <w:tcPr>
            <w:tcW w:w="3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10,019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Losses included in other income</w:t>
            </w:r>
          </w:p>
        </w:tc>
        <w:tc>
          <w:tcPr>
            <w:tcW w:w="160" w:type="dxa"/>
            <w:vAlign w:val="bottom"/>
          </w:tcPr>
          <w:p>
            <w:pPr>
              <w:spacing w:after="0"/>
              <w:rPr>
                <w:sz w:val="19"/>
                <w:szCs w:val="19"/>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(15,807 )</w:t>
            </w:r>
          </w:p>
        </w:tc>
        <w:tc>
          <w:tcPr>
            <w:tcW w:w="340" w:type="dxa"/>
            <w:vAlign w:val="bottom"/>
          </w:tcPr>
          <w:p>
            <w:pPr>
              <w:spacing w:after="0"/>
              <w:rPr>
                <w:sz w:val="19"/>
                <w:szCs w:val="19"/>
                <w:color w:val="auto"/>
              </w:rPr>
            </w:pPr>
          </w:p>
        </w:tc>
        <w:tc>
          <w:tcPr>
            <w:tcW w:w="1680" w:type="dxa"/>
            <w:vAlign w:val="bottom"/>
            <w:gridSpan w:val="5"/>
          </w:tcPr>
          <w:p>
            <w:pPr>
              <w:jc w:val="right"/>
              <w:ind w:right="180"/>
              <w:spacing w:after="0"/>
              <w:rPr>
                <w:sz w:val="20"/>
                <w:szCs w:val="20"/>
                <w:color w:val="auto"/>
              </w:rPr>
            </w:pPr>
            <w:r>
              <w:rPr>
                <w:rFonts w:ascii="Arial" w:cs="Arial" w:eastAsia="Arial" w:hAnsi="Arial"/>
                <w:sz w:val="18"/>
                <w:szCs w:val="18"/>
                <w:color w:val="auto"/>
              </w:rPr>
              <w:t>(1,730 )</w:t>
            </w: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19"/>
                <w:szCs w:val="19"/>
                <w:color w:val="auto"/>
              </w:rPr>
            </w:pPr>
          </w:p>
        </w:tc>
        <w:tc>
          <w:tcPr>
            <w:tcW w:w="1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(24,312 )</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Paydowns</w:t>
            </w:r>
          </w:p>
        </w:tc>
        <w:tc>
          <w:tcPr>
            <w:tcW w:w="160" w:type="dxa"/>
            <w:vAlign w:val="bottom"/>
          </w:tcPr>
          <w:p>
            <w:pPr>
              <w:spacing w:after="0"/>
              <w:rPr>
                <w:sz w:val="19"/>
                <w:szCs w:val="19"/>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(26,070 )</w:t>
            </w:r>
          </w:p>
        </w:tc>
        <w:tc>
          <w:tcPr>
            <w:tcW w:w="340" w:type="dxa"/>
            <w:vAlign w:val="bottom"/>
          </w:tcPr>
          <w:p>
            <w:pPr>
              <w:spacing w:after="0"/>
              <w:rPr>
                <w:sz w:val="19"/>
                <w:szCs w:val="19"/>
                <w:color w:val="auto"/>
              </w:rPr>
            </w:pPr>
          </w:p>
        </w:tc>
        <w:tc>
          <w:tcPr>
            <w:tcW w:w="1680" w:type="dxa"/>
            <w:vAlign w:val="bottom"/>
            <w:gridSpan w:val="5"/>
          </w:tcPr>
          <w:p>
            <w:pPr>
              <w:jc w:val="right"/>
              <w:ind w:right="180"/>
              <w:spacing w:after="0"/>
              <w:rPr>
                <w:sz w:val="20"/>
                <w:szCs w:val="20"/>
                <w:color w:val="auto"/>
              </w:rPr>
            </w:pPr>
            <w:r>
              <w:rPr>
                <w:rFonts w:ascii="Arial" w:cs="Arial" w:eastAsia="Arial" w:hAnsi="Arial"/>
                <w:sz w:val="18"/>
                <w:szCs w:val="18"/>
                <w:color w:val="auto"/>
              </w:rPr>
              <w:t>(7,500 )</w:t>
            </w: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Fair value as of March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189,469</w:t>
            </w:r>
          </w:p>
        </w:tc>
        <w:tc>
          <w:tcPr>
            <w:tcW w:w="26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35,954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-1729105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-1711960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-179070</wp:posOffset>
            </wp:positionV>
            <wp:extent cx="6858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-179070</wp:posOffset>
            </wp:positionV>
            <wp:extent cx="6858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jc w:val="both"/>
        <w:ind w:right="820" w:firstLine="814"/>
        <w:spacing w:after="0"/>
        <w:rPr>
          <w:sz w:val="20"/>
          <w:szCs w:val="20"/>
          <w:color w:val="auto"/>
        </w:rPr>
      </w:pPr>
      <w:r>
        <w:rPr>
          <w:rFonts w:ascii="Arial" w:cs="Arial" w:eastAsia="Arial" w:hAnsi="Arial"/>
          <w:sz w:val="18"/>
          <w:szCs w:val="18"/>
          <w:color w:val="auto"/>
        </w:rPr>
        <w:t>During the three months ended March 31, 2023, $180.7 million of finance receivables related to the 2022-2 securitization transaction were consolidated and classified as Level 3 and $248.1 million of finance receivables held for sale related to the 2023-1 securitization transaction were reclassified to Level 3 finance receivables of consolidated CFEs.</w:t>
      </w:r>
    </w:p>
    <w:p>
      <w:pPr>
        <w:spacing w:after="0" w:line="188" w:lineRule="exact"/>
        <w:rPr>
          <w:sz w:val="20"/>
          <w:szCs w:val="20"/>
          <w:color w:val="auto"/>
        </w:rPr>
      </w:pPr>
    </w:p>
    <w:p>
      <w:pPr>
        <w:ind w:right="100" w:firstLine="764"/>
        <w:spacing w:after="0" w:line="245"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prior period as described below.</w:t>
      </w:r>
    </w:p>
    <w:p>
      <w:pPr>
        <w:spacing w:after="0" w:line="184" w:lineRule="exact"/>
        <w:rPr>
          <w:sz w:val="20"/>
          <w:szCs w:val="20"/>
          <w:color w:val="auto"/>
        </w:rPr>
      </w:pPr>
    </w:p>
    <w:p>
      <w:pPr>
        <w:ind w:right="40" w:firstLine="764"/>
        <w:spacing w:after="0" w:line="237" w:lineRule="auto"/>
        <w:rPr>
          <w:sz w:val="20"/>
          <w:szCs w:val="20"/>
          <w:color w:val="auto"/>
        </w:rPr>
      </w:pPr>
      <w:r>
        <w:rPr>
          <w:rFonts w:ascii="Arial" w:cs="Arial" w:eastAsia="Arial" w:hAnsi="Arial"/>
          <w:sz w:val="18"/>
          <w:szCs w:val="18"/>
          <w:color w:val="auto"/>
        </w:rPr>
        <w:t>During the three months ended March 31, 2023, transfers out of Level 3 liabilities related to securitization debt of consolidated CFEs. The transfer out of Level 3 was the result of achieving consensus pricing from third-party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March 31, 2023. For the CFEs liabilities acquired during the period, the transfer was presumed to occur immediately after the Acquisition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220" w:lineRule="exact"/>
        <w:rPr>
          <w:sz w:val="20"/>
          <w:szCs w:val="20"/>
          <w:color w:val="auto"/>
        </w:rPr>
      </w:pPr>
    </w:p>
    <w:p>
      <w:pPr>
        <w:ind w:right="800" w:firstLine="749"/>
        <w:spacing w:after="0" w:line="245" w:lineRule="auto"/>
        <w:rPr>
          <w:sz w:val="20"/>
          <w:szCs w:val="20"/>
          <w:color w:val="auto"/>
        </w:rPr>
      </w:pPr>
      <w:r>
        <w:rPr>
          <w:rFonts w:ascii="Arial" w:cs="Arial" w:eastAsia="Arial" w:hAnsi="Arial"/>
          <w:sz w:val="18"/>
          <w:szCs w:val="18"/>
          <w:color w:val="auto"/>
        </w:rPr>
        <w:t>The following table presents the gains or losses recorded in "Other loss, net" in the condensed consolidated statements of operations related to the eligible financial instruments for which the fair value option was elected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22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20" w:type="dxa"/>
            <w:vAlign w:val="bottom"/>
          </w:tcPr>
          <w:p>
            <w:pPr>
              <w:spacing w:after="0"/>
              <w:rPr>
                <w:sz w:val="14"/>
                <w:szCs w:val="14"/>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7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31, 2023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42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9,896</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4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(1,412 )</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(613 )</w:t>
            </w: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Debt of securitized VIEs</w:t>
            </w:r>
          </w:p>
        </w:tc>
        <w:tc>
          <w:tcPr>
            <w:tcW w:w="42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(1,222 )</w:t>
            </w: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(2,364 )</w:t>
            </w:r>
          </w:p>
        </w:tc>
      </w:tr>
      <w:tr>
        <w:trPr>
          <w:trHeight w:val="26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other income</w:t>
            </w:r>
          </w:p>
        </w:tc>
        <w:tc>
          <w:tcPr>
            <w:tcW w:w="4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Finance Receivables of CFEs</w:t>
            </w:r>
          </w:p>
        </w:tc>
        <w:tc>
          <w:tcPr>
            <w:tcW w:w="4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Finance Receivables at</w:t>
            </w:r>
          </w:p>
        </w:tc>
        <w:tc>
          <w:tcPr>
            <w:tcW w:w="100" w:type="dxa"/>
            <w:vAlign w:val="bottom"/>
          </w:tcPr>
          <w:p>
            <w:pPr>
              <w:spacing w:after="0"/>
              <w:rPr>
                <w:sz w:val="14"/>
                <w:szCs w:val="14"/>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at Fair Value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08"/>
        </w:trPr>
        <w:tc>
          <w:tcPr>
            <w:tcW w:w="68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Aggregate unpaid principal balance included within finance receivables that are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562,060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51,659</w:t>
            </w:r>
          </w:p>
        </w:tc>
        <w:tc>
          <w:tcPr>
            <w:tcW w:w="100" w:type="dxa"/>
            <w:vAlign w:val="bottom"/>
            <w:shd w:val="clear" w:color="auto" w:fill="CFF0FC"/>
          </w:tcPr>
          <w:p>
            <w:pPr>
              <w:spacing w:after="0"/>
              <w:rPr>
                <w:sz w:val="18"/>
                <w:szCs w:val="18"/>
                <w:color w:val="auto"/>
              </w:rPr>
            </w:pPr>
          </w:p>
        </w:tc>
      </w:tr>
      <w:tr>
        <w:trPr>
          <w:trHeight w:val="229"/>
        </w:trPr>
        <w:tc>
          <w:tcPr>
            <w:tcW w:w="6860" w:type="dxa"/>
            <w:vAlign w:val="bottom"/>
          </w:tcPr>
          <w:p>
            <w:pPr>
              <w:ind w:left="6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492,143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44,127</w:t>
            </w:r>
          </w:p>
        </w:tc>
        <w:tc>
          <w:tcPr>
            <w:tcW w:w="100" w:type="dxa"/>
            <w:vAlign w:val="bottom"/>
          </w:tcPr>
          <w:p>
            <w:pPr>
              <w:spacing w:after="0"/>
              <w:rPr>
                <w:sz w:val="19"/>
                <w:szCs w:val="19"/>
                <w:color w:val="auto"/>
              </w:rPr>
            </w:pPr>
          </w:p>
        </w:tc>
      </w:tr>
      <w:tr>
        <w:trPr>
          <w:trHeight w:val="215"/>
        </w:trPr>
        <w:tc>
          <w:tcPr>
            <w:tcW w:w="686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3"/>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8"/>
                <w:szCs w:val="18"/>
                <w:color w:val="auto"/>
              </w:rPr>
            </w:pPr>
          </w:p>
        </w:tc>
      </w:tr>
      <w:tr>
        <w:trPr>
          <w:trHeight w:val="215"/>
        </w:trPr>
        <w:tc>
          <w:tcPr>
            <w:tcW w:w="6860" w:type="dxa"/>
            <w:vAlign w:val="bottom"/>
          </w:tcPr>
          <w:p>
            <w:pPr>
              <w:ind w:left="60"/>
              <w:spacing w:after="0"/>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12,398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r>
      <w:tr>
        <w:trPr>
          <w:trHeight w:val="364"/>
        </w:trPr>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Finance Receivables of CFEs</w:t>
            </w:r>
          </w:p>
        </w:tc>
        <w:tc>
          <w:tcPr>
            <w:tcW w:w="4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Finance Receivables at</w:t>
            </w:r>
          </w:p>
        </w:tc>
        <w:tc>
          <w:tcPr>
            <w:tcW w:w="100" w:type="dxa"/>
            <w:vAlign w:val="bottom"/>
          </w:tcPr>
          <w:p>
            <w:pPr>
              <w:spacing w:after="0"/>
              <w:rPr>
                <w:sz w:val="24"/>
                <w:szCs w:val="24"/>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ind w:left="260"/>
              <w:spacing w:after="0"/>
              <w:rPr>
                <w:sz w:val="20"/>
                <w:szCs w:val="20"/>
                <w:color w:val="auto"/>
              </w:rPr>
            </w:pPr>
            <w:r>
              <w:rPr>
                <w:rFonts w:ascii="Arial" w:cs="Arial" w:eastAsia="Arial" w:hAnsi="Arial"/>
                <w:sz w:val="14"/>
                <w:szCs w:val="14"/>
                <w:b w:val="1"/>
                <w:bCs w:val="1"/>
                <w:color w:val="auto"/>
              </w:rPr>
              <w:t>at Fair Value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47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08"/>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included within finance receivables that are</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84,477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00" w:type="dxa"/>
            <w:vAlign w:val="bottom"/>
            <w:shd w:val="clear" w:color="auto" w:fill="CCEEFF"/>
          </w:tcPr>
          <w:p>
            <w:pPr>
              <w:spacing w:after="0"/>
              <w:rPr>
                <w:sz w:val="18"/>
                <w:szCs w:val="18"/>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77,904</w:t>
            </w:r>
          </w:p>
        </w:tc>
        <w:tc>
          <w:tcPr>
            <w:tcW w:w="180" w:type="dxa"/>
            <w:vAlign w:val="bottom"/>
          </w:tcPr>
          <w:p>
            <w:pPr>
              <w:spacing w:after="0"/>
              <w:rPr>
                <w:sz w:val="19"/>
                <w:szCs w:val="19"/>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19"/>
                <w:szCs w:val="19"/>
                <w:color w:val="auto"/>
              </w:rPr>
            </w:pPr>
          </w:p>
        </w:tc>
      </w:tr>
      <w:tr>
        <w:trPr>
          <w:trHeight w:val="21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principal balance of receivables within finance receivables that are reported at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and are on nonaccrual status (90 days or more past due)</w:t>
            </w:r>
          </w:p>
        </w:tc>
        <w:tc>
          <w:tcPr>
            <w:tcW w:w="5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8"/>
                <w:szCs w:val="18"/>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8"/>
                <w:szCs w:val="18"/>
                <w:color w:val="auto"/>
              </w:rPr>
              <w:t>Aggregate fair value of receivables carried at fair value that are on nonaccrual status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36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634"/>
        </w:trPr>
        <w:tc>
          <w:tcPr>
            <w:tcW w:w="6860" w:type="dxa"/>
            <w:vAlign w:val="bottom"/>
          </w:tcPr>
          <w:p>
            <w:pPr>
              <w:ind w:left="55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6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45"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c>
          <w:tcPr>
            <w:tcW w:w="100" w:type="dxa"/>
            <w:vAlign w:val="bottom"/>
          </w:tcPr>
          <w:p>
            <w:pPr>
              <w:spacing w:after="0"/>
              <w:rPr>
                <w:sz w:val="14"/>
                <w:szCs w:val="14"/>
                <w:color w:val="auto"/>
              </w:rPr>
            </w:pPr>
          </w:p>
        </w:tc>
      </w:tr>
      <w:tr>
        <w:trPr>
          <w:trHeight w:val="189"/>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460,523</w:t>
            </w:r>
          </w:p>
        </w:tc>
        <w:tc>
          <w:tcPr>
            <w:tcW w:w="10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454,691</w:t>
            </w:r>
          </w:p>
        </w:tc>
        <w:tc>
          <w:tcPr>
            <w:tcW w:w="100" w:type="dxa"/>
            <w:vAlign w:val="bottom"/>
          </w:tcPr>
          <w:p>
            <w:pPr>
              <w:spacing w:after="0"/>
              <w:rPr>
                <w:sz w:val="19"/>
                <w:szCs w:val="19"/>
                <w:color w:val="auto"/>
              </w:rPr>
            </w:pP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fair value of residual of securitized VIEs</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FF0FC"/>
          </w:tcPr>
          <w:p>
            <w:pPr>
              <w:spacing w:after="0"/>
              <w:rPr>
                <w:sz w:val="19"/>
                <w:szCs w:val="19"/>
                <w:color w:val="auto"/>
              </w:rPr>
            </w:pPr>
          </w:p>
        </w:tc>
      </w:tr>
      <w:tr>
        <w:trPr>
          <w:trHeight w:val="364"/>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c>
          <w:tcPr>
            <w:tcW w:w="100" w:type="dxa"/>
            <w:vAlign w:val="bottom"/>
          </w:tcPr>
          <w:p>
            <w:pPr>
              <w:spacing w:after="0"/>
              <w:rPr>
                <w:sz w:val="24"/>
                <w:szCs w:val="24"/>
                <w:color w:val="auto"/>
              </w:rPr>
            </w:pPr>
          </w:p>
        </w:tc>
      </w:tr>
      <w:tr>
        <w:trPr>
          <w:trHeight w:val="189"/>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100" w:type="dxa"/>
            <w:vAlign w:val="bottom"/>
            <w:shd w:val="clear" w:color="auto" w:fill="CCEEFF"/>
          </w:tcPr>
          <w:p>
            <w:pPr>
              <w:spacing w:after="0"/>
              <w:rPr>
                <w:sz w:val="19"/>
                <w:szCs w:val="19"/>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2022 Vehicle Floorplan Facility and the Warehouse Credit Facilities was determined to approximate fair value due to its short-term duration and variable interest rate that approximates prevailing interest rates as of each reporting period.</w:t>
      </w:r>
    </w:p>
    <w:p>
      <w:pPr>
        <w:spacing w:after="0" w:line="172" w:lineRule="exact"/>
        <w:rPr>
          <w:sz w:val="20"/>
          <w:szCs w:val="20"/>
          <w:color w:val="auto"/>
        </w:rPr>
      </w:pPr>
    </w:p>
    <w:p>
      <w:pPr>
        <w:ind w:right="100" w:firstLine="749"/>
        <w:spacing w:after="0" w:line="264" w:lineRule="auto"/>
        <w:rPr>
          <w:sz w:val="20"/>
          <w:szCs w:val="20"/>
          <w:color w:val="auto"/>
        </w:rPr>
      </w:pPr>
      <w:r>
        <w:rPr>
          <w:rFonts w:ascii="Arial" w:cs="Arial" w:eastAsia="Arial" w:hAnsi="Arial"/>
          <w:sz w:val="17"/>
          <w:szCs w:val="17"/>
          <w:i w:val="1"/>
          <w:iCs w:val="1"/>
          <w:color w:val="auto"/>
        </w:rPr>
        <w:t xml:space="preserve">Finance receivables held for sale, net: </w:t>
      </w:r>
      <w:r>
        <w:rPr>
          <w:rFonts w:ascii="Arial" w:cs="Arial" w:eastAsia="Arial" w:hAnsi="Arial"/>
          <w:sz w:val="17"/>
          <w:szCs w:val="17"/>
          <w:color w:val="auto"/>
        </w:rPr>
        <w:t>For finance receivables eligible to be sold, the Company determines the fair value of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The carrying value and fair value of the finance receivables held for sale, net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82"/>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5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177,194</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299,235</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178,363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299,925</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right="720" w:firstLine="749"/>
        <w:spacing w:after="0" w:line="250"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was determined utilizing actual bids and offer prices of the Notes in markets that are not active and are classified within Level 2 of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82"/>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5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345,147</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359,254</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133,366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128,026</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balance sheets, approximated their carrying value as of March 31, 2023 and December 31, 2022 and are classified within Level 3 of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20"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March 31, 2023 and December 31, 2022, there were $9.6 million and $22.4 million of finance receivables that were marked to fair value on a non-recurring basis, respectively. These are finance receivables that became delinquent and no longer meet the expected sales criteria. The Company uses a discounted cash flow model to estimate the present value of future recoveries for finance receivables. Such fair value measurement of finance receivables held for sale, net is considered Level 3 of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Activities</w:t>
      </w:r>
    </w:p>
    <w:p>
      <w:pPr>
        <w:spacing w:after="0" w:line="220" w:lineRule="exact"/>
        <w:rPr>
          <w:sz w:val="20"/>
          <w:szCs w:val="20"/>
          <w:color w:val="auto"/>
        </w:rPr>
      </w:pPr>
    </w:p>
    <w:p>
      <w:pPr>
        <w:ind w:right="700" w:firstLine="761"/>
        <w:spacing w:after="0" w:line="245"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84"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 connection with the Realignment Plan, the Company reduced headcount across the organization and closed its New York City, Detroit, and one of its Houston office locations as well as several Sell Us Your Car® center facilities. Additionally, the Company streamlined TDA's operations and closed its service center. The service center was repurposed to replace the reconditioning facility in Stafford, Texas, which was also closed. The Company also restructured its network of logistics hubs in order to align with reduced unit volume and its regional operating model.</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2022.</w:t>
      </w:r>
    </w:p>
    <w:p>
      <w:pPr>
        <w:spacing w:after="0" w:line="198" w:lineRule="exact"/>
        <w:rPr>
          <w:sz w:val="20"/>
          <w:szCs w:val="20"/>
          <w:color w:val="auto"/>
        </w:rPr>
      </w:pPr>
    </w:p>
    <w:p>
      <w:pPr>
        <w:ind w:right="320" w:firstLine="761"/>
        <w:spacing w:after="0" w:line="238" w:lineRule="auto"/>
        <w:rPr>
          <w:sz w:val="20"/>
          <w:szCs w:val="20"/>
          <w:color w:val="auto"/>
        </w:rPr>
      </w:pPr>
      <w:r>
        <w:rPr>
          <w:rFonts w:ascii="Arial" w:cs="Arial" w:eastAsia="Arial" w:hAnsi="Arial"/>
          <w:sz w:val="18"/>
          <w:szCs w:val="18"/>
          <w:color w:val="auto"/>
        </w:rPr>
        <w:t>On January 18, 2023, the Company executed a reduction in force as part of the continued focus on reducing variable and fixed costs. The Company reduced Vroom’s headcount by approximately 275 employees based on the assessment of the Company's business needs, key initiatives, and long-term success and profitable growth. For the three months ended March 31, 2023, the Company incurred expenses of approximately $4.1 million, primarily consisting of severance.</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restructuring and related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right"/>
              <w:ind w:right="111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 Charges Incurred to Date</w:t>
            </w:r>
          </w:p>
        </w:tc>
        <w:tc>
          <w:tcPr>
            <w:tcW w:w="100" w:type="dxa"/>
            <w:vAlign w:val="bottom"/>
          </w:tcPr>
          <w:p>
            <w:pPr>
              <w:spacing w:after="0"/>
              <w:rPr>
                <w:sz w:val="15"/>
                <w:szCs w:val="15"/>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by activity:</w:t>
            </w:r>
          </w:p>
        </w:tc>
        <w:tc>
          <w:tcPr>
            <w:tcW w:w="20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Severance and termination benefits </w:t>
            </w:r>
            <w:r>
              <w:rPr>
                <w:rFonts w:ascii="Arial" w:cs="Arial" w:eastAsia="Arial" w:hAnsi="Arial"/>
                <w:sz w:val="24"/>
                <w:szCs w:val="24"/>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4,104</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19"/>
                <w:szCs w:val="19"/>
                <w:color w:val="auto"/>
              </w:rPr>
            </w:pPr>
          </w:p>
        </w:tc>
      </w:tr>
      <w:tr>
        <w:trPr>
          <w:trHeight w:val="243"/>
        </w:trPr>
        <w:tc>
          <w:tcPr>
            <w:tcW w:w="5280" w:type="dxa"/>
            <w:vAlign w:val="bottom"/>
            <w:shd w:val="clear" w:color="auto" w:fill="CFF0FC"/>
          </w:tcPr>
          <w:p>
            <w:pPr>
              <w:ind w:left="180"/>
              <w:spacing w:after="0" w:line="243" w:lineRule="exact"/>
              <w:rPr>
                <w:sz w:val="20"/>
                <w:szCs w:val="20"/>
                <w:color w:val="auto"/>
              </w:rPr>
            </w:pPr>
            <w:r>
              <w:rPr>
                <w:rFonts w:ascii="Arial" w:cs="Arial" w:eastAsia="Arial" w:hAnsi="Arial"/>
                <w:sz w:val="18"/>
                <w:szCs w:val="18"/>
                <w:color w:val="auto"/>
              </w:rPr>
              <w:t xml:space="preserve">Impairment of operating lease right-of-use assets </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FF0FC"/>
          </w:tcPr>
          <w:p>
            <w:pPr>
              <w:spacing w:after="0"/>
              <w:rPr>
                <w:sz w:val="21"/>
                <w:szCs w:val="21"/>
                <w:color w:val="auto"/>
              </w:rPr>
            </w:pPr>
          </w:p>
        </w:tc>
      </w:tr>
      <w:tr>
        <w:trPr>
          <w:trHeight w:val="229"/>
        </w:trPr>
        <w:tc>
          <w:tcPr>
            <w:tcW w:w="528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r>
      <w:tr>
        <w:trPr>
          <w:trHeight w:val="26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940" w:hanging="172"/>
        <w:spacing w:after="0"/>
        <w:tabs>
          <w:tab w:leader="none" w:pos="94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37" w:lineRule="exact"/>
        <w:rPr>
          <w:rFonts w:ascii="Arial" w:cs="Arial" w:eastAsia="Arial" w:hAnsi="Arial"/>
          <w:sz w:val="12"/>
          <w:szCs w:val="12"/>
          <w:color w:val="auto"/>
        </w:rPr>
      </w:pPr>
    </w:p>
    <w:p>
      <w:pPr>
        <w:ind w:right="200" w:firstLine="768"/>
        <w:spacing w:after="0" w:line="304" w:lineRule="auto"/>
        <w:tabs>
          <w:tab w:leader="none" w:pos="941"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of $8.6 million, net of applicable sublease income of $2.1 million, related to the total restructuring charges incurred to date, that will continue to be incurred under the contract for its remaining term without economic benefit to the Company.</w:t>
      </w:r>
    </w:p>
    <w:p>
      <w:pPr>
        <w:spacing w:after="0" w:line="1" w:lineRule="exact"/>
        <w:rPr>
          <w:rFonts w:ascii="Arial" w:cs="Arial" w:eastAsia="Arial" w:hAnsi="Arial"/>
          <w:sz w:val="12"/>
          <w:szCs w:val="12"/>
          <w:color w:val="auto"/>
        </w:rPr>
      </w:pPr>
    </w:p>
    <w:p>
      <w:pPr>
        <w:ind w:right="60" w:firstLine="768"/>
        <w:spacing w:after="0" w:line="317" w:lineRule="auto"/>
        <w:tabs>
          <w:tab w:leader="none" w:pos="941"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costs incurred to date consist of legal expenses of $0.6 million incurred in connection with the Realignment Plan and acceleration of depreciation of property and equipment of $0.6 million related to the planned facility closures.</w:t>
      </w:r>
    </w:p>
    <w:p>
      <w:pPr>
        <w:spacing w:after="0" w:line="189" w:lineRule="exact"/>
        <w:rPr>
          <w:sz w:val="20"/>
          <w:szCs w:val="20"/>
          <w:color w:val="auto"/>
        </w:rPr>
      </w:pPr>
    </w:p>
    <w:p>
      <w:pPr>
        <w:ind w:right="860" w:firstLine="761"/>
        <w:spacing w:after="0" w:line="245" w:lineRule="auto"/>
        <w:rPr>
          <w:sz w:val="20"/>
          <w:szCs w:val="20"/>
          <w:color w:val="auto"/>
        </w:rPr>
      </w:pPr>
      <w:r>
        <w:rPr>
          <w:rFonts w:ascii="Arial" w:cs="Arial" w:eastAsia="Arial" w:hAnsi="Arial"/>
          <w:sz w:val="18"/>
          <w:szCs w:val="18"/>
          <w:color w:val="auto"/>
        </w:rPr>
        <w:t>Severance and termination benefits and other costs are included in "Selling, general, and administrative expenses" in the condensed consolidated statements of operations for the three months ended March 31, 2023.</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reconciliation of the beginning and ending restructuring liability for three months ended March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558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60"/>
              <w:spacing w:after="0"/>
              <w:rPr>
                <w:sz w:val="20"/>
                <w:szCs w:val="20"/>
                <w:color w:val="auto"/>
              </w:rPr>
            </w:pPr>
            <w:r>
              <w:rPr>
                <w:rFonts w:ascii="Arial" w:cs="Arial" w:eastAsia="Arial" w:hAnsi="Arial"/>
                <w:sz w:val="18"/>
                <w:szCs w:val="18"/>
                <w:color w:val="auto"/>
              </w:rPr>
              <w:t>Accrual and accrual adjustments</w:t>
            </w:r>
          </w:p>
        </w:tc>
        <w:tc>
          <w:tcPr>
            <w:tcW w:w="4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4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(3,576 )</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March 31, 2023</w:t>
            </w:r>
          </w:p>
        </w:tc>
        <w:tc>
          <w:tcPr>
            <w:tcW w:w="4560" w:type="dxa"/>
            <w:vAlign w:val="bottom"/>
            <w:tcBorders>
              <w:top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560" w:type="dxa"/>
            <w:vAlign w:val="bottom"/>
            <w:vMerge w:val="restart"/>
          </w:tcPr>
          <w:p>
            <w:pPr>
              <w:jc w:val="right"/>
              <w:ind w:right="2890"/>
              <w:spacing w:after="0"/>
              <w:rPr>
                <w:sz w:val="20"/>
                <w:szCs w:val="20"/>
                <w:color w:val="auto"/>
              </w:rPr>
            </w:pPr>
            <w:r>
              <w:rPr>
                <w:rFonts w:ascii="Arial" w:cs="Arial" w:eastAsia="Arial" w:hAnsi="Arial"/>
                <w:sz w:val="18"/>
                <w:szCs w:val="18"/>
                <w:color w:val="auto"/>
              </w:rPr>
              <w:t>39</w:t>
            </w: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4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both"/>
        <w:ind w:right="120" w:firstLine="761"/>
        <w:spacing w:after="0"/>
        <w:rPr>
          <w:sz w:val="20"/>
          <w:szCs w:val="20"/>
          <w:color w:val="auto"/>
        </w:rPr>
      </w:pPr>
      <w:r>
        <w:rPr>
          <w:rFonts w:ascii="Arial" w:cs="Arial" w:eastAsia="Arial" w:hAnsi="Arial"/>
          <w:sz w:val="18"/>
          <w:szCs w:val="18"/>
          <w:color w:val="auto"/>
        </w:rPr>
        <w:t>The restructuring liability for severance and termination benefits is reflected in "Accrued Expenses" in the condensed consolidated balance sheet as of March 31, 2023 and December 31, 2022. On April 26, 2023, the Company executed another reduction in force. Refer to Note 21 – Subsequent Events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As part of the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The Company now presents three reportable segments: Ecommerce, Wholesale, and Retail Financing. The Company reclassified TDA revenue and TDA gross profit for the comparative period from the TDA reportable segment to the “All Other” category to conform to current year presentation. No operating segments have been aggregated to form the reportable segments.</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March 31, 2023 and December 31, 2022, long-lived assets were predominantly located in the United States.</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636"/>
              <w:spacing w:after="0"/>
              <w:rPr>
                <w:sz w:val="20"/>
                <w:szCs w:val="20"/>
                <w:color w:val="auto"/>
              </w:rPr>
            </w:pPr>
            <w:r>
              <w:rPr>
                <w:rFonts w:ascii="Arial" w:cs="Arial" w:eastAsia="Arial" w:hAnsi="Arial"/>
                <w:sz w:val="14"/>
                <w:szCs w:val="14"/>
                <w:b w:val="1"/>
                <w:bCs w:val="1"/>
                <w:color w:val="auto"/>
              </w:rPr>
              <w:t>Three Months Ended March 31, 2023</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135,633</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10,035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25,774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2,934</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right"/>
              <w:ind w:right="636"/>
              <w:spacing w:after="0"/>
              <w:rPr>
                <w:sz w:val="20"/>
                <w:szCs w:val="20"/>
                <w:color w:val="auto"/>
              </w:rPr>
            </w:pPr>
            <w:r>
              <w:rPr>
                <w:rFonts w:ascii="Arial" w:cs="Arial" w:eastAsia="Arial" w:hAnsi="Arial"/>
                <w:sz w:val="14"/>
                <w:szCs w:val="14"/>
                <w:b w:val="1"/>
                <w:bCs w:val="1"/>
                <w:color w:val="auto"/>
              </w:rPr>
              <w:t>Three Months Ended March 31, 2022</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All Other</w:t>
            </w:r>
            <w:r>
              <w:rPr>
                <w:rFonts w:ascii="Arial" w:cs="Arial" w:eastAsia="Arial" w:hAnsi="Arial"/>
                <w:sz w:val="19"/>
                <w:szCs w:val="19"/>
                <w:b w:val="1"/>
                <w:bCs w:val="1"/>
                <w:color w:val="auto"/>
                <w:w w:val="99"/>
                <w:vertAlign w:val="superscript"/>
              </w:rPr>
              <w:t>(1)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675,364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139,984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60,740</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34,320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(2,753 )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44,963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5,110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140" w:right="660" w:hanging="383"/>
        <w:spacing w:after="0" w:line="257" w:lineRule="auto"/>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reclassified TDA revenue and TDA gross profit from the TDA reportable segment to the “All Other” category to conform to current year presentation.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right="340" w:firstLine="764"/>
        <w:spacing w:after="0" w:line="245" w:lineRule="auto"/>
        <w:rPr>
          <w:sz w:val="20"/>
          <w:szCs w:val="20"/>
          <w:color w:val="auto"/>
        </w:rPr>
      </w:pPr>
      <w:r>
        <w:rPr>
          <w:rFonts w:ascii="Arial" w:cs="Arial" w:eastAsia="Arial" w:hAnsi="Arial"/>
          <w:sz w:val="18"/>
          <w:szCs w:val="18"/>
          <w:color w:val="auto"/>
        </w:rPr>
        <w:t>The reconciliation between reportable segment gross profit to consolidated loss before provision (benefit) for income taxes is as follows (in thousands):</w:t>
      </w:r>
    </w:p>
    <w:p>
      <w:pPr>
        <w:spacing w:after="0" w:line="226"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1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181,516</w:t>
            </w:r>
          </w:p>
        </w:tc>
        <w:tc>
          <w:tcPr>
            <w:tcW w:w="3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863,035</w:t>
            </w:r>
          </w:p>
        </w:tc>
        <w:tc>
          <w:tcPr>
            <w:tcW w:w="100" w:type="dxa"/>
            <w:vAlign w:val="bottom"/>
          </w:tcPr>
          <w:p>
            <w:pPr>
              <w:spacing w:after="0"/>
              <w:rPr>
                <w:sz w:val="19"/>
                <w:szCs w:val="19"/>
                <w:color w:val="auto"/>
              </w:rPr>
            </w:pPr>
          </w:p>
        </w:tc>
      </w:tr>
      <w:tr>
        <w:trPr>
          <w:trHeight w:val="229"/>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1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196,467</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923,775</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loss before (benefit) provision for income taxes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35,871</w:t>
            </w:r>
          </w:p>
        </w:tc>
        <w:tc>
          <w:tcPr>
            <w:tcW w:w="3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76,530</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1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96,537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187,994</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10,531</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FF0FC"/>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201,703</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1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(8,709 )</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(5,942 )</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(3,952 )</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11,240</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12,358</w:t>
            </w:r>
          </w:p>
        </w:tc>
        <w:tc>
          <w:tcPr>
            <w:tcW w:w="100" w:type="dxa"/>
            <w:vAlign w:val="bottom"/>
          </w:tcPr>
          <w:p>
            <w:pPr>
              <w:spacing w:after="0"/>
              <w:rPr>
                <w:sz w:val="19"/>
                <w:szCs w:val="19"/>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loss before provision (benefit) for income taxes</w:t>
            </w:r>
          </w:p>
        </w:tc>
        <w:tc>
          <w:tcPr>
            <w:tcW w:w="1160" w:type="dxa"/>
            <w:vAlign w:val="bottom"/>
            <w:shd w:val="clear" w:color="auto" w:fill="CFF0FC"/>
          </w:tcPr>
          <w:p>
            <w:pPr>
              <w:jc w:val="right"/>
              <w:ind w:right="954"/>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(74,771 )</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(333,699 )</w:t>
            </w: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-1814830</wp:posOffset>
            </wp:positionV>
            <wp:extent cx="7683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0" w:lineRule="exact"/>
        <w:rPr>
          <w:sz w:val="20"/>
          <w:szCs w:val="20"/>
          <w:color w:val="auto"/>
        </w:rPr>
      </w:pPr>
    </w:p>
    <w:p>
      <w:pPr>
        <w:ind w:right="20" w:firstLine="761"/>
        <w:spacing w:after="0" w:line="252"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181"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The Company’s effective tax rate for the three months ended March 31, 2023 and 2022 was (0.37)% and 6.96%, respectively. The effective tax rate for the three months ended March 31, 2022 was primarily driven by a deferred tax benefit recorded for the decrease of Valuation Allowance resulting from the acquisition of Unitas Holdings Corp. (now known as Vroom Finance Corporation) that occurred during the period, of $23.9 million.</w:t>
      </w:r>
    </w:p>
    <w:p>
      <w:pPr>
        <w:spacing w:after="0" w:line="19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2016 and prior. The company is not currently under audit for any US federal or state income tax audits.</w:t>
      </w:r>
    </w:p>
    <w:p>
      <w:pPr>
        <w:spacing w:after="0" w:line="188"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92"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Acquisitions for additional information. The NOLs and other tax attributes acquired will be subject to Section 382 limitations. The Company is in the process of determining the amount of attributes that will be available for use.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 has not identified any uncertain tax positions as of March 31, 2023 or December 31, 2022. Any interest and penalties related to uncertain tax positions shall be recorded as a component of income tax expense. To date, no interest or penalties have been accrued in relation to uncertain tax positions.</w:t>
      </w:r>
    </w:p>
    <w:p>
      <w:pPr>
        <w:spacing w:after="0" w:line="188"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is evaluating the provisions included under the IRA and does not expect the provisions to have a material impact to the Company's condensed consolidated financial statements.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Loss Per Share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(75,044 )</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(310,459 )</w:t>
            </w:r>
          </w:p>
        </w:tc>
        <w:tc>
          <w:tcPr>
            <w:tcW w:w="0" w:type="dxa"/>
            <w:vAlign w:val="bottom"/>
          </w:tcPr>
          <w:p>
            <w:pPr>
              <w:spacing w:after="0"/>
              <w:rPr>
                <w:sz w:val="1"/>
                <w:szCs w:val="1"/>
                <w:color w:val="auto"/>
              </w:rPr>
            </w:pPr>
          </w:p>
        </w:tc>
      </w:tr>
      <w:tr>
        <w:trPr>
          <w:trHeight w:val="208"/>
        </w:trPr>
        <w:tc>
          <w:tcPr>
            <w:tcW w:w="7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138,530,884</w:t>
            </w: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137,259,629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(0.54 )</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-453390</wp:posOffset>
            </wp:positionV>
            <wp:extent cx="76835" cy="282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761"/>
        <w:spacing w:after="0" w:line="245"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As of March 31,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6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53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rPr>
              <w:t>6,266,077</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11,158,722</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5340" w:type="dxa"/>
            <w:vAlign w:val="bottom"/>
            <w:gridSpan w:val="2"/>
          </w:tcPr>
          <w:p>
            <w:pPr>
              <w:jc w:val="right"/>
              <w:ind w:right="62"/>
              <w:spacing w:after="0"/>
              <w:rPr>
                <w:sz w:val="20"/>
                <w:szCs w:val="20"/>
                <w:color w:val="auto"/>
              </w:rPr>
            </w:pPr>
            <w:r>
              <w:rPr>
                <w:rFonts w:ascii="Arial" w:cs="Arial" w:eastAsia="Arial" w:hAnsi="Arial"/>
                <w:sz w:val="18"/>
                <w:szCs w:val="18"/>
                <w:color w:val="auto"/>
              </w:rPr>
              <w:t>2,788,624</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3,814,755</w:t>
            </w: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3280" w:type="dxa"/>
            <w:vAlign w:val="bottom"/>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color w:val="auto"/>
              </w:rPr>
              <w:t>15,320,430</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2,398,593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5340" w:type="dxa"/>
            <w:vAlign w:val="bottom"/>
            <w:gridSpan w:val="2"/>
          </w:tcPr>
          <w:p>
            <w:pPr>
              <w:jc w:val="right"/>
              <w:ind w:right="62"/>
              <w:spacing w:after="0"/>
              <w:rPr>
                <w:sz w:val="20"/>
                <w:szCs w:val="20"/>
                <w:color w:val="auto"/>
              </w:rPr>
            </w:pPr>
            <w:r>
              <w:rPr>
                <w:rFonts w:ascii="Arial" w:cs="Arial" w:eastAsia="Arial" w:hAnsi="Arial"/>
                <w:sz w:val="18"/>
                <w:szCs w:val="18"/>
                <w:color w:val="auto"/>
              </w:rPr>
              <w:t>24,375,131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17,372,070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80" w:type="dxa"/>
            <w:vAlign w:val="bottom"/>
            <w:vMerge w:val="restart"/>
          </w:tcPr>
          <w:p>
            <w:pPr>
              <w:jc w:val="right"/>
              <w:ind w:right="1210"/>
              <w:spacing w:after="0"/>
              <w:rPr>
                <w:sz w:val="20"/>
                <w:szCs w:val="20"/>
                <w:color w:val="auto"/>
              </w:rPr>
            </w:pPr>
            <w:r>
              <w:rPr>
                <w:rFonts w:ascii="Arial" w:cs="Arial" w:eastAsia="Arial" w:hAnsi="Arial"/>
                <w:sz w:val="18"/>
                <w:szCs w:val="18"/>
                <w:color w:val="auto"/>
              </w:rPr>
              <w:t>42</w:t>
            </w: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37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right="9240" w:firstLine="8"/>
        <w:spacing w:after="0" w:line="481" w:lineRule="auto"/>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Nasdaq Notice</w:t>
      </w:r>
    </w:p>
    <w:p>
      <w:pPr>
        <w:spacing w:after="0" w:line="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On April 14, 2023, the Company received written notice from The Nasdaq Stock Market LLC (“Nasdaq”) notifying the Company that, for the last 30 consecutive business days, the bid price for the Company’s common stock had closed below the $1.00 per share minimum bid price requirement for continued inclusion on the Nasdaq Global Select Market pursuant to Nasdaq Listing Rule 5450(a)(1) (the "Minimum Bid Price Requirement"). The Notice has no immediate effect on the listing of the Company's common stock, which continues to trade on the Nasdaq Global Select Market under the symbol “VRM”.</w:t>
      </w:r>
    </w:p>
    <w:p>
      <w:pPr>
        <w:spacing w:after="0" w:line="19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Company has a period of 180 calendar days, or until October 11, 2023, to regain compliance with the Minimum Bid Price Requirement. To regain compliance, the closing bid price of the Company’s common stock must be at least $1.00 per share for a minimum of 10 consecutive business days during the 180-day period prior to October 11, 2023.</w:t>
      </w:r>
    </w:p>
    <w:p>
      <w:pPr>
        <w:spacing w:after="0" w:line="188"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If the Company does not regain compliance by October 11, 2023, the Company may be eligible for an additional 180-calendar day compliance period by transferring the listing of its common stock to the Nasdaq Capital Market. If the Company fails to regain compliance during the compliance period (including a second compliance period provided by a transfer to the Nasdaq Capital Market, if applicable), then Nasdaq will notify the Company of its determination to delist the Company's common stock, at which point the Company may appeal Nasdaq’s delisting determination to a Nasdaq hearing panel.</w:t>
      </w:r>
    </w:p>
    <w:p>
      <w:pPr>
        <w:spacing w:after="0" w:line="192"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The Company intends to actively monitor the closing bid price of its common stock and will consider all available options to regain compliance with the Minimum Bid Price Requirement, which may include transferring the listing to the Nasdaq Capital Market and/or seeking stockholder approval to effect a reverse stock split. However, there can be no assurance that the Company will regain compliance with the Minimum Bid Price Requirement.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2023-1 Non-Investment Grade Securities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April 19, 2023, UACC sold the non-investment grade securities related to the 2023-1 securitization transaction for $23.1 million.</w:t>
      </w:r>
    </w:p>
    <w:p>
      <w:pPr>
        <w:spacing w:after="0"/>
        <w:rPr>
          <w:sz w:val="20"/>
          <w:szCs w:val="20"/>
          <w:color w:val="auto"/>
        </w:rPr>
      </w:pPr>
      <w:r>
        <w:rPr>
          <w:rFonts w:ascii="Arial" w:cs="Arial" w:eastAsia="Arial" w:hAnsi="Arial"/>
          <w:sz w:val="18"/>
          <w:szCs w:val="18"/>
          <w:color w:val="auto"/>
        </w:rPr>
        <w:t>UACC still retains the residual interests related to the 2023-1 securitization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2023 Reduction in Force</w:t>
      </w:r>
    </w:p>
    <w:p>
      <w:pPr>
        <w:spacing w:after="0" w:line="220"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On April 26, 2023, as part of the Company’s ongoing reexamination of all facets of the business, the Company implemented an organizational restructuring that included a reduction in force. The Company reduced Vroom’s headcount by approximately 120 employees and expects to incur total expenses of approximately $2.0 million in the second quarter of 2023, primarily consisting of severance costs, as a result of this reduction in force.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UACC Risk Retention Financing Facility</w:t>
      </w:r>
    </w:p>
    <w:p>
      <w:pPr>
        <w:spacing w:after="0" w:line="220"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Arial" w:cs="Arial" w:eastAsia="Arial" w:hAnsi="Arial"/>
          <w:sz w:val="19"/>
          <w:szCs w:val="19"/>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2022 (the “Annual Report”), as updated by the section titled "Risk Factors" in Part II, Item 1A of this Quarterly Report on Form 10-Q. Additionally, our historical results are not necessarily indicative of the results that may be expected for any period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jc w:val="both"/>
        <w:ind w:right="220" w:firstLine="761"/>
        <w:spacing w:after="0" w:line="238"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Our scalable, data-driven technology brings all phases of the car buying and selling process to consumers wherever they are, and offers an extensive selection of used vehicles, transparent pricing, competitive financing, and at-home pick-up and delivery. We are deeply committed to creating an exceptional experience for our customers.</w:t>
      </w:r>
    </w:p>
    <w:p>
      <w:pPr>
        <w:spacing w:after="0" w:line="19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We take a vertically integrated, hybrid approach and leverage the benefits of national scale and local efficiency. We are driving enduring change in the industry by reinventing all phases of the vehicle buying and selling process, from discovery to delivery and everything in between. Our platform encompasses:</w:t>
      </w:r>
    </w:p>
    <w:p>
      <w:pPr>
        <w:spacing w:after="0" w:line="166" w:lineRule="exact"/>
        <w:rPr>
          <w:sz w:val="20"/>
          <w:szCs w:val="20"/>
          <w:color w:val="auto"/>
        </w:rPr>
      </w:pPr>
    </w:p>
    <w:p>
      <w:pPr>
        <w:ind w:left="1020" w:right="60" w:hanging="249"/>
        <w:spacing w:after="0" w:line="24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provide consumers with a personalized and intuitive ecommerce interface to research and select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fully reconditioned vehicles, with specific sorting, searching and filtering functionality. Our platform is accessible at any time on any device and provides transparent haggle-free pricing, detailed vehicle information,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5" w:lineRule="exact"/>
        <w:rPr>
          <w:rFonts w:ascii="Arial" w:cs="Arial" w:eastAsia="Arial" w:hAnsi="Arial"/>
          <w:sz w:val="18"/>
          <w:szCs w:val="18"/>
          <w:color w:val="auto"/>
        </w:rPr>
      </w:pPr>
    </w:p>
    <w:p>
      <w:pPr>
        <w:ind w:left="1020" w:right="100" w:hanging="249"/>
        <w:spacing w:after="0" w:line="257"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Vehicle Operations: </w:t>
      </w:r>
      <w:r>
        <w:rPr>
          <w:rFonts w:ascii="Arial" w:cs="Arial" w:eastAsia="Arial" w:hAnsi="Arial"/>
          <w:sz w:val="17"/>
          <w:szCs w:val="17"/>
          <w:color w:val="auto"/>
        </w:rPr>
        <w:t>Our scalable and vertically integrated operations underpin our business model. We strategically source</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from consumers, auctions, rental car companies, OEMs, and dealers. We improve our ability to acquire high-demand vehicles through enhanced supply science across all our sourcing channels and utilize national marketing efforts to drive consumer sourcing. In our reconditioning and logistics operations, we deploy a hybrid strategy that optimizes a combination of ownership and operation of assets by us with strategic third-party partnerships.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52" w:lineRule="exact"/>
        <w:rPr>
          <w:rFonts w:ascii="Arial" w:cs="Arial" w:eastAsia="Arial" w:hAnsi="Arial"/>
          <w:sz w:val="17"/>
          <w:szCs w:val="17"/>
          <w:color w:val="auto"/>
        </w:rPr>
      </w:pPr>
    </w:p>
    <w:p>
      <w:pPr>
        <w:ind w:left="1020" w:right="60" w:hanging="249"/>
        <w:spacing w:after="0" w:line="24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In our vehicle operations, data science and experimentation enables us to fine tune our supply, sourcing and logistics models and to streamline our reconditioning processes.</w:t>
      </w:r>
    </w:p>
    <w:p>
      <w:pPr>
        <w:spacing w:after="0" w:line="168" w:lineRule="exact"/>
        <w:rPr>
          <w:rFonts w:ascii="Arial" w:cs="Arial" w:eastAsia="Arial" w:hAnsi="Arial"/>
          <w:sz w:val="18"/>
          <w:szCs w:val="18"/>
          <w:color w:val="auto"/>
        </w:rPr>
      </w:pPr>
    </w:p>
    <w:p>
      <w:pPr>
        <w:ind w:left="1020" w:right="60" w:hanging="249"/>
        <w:spacing w:after="0" w:line="24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Vehicle Financing: </w:t>
      </w:r>
      <w:r>
        <w:rPr>
          <w:rFonts w:ascii="Arial" w:cs="Arial" w:eastAsia="Arial" w:hAnsi="Arial"/>
          <w:sz w:val="18"/>
          <w:szCs w:val="18"/>
          <w:color w:val="auto"/>
        </w:rPr>
        <w:t>A critical component of our value proposition is offering vehicle financing to our customers as a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the transaction process. We currently offer integrated, real-time, individualized financing solutions through strategic partnerships with trusted lenders in automotive finance and through our subsidiary, UACC, which we acquired on February 1, 2022. The acquisition of UACC accelerated Vroom’s strategy to develop a captive financing arm and brought with it UACC’s financing expertise and extensive application processing, underwriting, securitization, and servicing capabilities.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Based on data from Cox Automotive, there were an estimated 36.2 million used vehicle transactions in 2022. According to a 2022 NADA Auto Retailing market summary, the U.S. automotive industry generated approximately $1.2 trillion in sales in 2021. The U.S. used automotive market is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Roadmap</w:t>
      </w:r>
    </w:p>
    <w:p>
      <w:pPr>
        <w:spacing w:after="0" w:line="220" w:lineRule="exact"/>
        <w:rPr>
          <w:sz w:val="20"/>
          <w:szCs w:val="20"/>
          <w:color w:val="auto"/>
        </w:rPr>
      </w:pPr>
    </w:p>
    <w:p>
      <w:pPr>
        <w:jc w:val="both"/>
        <w:ind w:right="400" w:firstLine="761"/>
        <w:spacing w:after="0"/>
        <w:rPr>
          <w:sz w:val="20"/>
          <w:szCs w:val="20"/>
          <w:color w:val="auto"/>
        </w:rPr>
      </w:pPr>
      <w:r>
        <w:rPr>
          <w:rFonts w:ascii="Arial" w:cs="Arial" w:eastAsia="Arial" w:hAnsi="Arial"/>
          <w:sz w:val="18"/>
          <w:szCs w:val="18"/>
          <w:color w:val="auto"/>
        </w:rPr>
        <w:t xml:space="preserve">In 2022, we developed a long-term road map designed to achieve three key objectives: prioritizing unit economics over growth, significantly reducing operating expenses, and maximizing liquidity. In 2023, we have refined these three key objectives to prioritize unit economics </w:t>
      </w:r>
      <w:r>
        <w:rPr>
          <w:rFonts w:ascii="Arial" w:cs="Arial" w:eastAsia="Arial" w:hAnsi="Arial"/>
          <w:sz w:val="18"/>
          <w:szCs w:val="18"/>
          <w:i w:val="1"/>
          <w:iCs w:val="1"/>
          <w:color w:val="auto"/>
        </w:rPr>
        <w:t>and growth</w:t>
      </w:r>
      <w:r>
        <w:rPr>
          <w:rFonts w:ascii="Arial" w:cs="Arial" w:eastAsia="Arial" w:hAnsi="Arial"/>
          <w:sz w:val="18"/>
          <w:szCs w:val="18"/>
          <w:color w:val="auto"/>
        </w:rPr>
        <w:t xml:space="preserve">, improve costs </w:t>
      </w:r>
      <w:r>
        <w:rPr>
          <w:rFonts w:ascii="Arial" w:cs="Arial" w:eastAsia="Arial" w:hAnsi="Arial"/>
          <w:sz w:val="18"/>
          <w:szCs w:val="18"/>
          <w:i w:val="1"/>
          <w:iCs w:val="1"/>
          <w:color w:val="auto"/>
        </w:rPr>
        <w:t>per unit</w:t>
      </w:r>
      <w:r>
        <w:rPr>
          <w:rFonts w:ascii="Arial" w:cs="Arial" w:eastAsia="Arial" w:hAnsi="Arial"/>
          <w:sz w:val="18"/>
          <w:szCs w:val="18"/>
          <w:color w:val="auto"/>
        </w:rPr>
        <w:t xml:space="preserve"> and maximize liquidity.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176" w:lineRule="exact"/>
        <w:rPr>
          <w:sz w:val="20"/>
          <w:szCs w:val="20"/>
          <w:color w:val="auto"/>
        </w:rPr>
      </w:pPr>
    </w:p>
    <w:p>
      <w:pPr>
        <w:ind w:left="1020" w:right="200" w:hanging="249"/>
        <w:spacing w:after="0" w:line="274"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and optimize our marketing strategies by building brand awareness, growing organic search traffic and fine-tuning paid media campaigns to improve direct traffic and drive conversion.</w:t>
      </w:r>
    </w:p>
    <w:p>
      <w:pPr>
        <w:spacing w:after="0" w:line="139" w:lineRule="exact"/>
        <w:rPr>
          <w:rFonts w:ascii="Arial" w:cs="Arial" w:eastAsia="Arial" w:hAnsi="Arial"/>
          <w:sz w:val="17"/>
          <w:szCs w:val="17"/>
          <w:color w:val="auto"/>
        </w:rPr>
      </w:pPr>
    </w:p>
    <w:p>
      <w:pPr>
        <w:ind w:left="1020" w:right="26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end-to-end supply chain to increase velocity and improve flow.</w:t>
      </w:r>
    </w:p>
    <w:p>
      <w:pPr>
        <w:spacing w:after="0" w:line="139" w:lineRule="exact"/>
        <w:rPr>
          <w:rFonts w:ascii="Arial" w:cs="Arial" w:eastAsia="Arial" w:hAnsi="Arial"/>
          <w:sz w:val="18"/>
          <w:szCs w:val="18"/>
          <w:color w:val="auto"/>
        </w:rPr>
      </w:pPr>
    </w:p>
    <w:p>
      <w:pPr>
        <w:ind w:left="1020" w:right="480" w:hanging="249"/>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lower logistics costs; and reduce markdowns.</w:t>
      </w:r>
    </w:p>
    <w:p>
      <w:pPr>
        <w:spacing w:after="0" w:line="139" w:lineRule="exact"/>
        <w:rPr>
          <w:rFonts w:ascii="Arial" w:cs="Arial" w:eastAsia="Arial" w:hAnsi="Arial"/>
          <w:sz w:val="18"/>
          <w:szCs w:val="18"/>
          <w:color w:val="auto"/>
        </w:rPr>
      </w:pPr>
    </w:p>
    <w:p>
      <w:pPr>
        <w:ind w:left="1020" w:right="500" w:hanging="249"/>
        <w:spacing w:after="0" w:line="25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79" w:lineRule="exact"/>
        <w:rPr>
          <w:sz w:val="20"/>
          <w:szCs w:val="20"/>
          <w:color w:val="auto"/>
        </w:rPr>
      </w:pPr>
    </w:p>
    <w:p>
      <w:pPr>
        <w:ind w:right="340" w:firstLine="764"/>
        <w:spacing w:after="0" w:line="245" w:lineRule="auto"/>
        <w:rPr>
          <w:sz w:val="20"/>
          <w:szCs w:val="20"/>
          <w:color w:val="auto"/>
        </w:rPr>
      </w:pPr>
      <w:r>
        <w:rPr>
          <w:rFonts w:ascii="Arial" w:cs="Arial" w:eastAsia="Arial" w:hAnsi="Arial"/>
          <w:sz w:val="18"/>
          <w:szCs w:val="18"/>
          <w:color w:val="auto"/>
        </w:rPr>
        <w:t>These four initiatives are designed to further our progress in building a profitable business model, enable us to build a well-oiled machine across our operations and position us to resume growth.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2023 Reduction in Force</w:t>
      </w:r>
    </w:p>
    <w:p>
      <w:pPr>
        <w:spacing w:after="0" w:line="198"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On January 18, 2023, we executed a reduction in force as part of our continued focus on reducing variable and fixed costs as we pursue our long-term roadmap. We reduced Vroom’s headcount by approximately 275 employees based on our assessment of business needs, the efficiencies obtained by our key initiatives, and our pursuit of long-term success and profitable growth. In 2022, we significantly improved our operations, specifically in our titling, registration and transaction processes, allowing us to now run these processes more cost effectively. We incurred expenses of approximately $4.1 million for the three months ended March 31, 2023, primarily consisting of severance, as a result of this reduction in force. We expect to achieve approximately $27.0 million of annualized cost reductions as a result of the reduction in force in January.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2023 Reduction in Force</w:t>
      </w:r>
    </w:p>
    <w:p>
      <w:pPr>
        <w:spacing w:after="0" w:line="220"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On April 26, 2023, as part of our ongoing reexamination of all facets of the business, we implemented an organizational restructuring that included a reduction in force. We reduced Vroom’s headcount by approximately 120 employees, or approximately 11% of Vroom employees, excluding UACC, or approximately 7% measured across the combined Company. We expect to incur total expenses of approximately $2.0 million in the second quarter of 2023, primarily consisting of severance costs, and expect to achieve approximately $15.0 million of annualized cost savings as a result of the reduction in force in April. Combined with prior reductions, this reflects an approximately 55% reduction of our employees and contractors (excluding UACC) since January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foregoing estimates regarding our anticipated annualized cost savings as a result of the reductions in force in January and April are in each case based upon current assumptions and expectations but are subject to known and unknown risks and uncertainties. Accordingly, we may not be able to fully realize the cost savings and benefits initially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w:t>
      </w:r>
    </w:p>
    <w:p>
      <w:pPr>
        <w:spacing w:after="0" w:line="220"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On April 14, 2023, we received written notice from The Nasdaq Stock Market LLC (“Nasdaq”) notifying us that, for the last 30 consecutive business days, the bid price for our common stock had closed below the $1.00 per share minimum bid price requirement for continued inclusion on the Nasdaq Global Select Market pursuant to Nasdaq Listing Rule 5450(a)(1) (the "Minimum Bid Price Requirement"). The Notice has no immediate effect on the listing of our common stock, which continues to trade on the Nasdaq Global Select Market under the symbol “VRM”.</w:t>
      </w:r>
    </w:p>
    <w:p>
      <w:pPr>
        <w:spacing w:after="0" w:line="192" w:lineRule="exact"/>
        <w:rPr>
          <w:sz w:val="20"/>
          <w:szCs w:val="20"/>
          <w:color w:val="auto"/>
        </w:rPr>
      </w:pPr>
    </w:p>
    <w:p>
      <w:pPr>
        <w:jc w:val="both"/>
        <w:ind w:right="100" w:firstLine="749"/>
        <w:spacing w:after="0"/>
        <w:rPr>
          <w:sz w:val="20"/>
          <w:szCs w:val="20"/>
          <w:color w:val="auto"/>
        </w:rPr>
      </w:pPr>
      <w:r>
        <w:rPr>
          <w:rFonts w:ascii="Arial" w:cs="Arial" w:eastAsia="Arial" w:hAnsi="Arial"/>
          <w:sz w:val="18"/>
          <w:szCs w:val="18"/>
          <w:color w:val="auto"/>
        </w:rPr>
        <w:t>We have a period of 180 calendar days, or until October 11, 2023, to regain compliance with the Minimum Bid Price Requirement. To regain compliance, the closing bid price of our common stock must be at least $1.00 per share for a minimum of 10 consecutive business days during the 180-day period prior to October 11, 2023.</w:t>
      </w:r>
    </w:p>
    <w:p>
      <w:pPr>
        <w:spacing w:after="0" w:line="188" w:lineRule="exact"/>
        <w:rPr>
          <w:sz w:val="20"/>
          <w:szCs w:val="20"/>
          <w:color w:val="auto"/>
        </w:rPr>
      </w:pPr>
    </w:p>
    <w:p>
      <w:pPr>
        <w:ind w:right="280" w:firstLine="749"/>
        <w:spacing w:after="0" w:line="238" w:lineRule="auto"/>
        <w:rPr>
          <w:sz w:val="20"/>
          <w:szCs w:val="20"/>
          <w:color w:val="auto"/>
        </w:rPr>
      </w:pPr>
      <w:r>
        <w:rPr>
          <w:rFonts w:ascii="Arial" w:cs="Arial" w:eastAsia="Arial" w:hAnsi="Arial"/>
          <w:sz w:val="18"/>
          <w:szCs w:val="18"/>
          <w:color w:val="auto"/>
        </w:rPr>
        <w:t>If we do not regain compliance by October 11, 2023, we may be eligible for an additional 180-calendar day compliance period by transferring the listing of our common stock to the Nasdaq Capital Market. If we fail to regain compliance during the compliance period (including a second compliance period provided by a transfer to the Nasdaq Capital Market, if applicable), then Nasdaq will notify us of its determination to delist our common stock, at which point we may appeal Nasdaq’s delisting determination to a Nasdaq hearing panel.</w:t>
      </w:r>
    </w:p>
    <w:p>
      <w:pPr>
        <w:spacing w:after="0" w:line="190"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We intend to actively monitor the closing bid price of our common stock and will consider all available options to regain compliance with the Minimum Bid Price Requirement, which may include transferring the listing to the Nasdaq Capital Market and/or seeking stockholder approval to effect a reverse stock split. However, there can be no assurance that we will regain compliance with the Minimum Bid Price Requirement.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Repurchases</w:t>
      </w:r>
    </w:p>
    <w:p>
      <w:pPr>
        <w:spacing w:after="0" w:line="233"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In March 2023, we repurchased $14.6 million in aggregate principal amount of our outstanding 0.75% unsecured Convertible Senior Notes due 2026 (the "Notes"), net of deferred issuance costs of $0.3 million, in open market transactions for $ 5.9 million. Subject to market conditions and availability, we may continue to opportunistically repurchase Notes from time to time to reduce our outstanding indebtedness at a discount.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84"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continue to generate ecommerce product revenue through interest income on UACC's finance receivables generated by loans provided to Vroom customers and UACC’s sale of such finance receivables in securitization transactions or forward flow arrangements. Additionally, we expect UACC to continue to purchase and service finance receivables originated by its network of third-party dealership customers and generate finance revenue, including interest income earned on finance receivables before the loans are sold, interest income on finance receivables held in consolidated VIEs, and, when applicable, gains on sale of securitized finance receivables. Over time, we intend to grow the third-party dealership network and business.</w:t>
      </w:r>
    </w:p>
    <w:p>
      <w:pPr>
        <w:spacing w:after="0" w:line="192" w:lineRule="exact"/>
        <w:rPr>
          <w:sz w:val="20"/>
          <w:szCs w:val="20"/>
          <w:color w:val="auto"/>
        </w:rPr>
      </w:pPr>
    </w:p>
    <w:p>
      <w:pPr>
        <w:ind w:right="260" w:firstLine="761"/>
        <w:spacing w:after="0" w:line="245"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w:t>
      </w:r>
    </w:p>
    <w:p>
      <w:pPr>
        <w:spacing w:after="0" w:line="184" w:lineRule="exact"/>
        <w:rPr>
          <w:sz w:val="20"/>
          <w:szCs w:val="20"/>
          <w:color w:val="auto"/>
        </w:rPr>
      </w:pPr>
    </w:p>
    <w:p>
      <w:pPr>
        <w:ind w:right="460" w:firstLine="761"/>
        <w:spacing w:after="0" w:line="245" w:lineRule="auto"/>
        <w:rPr>
          <w:sz w:val="20"/>
          <w:szCs w:val="20"/>
          <w:color w:val="auto"/>
        </w:rPr>
      </w:pPr>
      <w:r>
        <w:rPr>
          <w:rFonts w:ascii="Arial" w:cs="Arial" w:eastAsia="Arial" w:hAnsi="Arial"/>
          <w:sz w:val="18"/>
          <w:szCs w:val="18"/>
          <w:color w:val="auto"/>
        </w:rPr>
        <w:t>For the three months ended March 31, 2023, our Ecommerce, Wholesale, and Retail Financing segments represented 69.0%, 7.1%, and 16.3% of our total revenue,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2022, Product Gross Profit also includes (i) interest income earned on finance receivables from Vroom customers that we originate through UACC before the loans are sold, (ii) interest income on finance receivables held in consolidated variable interest entities ("VIEs") less the interest expense incurred on securitization debt, and when applicable (iii) gain on sales of securitized finance receivables. See “—Key Operating and Financial Metrics.”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125730</wp:posOffset>
            </wp:positionV>
            <wp:extent cx="5685155" cy="2371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85155"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strategy that optimizes a combination of ownership and operation of assets by us with strategic third-party partnerships. Our hybrid approach also applies to the third-party value-added products we sell to customers. Historically, we generated additional revenue streams without directly underwriting vehicle financing or protection products; however, the UACC Acquisition enables us to underwrite vehicle financing for our customers. As we resume growth, we expect to benefit from efficiencies and operating leverage across our business, including our marketing and technology investments, and our inventory procurement, logistics, reconditioning and sales processes.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jc w:val="both"/>
        <w:ind w:left="1020" w:right="120" w:hanging="249"/>
        <w:spacing w:after="0" w:line="25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(69.0% of total revenue for the three months ended March 31, 2023):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revenue earned on vehicle financing originated by UACC or our third-party financing sources and sales of value-added products associated with those vehicles sales.</w:t>
      </w:r>
    </w:p>
    <w:p>
      <w:pPr>
        <w:spacing w:after="0" w:line="157" w:lineRule="exact"/>
        <w:rPr>
          <w:rFonts w:ascii="Arial" w:cs="Arial" w:eastAsia="Arial" w:hAnsi="Arial"/>
          <w:sz w:val="18"/>
          <w:szCs w:val="18"/>
          <w:color w:val="auto"/>
        </w:rPr>
      </w:pPr>
    </w:p>
    <w:p>
      <w:pPr>
        <w:ind w:left="1020" w:right="260" w:hanging="249"/>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(7.1% of total revenue for the three months ended March 31, 2023):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139" w:lineRule="exact"/>
        <w:rPr>
          <w:rFonts w:ascii="Arial" w:cs="Arial" w:eastAsia="Arial" w:hAnsi="Arial"/>
          <w:sz w:val="18"/>
          <w:szCs w:val="18"/>
          <w:color w:val="auto"/>
        </w:rPr>
      </w:pPr>
    </w:p>
    <w:p>
      <w:pPr>
        <w:ind w:left="1020" w:right="780" w:hanging="249"/>
        <w:spacing w:after="0" w:line="27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(16.3% of total revenue for the three months ended March 31, 2023): The Retail Financing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UACC’s operations with its network of third-party dealership customers.</w:t>
      </w:r>
    </w:p>
    <w:p>
      <w:pPr>
        <w:spacing w:after="0" w:line="161"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As part of the Business Realignment Plan (the "Realignment Plan"), we streamlined TDA's operations and closed our service center. We also reevaluated our reporting segments based on relative revenue and gross profit and significance in our long term strategy. As a result of the quantitative analysis, we determined TDA should not be reported as a separate segment as it was presented prior to the second quarter of 2022.</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40" w:firstLine="764"/>
        <w:spacing w:after="0" w:line="245"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three months ended March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line="183"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9"/>
                <w:szCs w:val="19"/>
                <w:b w:val="1"/>
                <w:bCs w:val="1"/>
                <w:color w:val="auto"/>
                <w:vertAlign w:val="superscript"/>
              </w:rPr>
              <w:t>(1)</w:t>
            </w:r>
          </w:p>
        </w:tc>
        <w:tc>
          <w:tcPr>
            <w:tcW w:w="100" w:type="dxa"/>
            <w:vAlign w:val="bottom"/>
          </w:tcPr>
          <w:p>
            <w:pPr>
              <w:spacing w:after="0"/>
              <w:rPr>
                <w:sz w:val="15"/>
                <w:szCs w:val="15"/>
                <w:color w:val="auto"/>
              </w:rPr>
            </w:pPr>
          </w:p>
        </w:tc>
      </w:tr>
      <w:tr>
        <w:trPr>
          <w:trHeight w:val="182"/>
        </w:trPr>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center"/>
              <w:ind w:left="615"/>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135,633</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675,364</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139,984</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31,988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47,687</w:t>
            </w:r>
          </w:p>
        </w:tc>
        <w:tc>
          <w:tcPr>
            <w:tcW w:w="100" w:type="dxa"/>
            <w:vAlign w:val="bottom"/>
          </w:tcPr>
          <w:p>
            <w:pPr>
              <w:spacing w:after="0"/>
              <w:rPr>
                <w:sz w:val="19"/>
                <w:szCs w:val="19"/>
                <w:color w:val="auto"/>
              </w:rPr>
            </w:pPr>
          </w:p>
        </w:tc>
      </w:tr>
      <w:tr>
        <w:trPr>
          <w:trHeight w:val="22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196,467</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923,775</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10,035</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(2,753 )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25,774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44,963</w:t>
            </w:r>
          </w:p>
        </w:tc>
        <w:tc>
          <w:tcPr>
            <w:tcW w:w="100" w:type="dxa"/>
            <w:vAlign w:val="bottom"/>
          </w:tcPr>
          <w:p>
            <w:pPr>
              <w:spacing w:after="0"/>
              <w:rPr>
                <w:sz w:val="19"/>
                <w:szCs w:val="19"/>
                <w:color w:val="auto"/>
              </w:rPr>
            </w:pPr>
          </w:p>
        </w:tc>
      </w:tr>
      <w:tr>
        <w:trPr>
          <w:trHeight w:val="22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38,805</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81,640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-1086485</wp:posOffset>
            </wp:positionV>
            <wp:extent cx="6858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-179070</wp:posOffset>
            </wp:positionV>
            <wp:extent cx="6858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We reclassified TDA revenue and TDA gross profit from the TDA reportable segment to the “All Other” category to conform to current year presentation.</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0" w:lineRule="exact"/>
        <w:rPr>
          <w:sz w:val="20"/>
          <w:szCs w:val="20"/>
          <w:color w:val="auto"/>
        </w:rPr>
      </w:pPr>
    </w:p>
    <w:p>
      <w:pPr>
        <w:ind w:right="280" w:firstLine="761"/>
        <w:spacing w:after="0" w:line="236"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condensed consolidated financial statements and related notes included elsewhere in this Quarterly Report on Form 10-Q. We focus heavily on metrics related to unit economics as improved gross profit per unit is a key element of our growth and profitability strategies.</w:t>
      </w:r>
    </w:p>
    <w:p>
      <w:pPr>
        <w:spacing w:after="0" w:line="193"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35"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3,933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19,473</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Vehicle gross (loss) profit per ecommerce unit</w:t>
            </w:r>
          </w:p>
        </w:tc>
        <w:tc>
          <w:tcPr>
            <w:tcW w:w="3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(151 )</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595</w:t>
            </w:r>
          </w:p>
        </w:tc>
      </w:tr>
      <w:tr>
        <w:trPr>
          <w:trHeight w:val="22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3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2,703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1,168</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3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2,552</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1,763</w:t>
            </w:r>
          </w:p>
        </w:tc>
      </w:tr>
      <w:tr>
        <w:trPr>
          <w:trHeight w:val="20"/>
        </w:trPr>
        <w:tc>
          <w:tcPr>
            <w:tcW w:w="4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monthly unique visitors</w:t>
            </w:r>
          </w:p>
        </w:tc>
        <w:tc>
          <w:tcPr>
            <w:tcW w:w="3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2,303,794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2,587,431</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91</w:t>
            </w: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turnover</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Inventory days to supply</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79</w:t>
            </w:r>
          </w:p>
        </w:tc>
      </w:tr>
      <w:tr>
        <w:trPr>
          <w:trHeight w:val="634"/>
        </w:trPr>
        <w:tc>
          <w:tcPr>
            <w:tcW w:w="4600" w:type="dxa"/>
            <w:vAlign w:val="bottom"/>
          </w:tcPr>
          <w:p>
            <w:pPr>
              <w:spacing w:after="0"/>
              <w:rPr>
                <w:sz w:val="24"/>
                <w:szCs w:val="24"/>
                <w:color w:val="auto"/>
              </w:rPr>
            </w:pPr>
          </w:p>
        </w:tc>
        <w:tc>
          <w:tcPr>
            <w:tcW w:w="3180" w:type="dxa"/>
            <w:vAlign w:val="bottom"/>
          </w:tcPr>
          <w:p>
            <w:pPr>
              <w:jc w:val="right"/>
              <w:ind w:right="197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-1240790</wp:posOffset>
            </wp:positionV>
            <wp:extent cx="11112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jc w:val="both"/>
        <w:ind w:right="40" w:firstLine="761"/>
        <w:spacing w:after="0" w:line="237"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on-site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0" w:lineRule="exact"/>
        <w:rPr>
          <w:sz w:val="20"/>
          <w:szCs w:val="20"/>
          <w:color w:val="auto"/>
        </w:rPr>
      </w:pPr>
    </w:p>
    <w:p>
      <w:pPr>
        <w:ind w:right="100" w:firstLine="761"/>
        <w:spacing w:after="0" w:line="252" w:lineRule="auto"/>
        <w:rPr>
          <w:sz w:val="20"/>
          <w:szCs w:val="20"/>
          <w:color w:val="auto"/>
        </w:rPr>
      </w:pPr>
      <w:r>
        <w:rPr>
          <w:rFonts w:ascii="Arial" w:cs="Arial" w:eastAsia="Arial" w:hAnsi="Arial"/>
          <w:sz w:val="17"/>
          <w:szCs w:val="17"/>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Starting in 2022, Product Gross Profit also includes (i) interest income earned on finance receivables from Vroom customers to finance vehicle sales that we originate through UACC before the loans are sold, (ii) interest income on finance receivables held in consolidated VIEs less the interest expense incurred on securitization debt, and when applicable (iii) gain on sales of securitized finance receivables, divided by the number of ecommerce units sold in that period.</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80" w:firstLine="761"/>
        <w:spacing w:after="0" w:line="245"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0" w:lineRule="exact"/>
        <w:rPr>
          <w:sz w:val="20"/>
          <w:szCs w:val="20"/>
          <w:color w:val="auto"/>
        </w:rPr>
      </w:pPr>
    </w:p>
    <w:p>
      <w:pPr>
        <w:ind w:right="80" w:firstLine="761"/>
        <w:spacing w:after="0" w:line="253" w:lineRule="auto"/>
        <w:rPr>
          <w:sz w:val="20"/>
          <w:szCs w:val="20"/>
          <w:color w:val="auto"/>
        </w:rPr>
      </w:pPr>
      <w:r>
        <w:rPr>
          <w:rFonts w:ascii="Arial" w:cs="Arial" w:eastAsia="Arial" w:hAnsi="Arial"/>
          <w:sz w:val="17"/>
          <w:szCs w:val="17"/>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on-site at TDA and through the Wholesale segment. Ecommerce average days to sale is an important metric because a reduction in the number of days between the acquisition of a vehicle and the delivery of such vehicle typically results in a higher gross profit per unit.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turnover</w:t>
      </w:r>
    </w:p>
    <w:p>
      <w:pPr>
        <w:spacing w:after="0" w:line="220" w:lineRule="exact"/>
        <w:rPr>
          <w:sz w:val="20"/>
          <w:szCs w:val="20"/>
          <w:color w:val="auto"/>
        </w:rPr>
      </w:pPr>
    </w:p>
    <w:p>
      <w:pPr>
        <w:ind w:right="180" w:firstLine="749"/>
        <w:spacing w:after="0" w:line="238" w:lineRule="auto"/>
        <w:rPr>
          <w:sz w:val="20"/>
          <w:szCs w:val="20"/>
          <w:color w:val="auto"/>
        </w:rPr>
      </w:pPr>
      <w:r>
        <w:rPr>
          <w:rFonts w:ascii="Arial" w:cs="Arial" w:eastAsia="Arial" w:hAnsi="Arial"/>
          <w:sz w:val="18"/>
          <w:szCs w:val="18"/>
          <w:color w:val="auto"/>
        </w:rPr>
        <w:t>Inventory turnover is a measure of how well we are optimizing our inventory. We calculate inventory turnover for a given period as total retail and wholesale cost of sales for the respective period annualized and divided by average inventory (computed using the current and immediately preceding quarter-end balances). Our inventory turnover ratio is an important metric as a higher turnover ratio reflects a more efficient use of our capital and typically results in a higher gross profit per unit.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days to supply</w:t>
      </w:r>
    </w:p>
    <w:p>
      <w:pPr>
        <w:spacing w:after="0" w:line="217" w:lineRule="exact"/>
        <w:rPr>
          <w:sz w:val="20"/>
          <w:szCs w:val="20"/>
          <w:color w:val="auto"/>
        </w:rPr>
      </w:pPr>
    </w:p>
    <w:p>
      <w:pPr>
        <w:ind w:firstLine="749"/>
        <w:spacing w:after="0" w:line="248" w:lineRule="auto"/>
        <w:rPr>
          <w:sz w:val="20"/>
          <w:szCs w:val="20"/>
          <w:color w:val="auto"/>
        </w:rPr>
      </w:pPr>
      <w:r>
        <w:rPr>
          <w:rFonts w:ascii="Arial" w:cs="Arial" w:eastAsia="Arial" w:hAnsi="Arial"/>
          <w:sz w:val="20"/>
          <w:szCs w:val="20"/>
          <w:color w:val="auto"/>
        </w:rPr>
        <w:t>W</w:t>
      </w:r>
      <w:r>
        <w:rPr>
          <w:rFonts w:ascii="Arial" w:cs="Arial" w:eastAsia="Arial" w:hAnsi="Arial"/>
          <w:sz w:val="17"/>
          <w:szCs w:val="17"/>
          <w:color w:val="auto"/>
        </w:rPr>
        <w:t>e define inventory days to supply as the number of days between acquisition of vehicles and sale of such vehicles to customers.</w:t>
      </w:r>
      <w:r>
        <w:rPr>
          <w:rFonts w:ascii="Arial" w:cs="Arial" w:eastAsia="Arial" w:hAnsi="Arial"/>
          <w:sz w:val="20"/>
          <w:szCs w:val="20"/>
          <w:color w:val="auto"/>
        </w:rPr>
        <w:t xml:space="preserve"> </w:t>
      </w:r>
      <w:r>
        <w:rPr>
          <w:rFonts w:ascii="Arial" w:cs="Arial" w:eastAsia="Arial" w:hAnsi="Arial"/>
          <w:sz w:val="17"/>
          <w:szCs w:val="17"/>
          <w:color w:val="auto"/>
        </w:rPr>
        <w:t>We calculate inventory days to supply for a given period by dividing average inventory by total retail and wholesale cost of sales per day for the respective period. Inventory days to supply is an important metric because a reduction in the inventory days to supply typically results in a higher gross profit per unit.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right="100" w:firstLine="764"/>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and Adjusted EBITDA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2" w:lineRule="exact"/>
        <w:rPr>
          <w:sz w:val="20"/>
          <w:szCs w:val="20"/>
          <w:color w:val="auto"/>
        </w:rPr>
      </w:pPr>
    </w:p>
    <w:p>
      <w:pPr>
        <w:ind w:right="160" w:firstLine="764"/>
        <w:spacing w:after="0" w:line="238" w:lineRule="auto"/>
        <w:rPr>
          <w:sz w:val="20"/>
          <w:szCs w:val="20"/>
          <w:color w:val="auto"/>
        </w:rPr>
      </w:pPr>
      <w:r>
        <w:rPr>
          <w:rFonts w:ascii="Arial" w:cs="Arial" w:eastAsia="Arial" w:hAnsi="Arial"/>
          <w:sz w:val="18"/>
          <w:szCs w:val="18"/>
          <w:color w:val="auto"/>
        </w:rPr>
        <w:t>EBITDA, Adjusted EBITDA, and Adjusted EBITDA excluding securitization gain are supplemental performance measures that our management uses to assess our operating performance and the operating leverage in our business. Because EBITDA, Adjusted EBITDA, and Adjusted EBITDA excluding securitization gain facilitate internal comparisons of our historical operating performance on a more consistent basis, we use these measures for business planning purposes.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w:t>
      </w:r>
    </w:p>
    <w:p>
      <w:pPr>
        <w:spacing w:after="0"/>
        <w:rPr>
          <w:sz w:val="20"/>
          <w:szCs w:val="20"/>
          <w:color w:val="auto"/>
        </w:rPr>
      </w:pPr>
      <w:r>
        <w:rPr>
          <w:rFonts w:ascii="Arial" w:cs="Arial" w:eastAsia="Arial" w:hAnsi="Arial"/>
          <w:sz w:val="18"/>
          <w:szCs w:val="18"/>
          <w:color w:val="auto"/>
        </w:rPr>
        <w:t>expense.</w:t>
      </w:r>
    </w:p>
    <w:p>
      <w:pPr>
        <w:spacing w:after="0" w:line="198" w:lineRule="exact"/>
        <w:rPr>
          <w:sz w:val="20"/>
          <w:szCs w:val="20"/>
          <w:color w:val="auto"/>
        </w:rPr>
      </w:pPr>
    </w:p>
    <w:p>
      <w:pPr>
        <w:ind w:right="20" w:firstLine="764"/>
        <w:spacing w:after="0" w:line="236" w:lineRule="auto"/>
        <w:rPr>
          <w:sz w:val="20"/>
          <w:szCs w:val="20"/>
          <w:color w:val="auto"/>
        </w:rPr>
      </w:pPr>
      <w:r>
        <w:rPr>
          <w:rFonts w:ascii="Arial" w:cs="Arial" w:eastAsia="Arial" w:hAnsi="Arial"/>
          <w:sz w:val="18"/>
          <w:szCs w:val="18"/>
          <w:color w:val="auto"/>
        </w:rPr>
        <w:t>We calculate Adjusted EBITDA as EBITDA adjusted to exclude severance costs, gain on debt extinguishment, goodwill impairment charge, and acquisition related costs. Changes in fair value of financial instruments can fluctuate significantly from period to period and previously related primarily to historical loans and debt which have been securitized, and acquired on February 1, 2022 from UACC. Our ongoing business model is to originate or purchase finance receivables with the intent to sell which we recognize at the lower of cost or fair value. As a result of current market conditions, the financial instruments related to the 2022-2 and 2023-1 securitization transactions are recognized on balance-sheet and accounted for under the fair value option. See Note 16 — Financial Instruments and Fair Value Measurements to our condensed consolidated financial statements included elsewhere in this Quarterly Report on Form 10-Q. As a result, the majority of our finance receivables are now carried at fair value and a significant portion of the risk of loss associated with these finance receivables have been retained by UACC. We therefore have determined we will no longer make any adjustments for such fluctuations in fair value to our Adjusted EBITDA results. We have recast the prior periods presented to conform to current period presentation. We may account for future securitizations as on balance sheet transactions depending on the market conditions.</w:t>
      </w:r>
    </w:p>
    <w:p>
      <w:pPr>
        <w:spacing w:after="0" w:line="188" w:lineRule="exact"/>
        <w:rPr>
          <w:sz w:val="20"/>
          <w:szCs w:val="20"/>
          <w:color w:val="auto"/>
        </w:rPr>
      </w:pPr>
    </w:p>
    <w:p>
      <w:pPr>
        <w:ind w:right="60" w:firstLine="764"/>
        <w:spacing w:after="0"/>
        <w:rPr>
          <w:sz w:val="20"/>
          <w:szCs w:val="20"/>
          <w:color w:val="auto"/>
        </w:rPr>
      </w:pPr>
      <w:r>
        <w:rPr>
          <w:rFonts w:ascii="Arial" w:cs="Arial" w:eastAsia="Arial" w:hAnsi="Arial"/>
          <w:sz w:val="18"/>
          <w:szCs w:val="18"/>
          <w:color w:val="auto"/>
        </w:rPr>
        <w:t>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9" w:lineRule="exact"/>
        <w:rPr>
          <w:sz w:val="20"/>
          <w:szCs w:val="20"/>
          <w:color w:val="auto"/>
        </w:rPr>
      </w:pPr>
    </w:p>
    <w:p>
      <w:pPr>
        <w:ind w:right="240" w:firstLine="764"/>
        <w:spacing w:after="0" w:line="245" w:lineRule="auto"/>
        <w:rPr>
          <w:sz w:val="20"/>
          <w:szCs w:val="20"/>
          <w:color w:val="auto"/>
        </w:rPr>
      </w:pPr>
      <w:r>
        <w:rPr>
          <w:rFonts w:ascii="Arial" w:cs="Arial" w:eastAsia="Arial" w:hAnsi="Arial"/>
          <w:sz w:val="18"/>
          <w:szCs w:val="18"/>
          <w:color w:val="auto"/>
        </w:rPr>
        <w:t>The following table presents a reconciliation of EBITDA, Adjusted EBITDA, and Adjusted EBITDA excluding securitization gain to net loss, which is the most directly comparable U.S. GAAP measure:</w:t>
      </w:r>
    </w:p>
    <w:p>
      <w:pPr>
        <w:spacing w:after="0" w:line="185"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(75,044 )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(310,459 )</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(5,942 )</w:t>
            </w:r>
          </w:p>
        </w:tc>
        <w:tc>
          <w:tcPr>
            <w:tcW w:w="5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(3,952 )</w:t>
            </w: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(23,240 )</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19"/>
                <w:szCs w:val="19"/>
                <w:color w:val="auto"/>
              </w:rPr>
            </w:pPr>
          </w:p>
        </w:tc>
      </w:tr>
      <w:tr>
        <w:trPr>
          <w:trHeight w:val="26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1040" w:type="dxa"/>
            <w:vAlign w:val="bottom"/>
            <w:shd w:val="clear" w:color="auto" w:fill="CFF0FC"/>
          </w:tcPr>
          <w:p>
            <w:pPr>
              <w:jc w:val="right"/>
              <w:ind w:right="833"/>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(60,157 )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(320,376 )</w:t>
            </w:r>
          </w:p>
        </w:tc>
      </w:tr>
      <w:tr>
        <w:trPr>
          <w:trHeight w:val="210"/>
        </w:trPr>
        <w:tc>
          <w:tcPr>
            <w:tcW w:w="74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Severance costs</w:t>
            </w:r>
          </w:p>
        </w:tc>
        <w:tc>
          <w:tcPr>
            <w:tcW w:w="1040" w:type="dxa"/>
            <w:vAlign w:val="bottom"/>
            <w:tcBorders>
              <w:top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10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(8,709 )</w:t>
            </w:r>
          </w:p>
        </w:tc>
        <w:tc>
          <w:tcPr>
            <w:tcW w:w="5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10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201,703</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(64,762 )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(113,020 )</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gain</w:t>
            </w: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(29,617 )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(64,762 )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(142,637 )</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-1112520</wp:posOffset>
            </wp:positionV>
            <wp:extent cx="1310005"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10005" cy="1714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-179070</wp:posOffset>
            </wp:positionV>
            <wp:extent cx="6858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19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Data science and testing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for consumers looking to purchase vehicles. Similarly, for consumers looking to sell vehicles to us, we use a vast set of data and data science, to provide an automated pricing platform that delivers real time, market-driven appraisals, and continually test and optimize in order to further refine our approach to enhance the customer experience and drive increased vehicle purchases.</w:t>
      </w:r>
    </w:p>
    <w:p>
      <w:pPr>
        <w:spacing w:after="0" w:line="18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support and sales support. Our ongoing investment in our customer experience operations includes investments in processes, technology, and data science. We are continuing to invest in our processes, including optimizing our sales channels using internal and outsourced resources, in order to remove friction and increase transaction flow, and in technology and data science to automate and improve our customer experience, reduce costs per transaction and to drive conversion and consumer sourcing</w:t>
      </w:r>
      <w:r>
        <w:rPr>
          <w:rFonts w:ascii="Arial" w:cs="Arial" w:eastAsia="Arial" w:hAnsi="Arial"/>
          <w:sz w:val="18"/>
          <w:szCs w:val="18"/>
          <w:i w:val="1"/>
          <w:iCs w:val="1"/>
          <w:color w:val="auto"/>
        </w:rPr>
        <w:t>.</w:t>
      </w:r>
    </w:p>
    <w:p>
      <w:pPr>
        <w:spacing w:after="0" w:line="192"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As part of our long-term roadmap and in response to a significant staff reduction by our primary third-party telephone sales support provider, we have been building our in-house sales team, have ceased using such third-party telephone sales provider and have meaningfully increased the level of sales supported internally, which we believe will improve our customer experience, and lower our selling costs. However, these reductions negatively impacted our sales volume in the first quarter of 2023 as we transitioned away from the third-party provider. Nevertheless, we do not expect this transition to have a long-term impact on our sales volume, or financial condition and results of operations as we reduce costs by expanding our internal sales force and leveraging our existing relationships with other sales partners,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consistent with our long-term strategy to optimize our cost structure. The ability to successfully grow an effective internal sales team will be critical to our ability to achieve profitable growth.</w:t>
      </w:r>
    </w:p>
    <w:p>
      <w:pPr>
        <w:spacing w:after="0" w:line="184"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In order to address the operational challenges created by our prior rapid growth from 2020 through the first quarter of 2022,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in Vroom's name prior to listing of vehicles on our website. While these initiatives are designed to improve our transaction processing, enhance our customer experience, and reduce our regulatory risk, they have resulted in delays in listing vehicles for sale, which increased the number of days between our acquisition of vehicles and the final delivery of such vehicles to customers. As we improve the customer experience and drive efficiency in transaction processing, we expect that we will attract more visitors, improve conversion, drive greater sales and continue to source vehicles from consumers. If we cannot manage our growth effectively to maintain the quality and efficiency of our customers’ experience, our business, financial condition and results of operations could be materially and adversely affected. See “Risks Related to Our Growth and Strategy—Our prior rapid growth is not indicative of our short-term strategy under our long-term roadmap and, if and when we return to rapid growth, we may not be able to manage our growth effectively" in our Annual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to drive increased gross profit and improvements to our unit economics</w:t>
      </w:r>
    </w:p>
    <w:p>
      <w:pPr>
        <w:spacing w:after="0" w:line="220" w:lineRule="exact"/>
        <w:rPr>
          <w:sz w:val="20"/>
          <w:szCs w:val="20"/>
          <w:color w:val="auto"/>
        </w:rPr>
      </w:pPr>
    </w:p>
    <w:p>
      <w:pPr>
        <w:ind w:right="20" w:firstLine="761"/>
        <w:spacing w:after="0" w:line="251" w:lineRule="auto"/>
        <w:rPr>
          <w:sz w:val="20"/>
          <w:szCs w:val="20"/>
          <w:color w:val="auto"/>
        </w:rPr>
      </w:pPr>
      <w:r>
        <w:rPr>
          <w:rFonts w:ascii="Arial" w:cs="Arial" w:eastAsia="Arial" w:hAnsi="Arial"/>
          <w:sz w:val="17"/>
          <w:szCs w:val="17"/>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The ability to source the optimal mix of quality inventory will be a key driver as we believe the availability of lower price point used vehicles will continue to be constrained. This ability is enabled by our data science capabilities that leverage the growing amount of data at our disposal and generate predictive data analytics that fine-tune our supply and sourcing models. As we continue to invest in our operational efficiency and data science, we expect that we will improve our unit economics and in turn drive increased gross profit.</w:t>
      </w:r>
    </w:p>
    <w:p>
      <w:pPr>
        <w:spacing w:after="0" w:line="18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three months ended March 31, 2023, vehicles sourced from consumers represent the substantial majority of our retail inventory sold. Because the quality of vehicles and associated gross margin profile vary across each channel, the mix of inventory sources has an impact on our profitability. We continually evaluate the optimal mix of sourcing channels and strive to source vehicles in a way that generates the highest sales margins and shortest inventory turns in order to maximize our average gross profit per unit and improve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w:t>
      </w:r>
    </w:p>
    <w:p>
      <w:pPr>
        <w:spacing w:after="0" w:line="192"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first quarter of 2023 was from aged inventory as we obtained titles for vehicles not previously listed for sale, which negatively impacted our sales margin (sales price less purchase price of vehicles sold) and GPPU. We expect to sell through the majority of our aged inventory in the first half of 2023 and we expect this to continue to negatively impact our sales margin and GPPU.</w:t>
      </w:r>
    </w:p>
    <w:p>
      <w:pPr>
        <w:spacing w:after="0" w:line="192" w:lineRule="exact"/>
        <w:rPr>
          <w:sz w:val="20"/>
          <w:szCs w:val="20"/>
          <w:color w:val="auto"/>
        </w:rPr>
      </w:pPr>
    </w:p>
    <w:p>
      <w:pPr>
        <w:jc w:val="both"/>
        <w:ind w:right="200" w:firstLine="761"/>
        <w:spacing w:after="0"/>
        <w:rPr>
          <w:sz w:val="20"/>
          <w:szCs w:val="20"/>
          <w:color w:val="auto"/>
        </w:rPr>
      </w:pPr>
      <w:r>
        <w:rPr>
          <w:rFonts w:ascii="Arial" w:cs="Arial" w:eastAsia="Arial" w:hAnsi="Arial"/>
          <w:sz w:val="18"/>
          <w:szCs w:val="18"/>
          <w:color w:val="auto"/>
        </w:rPr>
        <w:t>In the latter half of 2022, we began inspecting consumer sourced vehicles and making real time adjustments to acquisition pricing as a result of our scaling proprietary logistics operation, which we expect will provide improvements to our overall gross profit per unit over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reconditioning operations</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Our ability to recondition purchased vehicles to our quality standards is a critical component of our business. Historically, we have successfully increased our reconditioning capacity as our business has grown, and our future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success will depend on our ability to continue to optimize our reconditioning capacity to satisfy customer demand, maximize profitability, and enhance the customer experience.</w:t>
      </w:r>
    </w:p>
    <w:p>
      <w:pPr>
        <w:spacing w:after="0" w:line="184"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We employ a hybrid approach that combines the use of our proprietary vehicle reconditioning center ("VRC") and VRCs primarily operated by a single third-party provider to best meet our reconditioning needs. We intend to optimize reconditioning capacity and operational efficiency through distributed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ensure adequate capacity, optimize our end-to-end supply chain and support our regional operating model. During 2022, we took action to right-size the staffing of our proprietary reconditioning operations as well as optimize the number of third-party reconditioning partner locations to align with our reduced unit sales volume, resulting in a reduction in headcount. We also relocated our reconditioning facility from Stafford, Texas to the former service center at the TDA store location which we believe better aligns our proprietary reconditioning operations in the Houston market with our reduced unit sales volume, reduces our lease and operating expenses and provides an improved work environment for our employees. Going forward, we will integrate regional management of our distributed reconditioning and logistics operations as part of our ongoing efforts to optimize our operations and enhance our customer experience.</w:t>
      </w:r>
    </w:p>
    <w:p>
      <w:pPr>
        <w:spacing w:after="0" w:line="197"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Our existing facilities in the Atlanta area provide us with the space and opportunity to develop a secondary proprietary VRC in the future, depending on our future reconditioning needs. Going forward, we will continue to seek to optimize the combination of strategic and geographically dispersed proprietary and third-party VRCs. We will continue to leverage our data science and deep industry experience to strategically select VRC locations where we believe there is the highest supply and demand for our vehicles and enable us to leverage a regional operating model.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logistics network</w:t>
      </w:r>
    </w:p>
    <w:p>
      <w:pPr>
        <w:spacing w:after="0" w:line="220"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 enhanced logistics operations, combined with the expansion of strategically located VRCs, will drive efficiency in our logistics operations. We have been accelerating our strategy to optimize our hybrid approach by focusing on improving the quality and reliability of our logistics operations. We previously prioritized investment in our last mile hub delivery operations, where we had the greatest impact on the customer experience, including by investing in short-haul vehicles to make regional deliveries from our last mile hubs, and line-haul vehicles for hub-to-hub shipments on high-volume routes. We have started to focus on leveraging our proprietary logistics network for inbound transportation related to acquisitions, including driveway inspections for consumer sourced vehicles. We are also continuing to invest in our processes and technology to remove inefficiencies and increase automation. We took action to optimize our proprietary logistics operations in order to align with reduced unit sales volume, which resulted in a reduction in headcount, as well as the restructuring of our network of logistics operations. Consistent with our long-term roadmap and the continued development of our regional operating model, we intend to continue to strategically combine the operation of our proprietary fleet with the use of third-party carriers, as well as synchronize our end-to-end supply chain to increase sales velocity and optimize flow of our inventory. We plan to reduce the number of miles our vehicles travel and lower our inbound and outbound transportation costs using our regional operating model.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As we scaled our business, we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develop and manage our financing capabilities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Revenue earned on vehicle financing, both through our continued partnerships with third-party lenders and the development of our captive financing capabilities, present an opportunity to grow our business and drive profitability. Strategic partnerships with lenders such as Chase and Ally Financial provide enhanced revenue streams for us, as well as offering convenience, assurance and efficiency for our customers and have contributed to improvements in Product GPPU. In addition, the acquisition of UACC in February 2022 has enabled us to expand our offerings across the credit spectrum and accelerate the development of our captive financing operation, which is one of the key strategic initiatives under our long-term roadmap. We expect to develop UACC into a full captive financing arm with disciplined lending expertise, which would enable us to increase our ecommerce unit sales, expand our penetration into sales to customers across the credit spectrum and improve our unit economics.</w:t>
      </w:r>
    </w:p>
    <w:p>
      <w:pPr>
        <w:spacing w:after="0" w:line="192"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during the first quarter of 2023. Higher than anticipated credit losses may continue to negatively impact our business throughout the remainder of 2023, especially because UACC primarily operates in the sub-prime sector of the market which is expected to have more volatility. Furthermore, advance rates available to UACC on borrowings from the Warehouse Credit Facilities may decrease as a result of the increasing credit losses in UACC's portfolio and overall rising interest rates, which may in turn have adverse impact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securitize UACC's loan portfolio</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securitize its loan portfolio on favorable terms, or may not be able to sell the subordinate notes or residual certificates issued in its securitizations at a favorable price or at all.</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intend to structure UACC's securitization transactions to achieve off-balance sheet accounting treatment. However, if UACC fails to sell the subordinate notes or the residual interests, it will preclude us from recognizing the sale and result in the securitization trust being consolidated and remaining on balance sheet. In January 2023, UACC completed the 2023-1 securitization transaction. As a result of current market conditions, which led to unfavorable pricing, UACC retained the non-investment grade securities and residual interests and we accounted for the 2023-1 securitization transaction as secured borrowings. On April 19, 2023, UACC sold the non-investment grade securities related to the 2023-1 securitization transaction for $23.1 million. UACC still retains the residual interests related to the 2023-1 securitization transaction. The related finance receivables and securitization debt remain on balance sheet. We may account for future securitizations as on balance sheet transactions depending on the market conditions.</w:t>
      </w:r>
    </w:p>
    <w:p>
      <w:pPr>
        <w:spacing w:after="0" w:line="192" w:lineRule="exact"/>
        <w:rPr>
          <w:sz w:val="20"/>
          <w:szCs w:val="20"/>
          <w:color w:val="auto"/>
        </w:rPr>
      </w:pPr>
    </w:p>
    <w:p>
      <w:pPr>
        <w:ind w:right="300" w:firstLine="761"/>
        <w:spacing w:after="0" w:line="238" w:lineRule="auto"/>
        <w:rPr>
          <w:sz w:val="20"/>
          <w:szCs w:val="20"/>
          <w:color w:val="auto"/>
        </w:rPr>
      </w:pPr>
      <w:r>
        <w:rPr>
          <w:rFonts w:ascii="Arial" w:cs="Arial" w:eastAsia="Arial" w:hAnsi="Arial"/>
          <w:sz w:val="18"/>
          <w:szCs w:val="18"/>
          <w:color w:val="auto"/>
        </w:rPr>
        <w:t>In addition,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Because we are paid fees on value-added products we sell, our gross profit is equal to the revenue we generate on such sales. As a result, such sales help drive total gross profit per unit.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While 2021 and the first half of 2022 did not follow typical market depreciation trends, with continued appreciation in used vehicle pricing throughout that period, there was a shift in the third quarter of 2022 to above average depreciation as compared to pre-pandemic levels. There remains continued uncertainty surrounding market trends.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20"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and may continue to lead to, increased interest rates, which affects automotive finance rates, reducing discretionary spending and making vehicle financing more costly and less accessible to many consumers. In addition, many economists believe the global economy will experience a recessionary environment in 2023. On March 10 and March 12, 2023, the Federal Deposit Insurance Corporation ("FDIC") took control and was appointed receiver of Silicon Valley Bank and Signature Bank, respectively. Other regional banks also closed or faced risk of closure, which created additional economic uncertainty. Moreover, Russia’s invasion of Ukraine and resulting sanctions by the United States, European Union and other countries has increased global economic and political uncertainty, which has caused dramatic fluctuations in global financial markets and uncertainty about world-wide oil supply and demand, which in turn has increased the volatility of oil and natural gas prices. There is additional political uncertainty in the United States as a result of the need for the federal government to increase its debt limit. A significant escalation or expansion of economic disruption could continue to impact consumer spending,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throughout 2023.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16" w:lineRule="exact"/>
        <w:rPr>
          <w:sz w:val="20"/>
          <w:szCs w:val="20"/>
          <w:color w:val="auto"/>
        </w:rPr>
      </w:pPr>
    </w:p>
    <w:p>
      <w:pPr>
        <w:jc w:val="both"/>
        <w:ind w:right="20"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8"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our ability to expand our reconditioning operations and logistics network, and our ability to provide adequate sales and sales support to service our demand.</w:t>
      </w:r>
    </w:p>
    <w:p>
      <w:pPr>
        <w:spacing w:after="0" w:line="188" w:lineRule="exact"/>
        <w:rPr>
          <w:sz w:val="20"/>
          <w:szCs w:val="20"/>
          <w:color w:val="auto"/>
        </w:rPr>
      </w:pPr>
    </w:p>
    <w:p>
      <w:pPr>
        <w:ind w:right="420" w:firstLine="761"/>
        <w:spacing w:after="0" w:line="245" w:lineRule="auto"/>
        <w:rPr>
          <w:sz w:val="20"/>
          <w:szCs w:val="20"/>
          <w:color w:val="auto"/>
        </w:rPr>
      </w:pPr>
      <w:r>
        <w:rPr>
          <w:rFonts w:ascii="Arial" w:cs="Arial" w:eastAsia="Arial" w:hAnsi="Arial"/>
          <w:sz w:val="18"/>
          <w:szCs w:val="18"/>
          <w:color w:val="auto"/>
        </w:rPr>
        <w:t>ASP depends primarily on our acquisition and pricing strategies (which in turn depend in part on demand predicted by our data analytics), retail used vehicle market prices, our average days to sale and our reconditioning and logistics costs.</w:t>
      </w:r>
    </w:p>
    <w:p>
      <w:pPr>
        <w:spacing w:after="0" w:line="184"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As a data-driven company, we acquire inventory based upon demand predicted by our data analytics. We expect ASP to continue to fluctuate as a result of market conditions and based upon demand predicted by our data analytics.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16" w:lineRule="exact"/>
        <w:rPr>
          <w:sz w:val="20"/>
          <w:szCs w:val="20"/>
          <w:color w:val="auto"/>
        </w:rPr>
      </w:pPr>
    </w:p>
    <w:p>
      <w:pPr>
        <w:ind w:right="520" w:firstLine="761"/>
        <w:spacing w:after="0" w:line="245"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We generate revenue by financing vehicle sales through UACC, earning fees on sales of third-party financing, and sales of value-added products to our customers in connection with vehicle sales, such as vehicle service contracts, GAP protection and tire and wheel coverage.</w:t>
      </w:r>
    </w:p>
    <w:p>
      <w:pPr>
        <w:spacing w:after="0" w:line="188"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As a result of the UACC Acquisition, we generate ecommerce product revenue from receivables generated by financing provided to Vroom customers through our captive financing operation. We earn interest income on such finance receivables before the loans are sold, interest income on finance receivables held in consolidated VIEs, and, when applicable, gain on the sales of these securitized finance receivables. We account for sales of these finance receivables in accordance with ASC Topic 860, </w:t>
      </w:r>
      <w:r>
        <w:rPr>
          <w:rFonts w:ascii="Arial" w:cs="Arial" w:eastAsia="Arial" w:hAnsi="Arial"/>
          <w:sz w:val="18"/>
          <w:szCs w:val="18"/>
          <w:i w:val="1"/>
          <w:iCs w:val="1"/>
          <w:color w:val="auto"/>
        </w:rPr>
        <w:t>Transfers and Servicing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("ASC 860")</w:t>
      </w:r>
      <w:r>
        <w:rPr>
          <w:rFonts w:ascii="Arial" w:cs="Arial" w:eastAsia="Arial" w:hAnsi="Arial"/>
          <w:sz w:val="18"/>
          <w:szCs w:val="18"/>
          <w:color w:val="auto"/>
        </w:rPr>
        <w:t>. In order for transfers of the finance receivables to qualify as sales, the finance receivables being transferred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isolated, may not be constrained by restrictions from further transfer, and must be deemed to be beyond our control. Although our long-term plan is to structure future securitization transactions to qualify for sale accounting, similar to the 2022-1 securitization transaction, for which the gain on sale was recorded in “Finance revenue”, as discussed below, current market conditions may impact our ability to achieve sales accounting treatment.</w:t>
      </w:r>
    </w:p>
    <w:p>
      <w:pPr>
        <w:spacing w:after="0" w:line="191" w:lineRule="exact"/>
        <w:rPr>
          <w:sz w:val="20"/>
          <w:szCs w:val="20"/>
          <w:color w:val="auto"/>
        </w:rPr>
      </w:pPr>
    </w:p>
    <w:p>
      <w:pPr>
        <w:ind w:right="260" w:firstLine="761"/>
        <w:spacing w:after="0" w:line="236" w:lineRule="auto"/>
        <w:rPr>
          <w:sz w:val="20"/>
          <w:szCs w:val="20"/>
          <w:color w:val="auto"/>
        </w:rPr>
      </w:pPr>
      <w:r>
        <w:rPr>
          <w:rFonts w:ascii="Arial" w:cs="Arial" w:eastAsia="Arial" w:hAnsi="Arial"/>
          <w:sz w:val="18"/>
          <w:szCs w:val="18"/>
          <w:color w:val="auto"/>
        </w:rPr>
        <w:t>In January 2023, UACC completed the 2023-1 securitization transaction. As a result of current market conditions, which led to unfavorable pricing, UACC retained the non-investment grade securities and residual interests, and we accounted for the 2023-1 securitization transaction as secured borrowings. On April 19, 2023, UACC sold the non-investment grade securities related to the 2023-1 securitization transaction for $23.1 million. UACC still retains the residual interests related to the 2023-1 securitization transaction. The related finance receivables and securitization debt remained on balance sheet. We may account for future securitizations as on balance sheet transactions depending on the market conditions. During the first quarter of 2023, we also consolidated the 2022-2 securitization transaction and accounted for it as secured borrowings, refer to "Finance revenue" below for further details.</w:t>
      </w:r>
    </w:p>
    <w:p>
      <w:pPr>
        <w:spacing w:after="0" w:line="193" w:lineRule="exact"/>
        <w:rPr>
          <w:sz w:val="20"/>
          <w:szCs w:val="20"/>
          <w:color w:val="auto"/>
        </w:rPr>
      </w:pPr>
    </w:p>
    <w:p>
      <w:pPr>
        <w:jc w:val="both"/>
        <w:ind w:right="160" w:firstLine="761"/>
        <w:spacing w:after="0"/>
        <w:rPr>
          <w:sz w:val="20"/>
          <w:szCs w:val="20"/>
          <w:color w:val="auto"/>
        </w:rPr>
      </w:pPr>
      <w:r>
        <w:rPr>
          <w:rFonts w:ascii="Arial" w:cs="Arial" w:eastAsia="Arial" w:hAnsi="Arial"/>
          <w:sz w:val="18"/>
          <w:szCs w:val="18"/>
          <w:color w:val="auto"/>
        </w:rPr>
        <w:t>The revenue we are able to generate from these sales will be dependent on the current market conditions,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88"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We also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16" w:lineRule="exact"/>
        <w:rPr>
          <w:sz w:val="20"/>
          <w:szCs w:val="20"/>
          <w:color w:val="auto"/>
        </w:rPr>
      </w:pPr>
    </w:p>
    <w:p>
      <w:pPr>
        <w:ind w:right="260" w:firstLine="764"/>
        <w:spacing w:after="0" w:line="245" w:lineRule="auto"/>
        <w:rPr>
          <w:sz w:val="20"/>
          <w:szCs w:val="20"/>
          <w:color w:val="auto"/>
        </w:rPr>
      </w:pPr>
      <w:r>
        <w:rPr>
          <w:rFonts w:ascii="Arial" w:cs="Arial" w:eastAsia="Arial" w:hAnsi="Arial"/>
          <w:sz w:val="18"/>
          <w:szCs w:val="18"/>
          <w:color w:val="auto"/>
        </w:rPr>
        <w:t>Our finance revenue is related to finance receivables originated by UACC for its network of third-party dealership customers and consists of interest income earned on finance receivables before the loans are sold, interest income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earned on finance receivables held in consolidated VIEs, and, when applicable, gains on the sale of securitized finance receivables.</w:t>
      </w:r>
    </w:p>
    <w:p>
      <w:pPr>
        <w:spacing w:after="0" w:line="198" w:lineRule="exact"/>
        <w:rPr>
          <w:sz w:val="20"/>
          <w:szCs w:val="20"/>
          <w:color w:val="auto"/>
        </w:rPr>
      </w:pPr>
    </w:p>
    <w:p>
      <w:pPr>
        <w:ind w:right="540" w:firstLine="764"/>
        <w:spacing w:after="0" w:line="245"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184" w:lineRule="exact"/>
        <w:rPr>
          <w:sz w:val="20"/>
          <w:szCs w:val="20"/>
          <w:color w:val="auto"/>
        </w:rPr>
      </w:pPr>
    </w:p>
    <w:p>
      <w:pPr>
        <w:ind w:right="380" w:firstLine="764"/>
        <w:spacing w:after="0" w:line="245" w:lineRule="auto"/>
        <w:rPr>
          <w:sz w:val="20"/>
          <w:szCs w:val="20"/>
          <w:color w:val="auto"/>
        </w:rPr>
      </w:pPr>
      <w:r>
        <w:rPr>
          <w:rFonts w:ascii="Arial" w:cs="Arial" w:eastAsia="Arial" w:hAnsi="Arial"/>
          <w:sz w:val="18"/>
          <w:szCs w:val="18"/>
          <w:color w:val="auto"/>
        </w:rPr>
        <w:t>For any securitization transactions that are accounted for as secured borrowings, we recognize interest income, which includes finance charges and servicing fees in accordance with the terms of the related customer agreements.</w:t>
      </w:r>
    </w:p>
    <w:p>
      <w:pPr>
        <w:spacing w:after="0" w:line="184" w:lineRule="exact"/>
        <w:rPr>
          <w:sz w:val="20"/>
          <w:szCs w:val="20"/>
          <w:color w:val="auto"/>
        </w:rPr>
      </w:pPr>
    </w:p>
    <w:p>
      <w:pPr>
        <w:ind w:right="40" w:firstLine="764"/>
        <w:spacing w:after="0" w:line="236" w:lineRule="auto"/>
        <w:rPr>
          <w:sz w:val="20"/>
          <w:szCs w:val="20"/>
          <w:color w:val="auto"/>
        </w:rPr>
      </w:pPr>
      <w:r>
        <w:rPr>
          <w:rFonts w:ascii="Arial" w:cs="Arial" w:eastAsia="Arial" w:hAnsi="Arial"/>
          <w:sz w:val="18"/>
          <w:szCs w:val="18"/>
          <w:color w:val="auto"/>
        </w:rPr>
        <w:t>In February 2022, UACC completed the 2022-1 securitization transaction, which qualified as sales, therefore we recorded a gain on the sale of the finance receivables. The amount of the gain is equal to the fair value of the net proceeds received less the carrying amount of the finance receivables. Although our long-term plan is to structure future securitization transactions similar to the 2022-1 securitization transaction and account for them as sales, market conditions may impact our ability to achieve sales accounting treatment. In January 2023, UACC completed the 2023-1 securitization transaction. As a result of current market conditions, which led to unfavorable pricing, UACC retained the non-investment grade securities and residual interests and we accounted for the 2023-1 securitization transaction as secured borrowings. On April 19, 2023, UACC sold the non-investment grade securities related to the 2023-1 securitization transaction for $23.1 million. UACC still retains the residual interests related to the 2023-1 securitization transaction. The related finance receivables and securitization debt remained on balance sheet. We may account for future securitizations as on balance sheet transactions depending on the market conditions.</w:t>
      </w:r>
    </w:p>
    <w:p>
      <w:pPr>
        <w:spacing w:after="0" w:line="190" w:lineRule="exact"/>
        <w:rPr>
          <w:sz w:val="20"/>
          <w:szCs w:val="20"/>
          <w:color w:val="auto"/>
        </w:rPr>
      </w:pPr>
    </w:p>
    <w:p>
      <w:pPr>
        <w:ind w:right="80" w:firstLine="764"/>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w:t>
      </w:r>
    </w:p>
    <w:p>
      <w:pPr>
        <w:spacing w:after="0" w:line="188" w:lineRule="exact"/>
        <w:rPr>
          <w:sz w:val="20"/>
          <w:szCs w:val="20"/>
          <w:color w:val="auto"/>
        </w:rPr>
      </w:pPr>
    </w:p>
    <w:p>
      <w:pPr>
        <w:ind w:right="80" w:firstLine="764"/>
        <w:spacing w:after="0" w:line="237"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the first quarter of 2023. The waiver of servicing fees related to the 2022-2 securitization transaction resulted in consolidation of the related finance receivables and securitization debt on our financial statements.</w:t>
      </w:r>
    </w:p>
    <w:p>
      <w:pPr>
        <w:spacing w:after="0" w:line="192"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See “Note 3—Revenue Recognition” and "Note 4 – Variable Interest Entities and Securitizations" to our condensed consolidated financial statements included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1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16"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sales</w:t>
      </w:r>
    </w:p>
    <w:p>
      <w:pPr>
        <w:spacing w:after="0" w:line="216" w:lineRule="exact"/>
        <w:rPr>
          <w:sz w:val="20"/>
          <w:szCs w:val="20"/>
          <w:color w:val="auto"/>
        </w:rPr>
      </w:pPr>
    </w:p>
    <w:p>
      <w:pPr>
        <w:ind w:right="60" w:firstLine="761"/>
        <w:spacing w:after="0" w:line="245" w:lineRule="auto"/>
        <w:rPr>
          <w:sz w:val="20"/>
          <w:szCs w:val="20"/>
          <w:color w:val="auto"/>
        </w:rPr>
      </w:pPr>
      <w:r>
        <w:rPr>
          <w:rFonts w:ascii="Arial" w:cs="Arial" w:eastAsia="Arial" w:hAnsi="Arial"/>
          <w:sz w:val="18"/>
          <w:szCs w:val="18"/>
          <w:color w:val="auto"/>
        </w:rPr>
        <w:t>Product cost of sales consists of interest expense incurred on securitization debt related to finance receivables originated by UACC for Vroom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16" w:lineRule="exact"/>
        <w:rPr>
          <w:sz w:val="20"/>
          <w:szCs w:val="20"/>
          <w:color w:val="auto"/>
        </w:rPr>
      </w:pPr>
    </w:p>
    <w:p>
      <w:pPr>
        <w:ind w:right="200" w:firstLine="761"/>
        <w:spacing w:after="0" w:line="245" w:lineRule="auto"/>
        <w:rPr>
          <w:sz w:val="20"/>
          <w:szCs w:val="20"/>
          <w:color w:val="auto"/>
        </w:rPr>
      </w:pPr>
      <w:r>
        <w:rPr>
          <w:rFonts w:ascii="Arial" w:cs="Arial" w:eastAsia="Arial" w:hAnsi="Arial"/>
          <w:sz w:val="18"/>
          <w:szCs w:val="18"/>
          <w:color w:val="auto"/>
        </w:rPr>
        <w:t>Finance cost of sales consists of interest expense incurred on securitization debt originated by UACC for its network of third-party dealership customers and collection expenses related to servicing finance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sales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cost of sales consists of cost of sales from CarStory's third-party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62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Impairment charges represent an impairment charge to write down the carrying amount of goodwill to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20"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Gain on debt extinguishment represents the gain recognized from the repurchase of a portion of our outstanding Convertible Senior Notes due 2026 (the "Notes") in open-market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jc w:val="both"/>
        <w:ind w:right="80" w:firstLine="761"/>
        <w:spacing w:after="0"/>
        <w:rPr>
          <w:sz w:val="20"/>
          <w:szCs w:val="20"/>
          <w:color w:val="auto"/>
        </w:rPr>
      </w:pPr>
      <w:r>
        <w:rPr>
          <w:rFonts w:ascii="Arial" w:cs="Arial" w:eastAsia="Arial" w:hAnsi="Arial"/>
          <w:sz w:val="18"/>
          <w:szCs w:val="18"/>
          <w:color w:val="auto"/>
        </w:rPr>
        <w:t>Our interest expense primarily includes (i) interest expense related to our vehicle floorplan facility with Ally Bank and Ally Financial (the "2022 Vehicle Floorplan Facility"), as discussed below, which is used to finance our inventory, (ii) interest expense on our Notes, and (iii) interest expense on UACC's Warehouse Credit Facilities, which is used to fund our finance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2022 Vehicle Floorplan Facility as well as interest earned on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20" w:lineRule="exact"/>
        <w:rPr>
          <w:sz w:val="20"/>
          <w:szCs w:val="20"/>
          <w:color w:val="auto"/>
        </w:rPr>
      </w:pPr>
    </w:p>
    <w:p>
      <w:pPr>
        <w:ind w:right="660" w:firstLine="761"/>
        <w:spacing w:after="0" w:line="245" w:lineRule="auto"/>
        <w:rPr>
          <w:sz w:val="20"/>
          <w:szCs w:val="20"/>
          <w:color w:val="auto"/>
        </w:rPr>
      </w:pPr>
      <w:r>
        <w:rPr>
          <w:rFonts w:ascii="Arial" w:cs="Arial" w:eastAsia="Arial" w:hAnsi="Arial"/>
          <w:sz w:val="18"/>
          <w:szCs w:val="18"/>
          <w:color w:val="auto"/>
        </w:rPr>
        <w:t>Other loss, net primarily represents realized and unrealized losses on finance receivables, securitization debt and beneficial interests in securitizations as well as recoveries from losses previously recognized on finance receivables.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condensed consolidated results of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left="893"/>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left="873"/>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182"/>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4"/>
          </w:tcPr>
          <w:p>
            <w:pPr>
              <w:jc w:val="center"/>
              <w:ind w:left="873"/>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135,270</w:t>
            </w: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707,186</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(80.9 )%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13,895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139,984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(90.1 )%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11,500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24,449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(53.0 )%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31,988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47,687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(32.9 )%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196,467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923,775</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(78.7 )%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Retail vehicle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135,724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695,509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(80.5 )%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13,833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142,737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(90.3 )%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6,214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2,724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128.1 %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157,662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842,135</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(81.3 )%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38,805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81,640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(52.5 )%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96,537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187,994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(48.6 )%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10,531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7,856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34.1 %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201,703</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(68,263 )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(315,913 )</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78.4 %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(8,709 )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9,919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9,380</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5.7 %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(5,942 )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(3,952 )</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50.4 %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11,240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12,358</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(74,771 )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(333,699 )</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77.6 %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(23,240 )</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101.2 %</w:t>
            </w:r>
          </w:p>
        </w:tc>
      </w:tr>
      <w:tr>
        <w:trPr>
          <w:trHeight w:val="20"/>
        </w:trPr>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(75,044 )</w:t>
            </w:r>
          </w:p>
        </w:tc>
        <w:tc>
          <w:tcPr>
            <w:tcW w:w="160" w:type="dxa"/>
            <w:vAlign w:val="bottom"/>
          </w:tcPr>
          <w:p>
            <w:pPr>
              <w:spacing w:after="0"/>
              <w:rPr>
                <w:sz w:val="19"/>
                <w:szCs w:val="19"/>
                <w:color w:val="auto"/>
              </w:rPr>
            </w:pPr>
          </w:p>
        </w:tc>
        <w:tc>
          <w:tcPr>
            <w:tcW w:w="6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(310,459 )</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75.8 %</w:t>
            </w:r>
          </w:p>
        </w:tc>
      </w:tr>
      <w:tr>
        <w:trPr>
          <w:trHeight w:val="20"/>
        </w:trPr>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-3561080</wp:posOffset>
            </wp:positionV>
            <wp:extent cx="7132320"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45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-2970530</wp:posOffset>
            </wp:positionV>
            <wp:extent cx="7132320"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132320" cy="4451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-1506220</wp:posOffset>
            </wp:positionV>
            <wp:extent cx="7132320"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713232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6248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6248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jc w:val="both"/>
        <w:ind w:left="1020" w:right="300" w:hanging="251"/>
        <w:spacing w:after="0" w:line="252"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(69.0% of total revenue for the three months ended March 31, 2023): The Ecommerce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through our ecommerce platform, revenue earned on vehicle financing originated by UACC or our third-party financing sources and sales of value-added products associated with those vehicles sales.</w:t>
      </w:r>
    </w:p>
    <w:p>
      <w:pPr>
        <w:spacing w:after="0" w:line="157" w:lineRule="exact"/>
        <w:rPr>
          <w:rFonts w:ascii="Arial" w:cs="Arial" w:eastAsia="Arial" w:hAnsi="Arial"/>
          <w:sz w:val="18"/>
          <w:szCs w:val="18"/>
          <w:color w:val="auto"/>
        </w:rPr>
      </w:pPr>
    </w:p>
    <w:p>
      <w:pPr>
        <w:ind w:left="1020" w:right="440" w:hanging="251"/>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(7.1% of total revenue for the three months ended March 31, 2023): The Wholesale segment represents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used vehicles through wholesale channels.</w:t>
      </w:r>
    </w:p>
    <w:p>
      <w:pPr>
        <w:spacing w:after="0" w:line="139" w:lineRule="exact"/>
        <w:rPr>
          <w:rFonts w:ascii="Arial" w:cs="Arial" w:eastAsia="Arial" w:hAnsi="Arial"/>
          <w:sz w:val="18"/>
          <w:szCs w:val="18"/>
          <w:color w:val="auto"/>
        </w:rPr>
      </w:pPr>
    </w:p>
    <w:p>
      <w:pPr>
        <w:ind w:left="1020" w:right="960" w:hanging="249"/>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(16.3% of total revenue for the three months ended March 31, 2023): The Retail Financing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UACC’s operations with its network of third-party dealership customers.</w:t>
      </w: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and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4"/>
          </w:tcPr>
          <w:p>
            <w:pPr>
              <w:jc w:val="center"/>
              <w:ind w:right="151"/>
              <w:spacing w:after="0" w:line="155"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rPr>
              <w:t>data and average days to sale)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(15,540 )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(79.8 )%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124,107</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652,625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(528,518 )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(11,213 )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(49.3 )%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ecommerce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135,633</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675,364</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(539,731 )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(79.9 )%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(loss)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11,581</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(12,175 )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(105.1 )%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(12,110 )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ecommerce 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34,320</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(24,285 )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(70.8 )%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31,555</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33,514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(1,959 )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 per ecommerce unit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150.9 %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Gross profit per ecommerce unit: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(loss) profit per ecommerce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(746 )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(125.4 )%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131.4 %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206.5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-2431415</wp:posOffset>
            </wp:positionV>
            <wp:extent cx="713232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-2139950</wp:posOffset>
            </wp:positionV>
            <wp:extent cx="7132320"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-1840230</wp:posOffset>
            </wp:positionV>
            <wp:extent cx="7132320" cy="4622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-1223645</wp:posOffset>
            </wp:positionV>
            <wp:extent cx="7132320" cy="4622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Ecommerce units sold decreased 15,540, or 79.8%, from 19,473 for the three months ended March 31, 2022 to 3,933 for the three months ended March 31, 2023. This decrease was driven by our strategic decision to prioritize unit economics over unit sales volume starting in the second quarter of 2022, a reduction in third-party sales support staff, which put pressure on servicing our demand, as well as macroeconomic factors.</w:t>
      </w:r>
    </w:p>
    <w:p>
      <w:pPr>
        <w:spacing w:after="0" w:line="190" w:lineRule="exact"/>
        <w:rPr>
          <w:sz w:val="20"/>
          <w:szCs w:val="20"/>
          <w:color w:val="auto"/>
        </w:rPr>
      </w:pPr>
    </w:p>
    <w:p>
      <w:pPr>
        <w:ind w:right="220" w:firstLine="761"/>
        <w:spacing w:after="0" w:line="236" w:lineRule="auto"/>
        <w:rPr>
          <w:sz w:val="20"/>
          <w:szCs w:val="20"/>
          <w:color w:val="auto"/>
        </w:rPr>
      </w:pPr>
      <w:r>
        <w:rPr>
          <w:rFonts w:ascii="Arial" w:cs="Arial" w:eastAsia="Arial" w:hAnsi="Arial"/>
          <w:sz w:val="18"/>
          <w:szCs w:val="18"/>
          <w:color w:val="auto"/>
        </w:rPr>
        <w:t>Ecommerce average days to sale increased from 91 days for the three months ended March 31, 2022 to 279 days for the three months ended March 31, 2023.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which increased the number of days between our acquisition of vehicles and the final delivery of such vehicles to customers. We expect ecommerce average days to sale to improve over time as we continue to improve our processes and sell through aged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Ecommerce vehicle revenue decreased $528.5 million, or 81.0%, from $652.6 million for the three months ended March 31, 2022 to $124.1 million for the three months ended March 31, 2023. The decrease in ecommerce vehicle revenue was primarily attributable to the 15,540 decrease in ecommerce units sold, which decreased vehicle revenue by $520.8 million, and a decrease in ASP per unit, which decreased from $33,514 for the three months ended March 31, 2022 to $31,555 for the three months ended March 31, 2023 and decreased vehicle revenue by $7.7 million.</w:t>
      </w:r>
    </w:p>
    <w:p>
      <w:pPr>
        <w:spacing w:after="0" w:line="192" w:lineRule="exact"/>
        <w:rPr>
          <w:sz w:val="20"/>
          <w:szCs w:val="20"/>
          <w:color w:val="auto"/>
        </w:rPr>
      </w:pPr>
    </w:p>
    <w:p>
      <w:pPr>
        <w:ind w:right="440" w:firstLine="761"/>
        <w:spacing w:after="0" w:line="245" w:lineRule="auto"/>
        <w:rPr>
          <w:sz w:val="20"/>
          <w:szCs w:val="20"/>
          <w:color w:val="auto"/>
        </w:rPr>
      </w:pPr>
      <w:r>
        <w:rPr>
          <w:rFonts w:ascii="Arial" w:cs="Arial" w:eastAsia="Arial" w:hAnsi="Arial"/>
          <w:sz w:val="18"/>
          <w:szCs w:val="18"/>
          <w:color w:val="auto"/>
        </w:rPr>
        <w:t>The decrease in ASP per unit was primarily due to significant market appreciation in the first quarter of 2022. We expect ASP to continue to fluctuate as a result of market conditions and based upon demand predicted by our data analytics.</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280" w:firstLine="761"/>
        <w:spacing w:after="0" w:line="237" w:lineRule="auto"/>
        <w:rPr>
          <w:sz w:val="20"/>
          <w:szCs w:val="20"/>
          <w:color w:val="auto"/>
        </w:rPr>
      </w:pPr>
      <w:r>
        <w:rPr>
          <w:rFonts w:ascii="Arial" w:cs="Arial" w:eastAsia="Arial" w:hAnsi="Arial"/>
          <w:sz w:val="18"/>
          <w:szCs w:val="18"/>
          <w:color w:val="auto"/>
        </w:rPr>
        <w:t>Ecommerce product revenue decreased $ 11.2 million, or 49.3%, from $22.7 million for the three months ended March 31, 2022 to $11.5 million for the three months ended March 31, 2023. The decrease in ecommerce product revenue was primarily attributable to the 15,540 decrease in ecommerce units sold, which decreased product revenue by $18.1 million, partially offset by an increase in product revenue per unit, which increased from $1,168 for the three months ended March 31, 2022 to $2,931 for the three months ended March 31, 2023 and increased product revenue by $6.9 million. The increase in product revenue per unit is primarily due to an increase in interest income earned on finance receivables from Vroom customers originated or serviced by UACC as compared to the first quarter of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(Loss) Profit</w:t>
      </w:r>
    </w:p>
    <w:p>
      <w:pPr>
        <w:spacing w:after="0" w:line="220" w:lineRule="exact"/>
        <w:rPr>
          <w:sz w:val="20"/>
          <w:szCs w:val="20"/>
          <w:color w:val="auto"/>
        </w:rPr>
      </w:pPr>
    </w:p>
    <w:p>
      <w:pPr>
        <w:ind w:right="180" w:firstLine="761"/>
        <w:spacing w:after="0" w:line="236" w:lineRule="auto"/>
        <w:rPr>
          <w:sz w:val="20"/>
          <w:szCs w:val="20"/>
          <w:color w:val="auto"/>
        </w:rPr>
      </w:pPr>
      <w:r>
        <w:rPr>
          <w:rFonts w:ascii="Arial" w:cs="Arial" w:eastAsia="Arial" w:hAnsi="Arial"/>
          <w:sz w:val="18"/>
          <w:szCs w:val="18"/>
          <w:color w:val="auto"/>
        </w:rPr>
        <w:t>Ecommerce vehicle gross profit of $11.6 million for the three months ended March 31, 2022 decreased $12.2 million, or 105.1%, to a gross loss of $0.6 million for the three months ended March 31, 2023. The decrease in vehicle gross profit was primarily attributable to the 15,540 decrease in ecommerce units sold, which decreased vehicle gross profit by $9.2 million. Additionally, vehicle gross profit per unit decreased $746 to $595 for the three months ended March 31, 2022 to a vehicle gross loss per unit of $151 for three months ended March 31, 2023, which decreased vehicle gross profit by $3.0 million. The decrease was primarily driven by lower sales margin and higher reconditioning costs per unit related to an increased mix of higher mileage and aged vehicles along with significant parts inflation. The decreases were partially offset by a lower inventory reserve as a result of a decrease in inventory levels as we continued to sell through our aged inventory.</w:t>
      </w:r>
    </w:p>
    <w:p>
      <w:pPr>
        <w:spacing w:after="0" w:line="192"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first quarter of 2023 was from aged inventory as we obtained titles for vehicles not previously listed for sale, which negatively impacted our sales margin and GPPU. We expect to sell through the majority of our aged inventory in the first half of 2023 and we expect this to continue to negatively impact our sales margin and GPPU.</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Ecommerce product gross profit decreased $12.1 million, or 53.3%, from $22.7 million for the three months ended March 31, 2022 to $10.6 million for the three months ended March 31, 2023. The decrease in ecommerce product gross profit was primarily attributable to the 15,540 decrease in ecommerce units sold, which decreased product gross profit by $18.1 million, partially offset by a $1,535 increase in product gross profit per unit, which increased product gross profit by $6.0 million. Product gross profit per unit increased from $1,168 for the three months ended March 31, 2022 to $2,703 for the three months ended March 31, 2023, primarily due to an increase in interest income earned, less interest expense on securitization debt related to finance receivables from Vroom customers originated or serviced by UACC, as compared to the first quarter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 except unit data)</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(8,944 )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(88.4 )%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13,895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139,984</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(126,089 )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(90.1 )%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gross profit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(2,753 )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102.3 %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11,886</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13,842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(1,956 )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gross profit (loss) per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45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ind w:right="200" w:firstLine="761"/>
        <w:spacing w:after="0"/>
        <w:rPr>
          <w:sz w:val="20"/>
          <w:szCs w:val="20"/>
          <w:color w:val="auto"/>
        </w:rPr>
      </w:pPr>
      <w:r>
        <w:rPr>
          <w:rFonts w:ascii="Arial" w:cs="Arial" w:eastAsia="Arial" w:hAnsi="Arial"/>
          <w:sz w:val="18"/>
          <w:szCs w:val="18"/>
          <w:color w:val="auto"/>
        </w:rPr>
        <w:t>Wholesale units sold decreased 8,944, or 88.4%, from 10,113 for the three months ended March 31, 2022 to 1,169 for the three months ended March 31, 2023, primarily driven by a decrease in wholesale units purchased from consumers and a lower number of trade-in vehicles associated with the decrease in the number of ecommerce units sold.</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220" w:firstLine="761"/>
        <w:spacing w:after="0" w:line="238" w:lineRule="auto"/>
        <w:rPr>
          <w:sz w:val="20"/>
          <w:szCs w:val="20"/>
          <w:color w:val="auto"/>
        </w:rPr>
      </w:pPr>
      <w:r>
        <w:rPr>
          <w:rFonts w:ascii="Arial" w:cs="Arial" w:eastAsia="Arial" w:hAnsi="Arial"/>
          <w:sz w:val="18"/>
          <w:szCs w:val="18"/>
          <w:color w:val="auto"/>
        </w:rPr>
        <w:t>Wholesale revenue decreased $126.1 million, or 90.1%, from $140.0 million for the three months ended March 31, 2022 to $13.9 million for the three months ended March 31, 2023. The decrease was primarily attributable to the 8,944 decrease in wholesale units sold, which decreased wholesale revenue by $123.8 million, and by a lower ASP per wholesale unit, which decreased wholesale revenue by $2.3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Profit (Loss)</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Wholesale gross loss of $2.8 million for the three months ended March 31, 2022 changed by $2.9 million to a gross profit of $0.1 million for the three months ended March 31, 2023. The change was primarily attributable to a $325 increase in wholesale gross profit per unit from gross loss per unit of $272 for the three months ended March 31, 2022 to wholesale gross profit per unit of $ 53 for the three months ended March 31, 2023, which increased wholesale gross profit by $0.4 million. The increase was primarily driven by a lower inventory reserve as a result of a decrease in inventory levels, and was partially offset by lower sales margins.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31,988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47,687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(15,699 )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(32.9 )%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25,774</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44,963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(19,189 )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20" w:lineRule="exact"/>
        <w:rPr>
          <w:sz w:val="20"/>
          <w:szCs w:val="20"/>
          <w:color w:val="auto"/>
        </w:rPr>
      </w:pPr>
    </w:p>
    <w:p>
      <w:pPr>
        <w:ind w:right="140" w:firstLine="764"/>
        <w:spacing w:after="0" w:line="237" w:lineRule="auto"/>
        <w:rPr>
          <w:sz w:val="20"/>
          <w:szCs w:val="20"/>
          <w:color w:val="auto"/>
        </w:rPr>
      </w:pPr>
      <w:r>
        <w:rPr>
          <w:rFonts w:ascii="Arial" w:cs="Arial" w:eastAsia="Arial" w:hAnsi="Arial"/>
          <w:sz w:val="18"/>
          <w:szCs w:val="18"/>
          <w:color w:val="auto"/>
        </w:rPr>
        <w:t>Retail Financing revenue decreased $ 15.7 million, or 32.9%, from $ 47.7 million for the three months ended March 31, 2022 to $32.0 million for the three months ended March 31, 2023. The decrease was primarily driven by the gain on sale of finance receivables of $29.6 million in the first quarter of 2022 related to the 2022-1 securitization transaction. The decrease was partially offset by an increase in interest income earned on finance receivables with third-party dealership customers as a result of the consolidation of the 2022-2 and 2023-1 securitization transactions, as well as an increase in vehicle protection product income net of chargeback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Retail Financing gross profit decreased $19.2 million, or 42.7%, from $45.0 million for the three months ended March 31, 2022 to</w:t>
      </w:r>
    </w:p>
    <w:p>
      <w:pPr>
        <w:spacing w:after="0" w:line="234" w:lineRule="auto"/>
        <w:rPr>
          <w:sz w:val="20"/>
          <w:szCs w:val="20"/>
          <w:color w:val="auto"/>
        </w:rPr>
      </w:pPr>
      <w:r>
        <w:rPr>
          <w:rFonts w:ascii="Arial" w:cs="Arial" w:eastAsia="Arial" w:hAnsi="Arial"/>
          <w:sz w:val="18"/>
          <w:szCs w:val="18"/>
          <w:color w:val="auto"/>
        </w:rPr>
        <w:t>$25.8 million for the three months ended March 31, 2023. The decrease was primarily driven by the gain on sale of finance receivables of</w:t>
      </w:r>
    </w:p>
    <w:p>
      <w:pPr>
        <w:spacing w:after="0" w:line="235" w:lineRule="auto"/>
        <w:rPr>
          <w:sz w:val="20"/>
          <w:szCs w:val="20"/>
          <w:color w:val="auto"/>
        </w:rPr>
      </w:pPr>
      <w:r>
        <w:rPr>
          <w:rFonts w:ascii="Arial" w:cs="Arial" w:eastAsia="Arial" w:hAnsi="Arial"/>
          <w:sz w:val="18"/>
          <w:szCs w:val="18"/>
          <w:color w:val="auto"/>
        </w:rPr>
        <w:t>$29.6 million in the first quarter of 2022 related to the 2022-1 securitization transaction, as well as an increase in collection expenses related</w:t>
      </w:r>
    </w:p>
    <w:p>
      <w:pPr>
        <w:spacing w:after="0" w:line="234" w:lineRule="auto"/>
        <w:rPr>
          <w:sz w:val="20"/>
          <w:szCs w:val="20"/>
          <w:color w:val="auto"/>
        </w:rPr>
      </w:pPr>
      <w:r>
        <w:rPr>
          <w:rFonts w:ascii="Arial" w:cs="Arial" w:eastAsia="Arial" w:hAnsi="Arial"/>
          <w:sz w:val="18"/>
          <w:szCs w:val="18"/>
          <w:color w:val="auto"/>
        </w:rPr>
        <w:t>to servicing finance receivables originated by UACC and an increase in interest expense on securitization debt in the first quarter of 2023.</w:t>
      </w:r>
    </w:p>
    <w:p>
      <w:pPr>
        <w:spacing w:after="0" w:line="235" w:lineRule="auto"/>
        <w:rPr>
          <w:sz w:val="20"/>
          <w:szCs w:val="20"/>
          <w:color w:val="auto"/>
        </w:rPr>
      </w:pPr>
      <w:r>
        <w:rPr>
          <w:rFonts w:ascii="Arial" w:cs="Arial" w:eastAsia="Arial" w:hAnsi="Arial"/>
          <w:sz w:val="18"/>
          <w:szCs w:val="18"/>
          <w:color w:val="auto"/>
        </w:rPr>
        <w:t>The decrease was partially offset by an increase in interest income earned on finance receivables with third-party dealership customers as a</w:t>
      </w:r>
    </w:p>
    <w:p>
      <w:pPr>
        <w:spacing w:after="0"/>
        <w:rPr>
          <w:sz w:val="20"/>
          <w:szCs w:val="20"/>
          <w:color w:val="auto"/>
        </w:rPr>
      </w:pPr>
      <w:r>
        <w:rPr>
          <w:rFonts w:ascii="Arial" w:cs="Arial" w:eastAsia="Arial" w:hAnsi="Arial"/>
          <w:sz w:val="18"/>
          <w:szCs w:val="18"/>
          <w:color w:val="auto"/>
        </w:rPr>
        <w:t>result of the</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820"/>
        <w:spacing w:after="0" w:line="245" w:lineRule="auto"/>
        <w:rPr>
          <w:sz w:val="20"/>
          <w:szCs w:val="20"/>
          <w:color w:val="auto"/>
        </w:rPr>
      </w:pPr>
      <w:r>
        <w:rPr>
          <w:rFonts w:ascii="Arial" w:cs="Arial" w:eastAsia="Arial" w:hAnsi="Arial"/>
          <w:sz w:val="18"/>
          <w:szCs w:val="18"/>
          <w:color w:val="auto"/>
        </w:rPr>
        <w:t>consolidation of the 2022-2 and 2023-1 securitization transactions, as well as an increase in vehicle protection product income net of chargeback reserves.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5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50,666</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74,525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(23,859 )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15"/>
        </w:trPr>
        <w:tc>
          <w:tcPr>
            <w:tcW w:w="580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(22,264 )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(66.0 )%</w:t>
            </w:r>
          </w:p>
        </w:tc>
      </w:tr>
      <w:tr>
        <w:trPr>
          <w:trHeight w:val="244"/>
        </w:trPr>
        <w:tc>
          <w:tcPr>
            <w:tcW w:w="58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2,072</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26,748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(24,676 )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(92.3 )%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(6,707 )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(50.4 )%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(11,563 )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(49.8 )%</w:t>
            </w:r>
          </w:p>
        </w:tc>
      </w:tr>
      <w:tr>
        <w:trPr>
          <w:trHeight w:val="20"/>
        </w:trPr>
        <w:tc>
          <w:tcPr>
            <w:tcW w:w="5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96,537</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187,994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(91,457 )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xml:space="preserve">(48.6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49"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spacing w:after="0" w:line="181" w:lineRule="exact"/>
        <w:rPr>
          <w:sz w:val="20"/>
          <w:szCs w:val="20"/>
          <w:color w:val="auto"/>
        </w:rPr>
      </w:pPr>
    </w:p>
    <w:p>
      <w:pPr>
        <w:ind w:right="660" w:firstLine="764"/>
        <w:spacing w:after="0" w:line="245" w:lineRule="auto"/>
        <w:rPr>
          <w:sz w:val="20"/>
          <w:szCs w:val="20"/>
          <w:color w:val="auto"/>
        </w:rPr>
      </w:pPr>
      <w:r>
        <w:rPr>
          <w:rFonts w:ascii="Arial" w:cs="Arial" w:eastAsia="Arial" w:hAnsi="Arial"/>
          <w:sz w:val="18"/>
          <w:szCs w:val="18"/>
          <w:color w:val="auto"/>
        </w:rPr>
        <w:t>SG&amp;A expenses decreased $91.5 million, or 48.6%, from $188.0 million for the three months ended March 31, 2022 to $96.5 million for the three months ended March 31, 2023. The total decrease was primarily caused by:</w:t>
      </w:r>
    </w:p>
    <w:p>
      <w:pPr>
        <w:spacing w:after="0" w:line="184" w:lineRule="exact"/>
        <w:rPr>
          <w:sz w:val="20"/>
          <w:szCs w:val="20"/>
          <w:color w:val="auto"/>
        </w:rPr>
      </w:pPr>
    </w:p>
    <w:p>
      <w:pPr>
        <w:ind w:left="1140" w:right="100" w:hanging="371"/>
        <w:spacing w:after="0" w:line="24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$24.7 million decrease in outbound logistics costs attributable to the decrease in ecommerce units sold as well as a decrease in outbound logistics cost per ecommerce unit;</w:t>
      </w:r>
    </w:p>
    <w:p>
      <w:pPr>
        <w:spacing w:after="0" w:line="184" w:lineRule="exact"/>
        <w:rPr>
          <w:rFonts w:ascii="Arial" w:cs="Arial" w:eastAsia="Arial" w:hAnsi="Arial"/>
          <w:sz w:val="18"/>
          <w:szCs w:val="18"/>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$23.9 million decrease in compensation and benefits primarily as a result of the workforce reductions;</w:t>
      </w:r>
    </w:p>
    <w:p>
      <w:pPr>
        <w:spacing w:after="0" w:line="211" w:lineRule="exact"/>
        <w:rPr>
          <w:rFonts w:ascii="Arial" w:cs="Arial" w:eastAsia="Arial" w:hAnsi="Arial"/>
          <w:sz w:val="18"/>
          <w:szCs w:val="18"/>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$22.3 million decrease in marketing expense contemplated by our long-term roadmap;</w:t>
      </w:r>
    </w:p>
    <w:p>
      <w:pPr>
        <w:spacing w:after="0" w:line="211" w:lineRule="exact"/>
        <w:rPr>
          <w:rFonts w:ascii="Arial" w:cs="Arial" w:eastAsia="Arial" w:hAnsi="Arial"/>
          <w:sz w:val="18"/>
          <w:szCs w:val="18"/>
          <w:color w:val="auto"/>
        </w:rPr>
      </w:pPr>
    </w:p>
    <w:p>
      <w:pPr>
        <w:ind w:left="1140" w:right="240" w:hanging="371"/>
        <w:spacing w:after="0" w:line="24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$6.7 million decrease in professional fees primarily related to costs incurred in connection with the UACC Acquisition during the first quarter of 2022, partially offset by increased legal fees related to ongoing legal and regulatory matters;</w:t>
      </w:r>
    </w:p>
    <w:p>
      <w:pPr>
        <w:spacing w:after="0" w:line="184" w:lineRule="exact"/>
        <w:rPr>
          <w:rFonts w:ascii="Arial" w:cs="Arial" w:eastAsia="Arial" w:hAnsi="Arial"/>
          <w:sz w:val="18"/>
          <w:szCs w:val="18"/>
          <w:color w:val="auto"/>
        </w:rPr>
      </w:pPr>
    </w:p>
    <w:p>
      <w:pPr>
        <w:ind w:left="1140" w:hanging="37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 million decrease in software and IT costs primarily related to volume-based fees as a result of reduced headcount;</w:t>
      </w:r>
    </w:p>
    <w:p>
      <w:pPr>
        <w:spacing w:after="0" w:line="211" w:lineRule="exact"/>
        <w:rPr>
          <w:rFonts w:ascii="Arial" w:cs="Arial" w:eastAsia="Arial" w:hAnsi="Arial"/>
          <w:sz w:val="18"/>
          <w:szCs w:val="18"/>
          <w:color w:val="auto"/>
        </w:rPr>
      </w:pPr>
    </w:p>
    <w:p>
      <w:pPr>
        <w:ind w:left="1140" w:right="200" w:hanging="371"/>
        <w:spacing w:after="0" w:line="245"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$11.6 million decrease in other SG&amp;A expenses primarily due to reduced fixed and variable costs contemplated by our long-term roadmap.</w:t>
      </w:r>
    </w:p>
    <w:p>
      <w:pPr>
        <w:spacing w:after="0" w:line="184" w:lineRule="exact"/>
        <w:rPr>
          <w:sz w:val="20"/>
          <w:szCs w:val="20"/>
          <w:color w:val="auto"/>
        </w:rPr>
      </w:pPr>
    </w:p>
    <w:p>
      <w:pPr>
        <w:ind w:right="180" w:firstLine="761"/>
        <w:spacing w:after="0"/>
        <w:rPr>
          <w:sz w:val="20"/>
          <w:szCs w:val="20"/>
          <w:color w:val="auto"/>
        </w:rPr>
      </w:pPr>
      <w:r>
        <w:rPr>
          <w:rFonts w:ascii="Arial" w:cs="Arial" w:eastAsia="Arial" w:hAnsi="Arial"/>
          <w:sz w:val="18"/>
          <w:szCs w:val="18"/>
          <w:color w:val="auto"/>
        </w:rPr>
        <w:t>We expect SG&amp;A expenses to decrease in the future driven by our workforce reduction in April 2023, and further reductions in both fixed and variable cost components as we continue to reevaluate the optimization of our operations. We may not be able to fully realize further cost savings and benefits initially anticipated from the long-term roadmap, and the future costs may be greater than expected.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Depreciation and amortization expenses increased $2.6 million, or 34.1%, from $7.9 million for the three months ended March 31, 2022 to $10.5 million for the three months ended March 31, 2023. The increase was primarily due to an additional month of amortization expense of intangible assets acquired as part of the UACC Acquisition for the three months ended March 31, 2023 and amortization related to our capitalized internal use software costs incurred in the development of our platform and website applications.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Impairment charges represent an impairment charge of $201.7 million to write down the carrying amount of the goodwill to fair value for the three months ended March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20" w:lineRule="exact"/>
        <w:rPr>
          <w:sz w:val="20"/>
          <w:szCs w:val="20"/>
          <w:color w:val="auto"/>
        </w:rPr>
      </w:pPr>
    </w:p>
    <w:p>
      <w:pPr>
        <w:ind w:right="740" w:firstLine="749"/>
        <w:spacing w:after="0" w:line="274" w:lineRule="auto"/>
        <w:rPr>
          <w:sz w:val="20"/>
          <w:szCs w:val="20"/>
          <w:color w:val="auto"/>
        </w:rPr>
      </w:pPr>
      <w:r>
        <w:rPr>
          <w:rFonts w:ascii="Arial" w:cs="Arial" w:eastAsia="Arial" w:hAnsi="Arial"/>
          <w:sz w:val="17"/>
          <w:szCs w:val="17"/>
          <w:color w:val="auto"/>
        </w:rPr>
        <w:t>Gain on debt extinguishment represents a gain of $ 8.7 million for the three months ended March 31, 2023, related to the repurchase of $14.6 million in aggregate principal balance of the Notes, net of deferred issuance costs of $0.3 million, for $5.9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Interest expense increased $0.5 million, or 5.7%, from $9.4 million for the three months ended March 31, 2022 to $9.9 million for the three months ended March 31, 2023. The increase was primarily attributable to interest expense incurred on UACC's Warehouse Credit Facilities, which increased interest expense by $2.7 million. The increase was partially offset by a decrease of $1.4 million in interest expense related to a lower outstanding balance on the 2022 Vehicle Floorplan Facilities, as well as a decrease in interest expense on the Notes of $0.8 million due to the repurchase of the Notes during the second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jc w:val="both"/>
        <w:ind w:right="380" w:firstLine="761"/>
        <w:spacing w:after="0"/>
        <w:rPr>
          <w:sz w:val="20"/>
          <w:szCs w:val="20"/>
          <w:color w:val="auto"/>
        </w:rPr>
      </w:pPr>
      <w:r>
        <w:rPr>
          <w:rFonts w:ascii="Arial" w:cs="Arial" w:eastAsia="Arial" w:hAnsi="Arial"/>
          <w:sz w:val="18"/>
          <w:szCs w:val="18"/>
          <w:color w:val="auto"/>
        </w:rPr>
        <w:t>Interest income increased $1.9 million, or 50.4%, from $ 4.0 million for the three months ended March 31, 2022 to $5.9 million for the three months ended March 31, 2023. The increase in interest income was primarily driven by higher interest rates earned on 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220" w:lineRule="exact"/>
        <w:rPr>
          <w:sz w:val="20"/>
          <w:szCs w:val="20"/>
          <w:color w:val="auto"/>
        </w:rPr>
      </w:pPr>
    </w:p>
    <w:p>
      <w:pPr>
        <w:ind w:right="280" w:firstLine="764"/>
        <w:spacing w:after="0" w:line="245" w:lineRule="auto"/>
        <w:rPr>
          <w:sz w:val="20"/>
          <w:szCs w:val="20"/>
          <w:color w:val="auto"/>
        </w:rPr>
      </w:pPr>
      <w:r>
        <w:rPr>
          <w:rFonts w:ascii="Arial" w:cs="Arial" w:eastAsia="Arial" w:hAnsi="Arial"/>
          <w:sz w:val="18"/>
          <w:szCs w:val="18"/>
          <w:color w:val="auto"/>
        </w:rPr>
        <w:t>Other loss, net decreased $1.2 million, or 9.0%, from $12.4 million for the three months ended March 31, 2022 to $11.2 million for the three months ended March 31, 2023.</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Results of Operations Supplemental data</w:t>
      </w:r>
    </w:p>
    <w:p>
      <w:pPr>
        <w:spacing w:after="0" w:line="2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following tables set forth our quarterly financial information for the first quarter of 2023 and the fourth quarter of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Three Months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3"/>
                <w:szCs w:val="13"/>
                <w:b w:val="1"/>
                <w:bCs w:val="1"/>
                <w:color w:val="auto"/>
              </w:rPr>
              <w:t>Ended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8"/>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5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4"/>
                <w:szCs w:val="14"/>
                <w:color w:val="auto"/>
              </w:rPr>
            </w:pPr>
          </w:p>
        </w:tc>
      </w:tr>
      <w:tr>
        <w:trPr>
          <w:trHeight w:val="182"/>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(in thousands, except unit data)</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196,467</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209,349</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(12,882 )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(6.2 )%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Total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38,805</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29,459</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9,346</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31.7 %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Ecommerce units sold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3,933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4,144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(211 )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(5.1 )%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Ecommerce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135,633</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141,758</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(6,125 )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(4.3 )%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Ecommerce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10,035</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5,110</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4,925</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96.4 %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Vehicle gross loss per ecommerce unit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(151 )</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(1,346 )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1,195</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88.8 %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Product gross profit per ecommerce unit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124</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4.8 %</w:t>
            </w:r>
          </w:p>
        </w:tc>
      </w:tr>
      <w:tr>
        <w:trPr>
          <w:trHeight w:val="20"/>
        </w:trPr>
        <w:tc>
          <w:tcPr>
            <w:tcW w:w="5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720" w:type="dxa"/>
            <w:vAlign w:val="bottom"/>
          </w:tcPr>
          <w:p>
            <w:pPr>
              <w:ind w:left="20"/>
              <w:spacing w:after="0"/>
              <w:rPr>
                <w:sz w:val="20"/>
                <w:szCs w:val="20"/>
                <w:color w:val="auto"/>
              </w:rPr>
            </w:pPr>
            <w:r>
              <w:rPr>
                <w:rFonts w:ascii="Arial" w:cs="Arial" w:eastAsia="Arial" w:hAnsi="Arial"/>
                <w:sz w:val="15"/>
                <w:szCs w:val="15"/>
                <w:color w:val="auto"/>
              </w:rPr>
              <w:t>Total gross profit per ecommerce unit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2,552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1,233</w:t>
            </w:r>
          </w:p>
        </w:tc>
        <w:tc>
          <w:tcPr>
            <w:tcW w:w="240" w:type="dxa"/>
            <w:vAlign w:val="bottom"/>
          </w:tcPr>
          <w:p>
            <w:pPr>
              <w:spacing w:after="0"/>
              <w:rPr>
                <w:sz w:val="15"/>
                <w:szCs w:val="15"/>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1,319</w:t>
            </w:r>
          </w:p>
        </w:tc>
        <w:tc>
          <w:tcPr>
            <w:tcW w:w="22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 xml:space="preserve">107.0 </w:t>
            </w:r>
            <w:r>
              <w:rPr>
                <w:rFonts w:ascii="Arial" w:cs="Arial" w:eastAsia="Arial" w:hAnsi="Arial"/>
                <w:sz w:val="15"/>
                <w:szCs w:val="15"/>
                <w:color w:val="auto"/>
                <w:highlight w:val="white"/>
              </w:rPr>
              <w:t>%</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Wholesale units sold</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1,768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(599 )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(33.9 )%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Wholesale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13,895</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23,039</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(9,144 )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(39.7 )%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Wholesale gross profit (loss)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62</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(4,359 )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4,421</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101.4 %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Wholesale gross profit (loss) per unit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53</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(2,465 )</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2,518</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102.2 %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Retail Financing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31,988</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32,537</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(549 )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(1.7 )%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Retail Financing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25,774</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28,744</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(2,970 )</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(10.3 )%</w:t>
            </w:r>
          </w:p>
        </w:tc>
      </w:tr>
      <w:tr>
        <w:trPr>
          <w:trHeight w:val="189"/>
        </w:trPr>
        <w:tc>
          <w:tcPr>
            <w:tcW w:w="5720" w:type="dxa"/>
            <w:vAlign w:val="bottom"/>
          </w:tcPr>
          <w:p>
            <w:pPr>
              <w:ind w:left="20"/>
              <w:spacing w:after="0"/>
              <w:rPr>
                <w:sz w:val="20"/>
                <w:szCs w:val="20"/>
                <w:color w:val="auto"/>
              </w:rPr>
            </w:pPr>
            <w:r>
              <w:rPr>
                <w:rFonts w:ascii="Arial" w:cs="Arial" w:eastAsia="Arial" w:hAnsi="Arial"/>
                <w:sz w:val="15"/>
                <w:szCs w:val="15"/>
                <w:color w:val="auto"/>
              </w:rPr>
              <w:t>Total selling, general, and administrative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96,537</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90,760</w:t>
            </w:r>
          </w:p>
        </w:tc>
        <w:tc>
          <w:tcPr>
            <w:tcW w:w="2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5,777</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-1805940</wp:posOffset>
            </wp:positionV>
            <wp:extent cx="7132320"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1200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-1326515</wp:posOffset>
            </wp:positionV>
            <wp:extent cx="7132320"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3683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8"/>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3"/>
                <w:szCs w:val="13"/>
                <w:b w:val="1"/>
                <w:bCs w:val="1"/>
                <w:color w:val="auto"/>
              </w:rPr>
              <w:t>Ended</w:t>
            </w:r>
          </w:p>
        </w:tc>
        <w:tc>
          <w:tcPr>
            <w:tcW w:w="1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3"/>
                <w:szCs w:val="13"/>
                <w:b w:val="1"/>
                <w:bCs w:val="1"/>
                <w:color w:val="auto"/>
              </w:rPr>
              <w:t>Ended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8"/>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5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4"/>
                <w:szCs w:val="14"/>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4"/>
                <w:szCs w:val="14"/>
                <w:color w:val="auto"/>
              </w:rPr>
            </w:pPr>
          </w:p>
        </w:tc>
      </w:tr>
      <w:tr>
        <w:trPr>
          <w:trHeight w:val="182"/>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5"/>
          </w:tcPr>
          <w:p>
            <w:pPr>
              <w:jc w:val="right"/>
              <w:ind w:right="122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Net (loss)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(75,044 )</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24,765</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(99,809 )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(403.0 )%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Adjusted to exclude the following:</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9,919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12,076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(2,157 )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(17.9 )%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(5,942 )</w:t>
            </w: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(6,372 )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w:t>
            </w:r>
          </w:p>
        </w:tc>
        <w:tc>
          <w:tcPr>
            <w:tcW w:w="22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6.7 %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2,405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(2,132 )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(88.6 )%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10,637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10,702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(65 )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(0.6 )%</w:t>
            </w:r>
          </w:p>
        </w:tc>
      </w:tr>
      <w:tr>
        <w:trPr>
          <w:trHeight w:val="20"/>
        </w:trPr>
        <w:tc>
          <w:tcPr>
            <w:tcW w:w="5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5"/>
                <w:szCs w:val="15"/>
                <w:color w:val="auto"/>
              </w:rPr>
              <w:t>EBITDA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(60,157 )</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43,576</w:t>
            </w:r>
          </w:p>
        </w:tc>
        <w:tc>
          <w:tcPr>
            <w:tcW w:w="22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(103,733 )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(238.1 )%</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5380" w:type="dxa"/>
            <w:vAlign w:val="bottom"/>
          </w:tcPr>
          <w:p>
            <w:pPr>
              <w:ind w:left="20"/>
              <w:spacing w:after="0" w:line="169" w:lineRule="exact"/>
              <w:rPr>
                <w:sz w:val="20"/>
                <w:szCs w:val="20"/>
                <w:color w:val="auto"/>
              </w:rPr>
            </w:pPr>
            <w:r>
              <w:rPr>
                <w:rFonts w:ascii="Arial" w:cs="Arial" w:eastAsia="Arial" w:hAnsi="Arial"/>
                <w:sz w:val="15"/>
                <w:szCs w:val="15"/>
                <w:color w:val="auto"/>
              </w:rPr>
              <w:t>Severance costs</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4,104</w:t>
            </w:r>
          </w:p>
        </w:tc>
        <w:tc>
          <w:tcPr>
            <w:tcW w:w="26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4,104</w:t>
            </w:r>
          </w:p>
        </w:tc>
        <w:tc>
          <w:tcPr>
            <w:tcW w:w="220" w:type="dxa"/>
            <w:vAlign w:val="bottom"/>
          </w:tcPr>
          <w:p>
            <w:pPr>
              <w:spacing w:after="0"/>
              <w:rPr>
                <w:sz w:val="14"/>
                <w:szCs w:val="14"/>
                <w:color w:val="auto"/>
              </w:rPr>
            </w:pPr>
          </w:p>
        </w:tc>
        <w:tc>
          <w:tcPr>
            <w:tcW w:w="1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xml:space="preserve">100.0 </w:t>
            </w:r>
            <w:r>
              <w:rPr>
                <w:rFonts w:ascii="Arial" w:cs="Arial" w:eastAsia="Arial" w:hAnsi="Arial"/>
                <w:sz w:val="15"/>
                <w:szCs w:val="15"/>
                <w:color w:val="auto"/>
                <w:highlight w:val="white"/>
              </w:rPr>
              <w:t>%</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Gain on debt extinguishment</w:t>
            </w:r>
          </w:p>
        </w:tc>
        <w:tc>
          <w:tcPr>
            <w:tcW w:w="14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(8,709 )</w:t>
            </w: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(126,767 )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118,058</w:t>
            </w:r>
          </w:p>
        </w:tc>
        <w:tc>
          <w:tcPr>
            <w:tcW w:w="22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93.1 %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Realignment costs</w:t>
            </w: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2,253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(2,253 )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Acceleration of non-cash stock-based compensation</w:t>
            </w:r>
          </w:p>
        </w:tc>
        <w:tc>
          <w:tcPr>
            <w:tcW w:w="14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2,439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(2,439 )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189"/>
        </w:trPr>
        <w:tc>
          <w:tcPr>
            <w:tcW w:w="5380" w:type="dxa"/>
            <w:vAlign w:val="bottom"/>
          </w:tcPr>
          <w:p>
            <w:pPr>
              <w:ind w:left="2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(3,679 )</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0"/>
        </w:trPr>
        <w:tc>
          <w:tcPr>
            <w:tcW w:w="5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(64,762 )</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(74,820 )</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10,058</w:t>
            </w:r>
          </w:p>
        </w:tc>
        <w:tc>
          <w:tcPr>
            <w:tcW w:w="22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13.4 %</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5380" w:type="dxa"/>
            <w:vAlign w:val="bottom"/>
          </w:tcPr>
          <w:p>
            <w:pPr>
              <w:ind w:left="20"/>
              <w:spacing w:after="0" w:line="169" w:lineRule="exact"/>
              <w:rPr>
                <w:sz w:val="20"/>
                <w:szCs w:val="20"/>
                <w:color w:val="auto"/>
              </w:rPr>
            </w:pPr>
            <w:r>
              <w:rPr>
                <w:rFonts w:ascii="Arial" w:cs="Arial" w:eastAsia="Arial" w:hAnsi="Arial"/>
                <w:sz w:val="15"/>
                <w:szCs w:val="15"/>
                <w:color w:val="auto"/>
              </w:rPr>
              <w:t>Securitization gain</w:t>
            </w: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xml:space="preserve">0.0 </w:t>
            </w:r>
            <w:r>
              <w:rPr>
                <w:rFonts w:ascii="Arial" w:cs="Arial" w:eastAsia="Arial" w:hAnsi="Arial"/>
                <w:sz w:val="15"/>
                <w:szCs w:val="15"/>
                <w:color w:val="auto"/>
                <w:highlight w:val="white"/>
              </w:rPr>
              <w:t>%</w:t>
            </w:r>
          </w:p>
        </w:tc>
      </w:tr>
      <w:tr>
        <w:trPr>
          <w:trHeight w:val="20"/>
        </w:trPr>
        <w:tc>
          <w:tcPr>
            <w:tcW w:w="5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380" w:type="dxa"/>
            <w:vAlign w:val="bottom"/>
          </w:tcPr>
          <w:p>
            <w:pPr>
              <w:ind w:left="20"/>
              <w:spacing w:after="0"/>
              <w:rPr>
                <w:sz w:val="20"/>
                <w:szCs w:val="20"/>
                <w:color w:val="auto"/>
              </w:rPr>
            </w:pPr>
            <w:r>
              <w:rPr>
                <w:rFonts w:ascii="Arial" w:cs="Arial" w:eastAsia="Arial" w:hAnsi="Arial"/>
                <w:sz w:val="15"/>
                <w:szCs w:val="15"/>
                <w:color w:val="auto"/>
              </w:rPr>
              <w:t>Adjusted EBITDA excluding securitization gain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(64,762 )</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(74,820 )</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10,058</w:t>
            </w:r>
          </w:p>
        </w:tc>
        <w:tc>
          <w:tcPr>
            <w:tcW w:w="22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13.4 %</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1200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20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200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3854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19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right="300" w:firstLine="761"/>
        <w:spacing w:after="0" w:line="237" w:lineRule="auto"/>
        <w:rPr>
          <w:sz w:val="20"/>
          <w:szCs w:val="20"/>
          <w:color w:val="auto"/>
        </w:rPr>
      </w:pPr>
      <w:r>
        <w:rPr>
          <w:rFonts w:ascii="Arial" w:cs="Arial" w:eastAsia="Arial" w:hAnsi="Arial"/>
          <w:sz w:val="18"/>
          <w:szCs w:val="18"/>
          <w:color w:val="auto"/>
        </w:rPr>
        <w:t>As of March 31, 2023, we had cash and cash equivalents of $316.7 million and restricted cash of $72.0 million. Restricted cash primarily includes cash deposits required under our 2022 Vehicle Floorplan Facility of $22.1 million and restricted cash for UACC under the securitization transactions and Warehouse Credit Facilities of $48.0 million. Our primary source of liquidity is cash generated through financing activities. Additionally, we had excess borrowing capacity of $57.9 million on UACC's Warehouse Credit Facilities as of March 31, 2023.</w:t>
      </w:r>
    </w:p>
    <w:p>
      <w:pPr>
        <w:spacing w:after="0" w:line="192" w:lineRule="exact"/>
        <w:rPr>
          <w:sz w:val="20"/>
          <w:szCs w:val="20"/>
          <w:color w:val="auto"/>
        </w:rPr>
      </w:pPr>
    </w:p>
    <w:p>
      <w:pPr>
        <w:ind w:right="360" w:firstLine="811"/>
        <w:spacing w:after="0" w:line="245" w:lineRule="auto"/>
        <w:rPr>
          <w:sz w:val="20"/>
          <w:szCs w:val="20"/>
          <w:color w:val="auto"/>
        </w:rPr>
      </w:pPr>
      <w:r>
        <w:rPr>
          <w:rFonts w:ascii="Arial" w:cs="Arial" w:eastAsia="Arial" w:hAnsi="Arial"/>
          <w:sz w:val="18"/>
          <w:szCs w:val="18"/>
          <w:color w:val="auto"/>
        </w:rPr>
        <w:t>We have no significant debt maturities due until 2026 and the payments on our securitization debt is funded by cashflows on the finance receivables within the securitization trusts.</w:t>
      </w:r>
    </w:p>
    <w:p>
      <w:pPr>
        <w:spacing w:after="0" w:line="184"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We anticipate that our existing cash and cash equivalents, 2022 Vehicle Floorplan Facility, and UACC's Warehouse Credit Facilities will be sufficient to support our operations for at least the next twelve months from the date of this Quarterly Report on Form 10-Q.</w:t>
      </w:r>
    </w:p>
    <w:p>
      <w:pPr>
        <w:spacing w:after="0" w:line="184" w:lineRule="exact"/>
        <w:rPr>
          <w:sz w:val="20"/>
          <w:szCs w:val="20"/>
          <w:color w:val="auto"/>
        </w:rPr>
      </w:pPr>
    </w:p>
    <w:p>
      <w:pPr>
        <w:ind w:right="120" w:firstLine="761"/>
        <w:spacing w:after="0" w:line="251" w:lineRule="auto"/>
        <w:rPr>
          <w:sz w:val="20"/>
          <w:szCs w:val="20"/>
          <w:color w:val="auto"/>
        </w:rPr>
      </w:pPr>
      <w:r>
        <w:rPr>
          <w:rFonts w:ascii="Arial" w:cs="Arial" w:eastAsia="Arial" w:hAnsi="Arial"/>
          <w:sz w:val="17"/>
          <w:szCs w:val="17"/>
          <w:color w:val="auto"/>
        </w:rPr>
        <w:t>Since inception, we experienced a continued increase in our cash usage as we scaled our business. Our long-term roadmap is designed to reduce our use of cash and position us for long-term profitable growth by prioritizing unit economics, reducing operating expenses and maximizing liquidity. On January 18, 2023, we executed a reduction in force as part of our continued focus on reducing variable and fixed costs. We incurred expenses of approximately $4.1 million, primarily consisting of severance, and expect to achieve approximately $27.0 million of annualized cost reductions as a result of the reduction in force in January 2023. Additionally, on April 26, 2023, as part of our ongoing reexamination of all facets of the business, we implemented an organizational restructuring that included a reduction in force. We expect to incur total expenses of approximately $2.0 million in the second quarter of 2023, primarily consisting of severance costs, and expect to achieve approximately $15.0 million of annualized cost savings as a result of the reduction in force in April 2023. We may not be able to fully realize the cost savings and benefits initially anticipated by our long-term roadmap or our reductions in force.</w:t>
      </w:r>
    </w:p>
    <w:p>
      <w:pPr>
        <w:spacing w:after="0" w:line="183"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Our future capital requirements will depend on many factors, including our efforts to reduce fixed and variable expenses, investment in our internal sales force, investment in our website and mobile applications, continued automation of the selling experience, optimization of our assortment of vehicles, and increase inventory as we resume growth. We expect to use our cash and cash equivalents to finance our future capital requirements, borrowings under our 2022 Vehicle Floorplan Facility to finance our inventory, and UACC’s Warehouse Credit Facilities to fund our finance receivables. We may be required to seek additional equity or debt financing in the future to fund our operations or to fund our needs for capital expenditures. Our ability to obtain additional equity or debt financing will depend on the success of our efforts to reduce fixed and variable expenses and demonstrate we are on a path toward long-term profitable growth, as well as market conditions. There can be no assurance that such financing will be available in amounts or on terms acceptable to us, if at all. Failure to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months ended March 31, 2023, the conditions allowing holders of the Notes to convert were not met.</w:t>
      </w:r>
    </w:p>
    <w:p>
      <w:pPr>
        <w:spacing w:after="0" w:line="19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During the three months ended March 31, 2023, we repurchased $14.6 million in aggregate principal amount of the Notes, net of deferred issuance costs of $0.3 million, for $5.9 million in open-market transactions. We recognized a gain on extinguishment of debt of $8.7 million for the three months ended March 31, 2023. As a result of these repurchases and repurchases made in 2022, $345.1 million aggregate principal amount of the Notes remain outstanding, net of deferred issuance costs of $5.8 million. Subject to market conditions and availability, we may continue to opportunistically repurchase Notes from time to time to reduce our outstanding indebtedness at a discount. Refer to Note 12 — Long Term Debt to our condensed consolidated financial statements included elsewhere in this Quarterly Report on Form 10-Q, for further discussion.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right="200" w:firstLine="761"/>
        <w:spacing w:after="0" w:line="274" w:lineRule="auto"/>
        <w:rPr>
          <w:sz w:val="20"/>
          <w:szCs w:val="20"/>
          <w:color w:val="auto"/>
        </w:rPr>
      </w:pPr>
      <w:r>
        <w:rPr>
          <w:rFonts w:ascii="Arial" w:cs="Arial" w:eastAsia="Arial" w:hAnsi="Arial"/>
          <w:sz w:val="17"/>
          <w:szCs w:val="17"/>
          <w:color w:val="auto"/>
        </w:rPr>
        <w:t>In November 2022, we amended our floorplan facility with Ally Bank and Ally Financial (the “2022 Vehicle Floorplan Facility”). The 2022 Vehicle Floorplan Facility provides a committed credit line of up to $500.0 million which is scheduled to mature on March 31, 2024.</w:t>
      </w:r>
    </w:p>
    <w:p>
      <w:pPr>
        <w:spacing w:after="0" w:line="16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amount of credit available to us on a monthly basis is equal to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The amendment also provides that we may elect to increase our monthly credit line availability by an additional $25.0 million during any four months in the period from November 1, 2022 through March 31, 2024, subject to the maximum $ 500.0 million credit limit. Consistent with the terms of the 2020 Vehicle Floorplan Facility, we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191"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we are subject to amended covenants and events of default. We are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We were required to pay a commitment fee upon execution of the 2022 Vehicle Floorplan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and forward flow arrangements. In January 2023, UACC sold approximately $238.7 million of rated asset-backed securities in an auto loan securitization transaction from a securitization trust, established and sponsored by UACC for proceeds of $237.8 million. The trust is collateralized by finance receivables with an aggregate principal balance of $326.4 million. These finance receivables are serviced by UACC. As a result of current market conditions, which led to unfavorable pricing, UACC retained the non-investment grade securities and residual interests, and we accounted for the 2023-1 securitization transaction as secured borrowings. On April 19, 2023, UACC sold the non-investment grade securities related to the 2023-1 securitization transaction for $23.1 million. UACC still retains the residual interests related to the 2023-1 securitization transaction.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firstLine="764"/>
        <w:spacing w:after="0" w:line="237" w:lineRule="auto"/>
        <w:rPr>
          <w:sz w:val="20"/>
          <w:szCs w:val="20"/>
          <w:color w:val="auto"/>
        </w:rPr>
      </w:pPr>
      <w:r>
        <w:rPr>
          <w:rFonts w:ascii="Arial" w:cs="Arial" w:eastAsia="Arial" w:hAnsi="Arial"/>
          <w:sz w:val="18"/>
          <w:szCs w:val="18"/>
          <w:color w:val="auto"/>
        </w:rPr>
        <w:t>In February 2022, UACC sold an aggregate of $281.4 million of rated asset-backed securities and $ 32.3 million of residual certificates in an auto loan securitization transaction from a securitization trust, established and sponsored by UACC, for aggregate proceeds of $317.3 million. The trust is collateralized by finance receivables with an aggregate principal balance of $318.5 million and had a carrying value of $287.7 million at the time of sale. These finance receivables are serviced by UACC. UACC retained 5% of the notes and residual certificates sold as required by applicable risk retention rules.</w:t>
      </w:r>
    </w:p>
    <w:p>
      <w:pPr>
        <w:spacing w:after="0" w:line="192" w:lineRule="exact"/>
        <w:rPr>
          <w:sz w:val="20"/>
          <w:szCs w:val="20"/>
          <w:color w:val="auto"/>
        </w:rPr>
      </w:pPr>
    </w:p>
    <w:p>
      <w:pPr>
        <w:jc w:val="both"/>
        <w:ind w:right="40" w:firstLine="764"/>
        <w:spacing w:after="0"/>
        <w:rPr>
          <w:sz w:val="20"/>
          <w:szCs w:val="20"/>
          <w:color w:val="auto"/>
        </w:rPr>
      </w:pPr>
      <w:r>
        <w:rPr>
          <w:rFonts w:ascii="Arial" w:cs="Arial" w:eastAsia="Arial" w:hAnsi="Arial"/>
          <w:sz w:val="18"/>
          <w:szCs w:val="18"/>
          <w:color w:val="auto"/>
        </w:rPr>
        <w:t>Although our long-term strategy is to structure future securitization transactions similar to the 2022-1 securitization transaction and account for them as sales, market conditions may impact our ability to achieve sales accounting treatment. Depending on market conditions, future 2023 securitization transactions may be accounted for as secured borrowings and remain on balance sheet.</w:t>
      </w:r>
    </w:p>
    <w:p>
      <w:pPr>
        <w:spacing w:after="0" w:line="188" w:lineRule="exact"/>
        <w:rPr>
          <w:sz w:val="20"/>
          <w:szCs w:val="20"/>
          <w:color w:val="auto"/>
        </w:rPr>
      </w:pPr>
    </w:p>
    <w:p>
      <w:pPr>
        <w:ind w:right="100" w:firstLine="764"/>
        <w:spacing w:after="0" w:line="237"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and higher losses in a soft securitization market.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spacing w:after="0" w:line="192" w:lineRule="exact"/>
        <w:rPr>
          <w:sz w:val="20"/>
          <w:szCs w:val="20"/>
          <w:color w:val="auto"/>
        </w:rPr>
      </w:pPr>
    </w:p>
    <w:p>
      <w:pPr>
        <w:ind w:right="440" w:firstLine="764"/>
        <w:spacing w:after="0"/>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 regarding our transactions with unconsolidated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UACC Risk Retention Financing Facility</w:t>
      </w:r>
    </w:p>
    <w:p>
      <w:pPr>
        <w:spacing w:after="0" w:line="220"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Arial" w:cs="Arial" w:eastAsia="Arial" w:hAnsi="Arial"/>
          <w:sz w:val="19"/>
          <w:szCs w:val="19"/>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0" w:lineRule="exact"/>
        <w:rPr>
          <w:sz w:val="20"/>
          <w:szCs w:val="20"/>
          <w:color w:val="auto"/>
        </w:rPr>
      </w:pPr>
    </w:p>
    <w:p>
      <w:pPr>
        <w:ind w:right="20" w:firstLine="764"/>
        <w:spacing w:after="0" w:line="236"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$850.0 million with maturities between May 2024 and December 2024. As of March 31, 2023, outstanding borrowings related to the Warehouse Credit Facilities were $124.2 million and we were in compliance with all covenants related to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11 — Warehouse Credit Facilities of Consolidated VIEs to our condensed consolidated financial statements included elsewhere in this Quarterly Report on Form 10-Q, for further discussion.</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three months ended March 31,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89"/>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82"/>
        </w:trPr>
        <w:tc>
          <w:tcPr>
            <w:tcW w:w="76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182"/>
        </w:trPr>
        <w:tc>
          <w:tcPr>
            <w:tcW w:w="7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(85,021 )</w:t>
            </w:r>
          </w:p>
        </w:tc>
        <w:tc>
          <w:tcPr>
            <w:tcW w:w="8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46,818</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(211,963 )</w:t>
            </w:r>
          </w:p>
        </w:tc>
      </w:tr>
      <w:tr>
        <w:trPr>
          <w:trHeight w:val="22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(45,099 )</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(190,204 )</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(83,302 )</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(417,245 )</w:t>
            </w:r>
          </w:p>
        </w:tc>
      </w:tr>
      <w:tr>
        <w:trPr>
          <w:trHeight w:val="22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472,010</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1,214,775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388,708</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797,530</w:t>
            </w:r>
          </w:p>
        </w:tc>
      </w:tr>
      <w:tr>
        <w:trPr>
          <w:trHeight w:val="20"/>
        </w:trPr>
        <w:tc>
          <w:tcPr>
            <w:tcW w:w="7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-478790</wp:posOffset>
            </wp:positionV>
            <wp:extent cx="111125"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-179070</wp:posOffset>
            </wp:positionV>
            <wp:extent cx="11112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60"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Net cash flows used in operating activities increased by $69.9 million, from $15.1 million for the three months ended March 31, 2022 to $85.0 million for the three months ended March 31, 2023. The increase is primarily attributable to proceeds from the sale of finance receivables held for sale for the 2022-1 securitization transaction of $272.3 million during the first quarter of 2022, partially offset by a decrease in working capital of $146.3 million, primarily related to lower inventory levels, and a $58.7 million decrease in net loss after reconciling adjustments for the three months ended March 31, 2023, as compared to the three months ended March 31, 2022.</w:t>
      </w:r>
    </w:p>
    <w:p>
      <w:pPr>
        <w:spacing w:after="0" w:line="192" w:lineRule="exact"/>
        <w:rPr>
          <w:sz w:val="20"/>
          <w:szCs w:val="20"/>
          <w:color w:val="auto"/>
        </w:rPr>
      </w:pPr>
    </w:p>
    <w:p>
      <w:pPr>
        <w:ind w:right="40" w:firstLine="761"/>
        <w:spacing w:after="0" w:line="245" w:lineRule="auto"/>
        <w:rPr>
          <w:sz w:val="20"/>
          <w:szCs w:val="20"/>
          <w:color w:val="auto"/>
        </w:rPr>
      </w:pPr>
      <w:r>
        <w:rPr>
          <w:rFonts w:ascii="Arial" w:cs="Arial" w:eastAsia="Arial" w:hAnsi="Arial"/>
          <w:sz w:val="18"/>
          <w:szCs w:val="18"/>
          <w:color w:val="auto"/>
        </w:rPr>
        <w:t>As the 2023-1 securitization transaction was accounted for as secured borrowings, the proceeds are included as a financing activity in our condensed consolidated statement of cash flows.</w:t>
      </w:r>
    </w:p>
    <w:p>
      <w:pPr>
        <w:spacing w:after="0" w:line="184" w:lineRule="exact"/>
        <w:rPr>
          <w:sz w:val="20"/>
          <w:szCs w:val="20"/>
          <w:color w:val="auto"/>
        </w:rPr>
      </w:pPr>
    </w:p>
    <w:p>
      <w:pPr>
        <w:jc w:val="both"/>
        <w:ind w:right="220" w:firstLine="761"/>
        <w:spacing w:after="0"/>
        <w:rPr>
          <w:sz w:val="20"/>
          <w:szCs w:val="20"/>
          <w:color w:val="auto"/>
        </w:rPr>
      </w:pPr>
      <w:r>
        <w:rPr>
          <w:rFonts w:ascii="Arial" w:cs="Arial" w:eastAsia="Arial" w:hAnsi="Arial"/>
          <w:sz w:val="18"/>
          <w:szCs w:val="18"/>
          <w:color w:val="auto"/>
        </w:rPr>
        <w:t>We finance a majority of our inventory with the 2022 Vehicle Floorplan Facility. In accordance with U.S. GAAP, we report all cash flows arising in connection with the 2022 Vehicle Floorplan Facility, as a financing activity in our condensed consolidated statement of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60" w:lineRule="exact"/>
        <w:rPr>
          <w:sz w:val="20"/>
          <w:szCs w:val="20"/>
          <w:color w:val="auto"/>
        </w:rPr>
      </w:pPr>
    </w:p>
    <w:p>
      <w:pPr>
        <w:ind w:right="120" w:firstLine="761"/>
        <w:spacing w:after="0" w:line="236" w:lineRule="auto"/>
        <w:rPr>
          <w:sz w:val="20"/>
          <w:szCs w:val="20"/>
          <w:color w:val="auto"/>
        </w:rPr>
      </w:pPr>
      <w:r>
        <w:rPr>
          <w:rFonts w:ascii="Arial" w:cs="Arial" w:eastAsia="Arial" w:hAnsi="Arial"/>
          <w:sz w:val="18"/>
          <w:szCs w:val="18"/>
          <w:color w:val="auto"/>
        </w:rPr>
        <w:t>Net cash flows from investing activities changed $258.8 million, from net cash used in investing activities of $212.0 million for the three months ended March 31, 2022 to net cash provided by investing activities of $46.8 million for the three months ended March 31, 2023, primarily as a result of the UACC Acquisition in February 2022 which resulted in cash outflow of $268.2 million during the three months ended March 31, 2022, the consolidation of the 2022-2 securitization transaction which resulted in a cash inflow of $11.4 million during the three months ended March 31, 2023, and an increase in principal payments received on finance receivables held in consolidated VIEs of $8.3 million, partially offset by a decrease in proceeds from the sale of finance receivables for the 2022-1 securitization transaction of $29.0 million during the three months ended March 31,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Net cash flows used in financing activities decreased $145.1 million from $190.2 million for the three months ended March 31, 2022 to $45.1 million for the three months ended March 31, 2023. The decrease was primarily related to proceeds from borrowings under secured financing arrangements of $238.7 million, an increase in net proceeds of $72.6 million related to our Warehouse Credit Facilities, and a decrease of $25.6 million related to repayments of our secured financing agreements, partially offset by an increase in net repayments of $186.7 million related to our Vehicle Floorplan Facility.</w:t>
      </w:r>
    </w:p>
    <w:p>
      <w:pPr>
        <w:spacing w:after="0" w:line="17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on historical experience, market conditions and on various other assumptions that are believed to be reasonable. Actual results may differ from these estimates.</w:t>
      </w:r>
    </w:p>
    <w:p>
      <w:pPr>
        <w:spacing w:after="0" w:line="184"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spacing w:after="0" w:line="188"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Annual Report on Form 10-K for the year ended December 31, 2022.</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0" w:lineRule="exact"/>
        <w:rPr>
          <w:sz w:val="20"/>
          <w:szCs w:val="20"/>
          <w:color w:val="auto"/>
        </w:rPr>
      </w:pPr>
    </w:p>
    <w:p>
      <w:pPr>
        <w:ind w:right="40" w:firstLine="761"/>
        <w:spacing w:after="0" w:line="24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As of March 31, 2023, we had an outstanding balance under the 2020 Vehicle Floorplan Facility of $147.4 million and an outstanding balance under our Warehouse Credit Facilities of $124.2 million. The 2020 Vehicle Floorplan Facility bears interest at a rate equal to the Prime Rate, announced per annum by Ally Bank, plus 105 basis points. The Warehouse Credit Facilities bear interest at a rate equal to SOFR plus a fixed percentage based on the agreement with the banking institution. A hypothetical 10% change in interest rates during the three months ended March 31, 2023 would result in a change to interest expense of $0.6 million.</w:t>
      </w:r>
    </w:p>
    <w:p>
      <w:pPr>
        <w:spacing w:after="0" w:line="192"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As of March 31, 2023, we had $816.4 million of long-term debt including the current portion of securitization debt of consolidated VIEs of $261.7 million. As the interest rate on the long term debt is fixed, we do not have exposure to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2023.</w:t>
      </w:r>
    </w:p>
    <w:p>
      <w:pPr>
        <w:spacing w:after="0" w:line="188"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March 31, 2023,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ind w:right="640" w:firstLine="761"/>
        <w:spacing w:after="0"/>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March 31, 2023, that has materially affected, or is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5"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81"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0"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jc w:val="both"/>
        <w:ind w:right="160"/>
        <w:spacing w:after="0" w:line="245" w:lineRule="auto"/>
        <w:rPr>
          <w:sz w:val="20"/>
          <w:szCs w:val="20"/>
          <w:color w:val="auto"/>
        </w:rPr>
      </w:pPr>
      <w:r>
        <w:rPr>
          <w:rFonts w:ascii="Arial" w:cs="Arial" w:eastAsia="Arial" w:hAnsi="Arial"/>
          <w:sz w:val="18"/>
          <w:szCs w:val="18"/>
          <w:i w:val="1"/>
          <w:iCs w:val="1"/>
          <w:color w:val="auto"/>
        </w:rPr>
        <w:t xml:space="preserve">Our operations and financial results are subject to various risks and uncertainties including those disclosed under “Item 1A. Risk Factors” in our </w:t>
      </w:r>
      <w:r>
        <w:rPr>
          <w:rFonts w:ascii="Arial" w:cs="Arial" w:eastAsia="Arial" w:hAnsi="Arial"/>
          <w:sz w:val="18"/>
          <w:szCs w:val="18"/>
          <w:i w:val="1"/>
          <w:iCs w:val="1"/>
          <w:u w:val="single" w:color="auto"/>
          <w:color w:val="auto"/>
        </w:rPr>
        <w:t>Annual Report</w:t>
      </w:r>
      <w:r>
        <w:rPr>
          <w:rFonts w:ascii="Arial" w:cs="Arial" w:eastAsia="Arial" w:hAnsi="Arial"/>
          <w:sz w:val="18"/>
          <w:szCs w:val="18"/>
          <w:i w:val="1"/>
          <w:iCs w:val="1"/>
          <w:color w:val="auto"/>
        </w:rPr>
        <w:t xml:space="preserve">. We provide below the material changes to our risk factors described in our </w:t>
      </w:r>
      <w:r>
        <w:rPr>
          <w:rFonts w:ascii="Arial" w:cs="Arial" w:eastAsia="Arial" w:hAnsi="Arial"/>
          <w:sz w:val="18"/>
          <w:szCs w:val="18"/>
          <w:i w:val="1"/>
          <w:iCs w:val="1"/>
          <w:u w:val="single" w:color="auto"/>
          <w:color w:val="auto"/>
        </w:rPr>
        <w:t>Annual Report</w:t>
      </w:r>
      <w:r>
        <w:rPr>
          <w:rFonts w:ascii="Arial" w:cs="Arial" w:eastAsia="Arial" w:hAnsi="Arial"/>
          <w:sz w:val="18"/>
          <w:szCs w:val="18"/>
          <w:i w:val="1"/>
          <w:iCs w:val="1"/>
          <w:u w:val="single" w:color="auto"/>
          <w:color w:val="0563C1"/>
        </w:rPr>
        <w:t>.</w:t>
      </w:r>
      <w:r>
        <w:rPr>
          <w:rFonts w:ascii="Arial" w:cs="Arial" w:eastAsia="Arial" w:hAnsi="Arial"/>
          <w:sz w:val="18"/>
          <w:szCs w:val="18"/>
          <w:i w:val="1"/>
          <w:iCs w:val="1"/>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a notice of delisting or failure to satisfy a continued listing rule from the Nasdaq.</w:t>
      </w:r>
    </w:p>
    <w:p>
      <w:pPr>
        <w:spacing w:after="0" w:line="233"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The Nasdaq Stock Market LLC ("Nasdaq") maintains several requirements for continued listing of our common stock, one of which is the maintenance of a minimum closing bid price of $1.00. On April 14, 2023, we received written notice from Nasdaq notifying us that, for the last 30 consecutive business days, the bid price for our common stock had closed below the $1.00 minimum bid price requirement for continued inclusion on the Nasdaq Global Select Market. The notice had no immediate effect on the listing of our common stock, which continues to trade on the Nasdaq Global Select Market under the symbol "VRM". Pursuant to the Nasdaq listing rules, we were provided a period of 180 calendar days, or until October 11, 2023, to regain compliance with the minimum closing bid price requirement of at least $1.00 per share for a minimum of 10 consecutive business days. If we do not regain compliance with this requirement by October 11, 2023, we may be eligible for an additional 180-calendar day compliance period by transferring the listing of our common stock to the Nasdaq Capital Market and satisfying certain requirements. To qualify for the additional grace period, we would be required to submit a transfer application for transfer between Nasdaq market tiers and pay an application fee. In addition, we would be required to meet the continued listing requirement for the market value of our publicly held shares and all other applicable initial listing standards for The Nasdaq Capital Market, with the exception of the minimum bid price requirement, and would need to provide written notice of our intention to cure the deficiency during the second grace period. If we fail to regain compliance during the compliance period (including a second compliance period provided by a transfer to the Nasdaq Capital Market, if applicable), then Nasdaq will notify us of its determination to delist our common stock, at which point we may appeal Nasdaq’s delisting determination to a Nasdaq hearing panel or pursue other available options to regain compliance.</w:t>
      </w:r>
    </w:p>
    <w:p>
      <w:pPr>
        <w:spacing w:after="0" w:line="196"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We intend to actively monitor the closing bid price of our common stock and will consider all available options to regain compliance with the minimum bid price requirement, which may include transferring the listing to the Nasdaq Capital Market and/or seeking stockholder approval to effect a reverse stock split. However, there can be no assurance that any such reverse stock split, if approved by the stockholders and implemented, would increase the market price of our common stock in proportion to the reverse split ratio or result in a sustained increase in the market price of our common stock. In addition, it is possible that the reduced number of issued shares of common stock resulting from such a reverse stock split could adversely affect the liquidity of our common stock. There can also be no assurance that we will regain compliance with the minimum bid price requirement during the 180-day compliance period, secure a second 180-day period to regain compliance, maintain compliance with the other Nasdaq listing requirements, or be successful in appealing any delisting determination.</w:t>
      </w:r>
    </w:p>
    <w:p>
      <w:pPr>
        <w:spacing w:after="0" w:line="19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If our common stock is delisted in the future,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 In addition, a delisting would constitute a fundamental change under the terms of our Indenture and make our Notes redeemable at par upon delisting (as described further below), and we could also experience a decreased ability to issue additional securities and obtain additional financing in the future.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184"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38" w:lineRule="exact"/>
        <w:rPr>
          <w:sz w:val="20"/>
          <w:szCs w:val="20"/>
          <w:color w:val="auto"/>
        </w:rPr>
      </w:pPr>
    </w:p>
    <w:p>
      <w:pPr>
        <w:ind w:right="820" w:firstLine="749"/>
        <w:spacing w:after="0" w:line="245" w:lineRule="auto"/>
        <w:rPr>
          <w:sz w:val="20"/>
          <w:szCs w:val="20"/>
          <w:color w:val="auto"/>
        </w:rPr>
      </w:pPr>
      <w:r>
        <w:rPr>
          <w:rFonts w:ascii="Arial" w:cs="Arial" w:eastAsia="Arial" w:hAnsi="Arial"/>
          <w:sz w:val="18"/>
          <w:szCs w:val="18"/>
          <w:color w:val="auto"/>
        </w:rPr>
        <w:t>As of March 31, 2023, we, including our subsidiaries, had approximately $1,088.1 million principal amount of consolidated indebtedness. We may incur additional indebtedness to meet future financing needs. Our indebtedness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could have significant negative consequences for our security holders and our business, results of operations and financial condition by, among other things:</w:t>
      </w:r>
    </w:p>
    <w:p>
      <w:pPr>
        <w:spacing w:after="0" w:line="90"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6"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long-term roadmap;</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6" w:lineRule="exact"/>
        <w:rPr>
          <w:rFonts w:ascii="Arial" w:cs="Arial" w:eastAsia="Arial" w:hAnsi="Arial"/>
          <w:sz w:val="18"/>
          <w:szCs w:val="18"/>
          <w:color w:val="auto"/>
        </w:rPr>
      </w:pPr>
    </w:p>
    <w:p>
      <w:pPr>
        <w:ind w:left="1020" w:right="460" w:hanging="504"/>
        <w:spacing w:after="0" w:line="24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Notes due 2026; and</w:t>
      </w:r>
    </w:p>
    <w:p>
      <w:pPr>
        <w:spacing w:after="0" w:line="89" w:lineRule="exact"/>
        <w:rPr>
          <w:rFonts w:ascii="Arial" w:cs="Arial" w:eastAsia="Arial" w:hAnsi="Arial"/>
          <w:sz w:val="18"/>
          <w:szCs w:val="18"/>
          <w:color w:val="auto"/>
        </w:rPr>
      </w:pPr>
    </w:p>
    <w:p>
      <w:pPr>
        <w:ind w:left="1020" w:right="380" w:hanging="504"/>
        <w:spacing w:after="0" w:line="24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4"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on April 14, 2023, we received written notice from Nasdaq notifying us that, for the last 30 consecutive business days, the bid price for our common stock had closed below the $ 1.00 minimum bid price requirement for continued inclusion on the Nasdaq Global Select Market.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7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4" w:lineRule="exact"/>
        <w:rPr>
          <w:sz w:val="20"/>
          <w:szCs w:val="20"/>
          <w:color w:val="auto"/>
        </w:rPr>
      </w:pPr>
    </w:p>
    <w:p>
      <w:pPr>
        <w:ind w:right="280" w:firstLine="799"/>
        <w:spacing w:after="0" w:line="274"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the "Risk Factors" section in our Annual Report, as well as the following:</w:t>
      </w:r>
    </w:p>
    <w:p>
      <w:pPr>
        <w:spacing w:after="0" w:line="268" w:lineRule="exact"/>
        <w:rPr>
          <w:sz w:val="20"/>
          <w:szCs w:val="20"/>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delisting of our common stock, as described below;</w:t>
      </w:r>
    </w:p>
    <w:p>
      <w:pPr>
        <w:spacing w:after="0" w:line="116"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have and continue to undertake as part of our long-term roadmap;</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the benefits of any cost saving measures;</w:t>
      </w:r>
    </w:p>
    <w:p>
      <w:pPr>
        <w:spacing w:after="0" w:line="116"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85"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16" w:lineRule="exact"/>
        <w:rPr>
          <w:rFonts w:ascii="Arial" w:cs="Arial" w:eastAsia="Arial" w:hAnsi="Arial"/>
          <w:sz w:val="18"/>
          <w:szCs w:val="18"/>
          <w:color w:val="auto"/>
        </w:rPr>
      </w:pPr>
    </w:p>
    <w:p>
      <w:pPr>
        <w:ind w:left="1020" w:right="14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further escalates or leads to disruptions in the financial markets or puts further pressure on global supply chains, it could heighten many of the other risk factors included in this Item 1A; and</w:t>
      </w:r>
    </w:p>
    <w:p>
      <w:pPr>
        <w:spacing w:after="0" w:line="93"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current inflationary environment in the United States and in other global economies, the impact of rising interest rates and the impact of any recession or general economic downturn;</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volatility in the banking industry; and</w:t>
      </w:r>
    </w:p>
    <w:p>
      <w:pPr>
        <w:spacing w:after="0" w:line="116" w:lineRule="exact"/>
        <w:rPr>
          <w:rFonts w:ascii="Arial" w:cs="Arial" w:eastAsia="Arial" w:hAnsi="Arial"/>
          <w:sz w:val="18"/>
          <w:szCs w:val="18"/>
          <w:color w:val="auto"/>
        </w:rPr>
      </w:pPr>
    </w:p>
    <w:p>
      <w:pPr>
        <w:ind w:left="1020" w:right="28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changes in general market, economic and political conditions in the United States and global economies or financial markets, including those resulting from the federal government's ongoing negotiations regarding the federal debt limit, natural disasters, terrorist attacks, global pandemics, and responses to such events.</w:t>
      </w:r>
    </w:p>
    <w:p>
      <w:pPr>
        <w:spacing w:after="0" w:line="188"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92" w:lineRule="exact"/>
        <w:rPr>
          <w:sz w:val="20"/>
          <w:szCs w:val="20"/>
          <w:color w:val="auto"/>
        </w:rPr>
      </w:pPr>
    </w:p>
    <w:p>
      <w:pPr>
        <w:ind w:firstLine="749"/>
        <w:spacing w:after="0" w:line="250" w:lineRule="auto"/>
        <w:rPr>
          <w:sz w:val="20"/>
          <w:szCs w:val="20"/>
          <w:color w:val="auto"/>
        </w:rPr>
      </w:pPr>
      <w:r>
        <w:rPr>
          <w:rFonts w:ascii="Arial" w:cs="Arial" w:eastAsia="Arial" w:hAnsi="Arial"/>
          <w:sz w:val="17"/>
          <w:szCs w:val="17"/>
          <w:color w:val="auto"/>
        </w:rPr>
        <w:t>We have recently experienced significant declines in the market price of our common stock, and it could continue to decline in the future, including as a result of the execution, and implementation of our long-term roadmap. Based upon the decline in our stock price, we recorded a goodwill impairment charge in our condensed consolidated statement of operations for the quarter ended March 31, 2022. See Note 8 to our Consolidated Financial Statements in our Annual Report. Further declines in our stock price could, among other things, make it more difficult to raise capital on terms acceptable to us, or at all, and make it difficult for our investors to sell their shares of common stock. On April 14, 2023, we received written notice from Nasdaq notifying us that, for the last 30 consecutive business days, the bid price for our common stock had closed below the $1.00 minimum bid price requirement for continued inclusion on the Nasdaq Global Select Market; therefore, we are at risk of our stock being delisted from the Nasdaq Global Select Market, which would also constitute a fundamental change under the terms of our Indenture and make our Notes redeemable at par upon delisting. There are actions we can take to prevent such a delisting, such as becoming eligible for an additional 180-calendar day compliance period by transferring the listing of our common stock to the Nasdaq Capital Market and/or seeking stockholder approval to effect a reverse stock split, but there can be no assurance that we could successfully execute such actions and prevent a delisting or that our common stock would not continue to experience significant declines.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II, Item 1. “Legal Proceedings.”</w:t>
      </w:r>
    </w:p>
    <w:p>
      <w:pPr>
        <w:spacing w:after="0" w:line="160"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61" w:lineRule="exact"/>
        <w:rPr>
          <w:sz w:val="20"/>
          <w:szCs w:val="20"/>
          <w:color w:val="auto"/>
        </w:rPr>
      </w:pPr>
    </w:p>
    <w:p>
      <w:pPr>
        <w:ind w:right="320" w:firstLine="749"/>
        <w:spacing w:after="0" w:line="237"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with our long-term roadmap. Achieving these benefits will require the successful integration, development and operation of the combined businesses and it is not certain that we will succeed in those efforts. If we fail to 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19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In addition, with regard to UACC’s financing, subject to market conditions, we intend to maintain a hybrid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vertical risk retention. Execution of securitization transactions, including achievement of off-balance sheet accounting treatment for those transactions, is subject to market conditions. Even if UACC is able to complete its securitizations, it may not be able to sell its lower-rated securities or residual interests and those securitizations may not qualify for off-balance sheet accounting treatment, resulting in retention of the underlying loans (or residual interests) on our consolidated balance sheet, which could have an adverse impact on our liquidity.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 severity in a soft securitization market.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UACC may be unable to sell automotive finance receivables and generate gains on sales of those finance receivables, which could harm our business, results of operations, and financial condition.</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UACC provides indirect financing by drawing on its Warehouse Credit Facilities to purchase motor vehicle retail installment sales contracts and pledging eligible finance receivables as collateral, then typically selling the receivables related to the financing contract. Advance rates available to UACC on borrowings from the Warehouse Credit Facilities may decrease as a result of the increasing credit losses in UACC's portfolio and overall rising interest rates, which may in turn have an adverse impact on our liquidity. In addition, UACC has entered into various arrangements to sell automotive finance receivables that it purchases, including through securitizations, and we expect UACC to enter into additional securitizations, loan sales to financing partners and other new arrangements in the future, subject to market conditions. If UACC is not able to sell receivables under these current or future arrangements for a variety of reasons, including increased credit losses or 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 Furthermore, if its financing partners do not purchase these receivables, we could be subject to the risk that some of these receivables are not paid when due and be forced to incur unexpected asset write-offs and bad-debt expense. In addition, as a result of increasing interest rates, the current inflationary environment and vehicle depreciation in the used automotive industry, UACC is experiencing higher loss severity in a soft securitization market.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92" w:lineRule="exact"/>
        <w:rPr>
          <w:sz w:val="20"/>
          <w:szCs w:val="20"/>
          <w:color w:val="auto"/>
        </w:rPr>
      </w:pPr>
    </w:p>
    <w:p>
      <w:pPr>
        <w:ind w:right="100" w:firstLine="749"/>
        <w:spacing w:after="0" w:line="235" w:lineRule="auto"/>
        <w:rPr>
          <w:sz w:val="20"/>
          <w:szCs w:val="20"/>
          <w:color w:val="auto"/>
        </w:rPr>
      </w:pPr>
      <w:r>
        <w:rPr>
          <w:rFonts w:ascii="Arial" w:cs="Arial" w:eastAsia="Arial" w:hAnsi="Arial"/>
          <w:sz w:val="18"/>
          <w:szCs w:val="18"/>
          <w:color w:val="auto"/>
        </w:rPr>
        <w:t>There can be no assurance that UACC will be able to complete additional securitizations in the future, particularly if the securitization markets become increasingly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For example, o</w:t>
      </w:r>
      <w:r>
        <w:rPr>
          <w:rFonts w:ascii="Arial" w:cs="Arial" w:eastAsia="Arial" w:hAnsi="Arial"/>
          <w:sz w:val="18"/>
          <w:szCs w:val="18"/>
          <w:color w:val="222222"/>
        </w:rPr>
        <w:t>n April 18th, 2023, UACC's BB-rated securities from the</w:t>
      </w:r>
      <w:r>
        <w:rPr>
          <w:rFonts w:ascii="Arial" w:cs="Arial" w:eastAsia="Arial" w:hAnsi="Arial"/>
          <w:sz w:val="18"/>
          <w:szCs w:val="18"/>
          <w:color w:val="auto"/>
        </w:rPr>
        <w:t xml:space="preserve"> </w:t>
      </w:r>
      <w:r>
        <w:rPr>
          <w:rFonts w:ascii="Arial" w:cs="Arial" w:eastAsia="Arial" w:hAnsi="Arial"/>
          <w:sz w:val="18"/>
          <w:szCs w:val="18"/>
          <w:color w:val="222222"/>
        </w:rPr>
        <w:t xml:space="preserve">2022-2 securitization transaction were downgraded by one agency to a B rating. Other of UACC's rated securities may also be downgraded or put on negative credit watch. </w:t>
      </w:r>
      <w:r>
        <w:rPr>
          <w:rFonts w:ascii="Arial" w:cs="Arial" w:eastAsia="Arial" w:hAnsi="Arial"/>
          <w:sz w:val="18"/>
          <w:szCs w:val="18"/>
          <w:color w:val="000000"/>
        </w:rPr>
        <w:t>Furthermore, although our intent is to sell loans originated by UACC using off-balance sheet securitization</w:t>
      </w:r>
      <w:r>
        <w:rPr>
          <w:rFonts w:ascii="Arial" w:cs="Arial" w:eastAsia="Arial" w:hAnsi="Arial"/>
          <w:sz w:val="18"/>
          <w:szCs w:val="18"/>
          <w:color w:val="222222"/>
        </w:rPr>
        <w:t xml:space="preserve"> </w:t>
      </w:r>
      <w:r>
        <w:rPr>
          <w:rFonts w:ascii="Arial" w:cs="Arial" w:eastAsia="Arial" w:hAnsi="Arial"/>
          <w:sz w:val="18"/>
          <w:szCs w:val="18"/>
          <w:color w:val="000000"/>
        </w:rPr>
        <w:t>transactions, even if UACC is able to complete its securitizations, those securitizations may not qualify for sales accounting if market conditions do not allow for the sale of lower-rated securities or residual certificates.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 In addition, 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the first quarter of 2023 on the 2022-2 securitization transaction. The waiver of monthly servicing fees on the 2022-2 securitization transaction resulted in consolidation of the related finance receivables and securitization debt on Vroom’s financial statements.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72" w:lineRule="exact"/>
        <w:rPr>
          <w:sz w:val="20"/>
          <w:szCs w:val="20"/>
          <w:color w:val="auto"/>
        </w:rPr>
      </w:pPr>
    </w:p>
    <w:p>
      <w:pPr>
        <w:jc w:val="both"/>
        <w:ind w:right="600"/>
        <w:spacing w:after="0" w:line="252" w:lineRule="auto"/>
        <w:rPr>
          <w:sz w:val="20"/>
          <w:szCs w:val="20"/>
          <w:color w:val="auto"/>
        </w:rPr>
      </w:pPr>
      <w:r>
        <w:rPr>
          <w:rFonts w:ascii="Arial" w:cs="Arial" w:eastAsia="Arial" w:hAnsi="Arial"/>
          <w:sz w:val="18"/>
          <w:szCs w:val="18"/>
          <w:b w:val="1"/>
          <w:bCs w:val="1"/>
          <w:i w:val="1"/>
          <w:iCs w:val="1"/>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79"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military conflict between Ukraine and Russia), interest rate increases, regional bank failures, inflation and other factors can affect consumer confidence and disposable income. While credit losses are inherent in the automotive finance receivables business, these conditions can increase loss frequency, decrease consumer demand for motor vehicles and weaken collateral values on certain types of motor vehicles in any period of extended economic slowdown or recession and could have a material adverse effect on our results of operations. Because UACC focuses predominately on sub-prime borrowers, the actual rates of delinquencies, defaults, repossessions and losses on its receivables are higher than those experienced in the general motor vehicle finance industry and may be affected to a greater extent during an economic downturn.</w:t>
      </w:r>
    </w:p>
    <w:p>
      <w:pPr>
        <w:spacing w:after="0" w:line="197"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In addition, 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sell the subordinate notes or residual certificates issued in the securitizations at a favorable price or at all. Due to the increased loss severity, UACC elected to waive monthly servicing fees related to the 2022-2 securitization transaction in the first quarter of 2023. The waiver of monthly servicing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19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particularly in periods of increased industry-wide vehicle depreciation rates, which we are currently experiencing. For example, if economic conditions were to deteriorate unexpectedly, additional loan losses not incorporated in the existing valuation may occur. Several variables have affected UACC’s recent loss and delinquency rates, including general economic conditions and market interest rates, and such variables are likely to differ in the future. In particular, given the impact the COVID-19 pandemic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 Further, the rate of prepayments cannot be predicted and may be influenced by a variety of factors, including changes in the economic and social conditions of our borrowers.</w:t>
      </w:r>
    </w:p>
    <w:p>
      <w:pPr>
        <w:spacing w:after="0" w:line="188"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w:t>
      </w:r>
    </w:p>
    <w:p>
      <w:pPr>
        <w:spacing w:after="0" w:line="190" w:lineRule="exact"/>
        <w:rPr>
          <w:sz w:val="20"/>
          <w:szCs w:val="20"/>
          <w:color w:val="auto"/>
        </w:rPr>
      </w:pPr>
    </w:p>
    <w:p>
      <w:pPr>
        <w:ind w:right="160" w:firstLine="749"/>
        <w:spacing w:after="0" w:line="237" w:lineRule="auto"/>
        <w:rPr>
          <w:sz w:val="20"/>
          <w:szCs w:val="20"/>
          <w:color w:val="auto"/>
        </w:rPr>
      </w:pPr>
      <w:r>
        <w:rPr>
          <w:rFonts w:ascii="Arial" w:cs="Arial" w:eastAsia="Arial" w:hAnsi="Arial"/>
          <w:sz w:val="18"/>
          <w:szCs w:val="18"/>
          <w:color w:val="auto"/>
        </w:rPr>
        <w:t>UACC is currently experiencing increasing credit losses on its finance receivables, which has negatively impacted the fair value of our financial receivables and the losses recognized during 2022. Increasing credit losses may continue to negatively impact our business during 2023, especially due to the fact that UACC primarily operates in the sub-prime sector of the market. As UACC has become and will continue to be an increasingly significant part of our consolidated operations, our business, results of operations, and financial condition is increasingly vulnerable to adverse developments in UACC's business.</w:t>
      </w:r>
    </w:p>
    <w:p>
      <w:pPr>
        <w:spacing w:after="0" w:line="210" w:lineRule="exact"/>
        <w:rPr>
          <w:sz w:val="20"/>
          <w:szCs w:val="20"/>
          <w:color w:val="auto"/>
        </w:rPr>
      </w:pPr>
    </w:p>
    <w:p>
      <w:pPr>
        <w:ind w:right="5400"/>
        <w:spacing w:after="0" w:line="481"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 from Public Offering of Common Stock</w:t>
      </w:r>
    </w:p>
    <w:p>
      <w:pPr>
        <w:spacing w:after="0" w:line="1"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17"/>
          </w:tcPr>
          <w:p>
            <w:pPr>
              <w:ind w:left="20"/>
              <w:spacing w:after="0"/>
              <w:rPr>
                <w:sz w:val="20"/>
                <w:szCs w:val="20"/>
                <w:color w:val="auto"/>
              </w:rPr>
            </w:pPr>
            <w:r>
              <w:rPr>
                <w:rFonts w:ascii="Arial" w:cs="Arial" w:eastAsia="Arial" w:hAnsi="Arial"/>
                <w:sz w:val="14"/>
                <w:szCs w:val="14"/>
                <w:b w:val="1"/>
                <w:bCs w:val="1"/>
                <w:color w:val="212529"/>
              </w:rPr>
              <w:t>Exhibit Description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2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r>
      <w:tr>
        <w:trPr>
          <w:trHeight w:val="18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r>
      <w:tr>
        <w:trPr>
          <w:trHeight w:val="304"/>
        </w:trPr>
        <w:tc>
          <w:tcPr>
            <w:tcW w:w="84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56">
              <w:r>
                <w:rPr>
                  <w:rFonts w:ascii="Arial" w:cs="Arial" w:eastAsia="Arial" w:hAnsi="Arial"/>
                  <w:sz w:val="18"/>
                  <w:szCs w:val="18"/>
                  <w:color w:val="0000FF"/>
                </w:rPr>
                <w:t>Agreement and Plan of Merger, dated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as of October 11, 2021, by and among</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Vroom, Inc., Vroom Finance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Corporation, Unitas Holdings Corp. and</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Fortis Advisors LLC, solely in its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capacity as the equityholders'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6">
              <w:r>
                <w:rPr>
                  <w:rFonts w:ascii="Arial" w:cs="Arial" w:eastAsia="Arial" w:hAnsi="Arial"/>
                  <w:sz w:val="18"/>
                  <w:szCs w:val="18"/>
                  <w:color w:val="0000FF"/>
                </w:rPr>
                <w:t>representative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2"/>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57">
              <w:r>
                <w:rPr>
                  <w:rFonts w:ascii="Arial" w:cs="Arial" w:eastAsia="Arial" w:hAnsi="Arial"/>
                  <w:sz w:val="18"/>
                  <w:szCs w:val="18"/>
                  <w:color w:val="0000FF"/>
                </w:rPr>
                <w:t>Amended and Restated Certificate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7">
              <w:r>
                <w:rPr>
                  <w:rFonts w:ascii="Arial" w:cs="Arial" w:eastAsia="Arial" w:hAnsi="Arial"/>
                  <w:sz w:val="18"/>
                  <w:szCs w:val="18"/>
                  <w:color w:val="0000FF"/>
                </w:rPr>
                <w:t>Incorporation of Vroom, Inc.</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1"/>
        </w:trPr>
        <w:tc>
          <w:tcPr>
            <w:tcW w:w="8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58">
              <w:r>
                <w:rPr>
                  <w:rFonts w:ascii="Arial" w:cs="Arial" w:eastAsia="Arial" w:hAnsi="Arial"/>
                  <w:sz w:val="18"/>
                  <w:szCs w:val="18"/>
                  <w:color w:val="0000FF"/>
                </w:rPr>
                <w:t>Amended and Restated Bylaws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8">
              <w:r>
                <w:rPr>
                  <w:rFonts w:ascii="Arial" w:cs="Arial" w:eastAsia="Arial" w:hAnsi="Arial"/>
                  <w:sz w:val="18"/>
                  <w:szCs w:val="18"/>
                  <w:color w:val="0000FF"/>
                </w:rPr>
                <w:t>Vroom, Inc.</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1"/>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59">
              <w:r>
                <w:rPr>
                  <w:rFonts w:ascii="Arial" w:cs="Arial" w:eastAsia="Arial" w:hAnsi="Arial"/>
                  <w:sz w:val="18"/>
                  <w:szCs w:val="18"/>
                  <w:color w:val="0000FF"/>
                </w:rPr>
                <w:t>Specimen Stock Certificate evidencing</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the shares of common stock</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54"/>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60">
              <w:r>
                <w:rPr>
                  <w:rFonts w:ascii="Arial" w:cs="Arial" w:eastAsia="Arial" w:hAnsi="Arial"/>
                  <w:sz w:val="18"/>
                  <w:szCs w:val="18"/>
                  <w:color w:val="0000FF"/>
                </w:rPr>
                <w:t>Indenture, dated as of June 18, 2021,</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between Vroom, Inc. and U.S. Bank</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National Association, as trustee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8"/>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60">
              <w:r>
                <w:rPr>
                  <w:rFonts w:ascii="Arial" w:cs="Arial" w:eastAsia="Arial" w:hAnsi="Arial"/>
                  <w:sz w:val="18"/>
                  <w:szCs w:val="18"/>
                  <w:color w:val="0000FF"/>
                </w:rPr>
                <w:t>Form of Global Note representing the</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0.</w:t>
              </w:r>
              <w:r>
                <w:rPr>
                  <w:rFonts w:ascii="Arial" w:cs="Arial" w:eastAsia="Arial" w:hAnsi="Arial"/>
                  <w:sz w:val="18"/>
                  <w:szCs w:val="18"/>
                  <w:u w:val="single" w:color="auto"/>
                  <w:color w:val="0000FF"/>
                </w:rPr>
                <w:t>750%</w:t>
              </w:r>
              <w:r>
                <w:rPr>
                  <w:rFonts w:ascii="Arial" w:cs="Arial" w:eastAsia="Arial" w:hAnsi="Arial"/>
                  <w:sz w:val="18"/>
                  <w:szCs w:val="18"/>
                  <w:color w:val="0000FF"/>
                </w:rPr>
                <w:t xml:space="preserve"> Convertible Senior Notes due</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2026 (included in Exhibit 4.2)</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95"/>
        </w:trPr>
        <w:tc>
          <w:tcPr>
            <w:tcW w:w="840" w:type="dxa"/>
            <w:vAlign w:val="bottom"/>
          </w:tcPr>
          <w:p>
            <w:pPr>
              <w:ind w:left="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240" w:type="dxa"/>
            <w:vAlign w:val="bottom"/>
            <w:gridSpan w:val="18"/>
          </w:tcPr>
          <w:p>
            <w:pPr>
              <w:spacing w:after="0"/>
              <w:rPr>
                <w:rFonts w:ascii="Arial" w:cs="Arial" w:eastAsia="Arial" w:hAnsi="Arial"/>
                <w:sz w:val="18"/>
                <w:szCs w:val="18"/>
                <w:color w:val="0000FF"/>
              </w:rPr>
            </w:pPr>
            <w:hyperlink r:id="rId361">
              <w:r>
                <w:rPr>
                  <w:rFonts w:ascii="Arial" w:cs="Arial" w:eastAsia="Arial" w:hAnsi="Arial"/>
                  <w:sz w:val="18"/>
                  <w:szCs w:val="18"/>
                  <w:color w:val="0000FF"/>
                </w:rPr>
                <w:t>Eighth Amended and Restated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Investors’ Rights Agreement, dated as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of November 21, 2019, by and among</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Vroom, Inc. and certain holders of its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capital stock</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41"/>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324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sz w:val="20"/>
                <w:szCs w:val="20"/>
                <w:color w:val="auto"/>
              </w:rPr>
            </w:pPr>
            <w:r>
              <w:rPr>
                <w:rFonts w:ascii="Arial" w:cs="Arial" w:eastAsia="Arial" w:hAnsi="Arial"/>
                <w:sz w:val="18"/>
                <w:szCs w:val="18"/>
                <w:color w:val="0000FF"/>
              </w:rPr>
              <w:t>Officer Pursuant to Rules 13a-14(a)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18"/>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8"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0000FF"/>
        </w:rPr>
        <w:t>Exchange Act of 1934, as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-15875</wp:posOffset>
            </wp:positionV>
            <wp:extent cx="17887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1788795" cy="8255"/>
                    </a:xfrm>
                    <a:prstGeom prst="rect">
                      <a:avLst/>
                    </a:prstGeom>
                    <a:noFill/>
                  </pic:spPr>
                </pic:pic>
              </a:graphicData>
            </a:graphic>
          </wp:anchor>
        </w:drawing>
      </w:r>
    </w:p>
    <w:p>
      <w:pPr>
        <w:ind w:left="960"/>
        <w:spacing w:after="0" w:line="234" w:lineRule="auto"/>
        <w:rPr>
          <w:sz w:val="20"/>
          <w:szCs w:val="20"/>
          <w:color w:val="auto"/>
        </w:rPr>
      </w:pPr>
      <w:r>
        <w:rPr>
          <w:rFonts w:ascii="Arial" w:cs="Arial" w:eastAsia="Arial" w:hAnsi="Arial"/>
          <w:sz w:val="18"/>
          <w:szCs w:val="18"/>
          <w:u w:val="single" w:color="auto"/>
          <w:color w:val="0000FF"/>
        </w:rPr>
        <w:t>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-15875</wp:posOffset>
            </wp:positionV>
            <wp:extent cx="15665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8"/>
          <w:szCs w:val="18"/>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-19050</wp:posOffset>
            </wp:positionV>
            <wp:extent cx="14274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3220" w:type="dxa"/>
            <w:vAlign w:val="bottom"/>
            <w:gridSpan w:val="6"/>
          </w:tcPr>
          <w:p>
            <w:pPr>
              <w:spacing w:after="0"/>
              <w:rPr>
                <w:sz w:val="20"/>
                <w:szCs w:val="20"/>
                <w:color w:val="auto"/>
              </w:rPr>
            </w:pPr>
            <w:r>
              <w:rPr>
                <w:rFonts w:ascii="Arial" w:cs="Arial" w:eastAsia="Arial" w:hAnsi="Arial"/>
                <w:sz w:val="18"/>
                <w:szCs w:val="18"/>
                <w:color w:val="0000FF"/>
                <w:w w:val="98"/>
              </w:rPr>
              <w:t>Certification of Principal Financial Officer</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Pursuant to Rules 13a-14(a) and 15d-</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w w:val="99"/>
              </w:rPr>
              <w:t>14(a) under the Securities Exchange Act</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w w:val="98"/>
              </w:rPr>
              <w:t>of 1934, as Adopted Pursuant to Section</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302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3220" w:type="dxa"/>
            <w:vAlign w:val="bottom"/>
            <w:gridSpan w:val="6"/>
          </w:tcPr>
          <w:p>
            <w:pPr>
              <w:spacing w:after="0"/>
              <w:rPr>
                <w:sz w:val="20"/>
                <w:szCs w:val="20"/>
                <w:color w:val="auto"/>
              </w:rPr>
            </w:pPr>
            <w:r>
              <w:rPr>
                <w:rFonts w:ascii="Arial" w:cs="Arial" w:eastAsia="Arial" w:hAnsi="Arial"/>
                <w:sz w:val="18"/>
                <w:szCs w:val="18"/>
                <w:color w:val="0000FF"/>
              </w:rPr>
              <w:t>Certification of Principal Executive</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Officer Pursuant to 18 U.S.C. Section</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1350, as Adopted Pursuant to Section</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3220" w:type="dxa"/>
            <w:vAlign w:val="bottom"/>
            <w:gridSpan w:val="6"/>
          </w:tcPr>
          <w:p>
            <w:pPr>
              <w:spacing w:after="0"/>
              <w:rPr>
                <w:sz w:val="20"/>
                <w:szCs w:val="20"/>
                <w:color w:val="auto"/>
              </w:rPr>
            </w:pPr>
            <w:r>
              <w:rPr>
                <w:rFonts w:ascii="Arial" w:cs="Arial" w:eastAsia="Arial" w:hAnsi="Arial"/>
                <w:sz w:val="18"/>
                <w:szCs w:val="18"/>
                <w:color w:val="0000FF"/>
                <w:w w:val="98"/>
              </w:rPr>
              <w:t>Certification of Principal Financial Officer</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Pursuant to 18 U.S.C. Section 1350, as</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Adopted Pursuant to Section 906 of the</w:t>
            </w:r>
          </w:p>
        </w:tc>
      </w:tr>
      <w:tr>
        <w:trPr>
          <w:trHeight w:val="20"/>
        </w:trPr>
        <w:tc>
          <w:tcPr>
            <w:tcW w:w="960" w:type="dxa"/>
            <w:vAlign w:val="bottom"/>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220" w:type="dxa"/>
            <w:vAlign w:val="bottom"/>
            <w:gridSpan w:val="6"/>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3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960" w:type="dxa"/>
            <w:vAlign w:val="bottom"/>
          </w:tcPr>
          <w:p>
            <w:pPr>
              <w:spacing w:after="0"/>
              <w:rPr>
                <w:sz w:val="18"/>
                <w:szCs w:val="18"/>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Schema Document</w:t>
            </w:r>
          </w:p>
        </w:tc>
      </w:tr>
      <w:tr>
        <w:trPr>
          <w:trHeight w:val="33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960" w:type="dxa"/>
            <w:vAlign w:val="bottom"/>
          </w:tcPr>
          <w:p>
            <w:pPr>
              <w:spacing w:after="0"/>
              <w:rPr>
                <w:sz w:val="18"/>
                <w:szCs w:val="18"/>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Calculation Linkbase Document</w:t>
            </w:r>
          </w:p>
        </w:tc>
      </w:tr>
      <w:tr>
        <w:trPr>
          <w:trHeight w:val="33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960" w:type="dxa"/>
            <w:vAlign w:val="bottom"/>
          </w:tcPr>
          <w:p>
            <w:pPr>
              <w:spacing w:after="0"/>
              <w:rPr>
                <w:sz w:val="18"/>
                <w:szCs w:val="18"/>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Definition Linkbase Document</w:t>
            </w:r>
          </w:p>
        </w:tc>
      </w:tr>
      <w:tr>
        <w:trPr>
          <w:trHeight w:val="33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w:t>
            </w:r>
          </w:p>
        </w:tc>
      </w:tr>
      <w:tr>
        <w:trPr>
          <w:trHeight w:val="217"/>
        </w:trPr>
        <w:tc>
          <w:tcPr>
            <w:tcW w:w="960" w:type="dxa"/>
            <w:vAlign w:val="bottom"/>
          </w:tcPr>
          <w:p>
            <w:pPr>
              <w:spacing w:after="0"/>
              <w:rPr>
                <w:sz w:val="18"/>
                <w:szCs w:val="18"/>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Linkbase Document</w:t>
            </w:r>
          </w:p>
        </w:tc>
      </w:tr>
      <w:tr>
        <w:trPr>
          <w:trHeight w:val="336"/>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r>
      <w:tr>
        <w:trPr>
          <w:trHeight w:val="217"/>
        </w:trPr>
        <w:tc>
          <w:tcPr>
            <w:tcW w:w="960" w:type="dxa"/>
            <w:vAlign w:val="bottom"/>
          </w:tcPr>
          <w:p>
            <w:pPr>
              <w:spacing w:after="0"/>
              <w:rPr>
                <w:sz w:val="18"/>
                <w:szCs w:val="18"/>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Presentation Linkbase Document</w:t>
            </w:r>
          </w:p>
        </w:tc>
      </w:tr>
    </w:tbl>
    <w:p>
      <w:pPr>
        <w:spacing w:after="0" w:line="242" w:lineRule="exact"/>
        <w:rPr>
          <w:sz w:val="20"/>
          <w:szCs w:val="20"/>
          <w:color w:val="auto"/>
        </w:rPr>
      </w:pPr>
    </w:p>
    <w:p>
      <w:pPr>
        <w:ind w:left="960" w:right="5440" w:hanging="939"/>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20" w:space="720"/>
            <w:col w:w="1000"/>
          </w:cols>
          <w:pgMar w:left="320" w:top="140" w:right="7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3300" w:type="dxa"/>
            <w:vAlign w:val="bottom"/>
            <w:gridSpan w:val="2"/>
          </w:tcPr>
          <w:p>
            <w:pPr>
              <w:ind w:left="1600"/>
              <w:spacing w:after="0"/>
              <w:rPr>
                <w:sz w:val="20"/>
                <w:szCs w:val="20"/>
                <w:color w:val="auto"/>
              </w:rPr>
            </w:pPr>
            <w:r>
              <w:rPr>
                <w:rFonts w:ascii="Arial" w:cs="Arial" w:eastAsia="Arial" w:hAnsi="Arial"/>
                <w:sz w:val="18"/>
                <w:szCs w:val="18"/>
                <w:color w:val="auto"/>
              </w:rPr>
              <w:t>Vroom, Inc.</w:t>
            </w:r>
          </w:p>
        </w:tc>
        <w:tc>
          <w:tcPr>
            <w:tcW w:w="4880" w:type="dxa"/>
            <w:vAlign w:val="bottom"/>
          </w:tcPr>
          <w:p>
            <w:pPr>
              <w:spacing w:after="0"/>
              <w:rPr>
                <w:sz w:val="18"/>
                <w:szCs w:val="18"/>
                <w:color w:val="auto"/>
              </w:rPr>
            </w:pPr>
          </w:p>
        </w:tc>
      </w:tr>
      <w:tr>
        <w:trPr>
          <w:trHeight w:val="377"/>
        </w:trPr>
        <w:tc>
          <w:tcPr>
            <w:tcW w:w="306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3300" w:type="dxa"/>
            <w:vAlign w:val="bottom"/>
            <w:gridSpan w:val="2"/>
          </w:tcPr>
          <w:p>
            <w:pPr>
              <w:ind w:left="158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Thomas H. Shortt</w:t>
            </w:r>
          </w:p>
        </w:tc>
      </w:tr>
      <w:tr>
        <w:trPr>
          <w:trHeight w:val="223"/>
        </w:trPr>
        <w:tc>
          <w:tcPr>
            <w:tcW w:w="3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tcPr>
          <w:p>
            <w:pPr>
              <w:jc w:val="center"/>
              <w:ind w:right="1330"/>
              <w:spacing w:after="0"/>
              <w:rPr>
                <w:sz w:val="20"/>
                <w:szCs w:val="20"/>
                <w:color w:val="auto"/>
              </w:rPr>
            </w:pPr>
            <w:r>
              <w:rPr>
                <w:rFonts w:ascii="Arial" w:cs="Arial" w:eastAsia="Arial" w:hAnsi="Arial"/>
                <w:sz w:val="18"/>
                <w:szCs w:val="18"/>
                <w:color w:val="auto"/>
              </w:rPr>
              <w:t>Thomas H. Shortt</w:t>
            </w:r>
          </w:p>
        </w:tc>
      </w:tr>
      <w:tr>
        <w:trPr>
          <w:trHeight w:val="224"/>
        </w:trPr>
        <w:tc>
          <w:tcPr>
            <w:tcW w:w="3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w w:val="99"/>
              </w:rPr>
              <w:t>Chief Executive Officer</w:t>
            </w:r>
          </w:p>
        </w:tc>
      </w:tr>
      <w:tr>
        <w:trPr>
          <w:trHeight w:val="235"/>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80" w:type="dxa"/>
            <w:vAlign w:val="bottom"/>
          </w:tcPr>
          <w:p>
            <w:pPr>
              <w:jc w:val="center"/>
              <w:ind w:right="137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07"/>
        </w:trPr>
        <w:tc>
          <w:tcPr>
            <w:tcW w:w="306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3300" w:type="dxa"/>
            <w:vAlign w:val="bottom"/>
            <w:gridSpan w:val="2"/>
          </w:tcPr>
          <w:p>
            <w:pPr>
              <w:ind w:left="158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Robert R. Krakowiak</w:t>
            </w:r>
          </w:p>
        </w:tc>
      </w:tr>
      <w:tr>
        <w:trPr>
          <w:trHeight w:val="223"/>
        </w:trPr>
        <w:tc>
          <w:tcPr>
            <w:tcW w:w="3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tcPr>
          <w:p>
            <w:pPr>
              <w:jc w:val="center"/>
              <w:ind w:right="1330"/>
              <w:spacing w:after="0"/>
              <w:rPr>
                <w:sz w:val="20"/>
                <w:szCs w:val="20"/>
                <w:color w:val="auto"/>
              </w:rPr>
            </w:pPr>
            <w:r>
              <w:rPr>
                <w:rFonts w:ascii="Arial" w:cs="Arial" w:eastAsia="Arial" w:hAnsi="Arial"/>
                <w:sz w:val="18"/>
                <w:szCs w:val="18"/>
                <w:color w:val="auto"/>
              </w:rPr>
              <w:t>Robert R. Krakowiak</w:t>
            </w:r>
          </w:p>
        </w:tc>
      </w:tr>
      <w:tr>
        <w:trPr>
          <w:trHeight w:val="224"/>
        </w:trPr>
        <w:tc>
          <w:tcPr>
            <w:tcW w:w="30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Chief Financial Officer</w:t>
            </w:r>
          </w:p>
        </w:tc>
      </w:tr>
      <w:tr>
        <w:trPr>
          <w:trHeight w:val="235"/>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80" w:type="dxa"/>
            <w:vAlign w:val="bottom"/>
          </w:tcPr>
          <w:p>
            <w:pPr>
              <w:jc w:val="center"/>
              <w:ind w:right="131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634"/>
        </w:trPr>
        <w:tc>
          <w:tcPr>
            <w:tcW w:w="3060" w:type="dxa"/>
            <w:vAlign w:val="bottom"/>
          </w:tcPr>
          <w:p>
            <w:pPr>
              <w:spacing w:after="0"/>
              <w:rPr>
                <w:sz w:val="24"/>
                <w:szCs w:val="24"/>
                <w:color w:val="auto"/>
              </w:rPr>
            </w:pPr>
          </w:p>
        </w:tc>
        <w:tc>
          <w:tcPr>
            <w:tcW w:w="3300" w:type="dxa"/>
            <w:vAlign w:val="bottom"/>
            <w:gridSpan w:val="2"/>
          </w:tcPr>
          <w:p>
            <w:pPr>
              <w:jc w:val="right"/>
              <w:ind w:right="640"/>
              <w:spacing w:after="0"/>
              <w:rPr>
                <w:sz w:val="20"/>
                <w:szCs w:val="20"/>
                <w:color w:val="auto"/>
              </w:rPr>
            </w:pPr>
            <w:r>
              <w:rPr>
                <w:rFonts w:ascii="Arial" w:cs="Arial" w:eastAsia="Arial" w:hAnsi="Arial"/>
                <w:sz w:val="18"/>
                <w:szCs w:val="18"/>
                <w:color w:val="auto"/>
              </w:rPr>
              <w:t>82</w:t>
            </w:r>
          </w:p>
        </w:tc>
        <w:tc>
          <w:tcPr>
            <w:tcW w:w="4880" w:type="dxa"/>
            <w:vAlign w:val="bottom"/>
          </w:tcPr>
          <w:p>
            <w:pPr>
              <w:spacing w:after="0"/>
              <w:rPr>
                <w:sz w:val="24"/>
                <w:szCs w:val="24"/>
                <w:color w:val="auto"/>
              </w:rPr>
            </w:pPr>
          </w:p>
        </w:tc>
      </w:tr>
      <w:tr>
        <w:trPr>
          <w:trHeight w:val="101"/>
        </w:trPr>
        <w:tc>
          <w:tcPr>
            <w:tcW w:w="30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38" w:lineRule="exact"/>
        <w:rPr>
          <w:sz w:val="20"/>
          <w:szCs w:val="20"/>
          <w:color w:val="auto"/>
        </w:rPr>
      </w:pPr>
    </w:p>
    <w:p>
      <w:pPr>
        <w:ind w:left="540" w:hanging="519"/>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540" w:right="260" w:hanging="519"/>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540" w:right="220" w:hanging="519"/>
        <w:spacing w:after="0" w:line="307"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540" w:right="240" w:hanging="519"/>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040" w:right="180" w:hanging="506"/>
        <w:spacing w:after="0" w:line="263"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040" w:right="320" w:hanging="506"/>
        <w:spacing w:after="0" w:line="263"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both"/>
        <w:ind w:left="1040" w:right="480" w:hanging="506"/>
        <w:spacing w:after="0" w:line="341"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40" w:right="180" w:hanging="506"/>
        <w:spacing w:after="0" w:line="263"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540" w:right="140" w:hanging="519"/>
        <w:spacing w:after="0" w:line="307"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040" w:right="720" w:hanging="506"/>
        <w:spacing w:after="0" w:line="341"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4" w:lineRule="exact"/>
        <w:rPr>
          <w:rFonts w:ascii="Arial" w:cs="Arial" w:eastAsia="Arial" w:hAnsi="Arial"/>
          <w:sz w:val="16"/>
          <w:szCs w:val="16"/>
          <w:color w:val="auto"/>
        </w:rPr>
      </w:pPr>
    </w:p>
    <w:p>
      <w:pPr>
        <w:ind w:left="1040" w:right="420" w:hanging="506"/>
        <w:spacing w:after="0" w:line="27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tabs>
          <w:tab w:leader="none" w:pos="5660" w:val="left"/>
          <w:tab w:leader="none" w:pos="78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23495</wp:posOffset>
            </wp:positionV>
            <wp:extent cx="33134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Thomas H. Shortt</w:t>
      </w:r>
    </w:p>
    <w:p>
      <w:pPr>
        <w:spacing w:after="0" w:line="2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221615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5"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38" w:lineRule="exact"/>
        <w:rPr>
          <w:sz w:val="20"/>
          <w:szCs w:val="20"/>
          <w:color w:val="auto"/>
        </w:rPr>
      </w:pPr>
    </w:p>
    <w:p>
      <w:pPr>
        <w:ind w:left="540" w:hanging="519"/>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Vroom, Inc.;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left="540" w:right="260" w:hanging="519"/>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 w:right="220" w:hanging="519"/>
        <w:spacing w:after="0" w:line="307"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9" w:lineRule="exact"/>
        <w:rPr>
          <w:rFonts w:ascii="Arial" w:cs="Arial" w:eastAsia="Arial" w:hAnsi="Arial"/>
          <w:sz w:val="17"/>
          <w:szCs w:val="17"/>
          <w:color w:val="auto"/>
        </w:rPr>
      </w:pPr>
    </w:p>
    <w:p>
      <w:pPr>
        <w:ind w:left="540" w:right="240" w:hanging="519"/>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040" w:right="180" w:hanging="506"/>
        <w:spacing w:after="0" w:line="263"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1040" w:right="320" w:hanging="506"/>
        <w:spacing w:after="0" w:line="263"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both"/>
        <w:ind w:left="1040" w:right="480" w:hanging="506"/>
        <w:spacing w:after="0" w:line="341"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7" w:lineRule="exact"/>
        <w:rPr>
          <w:rFonts w:ascii="Arial" w:cs="Arial" w:eastAsia="Arial" w:hAnsi="Arial"/>
          <w:sz w:val="16"/>
          <w:szCs w:val="16"/>
          <w:color w:val="auto"/>
        </w:rPr>
      </w:pPr>
    </w:p>
    <w:p>
      <w:pPr>
        <w:ind w:left="1040" w:right="180" w:hanging="506"/>
        <w:spacing w:after="0" w:line="263"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 w:right="140" w:hanging="519"/>
        <w:spacing w:after="0" w:line="307"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1040" w:right="720" w:hanging="506"/>
        <w:spacing w:after="0" w:line="341"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7" w:lineRule="exact"/>
        <w:rPr>
          <w:rFonts w:ascii="Arial" w:cs="Arial" w:eastAsia="Arial" w:hAnsi="Arial"/>
          <w:sz w:val="16"/>
          <w:szCs w:val="16"/>
          <w:color w:val="auto"/>
        </w:rPr>
      </w:pPr>
    </w:p>
    <w:p>
      <w:pPr>
        <w:ind w:left="1040" w:right="420" w:hanging="506"/>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R. Krakowiak</w:t>
            </w:r>
          </w:p>
        </w:tc>
      </w:tr>
      <w:tr>
        <w:trPr>
          <w:trHeight w:val="208"/>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344"/>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2023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1040" w:hanging="506"/>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1040" w:right="540" w:hanging="506"/>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H. Shortt</w:t>
            </w:r>
          </w:p>
        </w:tc>
      </w:tr>
      <w:tr>
        <w:trPr>
          <w:trHeight w:val="208"/>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0"/>
              </w:rPr>
              <w:t>Thomas H. Shortt</w:t>
            </w:r>
          </w:p>
        </w:tc>
      </w:tr>
      <w:tr>
        <w:trPr>
          <w:trHeight w:val="216"/>
        </w:trPr>
        <w:tc>
          <w:tcPr>
            <w:tcW w:w="35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802"/>
        </w:trPr>
        <w:tc>
          <w:tcPr>
            <w:tcW w:w="35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Quarterly Report on Form 10-Q of Vroom, Inc. (the “Company”) for the period ended March 31, 2023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1040" w:hanging="506"/>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1040" w:right="540" w:hanging="506"/>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ind w:left="20"/>
              <w:spacing w:after="0"/>
              <w:rPr>
                <w:sz w:val="20"/>
                <w:szCs w:val="20"/>
                <w:color w:val="auto"/>
              </w:rPr>
            </w:pPr>
            <w:r>
              <w:rPr>
                <w:rFonts w:ascii="Arial" w:cs="Arial" w:eastAsia="Arial" w:hAnsi="Arial"/>
                <w:sz w:val="18"/>
                <w:szCs w:val="18"/>
                <w:color w:val="auto"/>
              </w:rPr>
              <w:t>Date: May 9, 2023</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R. Krakowiak</w:t>
            </w:r>
          </w:p>
        </w:tc>
      </w:tr>
      <w:tr>
        <w:trPr>
          <w:trHeight w:val="208"/>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1450"/>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56" Type="http://schemas.openxmlformats.org/officeDocument/2006/relationships/hyperlink" Target="https://www.sec.gov/Archives/edgar/data/1580864/000095017021002077/vrm-ex2_1.htm" TargetMode="External"/><Relationship Id="rId357" Type="http://schemas.openxmlformats.org/officeDocument/2006/relationships/hyperlink" Target="https://www.sec.gov/Archives/edgar/data/1580864/000156459020039778/vrm-ex31_460.htm" TargetMode="External"/><Relationship Id="rId358" Type="http://schemas.openxmlformats.org/officeDocument/2006/relationships/hyperlink" Target="https://www.sec.gov/Archives/edgar/data/1580864/000156459020039778/vrm-ex32_234.htm" TargetMode="External"/><Relationship Id="rId359" Type="http://schemas.openxmlformats.org/officeDocument/2006/relationships/hyperlink" Target="https://www.sec.gov/Archives/edgar/data/1580864/000119312520157158/d801274dex41.htm" TargetMode="External"/><Relationship Id="rId360" Type="http://schemas.openxmlformats.org/officeDocument/2006/relationships/hyperlink" Target="https://www.sec.gov/Archives/edgar/data/1580864/000119312521195245/d93781dex41.htm" TargetMode="External"/><Relationship Id="rId361" Type="http://schemas.openxmlformats.org/officeDocument/2006/relationships/hyperlink" Target="https://www.sec.gov/Archives/edgar/data/1580864/000119312520145219/d8012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2023-05-09T15:45:34Z</dcterms:created>
  <dcterms:modified xsi:type="dcterms:W3CDTF">2023-05-09T15:45:34Z</dcterms:modified>
</cp:coreProperties>
</file>