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325-1_4seq1.xml.htm"/>
      <w:bookmarkStart w:id="1" w:name="kstm262332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Mudrick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Vroom, Inc.</w:t>
              </w:r>
            </w:hyperlink>
            <w:r>
              <w:rPr/>
              <w:t xml:space="preserve"> [ </w:t>
            </w:r>
            <w:r>
              <w:rPr>
                <w:rFonts w:ascii="Times;serif" w:hAnsi="Times;serif"/>
                <w:color w:val="0000FF"/>
                <w:sz w:val="24"/>
                <w:shd w:fill="FFFFFF" w:val="clear"/>
              </w:rPr>
              <w:t>VRM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42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1221"/>
        <w:gridCol w:w="276"/>
        <w:gridCol w:w="906"/>
        <w:gridCol w:w="801"/>
        <w:gridCol w:w="891"/>
        <w:gridCol w:w="981"/>
        <w:gridCol w:w="801"/>
        <w:gridCol w:w="1326"/>
        <w:gridCol w:w="831"/>
        <w:gridCol w:w="846"/>
      </w:tblGrid>
      <w:tr>
        <w:trPr>
          <w:tblHeader w:val="true"/>
        </w:trPr>
        <w:tc>
          <w:tcPr>
            <w:tcW w:w="134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3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Notes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11.42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6,511,627.91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04/01/2032</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570,199</w:t>
            </w: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20,000,000.09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Notes</w:t>
            </w:r>
            <w:r>
              <w:rPr>
                <w:rFonts w:ascii="Times;serif" w:hAnsi="Times;serif"/>
                <w:color w:val="008000"/>
                <w:position w:val="7"/>
                <w:sz w:val="16"/>
                <w:sz w:val="20"/>
                <w:shd w:fill="FFFFFF" w:val="clear"/>
              </w:rPr>
              <w:t>(1)(2)(3)(6)</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Mudrick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Mudrick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Mudrick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Mudrick Distressed Opportunity Drawdown Fund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Mudrick Distressed Opportunity Drawdown Fund III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Pietroforte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Mudrick Distressed Opportunity Drawdown Fund II SC,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Mudrick Distressed Opportunity Drawdown Fund II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Mudrick Distressed Opportunity Drawdown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8">
                    <w:r>
                      <w:rPr>
                        <w:rStyle w:val="InternetLink"/>
                      </w:rPr>
                      <w:t>Mudrick Distressed Opportunity 2020 Dislocation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statement is being filed by the following Reporting Persons: Mudrick Capital Management, L.P. ("MCM"); Mudrick Capital Management, LLC ("MCM GP"); Jason Mudrick; Mudrick Distressed Opportunity Fund Global, L.P. ("Mudrick Opp Global"); Mudrick GP, LLC ("Mudrick GP"); Mudrick Distressed Opportunity Drawdown Fund II, L.P. ("Drawdown II"); Mudrick Distressed Opportunity Drawdown Fund II SC, L.P. ("Drawdown II SC"); Mudrick Distressed Opportunity Drawdown Fund II GP, LLC ("Drawdown II GP"); Mudrick Distressed Opportunity Drawdown Fund III, L.P. ("Drawdown III"); Mudrick Distressed Opportunity Drawdown Fund III GP, LLC ("Drawdown III GP"); Mudrick Distressed Opportunity 2020 Dislocation Fund, L.P. ("DISL"); Mudrick Distressed Opportunity 2020 Dislocation Fund GP, LLC ("DISL GP"); and Matthew Pietroforte, who is a member of the Issuer's board of directors and a Managing Director and Senior Analyst at MCM.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Mudrick GP is the general partner of Global LP and may be deemed to beneficially own the number of securities of the Issuer directly held by Global LP. Drawdown II GP is the general partner of Drawdown II and Drawdown II SC and may be deemed to beneficially own the securities of the Issuer directly held by Drawdown II and Drawdown II SC. Drawdown III GP is the general partner of Drawdown III and may be deemed to beneficially own the securities of the Issuer directly held by Drawdown III. DISL GP is the general partner of DISL and may be deemed to beneficially own the number of securities of the Issuer held by DISL.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MCM is the investment manager to Drawdown II, Global LP, Drawdown II SC, Drawdown III and DISL and certain accounts managed by MCM. Mr. Mudrick is the sole member of Mudrick GP, Drawdown II GP, Drawdown III GP, MCM GP, and DISL GP. By virtue of these relationships, each of MCM, MCM GP and Mr. Mudrick may be deemed to beneficially own the securities held directly by Global LP, Drawdown II, Drawdown II SC, Drawdown III and DISL and certain accounts managed by MCM.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an Exchange and Subscription Agreement with the Issuer, dated as of May 14, 2026 (the "Exchange Agreement"), the Reporting Persons acquired from the Issuer Senior Secured Delayed Draw Convertible Notes due 2032 ("Notes") that are convertible into shares of Common Stock pursuant to the terms of the Exchange Agreement and the terms of the Senior Secured Delayed Draw Convertible 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Common Stock into which the Notes acquired from the Issuer on August 13, 2026 may be converted in each case, subject to adjustment and other terms of the Notes as follows: 152,498 by Drawdown II.; 14,232 by Drawdown II SC; 9,252 by Drawdown III; 42,185 by DISL; and 352,032 by certain accounts managed by MCM.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Persons disclaim any beneficial ownership of the reported securities other than to the extent of any pecuniary interest they may have therein, directly or indirectly. Pursuant to Rule 16a-1(a)(4) under the Securities Exchange Act of 1934, as amended (the "Exchange Act"), this filing shall not be deemed an admission that the Reporting Persons are, for purposes of Section 16 of the Exchange Act or otherwise, the beneficial owners of any equity securities of the Issuer in excess of their respective pecuniary interests. The Reporting Persons are jointly filing this Form 4 pursuant to Rule 16a-3(j) under the Exchange Act. Exhibit List: Joint Filer Information. This filing shall not be deemed an admission that any of the Reporting Persons is subject to Section 16 of the Exchange Act.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99.1 (Joint Filer Information) is incorporated herein by reference. This Form 4 is the first of two identical Form 4s filed relating to the same event. The Form 4 has been split into two filings because there are more than 10 Reporting Persons in total, and the SEC's EDGAR filing system limits a single Form 4 to a maximum of 10 Reporting Persons. Each Form 4 is filed by Designated Filer, Mudrick Capital Management, L.P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See Exhibit 99.1**</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23325d1_ex99-1.htm"/>
      <w:bookmarkStart w:id="3" w:name="kstm2623325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560"/>
        <w:gridCol w:w="4490"/>
        <w:gridCol w:w="75"/>
      </w:tblGrid>
      <w:tr>
        <w:trPr/>
        <w:tc>
          <w:tcPr>
            <w:tcW w:w="560" w:type="dxa"/>
            <w:tcBorders/>
            <w:vAlign w:val="center"/>
          </w:tcPr>
          <w:p>
            <w:pPr>
              <w:pStyle w:val="TableContents"/>
              <w:bidi w:val="0"/>
              <w:spacing w:before="0" w:after="283"/>
              <w:jc w:val="left"/>
              <w:rPr/>
            </w:pPr>
            <w:r>
              <w:rPr/>
              <w:t>By:</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Capital Management, LLC, its general partner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90"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4490" w:type="dxa"/>
            <w:tcBorders/>
            <w:vAlign w:val="center"/>
          </w:tcPr>
          <w:p>
            <w:pPr>
              <w:pStyle w:val="TableContents"/>
              <w:bidi w:val="0"/>
              <w:spacing w:before="0" w:after="283"/>
              <w:jc w:val="left"/>
              <w:rPr/>
            </w:pPr>
            <w:r>
              <w:rPr/>
              <w:t>August 17,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LLC</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LLC</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560"/>
        <w:gridCol w:w="1685"/>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5"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1685" w:type="dxa"/>
            <w:tcBorders/>
            <w:vAlign w:val="center"/>
          </w:tcPr>
          <w:p>
            <w:pPr>
              <w:pStyle w:val="TableContents"/>
              <w:bidi w:val="0"/>
              <w:spacing w:before="0" w:after="283"/>
              <w:jc w:val="left"/>
              <w:rPr/>
            </w:pPr>
            <w:r>
              <w:rPr/>
              <w:t>August 17, 2026</w:t>
            </w:r>
          </w:p>
        </w:tc>
        <w:tc>
          <w:tcPr>
            <w:tcW w:w="75" w:type="dxa"/>
            <w:tcBorders/>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28" w:type="dxa"/>
          <w:right w:w="0" w:type="dxa"/>
        </w:tblCellMar>
      </w:tblPr>
      <w:tblGrid>
        <w:gridCol w:w="1700"/>
        <w:gridCol w:w="75"/>
      </w:tblGrid>
      <w:tr>
        <w:trPr/>
        <w:tc>
          <w:tcPr>
            <w:tcW w:w="1700" w:type="dxa"/>
            <w:tcBorders>
              <w:bottom w:val="single" w:sz="8" w:space="0" w:color="000000"/>
            </w:tcBorders>
            <w:vAlign w:val="center"/>
          </w:tcPr>
          <w:p>
            <w:pPr>
              <w:pStyle w:val="TableContents"/>
              <w:bidi w:val="0"/>
              <w:spacing w:before="0" w:after="283"/>
              <w:jc w:val="left"/>
              <w:rPr/>
            </w:pPr>
            <w:r>
              <w:rPr/>
              <w:t>/s/ Jason Mudrick</w:t>
            </w:r>
          </w:p>
        </w:tc>
        <w:tc>
          <w:tcPr>
            <w:tcW w:w="75"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August 17, 2026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III,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III, L.P.</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560"/>
        <w:gridCol w:w="1685"/>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5"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1685" w:type="dxa"/>
            <w:tcBorders/>
            <w:vAlign w:val="center"/>
          </w:tcPr>
          <w:p>
            <w:pPr>
              <w:pStyle w:val="TableContents"/>
              <w:bidi w:val="0"/>
              <w:spacing w:before="0" w:after="283"/>
              <w:jc w:val="left"/>
              <w:rPr/>
            </w:pPr>
            <w:r>
              <w:rPr/>
              <w:t>August 17, 2026</w:t>
            </w:r>
          </w:p>
        </w:tc>
        <w:tc>
          <w:tcPr>
            <w:tcW w:w="75" w:type="dxa"/>
            <w:tcBorders/>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III GP, LLC</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169" w:type="dxa"/>
        <w:jc w:val="left"/>
        <w:tblInd w:w="0" w:type="dxa"/>
        <w:tblLayout w:type="fixed"/>
        <w:tblCellMar>
          <w:top w:w="0" w:type="dxa"/>
          <w:left w:w="0" w:type="dxa"/>
          <w:bottom w:w="0" w:type="dxa"/>
          <w:right w:w="0" w:type="dxa"/>
        </w:tblCellMar>
      </w:tblPr>
      <w:tblGrid>
        <w:gridCol w:w="1520"/>
        <w:gridCol w:w="4574"/>
        <w:gridCol w:w="75"/>
      </w:tblGrid>
      <w:tr>
        <w:trPr/>
        <w:tc>
          <w:tcPr>
            <w:tcW w:w="6094" w:type="dxa"/>
            <w:gridSpan w:val="2"/>
            <w:tcBorders/>
            <w:vAlign w:val="center"/>
          </w:tcPr>
          <w:p>
            <w:pPr>
              <w:pStyle w:val="TableContents"/>
              <w:bidi w:val="0"/>
              <w:spacing w:before="0" w:after="283"/>
              <w:jc w:val="left"/>
              <w:rPr/>
            </w:pPr>
            <w:r>
              <w:rPr/>
              <w:t>Mudrick Distressed Opportunity Drawdown Fund III, GP, LLC</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457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74"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5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5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Date:</w:t>
            </w:r>
          </w:p>
        </w:tc>
        <w:tc>
          <w:tcPr>
            <w:tcW w:w="4574" w:type="dxa"/>
            <w:tcBorders/>
            <w:vAlign w:val="center"/>
          </w:tcPr>
          <w:p>
            <w:pPr>
              <w:pStyle w:val="TableContents"/>
              <w:bidi w:val="0"/>
              <w:spacing w:before="0" w:after="283"/>
              <w:jc w:val="left"/>
              <w:rPr/>
            </w:pPr>
            <w:r>
              <w:rPr/>
              <w:t>August 17, 2026</w:t>
            </w:r>
          </w:p>
        </w:tc>
        <w:tc>
          <w:tcPr>
            <w:tcW w:w="75" w:type="dxa"/>
            <w:tcBorders/>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Pietroforte</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560"/>
        <w:gridCol w:w="218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80" w:type="dxa"/>
            <w:tcBorders>
              <w:bottom w:val="single" w:sz="8" w:space="0" w:color="000000"/>
            </w:tcBorders>
            <w:tcMar>
              <w:bottom w:w="28" w:type="dxa"/>
            </w:tcMar>
            <w:vAlign w:val="center"/>
          </w:tcPr>
          <w:p>
            <w:pPr>
              <w:pStyle w:val="TableContents"/>
              <w:bidi w:val="0"/>
              <w:spacing w:before="0" w:after="283"/>
              <w:jc w:val="left"/>
              <w:rPr/>
            </w:pPr>
            <w:r>
              <w:rPr/>
              <w:t>/s/ Matthew Pietroforte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80" w:type="dxa"/>
            <w:tcBorders/>
            <w:vAlign w:val="center"/>
          </w:tcPr>
          <w:p>
            <w:pPr>
              <w:pStyle w:val="TableContents"/>
              <w:bidi w:val="0"/>
              <w:spacing w:before="0" w:after="283"/>
              <w:jc w:val="left"/>
              <w:rPr/>
            </w:pPr>
            <w:r>
              <w:rPr/>
              <w:t>Matthew Pietroforte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2180" w:type="dxa"/>
            <w:tcBorders/>
            <w:vAlign w:val="center"/>
          </w:tcPr>
          <w:p>
            <w:pPr>
              <w:pStyle w:val="TableContents"/>
              <w:bidi w:val="0"/>
              <w:spacing w:before="0" w:after="283"/>
              <w:jc w:val="left"/>
              <w:rPr/>
            </w:pPr>
            <w:r>
              <w:rPr/>
              <w:t>August 17, 2026</w:t>
            </w:r>
          </w:p>
        </w:tc>
        <w:tc>
          <w:tcPr>
            <w:tcW w:w="75" w:type="dxa"/>
            <w:tcBorders/>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63"/>
        <w:gridCol w:w="5942"/>
      </w:tblGrid>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SC, L.P.</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42"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Filed(Month/Day/Year):</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4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SC, L.P.</w:t>
      </w:r>
    </w:p>
    <w:p>
      <w:pPr>
        <w:pStyle w:val="TextBody"/>
        <w:bidi w:val="0"/>
        <w:spacing w:before="0" w:after="0"/>
        <w:ind w:left="0" w:right="0" w:hanging="0"/>
        <w:jc w:val="left"/>
        <w:rPr>
          <w:caps w:val="false"/>
          <w:smallCaps w:val="false"/>
        </w:rPr>
      </w:pPr>
      <w:r>
        <w:rPr>
          <w:caps w:val="false"/>
          <w:smallCaps w:val="false"/>
        </w:rPr>
        <w:t> </w:t>
      </w:r>
    </w:p>
    <w:tbl>
      <w:tblPr>
        <w:tblW w:w="8179" w:type="dxa"/>
        <w:jc w:val="left"/>
        <w:tblInd w:w="0" w:type="dxa"/>
        <w:tblLayout w:type="fixed"/>
        <w:tblCellMar>
          <w:top w:w="0" w:type="dxa"/>
          <w:left w:w="0" w:type="dxa"/>
          <w:bottom w:w="0" w:type="dxa"/>
          <w:right w:w="0" w:type="dxa"/>
        </w:tblCellMar>
      </w:tblPr>
      <w:tblGrid>
        <w:gridCol w:w="1974"/>
        <w:gridCol w:w="5941"/>
        <w:gridCol w:w="264"/>
      </w:tblGrid>
      <w:tr>
        <w:trPr/>
        <w:tc>
          <w:tcPr>
            <w:tcW w:w="8179" w:type="dxa"/>
            <w:gridSpan w:val="3"/>
            <w:tcBorders/>
            <w:vAlign w:val="center"/>
          </w:tcPr>
          <w:p>
            <w:pPr>
              <w:pStyle w:val="TableContents"/>
              <w:bidi w:val="0"/>
              <w:spacing w:before="0" w:after="283"/>
              <w:jc w:val="left"/>
              <w:rPr/>
            </w:pPr>
            <w:r>
              <w:rPr/>
              <w:t>By: Mudrick Distressed Opportunity Drawdown Fund II GP, LLC, its general partner</w:t>
            </w:r>
          </w:p>
        </w:tc>
      </w:tr>
      <w:tr>
        <w:trPr/>
        <w:tc>
          <w:tcPr>
            <w:tcW w:w="1974" w:type="dxa"/>
            <w:tcBorders/>
            <w:vAlign w:val="center"/>
          </w:tcPr>
          <w:p>
            <w:pPr>
              <w:pStyle w:val="TableContents"/>
              <w:bidi w:val="0"/>
              <w:spacing w:before="0" w:after="283"/>
              <w:jc w:val="left"/>
              <w:rPr/>
            </w:pPr>
            <w:r>
              <w:rPr/>
              <w:t> </w:t>
            </w:r>
          </w:p>
        </w:tc>
        <w:tc>
          <w:tcPr>
            <w:tcW w:w="5941"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41"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264"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264"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264"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pPr>
            <w:r>
              <w:rPr/>
              <w:t>Date:</w:t>
            </w:r>
          </w:p>
        </w:tc>
        <w:tc>
          <w:tcPr>
            <w:tcW w:w="5941" w:type="dxa"/>
            <w:tcBorders/>
            <w:vAlign w:val="center"/>
          </w:tcPr>
          <w:p>
            <w:pPr>
              <w:pStyle w:val="TableContents"/>
              <w:bidi w:val="0"/>
              <w:spacing w:before="0" w:after="283"/>
              <w:jc w:val="left"/>
              <w:rPr/>
            </w:pPr>
            <w:r>
              <w:rPr/>
              <w:t>August 17, 2026</w:t>
            </w:r>
          </w:p>
        </w:tc>
        <w:tc>
          <w:tcPr>
            <w:tcW w:w="264" w:type="dxa"/>
            <w:tcBorders/>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63"/>
        <w:gridCol w:w="5942"/>
      </w:tblGrid>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GP, LLC</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42"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Filed(Month/Day/Year):</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4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GP, LLC</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560"/>
        <w:gridCol w:w="1685"/>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5"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1685" w:type="dxa"/>
            <w:tcBorders/>
            <w:vAlign w:val="center"/>
          </w:tcPr>
          <w:p>
            <w:pPr>
              <w:pStyle w:val="TableContents"/>
              <w:bidi w:val="0"/>
              <w:spacing w:before="0" w:after="283"/>
              <w:jc w:val="left"/>
              <w:rPr/>
            </w:pPr>
            <w:r>
              <w:rPr/>
              <w:t>August 17, 2026</w:t>
            </w:r>
          </w:p>
        </w:tc>
        <w:tc>
          <w:tcPr>
            <w:tcW w:w="75" w:type="dxa"/>
            <w:tcBorders/>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L.P.</w:t>
      </w:r>
    </w:p>
    <w:p>
      <w:pPr>
        <w:pStyle w:val="TextBody"/>
        <w:bidi w:val="0"/>
        <w:spacing w:before="0" w:after="0"/>
        <w:ind w:left="0" w:right="0" w:hanging="0"/>
        <w:jc w:val="left"/>
        <w:rPr>
          <w:caps w:val="false"/>
          <w:smallCaps w:val="false"/>
        </w:rPr>
      </w:pPr>
      <w:r>
        <w:rPr>
          <w:caps w:val="false"/>
          <w:smallCaps w:val="false"/>
        </w:rPr>
        <w:t> </w:t>
      </w:r>
    </w:p>
    <w:tbl>
      <w:tblPr>
        <w:tblW w:w="8179" w:type="dxa"/>
        <w:jc w:val="left"/>
        <w:tblInd w:w="0" w:type="dxa"/>
        <w:tblLayout w:type="fixed"/>
        <w:tblCellMar>
          <w:top w:w="0" w:type="dxa"/>
          <w:left w:w="0" w:type="dxa"/>
          <w:bottom w:w="0" w:type="dxa"/>
          <w:right w:w="0" w:type="dxa"/>
        </w:tblCellMar>
      </w:tblPr>
      <w:tblGrid>
        <w:gridCol w:w="1974"/>
        <w:gridCol w:w="5941"/>
        <w:gridCol w:w="264"/>
      </w:tblGrid>
      <w:tr>
        <w:trPr/>
        <w:tc>
          <w:tcPr>
            <w:tcW w:w="8179" w:type="dxa"/>
            <w:gridSpan w:val="3"/>
            <w:tcBorders/>
            <w:vAlign w:val="center"/>
          </w:tcPr>
          <w:p>
            <w:pPr>
              <w:pStyle w:val="TableContents"/>
              <w:bidi w:val="0"/>
              <w:spacing w:before="0" w:after="283"/>
              <w:jc w:val="left"/>
              <w:rPr/>
            </w:pPr>
            <w:r>
              <w:rPr/>
              <w:t>By: Mudrick Distressed Opportunity Drawdown Fund II GP, LLC, its general partner</w:t>
            </w:r>
          </w:p>
        </w:tc>
      </w:tr>
      <w:tr>
        <w:trPr/>
        <w:tc>
          <w:tcPr>
            <w:tcW w:w="1974" w:type="dxa"/>
            <w:tcBorders/>
            <w:vAlign w:val="center"/>
          </w:tcPr>
          <w:p>
            <w:pPr>
              <w:pStyle w:val="TableContents"/>
              <w:bidi w:val="0"/>
              <w:spacing w:before="0" w:after="283"/>
              <w:jc w:val="left"/>
              <w:rPr/>
            </w:pPr>
            <w:r>
              <w:rPr/>
              <w:t> </w:t>
            </w:r>
          </w:p>
        </w:tc>
        <w:tc>
          <w:tcPr>
            <w:tcW w:w="5941"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41"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264"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264"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264"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pPr>
            <w:r>
              <w:rPr/>
              <w:t>Date:</w:t>
            </w:r>
          </w:p>
        </w:tc>
        <w:tc>
          <w:tcPr>
            <w:tcW w:w="5941" w:type="dxa"/>
            <w:tcBorders/>
            <w:vAlign w:val="center"/>
          </w:tcPr>
          <w:p>
            <w:pPr>
              <w:pStyle w:val="TableContents"/>
              <w:bidi w:val="0"/>
              <w:spacing w:before="0" w:after="283"/>
              <w:jc w:val="left"/>
              <w:rPr/>
            </w:pPr>
            <w:r>
              <w:rPr/>
              <w:t>August 17, 2026</w:t>
            </w:r>
          </w:p>
        </w:tc>
        <w:tc>
          <w:tcPr>
            <w:tcW w:w="26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2020 Dislocation Fund,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2020 Dislocation Fund, L.P.</w:t>
      </w:r>
    </w:p>
    <w:p>
      <w:pPr>
        <w:pStyle w:val="TextBody"/>
        <w:bidi w:val="0"/>
        <w:spacing w:before="0" w:after="0"/>
        <w:ind w:left="0" w:right="0" w:hanging="0"/>
        <w:jc w:val="left"/>
        <w:rPr>
          <w:caps w:val="false"/>
          <w:smallCaps w:val="false"/>
        </w:rPr>
      </w:pPr>
      <w:r>
        <w:rPr>
          <w:caps w:val="false"/>
          <w:smallCaps w:val="false"/>
        </w:rPr>
        <w:t> </w:t>
      </w:r>
    </w:p>
    <w:tbl>
      <w:tblPr>
        <w:tblW w:w="8509" w:type="dxa"/>
        <w:jc w:val="left"/>
        <w:tblInd w:w="0" w:type="dxa"/>
        <w:tblLayout w:type="fixed"/>
        <w:tblCellMar>
          <w:top w:w="0" w:type="dxa"/>
          <w:left w:w="0" w:type="dxa"/>
          <w:bottom w:w="0" w:type="dxa"/>
          <w:right w:w="0" w:type="dxa"/>
        </w:tblCellMar>
      </w:tblPr>
      <w:tblGrid>
        <w:gridCol w:w="2054"/>
        <w:gridCol w:w="6180"/>
        <w:gridCol w:w="275"/>
      </w:tblGrid>
      <w:tr>
        <w:trPr/>
        <w:tc>
          <w:tcPr>
            <w:tcW w:w="8509" w:type="dxa"/>
            <w:gridSpan w:val="3"/>
            <w:tcBorders/>
            <w:vAlign w:val="center"/>
          </w:tcPr>
          <w:p>
            <w:pPr>
              <w:pStyle w:val="TableContents"/>
              <w:bidi w:val="0"/>
              <w:spacing w:before="0" w:after="283"/>
              <w:jc w:val="left"/>
              <w:rPr/>
            </w:pPr>
            <w:r>
              <w:rPr/>
              <w:t>By: Mudrick Distressed Opportunity 2020 Dislocation Fund GP, LLC, its general partner</w:t>
            </w:r>
          </w:p>
        </w:tc>
      </w:tr>
      <w:tr>
        <w:trPr/>
        <w:tc>
          <w:tcPr>
            <w:tcW w:w="2054" w:type="dxa"/>
            <w:tcBorders/>
            <w:vAlign w:val="center"/>
          </w:tcPr>
          <w:p>
            <w:pPr>
              <w:pStyle w:val="TableContents"/>
              <w:bidi w:val="0"/>
              <w:spacing w:before="0" w:after="283"/>
              <w:jc w:val="left"/>
              <w:rPr/>
            </w:pPr>
            <w:r>
              <w:rPr/>
              <w:t> </w:t>
            </w:r>
          </w:p>
        </w:tc>
        <w:tc>
          <w:tcPr>
            <w:tcW w:w="618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20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180"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275" w:type="dxa"/>
            <w:tcBorders/>
            <w:vAlign w:val="center"/>
          </w:tcPr>
          <w:p>
            <w:pPr>
              <w:pStyle w:val="TableContents"/>
              <w:bidi w:val="0"/>
              <w:spacing w:before="0" w:after="283"/>
              <w:jc w:val="left"/>
              <w:rPr/>
            </w:pPr>
            <w:r>
              <w:rPr/>
              <w:t> </w:t>
            </w:r>
          </w:p>
        </w:tc>
      </w:tr>
      <w:tr>
        <w:trPr/>
        <w:tc>
          <w:tcPr>
            <w:tcW w:w="20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275" w:type="dxa"/>
            <w:tcBorders/>
            <w:vAlign w:val="center"/>
          </w:tcPr>
          <w:p>
            <w:pPr>
              <w:pStyle w:val="TableContents"/>
              <w:bidi w:val="0"/>
              <w:spacing w:before="0" w:after="283"/>
              <w:jc w:val="left"/>
              <w:rPr/>
            </w:pPr>
            <w:r>
              <w:rPr/>
              <w:t> </w:t>
            </w:r>
          </w:p>
        </w:tc>
      </w:tr>
      <w:tr>
        <w:trPr/>
        <w:tc>
          <w:tcPr>
            <w:tcW w:w="20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275" w:type="dxa"/>
            <w:tcBorders/>
            <w:vAlign w:val="center"/>
          </w:tcPr>
          <w:p>
            <w:pPr>
              <w:pStyle w:val="TableContents"/>
              <w:bidi w:val="0"/>
              <w:spacing w:before="0" w:after="283"/>
              <w:jc w:val="left"/>
              <w:rPr/>
            </w:pPr>
            <w:r>
              <w:rPr/>
              <w:t> </w:t>
            </w:r>
          </w:p>
        </w:tc>
      </w:tr>
      <w:tr>
        <w:trPr/>
        <w:tc>
          <w:tcPr>
            <w:tcW w:w="2054" w:type="dxa"/>
            <w:tcBorders/>
            <w:vAlign w:val="center"/>
          </w:tcPr>
          <w:p>
            <w:pPr>
              <w:pStyle w:val="TableContents"/>
              <w:bidi w:val="0"/>
              <w:spacing w:before="0" w:after="283"/>
              <w:jc w:val="left"/>
              <w:rPr/>
            </w:pPr>
            <w:r>
              <w:rPr/>
              <w:t>Date:</w:t>
            </w:r>
          </w:p>
        </w:tc>
        <w:tc>
          <w:tcPr>
            <w:tcW w:w="6180" w:type="dxa"/>
            <w:tcBorders/>
            <w:vAlign w:val="center"/>
          </w:tcPr>
          <w:p>
            <w:pPr>
              <w:pStyle w:val="TableContents"/>
              <w:bidi w:val="0"/>
              <w:spacing w:before="0" w:after="283"/>
              <w:jc w:val="left"/>
              <w:rPr/>
            </w:pPr>
            <w:r>
              <w:rPr/>
              <w:t>August 17, 2026</w:t>
            </w:r>
          </w:p>
        </w:tc>
        <w:tc>
          <w:tcPr>
            <w:tcW w:w="2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2020 Dislocation Fund GP, LLC</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2020 Dislocation Fund GP, LLC</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560"/>
        <w:gridCol w:w="1685"/>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5"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1685" w:type="dxa"/>
            <w:tcBorders/>
            <w:vAlign w:val="center"/>
          </w:tcPr>
          <w:p>
            <w:pPr>
              <w:pStyle w:val="TableContents"/>
              <w:bidi w:val="0"/>
              <w:spacing w:before="0" w:after="283"/>
              <w:jc w:val="left"/>
              <w:rPr/>
            </w:pPr>
            <w:r>
              <w:rPr/>
              <w:t>August 17,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Fund Global,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Fund Global, L.P.</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957"/>
        <w:gridCol w:w="2879"/>
        <w:gridCol w:w="128"/>
      </w:tblGrid>
      <w:tr>
        <w:trPr/>
        <w:tc>
          <w:tcPr>
            <w:tcW w:w="3964" w:type="dxa"/>
            <w:gridSpan w:val="3"/>
            <w:tcBorders/>
            <w:vAlign w:val="center"/>
          </w:tcPr>
          <w:p>
            <w:pPr>
              <w:pStyle w:val="TableContents"/>
              <w:bidi w:val="0"/>
              <w:spacing w:before="0" w:after="283"/>
              <w:jc w:val="left"/>
              <w:rPr/>
            </w:pPr>
            <w:r>
              <w:rPr/>
              <w:t>By: Mudrick GP, LLC its general partner</w:t>
            </w:r>
          </w:p>
        </w:tc>
      </w:tr>
      <w:tr>
        <w:trPr/>
        <w:tc>
          <w:tcPr>
            <w:tcW w:w="957"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r>
      <w:tr>
        <w:trPr/>
        <w:tc>
          <w:tcPr>
            <w:tcW w:w="9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79"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128" w:type="dxa"/>
            <w:tcBorders/>
            <w:vAlign w:val="center"/>
          </w:tcPr>
          <w:p>
            <w:pPr>
              <w:pStyle w:val="TableContents"/>
              <w:bidi w:val="0"/>
              <w:spacing w:before="0" w:after="283"/>
              <w:jc w:val="left"/>
              <w:rPr/>
            </w:pPr>
            <w:r>
              <w:rPr/>
              <w:t> </w:t>
            </w:r>
          </w:p>
        </w:tc>
      </w:tr>
      <w:tr>
        <w:trPr/>
        <w:tc>
          <w:tcPr>
            <w:tcW w:w="9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8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128" w:type="dxa"/>
            <w:tcBorders/>
            <w:vAlign w:val="center"/>
          </w:tcPr>
          <w:p>
            <w:pPr>
              <w:pStyle w:val="TableContents"/>
              <w:bidi w:val="0"/>
              <w:spacing w:before="0" w:after="283"/>
              <w:jc w:val="left"/>
              <w:rPr/>
            </w:pPr>
            <w:r>
              <w:rPr/>
              <w:t> </w:t>
            </w:r>
          </w:p>
        </w:tc>
      </w:tr>
      <w:tr>
        <w:trPr/>
        <w:tc>
          <w:tcPr>
            <w:tcW w:w="9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128" w:type="dxa"/>
            <w:tcBorders/>
            <w:vAlign w:val="center"/>
          </w:tcPr>
          <w:p>
            <w:pPr>
              <w:pStyle w:val="TableContents"/>
              <w:bidi w:val="0"/>
              <w:spacing w:before="0" w:after="283"/>
              <w:jc w:val="left"/>
              <w:rPr/>
            </w:pPr>
            <w:r>
              <w:rPr/>
              <w:t> </w:t>
            </w:r>
          </w:p>
        </w:tc>
      </w:tr>
      <w:tr>
        <w:trPr/>
        <w:tc>
          <w:tcPr>
            <w:tcW w:w="957" w:type="dxa"/>
            <w:tcBorders/>
            <w:vAlign w:val="center"/>
          </w:tcPr>
          <w:p>
            <w:pPr>
              <w:pStyle w:val="TableContents"/>
              <w:bidi w:val="0"/>
              <w:spacing w:before="0" w:after="283"/>
              <w:jc w:val="left"/>
              <w:rPr/>
            </w:pPr>
            <w:r>
              <w:rPr/>
              <w:t>Date:</w:t>
            </w:r>
          </w:p>
        </w:tc>
        <w:tc>
          <w:tcPr>
            <w:tcW w:w="2879" w:type="dxa"/>
            <w:tcBorders/>
            <w:vAlign w:val="center"/>
          </w:tcPr>
          <w:p>
            <w:pPr>
              <w:pStyle w:val="TableContents"/>
              <w:bidi w:val="0"/>
              <w:spacing w:before="0" w:after="283"/>
              <w:jc w:val="left"/>
              <w:rPr/>
            </w:pPr>
            <w:r>
              <w:rPr/>
              <w:t>August 17, 2026</w:t>
            </w:r>
          </w:p>
        </w:tc>
        <w:tc>
          <w:tcPr>
            <w:tcW w:w="12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GP, LLC</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GP, LLC</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560"/>
        <w:gridCol w:w="1685"/>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5"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1685" w:type="dxa"/>
            <w:tcBorders/>
            <w:vAlign w:val="center"/>
          </w:tcPr>
          <w:p>
            <w:pPr>
              <w:pStyle w:val="TableContents"/>
              <w:bidi w:val="0"/>
              <w:spacing w:before="0" w:after="283"/>
              <w:jc w:val="left"/>
              <w:rPr/>
            </w:pPr>
            <w:r>
              <w:rPr/>
              <w:t>August 17,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5183" TargetMode="External"/><Relationship Id="rId5" Type="http://schemas.openxmlformats.org/officeDocument/2006/relationships/hyperlink" Target="http://www.sec.gov/cgi-bin/browse-edgar?action=getcompany&amp;CIK=00015808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655183" TargetMode="External"/><Relationship Id="rId10" Type="http://schemas.openxmlformats.org/officeDocument/2006/relationships/hyperlink" Target="http://www.sec.gov/cgi-bin/browse-edgar?action=getcompany&amp;CIK=0001730922" TargetMode="External"/><Relationship Id="rId11" Type="http://schemas.openxmlformats.org/officeDocument/2006/relationships/hyperlink" Target="http://www.sec.gov/cgi-bin/browse-edgar?action=getcompany&amp;CIK=0001367262" TargetMode="External"/><Relationship Id="rId12" Type="http://schemas.openxmlformats.org/officeDocument/2006/relationships/hyperlink" Target="http://www.sec.gov/cgi-bin/browse-edgar?action=getcompany&amp;CIK=0002024855" TargetMode="External"/><Relationship Id="rId13" Type="http://schemas.openxmlformats.org/officeDocument/2006/relationships/hyperlink" Target="http://www.sec.gov/cgi-bin/browse-edgar?action=getcompany&amp;CIK=0002051254" TargetMode="External"/><Relationship Id="rId14" Type="http://schemas.openxmlformats.org/officeDocument/2006/relationships/hyperlink" Target="http://www.sec.gov/cgi-bin/browse-edgar?action=getcompany&amp;CIK=0001926971" TargetMode="External"/><Relationship Id="rId15" Type="http://schemas.openxmlformats.org/officeDocument/2006/relationships/hyperlink" Target="http://www.sec.gov/cgi-bin/browse-edgar?action=getcompany&amp;CIK=0001813394" TargetMode="External"/><Relationship Id="rId16" Type="http://schemas.openxmlformats.org/officeDocument/2006/relationships/hyperlink" Target="http://www.sec.gov/cgi-bin/browse-edgar?action=getcompany&amp;CIK=0001813765" TargetMode="External"/><Relationship Id="rId17" Type="http://schemas.openxmlformats.org/officeDocument/2006/relationships/hyperlink" Target="http://www.sec.gov/cgi-bin/browse-edgar?action=getcompany&amp;CIK=0001763080" TargetMode="External"/><Relationship Id="rId18" Type="http://schemas.openxmlformats.org/officeDocument/2006/relationships/hyperlink" Target="http://www.sec.gov/cgi-bin/browse-edgar?action=getcompany&amp;CIK=0001860577"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2582</Words>
  <Characters>13910</Characters>
  <CharactersWithSpaces>16357</CharactersWithSpaces>
  <Paragraphs>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