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48895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83820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2"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2024</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876" w:right="339" w:bottom="1440" w:gutter="0" w:footer="0" w:header="0"/>
        </w:sectPr>
      </w:pPr>
    </w:p>
    <w:p>
      <w:pPr>
        <w:spacing w:after="0" w:line="63"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49" w:lineRule="exact"/>
        <w:rPr>
          <w:sz w:val="24"/>
          <w:szCs w:val="24"/>
          <w:color w:val="auto"/>
        </w:rPr>
      </w:pPr>
    </w:p>
    <w:p>
      <w:pPr>
        <w:sectPr>
          <w:pgSz w:w="11900" w:h="16838" w:orient="portrait"/>
          <w:cols w:equalWidth="0" w:num="2">
            <w:col w:w="6300" w:space="700"/>
            <w:col w:w="4240"/>
          </w:cols>
          <w:pgMar w:left="320" w:top="876"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67945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446"/>
        </w:trPr>
        <w:tc>
          <w:tcPr>
            <w:tcW w:w="3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5"/>
          </w:tcPr>
          <w:p>
            <w:pPr>
              <w:jc w:val="center"/>
              <w:ind w:right="540"/>
              <w:spacing w:after="0"/>
              <w:rPr>
                <w:sz w:val="20"/>
                <w:szCs w:val="20"/>
                <w:color w:val="auto"/>
              </w:rPr>
            </w:pPr>
            <w:r>
              <w:rPr>
                <w:rFonts w:ascii="Arial" w:cs="Arial" w:eastAsia="Arial" w:hAnsi="Arial"/>
                <w:sz w:val="36"/>
                <w:szCs w:val="36"/>
                <w:b w:val="1"/>
                <w:bCs w:val="1"/>
                <w:color w:val="auto"/>
                <w:w w:val="99"/>
              </w:rPr>
              <w:t>VROOM,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54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rPr>
              <w:t>Delaware</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901112566</w:t>
            </w:r>
          </w:p>
        </w:tc>
        <w:tc>
          <w:tcPr>
            <w:tcW w:w="0" w:type="dxa"/>
            <w:vAlign w:val="bottom"/>
          </w:tcPr>
          <w:p>
            <w:pPr>
              <w:spacing w:after="0"/>
              <w:rPr>
                <w:sz w:val="1"/>
                <w:szCs w:val="1"/>
                <w:color w:val="auto"/>
              </w:rPr>
            </w:pPr>
          </w:p>
        </w:tc>
      </w:tr>
      <w:tr>
        <w:trPr>
          <w:trHeight w:val="261"/>
        </w:trPr>
        <w:tc>
          <w:tcPr>
            <w:tcW w:w="354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(State or Other Jurisdiction of</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Incorporation or Organization)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5"/>
            <w:vMerge w:val="restart"/>
          </w:tcPr>
          <w:p>
            <w:pPr>
              <w:jc w:val="center"/>
              <w:ind w:right="540"/>
              <w:spacing w:after="0"/>
              <w:rPr>
                <w:sz w:val="20"/>
                <w:szCs w:val="20"/>
                <w:color w:val="auto"/>
              </w:rPr>
            </w:pPr>
            <w:r>
              <w:rPr>
                <w:rFonts w:ascii="Arial" w:cs="Arial" w:eastAsia="Arial" w:hAnsi="Arial"/>
                <w:sz w:val="14"/>
                <w:szCs w:val="14"/>
                <w:b w:val="1"/>
                <w:bCs w:val="1"/>
                <w:color w:val="auto"/>
              </w:rPr>
              <w:t>3600 W Sam Houston Pkwy S, Floor 4</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141"/>
        </w:trPr>
        <w:tc>
          <w:tcPr>
            <w:tcW w:w="3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5"/>
            <w:vMerge w:val="continue"/>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rPr>
              <w:t>Houston, Texas 77042</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200" w:type="dxa"/>
            <w:vAlign w:val="bottom"/>
            <w:gridSpan w:val="4"/>
          </w:tcPr>
          <w:p>
            <w:pPr>
              <w:jc w:val="center"/>
              <w:ind w:left="908"/>
              <w:spacing w:after="0"/>
              <w:rPr>
                <w:sz w:val="20"/>
                <w:szCs w:val="20"/>
                <w:color w:val="auto"/>
              </w:rPr>
            </w:pPr>
            <w:r>
              <w:rPr>
                <w:rFonts w:ascii="Arial" w:cs="Arial" w:eastAsia="Arial" w:hAnsi="Arial"/>
                <w:sz w:val="14"/>
                <w:szCs w:val="14"/>
                <w:b w:val="1"/>
                <w:bCs w:val="1"/>
                <w:color w:val="auto"/>
              </w:rPr>
              <w:t>(518) 535-9125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500" w:type="dxa"/>
            <w:vAlign w:val="bottom"/>
            <w:gridSpan w:val="4"/>
            <w:vMerge w:val="restart"/>
          </w:tcPr>
          <w:p>
            <w:pPr>
              <w:ind w:left="380"/>
              <w:spacing w:after="0"/>
              <w:rPr>
                <w:sz w:val="20"/>
                <w:szCs w:val="20"/>
                <w:color w:val="auto"/>
              </w:rPr>
            </w:pPr>
            <w:r>
              <w:rPr>
                <w:rFonts w:ascii="Arial" w:cs="Arial" w:eastAsia="Arial" w:hAnsi="Arial"/>
                <w:sz w:val="16"/>
                <w:szCs w:val="16"/>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00" w:type="dxa"/>
            <w:vAlign w:val="bottom"/>
            <w:vMerge w:val="restart"/>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500" w:type="dxa"/>
            <w:vAlign w:val="bottom"/>
            <w:gridSpan w:val="4"/>
            <w:vMerge w:val="continue"/>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3540" w:type="dxa"/>
            <w:vAlign w:val="bottom"/>
          </w:tcPr>
          <w:p>
            <w:pPr>
              <w:jc w:val="center"/>
              <w:ind w:left="525"/>
              <w:spacing w:after="0"/>
              <w:rPr>
                <w:sz w:val="20"/>
                <w:szCs w:val="20"/>
                <w:color w:val="auto"/>
              </w:rPr>
            </w:pPr>
            <w:r>
              <w:rPr>
                <w:rFonts w:ascii="Arial" w:cs="Arial" w:eastAsia="Arial" w:hAnsi="Arial"/>
                <w:sz w:val="14"/>
                <w:szCs w:val="14"/>
                <w:b w:val="1"/>
                <w:bCs w:val="1"/>
                <w:color w:val="auto"/>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Trading Symbol(s)</w:t>
            </w:r>
          </w:p>
        </w:tc>
        <w:tc>
          <w:tcPr>
            <w:tcW w:w="3680" w:type="dxa"/>
            <w:vAlign w:val="bottom"/>
          </w:tcPr>
          <w:p>
            <w:pPr>
              <w:jc w:val="center"/>
              <w:ind w:right="306"/>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3540" w:type="dxa"/>
            <w:vAlign w:val="bottom"/>
            <w:tcBorders>
              <w:top w:val="single" w:sz="8" w:color="auto"/>
            </w:tcBorders>
          </w:tcPr>
          <w:p>
            <w:pPr>
              <w:jc w:val="center"/>
              <w:ind w:left="545"/>
              <w:spacing w:after="0"/>
              <w:rPr>
                <w:sz w:val="20"/>
                <w:szCs w:val="20"/>
                <w:color w:val="auto"/>
              </w:rPr>
            </w:pPr>
            <w:r>
              <w:rPr>
                <w:rFonts w:ascii="Arial" w:cs="Arial" w:eastAsia="Arial" w:hAnsi="Arial"/>
                <w:sz w:val="16"/>
                <w:szCs w:val="16"/>
                <w:color w:val="auto"/>
              </w:rPr>
              <w:t>Common Stock, $0.001 par value</w:t>
            </w: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VRM</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jc w:val="center"/>
              <w:ind w:right="306"/>
              <w:spacing w:after="0"/>
              <w:rPr>
                <w:sz w:val="20"/>
                <w:szCs w:val="20"/>
                <w:color w:val="auto"/>
              </w:rPr>
            </w:pPr>
            <w:r>
              <w:rPr>
                <w:rFonts w:ascii="Arial" w:cs="Arial" w:eastAsia="Arial" w:hAnsi="Arial"/>
                <w:sz w:val="16"/>
                <w:szCs w:val="16"/>
                <w:color w:val="auto"/>
              </w:rPr>
              <w:t>Nasdaq Global Select</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right="40" w:firstLine="374"/>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right="120" w:firstLine="374"/>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jc w:val="both"/>
        <w:ind w:firstLine="374"/>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300" w:firstLine="37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80" w:right="246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7, 2024, 1,809,267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0000FF"/>
        </w:rPr>
        <w:t>Table of Contents</w:t>
      </w:r>
    </w:p>
    <w:tbl>
      <w:tblPr>
        <w:tblLayout w:type="fixed"/>
        <w:tblInd w:w="0" w:type="dxa"/>
        <w:tblCellMar>
          <w:top w:w="0" w:type="dxa"/>
          <w:left w:w="0" w:type="dxa"/>
          <w:bottom w:w="0" w:type="dxa"/>
          <w:right w:w="0" w:type="dxa"/>
        </w:tblCellMar>
      </w:tblPr>
      <w:tr>
        <w:trPr>
          <w:trHeight w:val="267"/>
        </w:trPr>
        <w:tc>
          <w:tcPr>
            <w:tcW w:w="2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34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3"/>
                <w:szCs w:val="23"/>
                <w:color w:val="auto"/>
              </w:rPr>
            </w:pPr>
          </w:p>
        </w:tc>
      </w:tr>
      <w:tr>
        <w:trPr>
          <w:trHeight w:val="41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11"/>
        </w:trPr>
        <w:tc>
          <w:tcPr>
            <w:tcW w:w="20" w:type="dxa"/>
            <w:vAlign w:val="bottom"/>
          </w:tcPr>
          <w:p>
            <w:pPr>
              <w:spacing w:after="0"/>
              <w:rPr>
                <w:sz w:val="24"/>
                <w:szCs w:val="24"/>
                <w:color w:val="auto"/>
              </w:rPr>
            </w:pPr>
          </w:p>
        </w:tc>
        <w:tc>
          <w:tcPr>
            <w:tcW w:w="2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Part I - Financial Information</w:t>
            </w:r>
          </w:p>
        </w:tc>
        <w:tc>
          <w:tcPr>
            <w:tcW w:w="818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1.</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Balance Sheets as of March 31, 2024 and December 31, 2023 (unaudited)</w:t>
            </w:r>
          </w:p>
        </w:tc>
        <w:tc>
          <w:tcPr>
            <w:tcW w:w="20" w:type="dxa"/>
            <w:vAlign w:val="bottom"/>
            <w:tcBorders>
              <w:bottom w:val="single" w:sz="8" w:color="0000EE"/>
            </w:tcBorders>
          </w:tcPr>
          <w:p>
            <w:pPr>
              <w:spacing w:after="0"/>
              <w:rPr>
                <w:sz w:val="18"/>
                <w:szCs w:val="18"/>
                <w:color w:val="auto"/>
              </w:rPr>
            </w:pPr>
          </w:p>
        </w:tc>
        <w:tc>
          <w:tcPr>
            <w:tcW w:w="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2024 and 2023</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(unaudited)</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w w:val="99"/>
              </w:rPr>
              <w:t>Condensed Consolidated Statements of Changes in Stockholders' Equity for the Three Months Ended March 31,</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94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2024 and 2023 (unaudited)</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Cash Flows for the Three Months Ended March 31, 2024 and 2023</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182"/>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(unaudited)</w:t>
            </w:r>
          </w:p>
        </w:tc>
        <w:tc>
          <w:tcPr>
            <w:tcW w:w="3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0" w:type="dxa"/>
            <w:vAlign w:val="bottom"/>
            <w:tcBorders>
              <w:bottom w:val="single" w:sz="8" w:color="0000EE"/>
            </w:tcBorders>
          </w:tcPr>
          <w:p>
            <w:pPr>
              <w:spacing w:after="0"/>
              <w:rPr>
                <w:sz w:val="18"/>
                <w:szCs w:val="18"/>
                <w:color w:val="auto"/>
              </w:rPr>
            </w:pPr>
          </w:p>
        </w:tc>
        <w:tc>
          <w:tcPr>
            <w:tcW w:w="352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2.</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Item 3.</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19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9"/>
        </w:trPr>
        <w:tc>
          <w:tcPr>
            <w:tcW w:w="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8"/>
              </w:rPr>
              <w:t>Item 4.</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8"/>
              </w:rPr>
              <w:t>Controls and Procedures</w:t>
            </w:r>
          </w:p>
        </w:tc>
        <w:tc>
          <w:tcPr>
            <w:tcW w:w="2620" w:type="dxa"/>
            <w:vAlign w:val="bottom"/>
            <w:tcBorders>
              <w:top w:val="single" w:sz="8" w:color="0000FF"/>
            </w:tcBorders>
            <w:gridSpan w:val="4"/>
          </w:tcPr>
          <w:p>
            <w:pPr>
              <w:spacing w:after="0"/>
              <w:rPr>
                <w:sz w:val="18"/>
                <w:szCs w:val="18"/>
                <w:color w:val="auto"/>
              </w:rPr>
            </w:pPr>
          </w:p>
        </w:tc>
        <w:tc>
          <w:tcPr>
            <w:tcW w:w="43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8"/>
        </w:trPr>
        <w:tc>
          <w:tcPr>
            <w:tcW w:w="20" w:type="dxa"/>
            <w:vAlign w:val="bottom"/>
          </w:tcPr>
          <w:p>
            <w:pPr>
              <w:spacing w:after="0"/>
              <w:rPr>
                <w:sz w:val="24"/>
                <w:szCs w:val="24"/>
                <w:color w:val="auto"/>
              </w:rPr>
            </w:pPr>
          </w:p>
        </w:tc>
        <w:tc>
          <w:tcPr>
            <w:tcW w:w="10440" w:type="dxa"/>
            <w:vAlign w:val="bottom"/>
            <w:gridSpan w:val="26"/>
          </w:tcPr>
          <w:p>
            <w:pPr>
              <w:spacing w:after="0"/>
              <w:rPr>
                <w:sz w:val="20"/>
                <w:szCs w:val="20"/>
                <w:color w:val="auto"/>
              </w:rPr>
            </w:pPr>
            <w:r>
              <w:rPr>
                <w:rFonts w:ascii="Arial" w:cs="Arial" w:eastAsia="Arial" w:hAnsi="Arial"/>
                <w:sz w:val="18"/>
                <w:szCs w:val="18"/>
                <w:color w:val="0000FF"/>
              </w:rPr>
              <w:t>Part II - 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1.</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Legal Proceedings</w:t>
            </w:r>
          </w:p>
        </w:tc>
        <w:tc>
          <w:tcPr>
            <w:tcW w:w="74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Item 1A.</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12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3.</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Defaults Upon Senior Securities</w:t>
            </w:r>
          </w:p>
        </w:tc>
        <w:tc>
          <w:tcPr>
            <w:tcW w:w="6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Item 4.</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Mine Safety Disclosures</w:t>
            </w:r>
          </w:p>
        </w:tc>
        <w:tc>
          <w:tcPr>
            <w:tcW w:w="704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8"/>
              </w:rPr>
              <w:t>Item 5.</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96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9"/>
        </w:trPr>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Item 6.</w:t>
            </w: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5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4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804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67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00" w:type="dxa"/>
            <w:vAlign w:val="bottom"/>
            <w:gridSpan w:val="13"/>
          </w:tcPr>
          <w:p>
            <w:pPr>
              <w:jc w:val="right"/>
              <w:ind w:right="3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3"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 xml:space="preserve">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general economic and market conditions, our future results of operations and financial condition, business strategy, and plans and objectives of management for future operations, including the impact of the Value Maximization Plan and Ecommerce Wind-Down, the ongoing activities of and potential growth of our UACC and CarStory businesses, and the impact, if any, of identified errors in our financial statements, and the impact, if any, of identified errors in our financial statements, are forward-looking statements. In some cases, forward-looking statements may be identified by words such as "anticipate," "believe," "contemplate," "continue," "could," "design," "estimate," "expect," "intend," "may," "plan," "potentially," "predict," "project," "should," </w:t>
      </w:r>
      <w:r>
        <w:rPr>
          <w:rFonts w:ascii="Calibri" w:cs="Calibri" w:eastAsia="Calibri" w:hAnsi="Calibri"/>
          <w:sz w:val="19"/>
          <w:szCs w:val="19"/>
          <w:color w:val="auto"/>
        </w:rPr>
        <w:t>"</w:t>
      </w:r>
      <w:r>
        <w:rPr>
          <w:rFonts w:ascii="Arial" w:cs="Arial" w:eastAsia="Arial" w:hAnsi="Arial"/>
          <w:sz w:val="18"/>
          <w:szCs w:val="18"/>
          <w:color w:val="auto"/>
        </w:rPr>
        <w:t>target,"</w:t>
      </w:r>
    </w:p>
    <w:p>
      <w:pPr>
        <w:spacing w:after="0" w:line="293" w:lineRule="auto"/>
        <w:rPr>
          <w:sz w:val="20"/>
          <w:szCs w:val="20"/>
          <w:color w:val="auto"/>
        </w:rPr>
      </w:pPr>
      <w:r>
        <w:rPr>
          <w:rFonts w:ascii="Arial" w:cs="Arial" w:eastAsia="Arial" w:hAnsi="Arial"/>
          <w:sz w:val="18"/>
          <w:szCs w:val="18"/>
          <w:color w:val="auto"/>
        </w:rPr>
        <w:t xml:space="preserve">"will," </w:t>
      </w:r>
      <w:r>
        <w:rPr>
          <w:rFonts w:ascii="Calibri" w:cs="Calibri" w:eastAsia="Calibri" w:hAnsi="Calibri"/>
          <w:sz w:val="19"/>
          <w:szCs w:val="19"/>
          <w:color w:val="auto"/>
        </w:rPr>
        <w:t>"</w:t>
      </w:r>
      <w:r>
        <w:rPr>
          <w:rFonts w:ascii="Arial" w:cs="Arial" w:eastAsia="Arial" w:hAnsi="Arial"/>
          <w:sz w:val="18"/>
          <w:szCs w:val="18"/>
          <w:color w:val="auto"/>
        </w:rPr>
        <w:t>would," or the negative of these terms or other similar terms or expressions, although not all forward-looking statements contain these identifying words.</w:t>
      </w:r>
    </w:p>
    <w:p>
      <w:pPr>
        <w:spacing w:after="0" w:line="129"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p>
    <w:p>
      <w:pPr>
        <w:spacing w:after="0" w:line="71" w:lineRule="exact"/>
        <w:rPr>
          <w:sz w:val="20"/>
          <w:szCs w:val="20"/>
          <w:color w:val="auto"/>
        </w:rPr>
      </w:pPr>
    </w:p>
    <w:p>
      <w:pPr>
        <w:ind w:left="1020" w:right="14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there are risks associated with the discontinuance of our ecommerce operations and wind-down of our used vehicle dealership business;</w:t>
      </w:r>
    </w:p>
    <w:p>
      <w:pPr>
        <w:spacing w:after="0" w:line="45" w:lineRule="exact"/>
        <w:rPr>
          <w:rFonts w:ascii="Times New Roman" w:cs="Times New Roman" w:eastAsia="Times New Roman" w:hAnsi="Times New Roman"/>
          <w:sz w:val="18"/>
          <w:szCs w:val="18"/>
          <w:color w:val="auto"/>
        </w:rPr>
      </w:pPr>
    </w:p>
    <w:p>
      <w:pPr>
        <w:ind w:left="1020" w:right="40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Value Maximization Plan may not be successful, and may not lead to growth and enhanced profitability for our UACC or CarStory businesses;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generate sufficient liquidity to operate our business;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15" w:lineRule="exact"/>
        <w:rPr>
          <w:rFonts w:ascii="Times New Roman" w:cs="Times New Roman" w:eastAsia="Times New Roman" w:hAnsi="Times New Roman"/>
          <w:sz w:val="18"/>
          <w:szCs w:val="18"/>
          <w:color w:val="auto"/>
        </w:rPr>
      </w:pPr>
    </w:p>
    <w:p>
      <w:pPr>
        <w:ind w:left="1020" w:right="220" w:hanging="504"/>
        <w:spacing w:after="0" w:line="300"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22" w:lineRule="exact"/>
        <w:rPr>
          <w:rFonts w:ascii="Times New Roman" w:cs="Times New Roman" w:eastAsia="Times New Roman" w:hAnsi="Times New Roman"/>
          <w:sz w:val="17"/>
          <w:szCs w:val="17"/>
          <w:color w:val="auto"/>
        </w:rPr>
      </w:pPr>
    </w:p>
    <w:p>
      <w:pPr>
        <w:ind w:left="1020" w:right="380" w:hanging="504"/>
        <w:spacing w:after="0" w:line="300" w:lineRule="auto"/>
        <w:tabs>
          <w:tab w:leader="none" w:pos="102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22" w:lineRule="exact"/>
        <w:rPr>
          <w:rFonts w:ascii="Times New Roman" w:cs="Times New Roman" w:eastAsia="Times New Roman" w:hAnsi="Times New Roman"/>
          <w:sz w:val="17"/>
          <w:szCs w:val="17"/>
          <w:color w:val="auto"/>
        </w:rPr>
      </w:pPr>
    </w:p>
    <w:p>
      <w:pPr>
        <w:jc w:val="both"/>
        <w:ind w:left="1020" w:right="54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1020" w:right="16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recent reverse stock split may not result in the market price per share of our common stock to either exceed or remain in excess of the $1.00 minimum bid price as required by Nasdaq (as defined herein), or have any of its other anticipated impacts, and we may be unable to satisfy other Nasdaq continued listing rules;</w:t>
      </w:r>
    </w:p>
    <w:p>
      <w:pPr>
        <w:spacing w:after="0" w:line="61" w:lineRule="exact"/>
        <w:rPr>
          <w:rFonts w:ascii="Times New Roman" w:cs="Times New Roman" w:eastAsia="Times New Roman" w:hAnsi="Times New Roman"/>
          <w:sz w:val="18"/>
          <w:szCs w:val="18"/>
          <w:color w:val="auto"/>
        </w:rPr>
      </w:pPr>
    </w:p>
    <w:p>
      <w:pPr>
        <w:ind w:left="1020" w:right="28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may be unable to sell automotive finance receivables and generate gains on sales of those finance receivables, which could harm our business, results of operations, and financial condition;</w:t>
      </w:r>
    </w:p>
    <w:p>
      <w:pPr>
        <w:spacing w:after="0" w:line="45" w:lineRule="exact"/>
        <w:rPr>
          <w:rFonts w:ascii="Times New Roman" w:cs="Times New Roman" w:eastAsia="Times New Roman" w:hAnsi="Times New Roman"/>
          <w:sz w:val="18"/>
          <w:szCs w:val="18"/>
          <w:color w:val="auto"/>
        </w:rPr>
      </w:pPr>
    </w:p>
    <w:p>
      <w:pPr>
        <w:ind w:left="1020" w:right="200" w:hanging="504"/>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UACC's securitizations may expose it to financing and other risks, and there can be no assurance that it will be able to access the securitization market in the future, which may require it to seek more costly financing;</w:t>
      </w:r>
    </w:p>
    <w:p>
      <w:pPr>
        <w:spacing w:after="0" w:line="45" w:lineRule="exact"/>
        <w:rPr>
          <w:rFonts w:ascii="Times New Roman" w:cs="Times New Roman" w:eastAsia="Times New Roman" w:hAnsi="Times New Roman"/>
          <w:sz w:val="18"/>
          <w:szCs w:val="18"/>
          <w:color w:val="auto"/>
        </w:rPr>
      </w:pPr>
    </w:p>
    <w:p>
      <w:pPr>
        <w:ind w:left="1020" w:right="460" w:hanging="504"/>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UACC loses servicing rights on its automobile contracts, our results of operations would be negatively impacted;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ind w:left="1020" w:right="60" w:hanging="504"/>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61" w:lineRule="exact"/>
        <w:rPr>
          <w:rFonts w:ascii="Times New Roman" w:cs="Times New Roman" w:eastAsia="Times New Roman" w:hAnsi="Times New Roman"/>
          <w:sz w:val="18"/>
          <w:szCs w:val="18"/>
          <w:color w:val="auto"/>
        </w:rPr>
      </w:pPr>
    </w:p>
    <w:p>
      <w:pPr>
        <w:ind w:left="1020" w:right="200" w:hanging="504"/>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1020" w:right="220" w:hanging="504"/>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actual operating results may differ significantly from our guidance; and</w:t>
      </w:r>
    </w:p>
    <w:p>
      <w:pPr>
        <w:spacing w:after="0" w:line="115" w:lineRule="exact"/>
        <w:rPr>
          <w:rFonts w:ascii="Times New Roman" w:cs="Times New Roman" w:eastAsia="Times New Roman" w:hAnsi="Times New Roman"/>
          <w:sz w:val="18"/>
          <w:szCs w:val="18"/>
          <w:color w:val="auto"/>
        </w:rPr>
      </w:pPr>
    </w:p>
    <w:p>
      <w:pPr>
        <w:ind w:left="1020" w:hanging="504"/>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described in the section titled "Risk Factors" in our Annual Report on Form 10-K for the year ended December 31, 2023 and elsewhere in this Quarterly Report on Form 10-Q.</w:t>
      </w:r>
    </w:p>
    <w:p>
      <w:pPr>
        <w:spacing w:after="0" w:line="154"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79"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ind w:left="3440"/>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ind w:left="340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center"/>
              <w:ind w:right="4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85"/>
        </w:trPr>
        <w:tc>
          <w:tcPr>
            <w:tcW w:w="7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60"/>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2023</w:t>
            </w:r>
          </w:p>
        </w:tc>
      </w:tr>
      <w:tr>
        <w:trPr>
          <w:trHeight w:val="20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90,990</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135,585</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cash (including restricted cash of consolidated VIEs of $48.1 million and $49.1 million,</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49,516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73,234</w:t>
            </w: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$381.3 million and $341.4 million, respectively)</w:t>
            </w:r>
          </w:p>
        </w:tc>
        <w:tc>
          <w:tcPr>
            <w:tcW w:w="32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421,279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348,670</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$450.0 million and $457.2 million, respectively)</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454,189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503,546</w:t>
            </w: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Interest receivable (including interest receivables of consolidated VIEs of $13.4 million and</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$13.7 million, respectively)</w:t>
            </w:r>
          </w:p>
        </w:tc>
        <w:tc>
          <w:tcPr>
            <w:tcW w:w="32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14,142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14,484</w:t>
            </w:r>
          </w:p>
        </w:tc>
      </w:tr>
      <w:tr>
        <w:trPr>
          <w:trHeight w:val="217"/>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2,414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4,982</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125,136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131,892</w:t>
            </w: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6,751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7,063</w:t>
            </w: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Other assets (including other assets of consolidated VIEs of $11.4 million and $13.3 million,</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39,708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59,429</w:t>
            </w: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Assets from discontinued operations</w:t>
            </w:r>
          </w:p>
        </w:tc>
        <w:tc>
          <w:tcPr>
            <w:tcW w:w="3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18,142</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196,537</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1,222,267</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1,475,422</w:t>
            </w:r>
          </w:p>
        </w:tc>
      </w:tr>
      <w:tr>
        <w:trPr>
          <w:trHeight w:val="20"/>
        </w:trPr>
        <w:tc>
          <w:tcPr>
            <w:tcW w:w="7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516,276</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421,268</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(including securitization debt of consolidated VIEs of $238.0 million and</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$314.1 million at fair value, respectively)</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548,142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626,583</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9,809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10,459</w:t>
            </w: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 (including other liabilities of consolidated VIEs of $16.0 million and $14.3 million,</w:t>
            </w:r>
          </w:p>
        </w:tc>
        <w:tc>
          <w:tcPr>
            <w:tcW w:w="32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61,260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61,321</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Liabilities from discontinued operations</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25,293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228,120</w:t>
            </w:r>
          </w:p>
        </w:tc>
      </w:tr>
      <w:tr>
        <w:trPr>
          <w:trHeight w:val="20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1,160,780</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1,347,751</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Common stock, $0.001 par value; 500,000,000 shares authorized as of March 31, 2024 and</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9"/>
        </w:trPr>
        <w:tc>
          <w:tcPr>
            <w:tcW w:w="7440" w:type="dxa"/>
            <w:vAlign w:val="bottom"/>
          </w:tcPr>
          <w:p>
            <w:pPr>
              <w:ind w:left="20"/>
              <w:spacing w:after="0"/>
              <w:rPr>
                <w:sz w:val="20"/>
                <w:szCs w:val="20"/>
                <w:color w:val="auto"/>
              </w:rPr>
            </w:pPr>
            <w:r>
              <w:rPr>
                <w:rFonts w:ascii="Arial" w:cs="Arial" w:eastAsia="Arial" w:hAnsi="Arial"/>
                <w:sz w:val="16"/>
                <w:szCs w:val="16"/>
                <w:color w:val="auto"/>
              </w:rPr>
              <w:t>December 31, 2023; 1,795,626 and 1,791,286 shares issued and outstanding as of March 31, 2024</w:t>
            </w: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and December 31, 2023, respectively</w:t>
            </w:r>
          </w:p>
        </w:tc>
        <w:tc>
          <w:tcPr>
            <w:tcW w:w="32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217"/>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3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2,089,814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2,088,381</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(2,028,329 )</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(1,960,712 )</w:t>
            </w:r>
          </w:p>
        </w:tc>
      </w:tr>
      <w:tr>
        <w:trPr>
          <w:trHeight w:val="20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61,487</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127,671</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1,222,267</w:t>
            </w: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1,475,422</w:t>
            </w:r>
          </w:p>
        </w:tc>
      </w:tr>
      <w:tr>
        <w:trPr>
          <w:trHeight w:val="20"/>
        </w:trPr>
        <w:tc>
          <w:tcPr>
            <w:tcW w:w="7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-2628265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-1249680</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-170815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VROOM, INC.</w:t>
      </w:r>
    </w:p>
    <w:p>
      <w:pPr>
        <w:ind w:left="2900"/>
        <w:spacing w:after="0" w:line="234" w:lineRule="auto"/>
        <w:rPr>
          <w:sz w:val="20"/>
          <w:szCs w:val="20"/>
          <w:color w:val="auto"/>
        </w:rPr>
      </w:pPr>
      <w:r>
        <w:rPr>
          <w:rFonts w:ascii="Arial" w:cs="Arial" w:eastAsia="Arial" w:hAnsi="Arial"/>
          <w:sz w:val="18"/>
          <w:szCs w:val="18"/>
          <w:b w:val="1"/>
          <w:bCs w:val="1"/>
          <w:color w:val="auto"/>
        </w:rPr>
        <w:t>CONDENSED CONSOLIDATED STATEMENTS OF OPERATIONS</w:t>
      </w:r>
    </w:p>
    <w:p>
      <w:pPr>
        <w:ind w:left="3400"/>
        <w:spacing w:after="0" w:line="235"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6350</wp:posOffset>
            </wp:positionV>
            <wp:extent cx="24999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51,077</w:t>
            </w:r>
          </w:p>
        </w:tc>
        <w:tc>
          <w:tcPr>
            <w:tcW w:w="5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34,368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tcPr>
          <w:p>
            <w:pPr>
              <w:ind w:left="100"/>
              <w:spacing w:after="0"/>
              <w:rPr>
                <w:sz w:val="20"/>
                <w:szCs w:val="20"/>
                <w:color w:val="auto"/>
              </w:rPr>
            </w:pPr>
            <w:r>
              <w:rPr>
                <w:rFonts w:ascii="Arial" w:cs="Arial" w:eastAsia="Arial" w:hAnsi="Arial"/>
                <w:sz w:val="16"/>
                <w:szCs w:val="16"/>
                <w:color w:val="auto"/>
              </w:rPr>
              <w:t>Warehouse credit facility</w:t>
            </w:r>
          </w:p>
        </w:tc>
        <w:tc>
          <w:tcPr>
            <w:tcW w:w="4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9,471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3,099</w:t>
            </w: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Securitization debt</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4,869</w:t>
            </w:r>
          </w:p>
        </w:tc>
        <w:tc>
          <w:tcPr>
            <w:tcW w:w="1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4,345</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6"/>
                <w:szCs w:val="16"/>
                <w:color w:val="auto"/>
              </w:rPr>
              <w:t>Total interest expense</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14,340</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7,444</w:t>
            </w: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Net interest income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36,737</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26,924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Realized and unrealized losses, net of recoveries</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30,819</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15,728</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6"/>
                <w:szCs w:val="16"/>
                <w:color w:val="auto"/>
              </w:rPr>
              <w:t>Net interest income after losses and recoveries</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5,918</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11,196</w:t>
            </w: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Noninterest (loss) income:</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Servicing income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2,019</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215"/>
        </w:trPr>
        <w:tc>
          <w:tcPr>
            <w:tcW w:w="7160" w:type="dxa"/>
            <w:vAlign w:val="bottom"/>
          </w:tcPr>
          <w:p>
            <w:pPr>
              <w:ind w:left="100"/>
              <w:spacing w:after="0"/>
              <w:rPr>
                <w:sz w:val="20"/>
                <w:szCs w:val="20"/>
                <w:color w:val="auto"/>
              </w:rPr>
            </w:pPr>
            <w:r>
              <w:rPr>
                <w:rFonts w:ascii="Arial" w:cs="Arial" w:eastAsia="Arial" w:hAnsi="Arial"/>
                <w:sz w:val="16"/>
                <w:szCs w:val="16"/>
                <w:color w:val="auto"/>
              </w:rPr>
              <w:t>Warranties and GAP income, net</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(9,642 )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2,835</w:t>
            </w: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CarStory revenue</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2,979</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3,170</w:t>
            </w:r>
          </w:p>
        </w:tc>
        <w:tc>
          <w:tcPr>
            <w:tcW w:w="0" w:type="dxa"/>
            <w:vAlign w:val="bottom"/>
          </w:tcPr>
          <w:p>
            <w:pPr>
              <w:spacing w:after="0"/>
              <w:rPr>
                <w:sz w:val="1"/>
                <w:szCs w:val="1"/>
                <w:color w:val="auto"/>
              </w:rPr>
            </w:pPr>
          </w:p>
        </w:tc>
      </w:tr>
      <w:tr>
        <w:trPr>
          <w:trHeight w:val="215"/>
        </w:trPr>
        <w:tc>
          <w:tcPr>
            <w:tcW w:w="7160" w:type="dxa"/>
            <w:vAlign w:val="bottom"/>
          </w:tcPr>
          <w:p>
            <w:pPr>
              <w:ind w:left="100"/>
              <w:spacing w:after="0"/>
              <w:rPr>
                <w:sz w:val="20"/>
                <w:szCs w:val="20"/>
                <w:color w:val="auto"/>
              </w:rPr>
            </w:pPr>
            <w:r>
              <w:rPr>
                <w:rFonts w:ascii="Arial" w:cs="Arial" w:eastAsia="Arial" w:hAnsi="Arial"/>
                <w:sz w:val="16"/>
                <w:szCs w:val="16"/>
                <w:color w:val="auto"/>
              </w:rPr>
              <w:t>Gain on debt extinguishment</w:t>
            </w:r>
          </w:p>
        </w:tc>
        <w:tc>
          <w:tcPr>
            <w:tcW w:w="4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8,709</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Other income</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2,784</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3,032</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6"/>
                <w:szCs w:val="16"/>
                <w:color w:val="auto"/>
              </w:rPr>
              <w:t>Total noninterest (loss) income</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(1,860 )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20,600</w:t>
            </w: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Expenses:</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Compensation and benefits</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24,110</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23,221</w:t>
            </w:r>
          </w:p>
        </w:tc>
        <w:tc>
          <w:tcPr>
            <w:tcW w:w="0" w:type="dxa"/>
            <w:vAlign w:val="bottom"/>
          </w:tcPr>
          <w:p>
            <w:pPr>
              <w:spacing w:after="0"/>
              <w:rPr>
                <w:sz w:val="1"/>
                <w:szCs w:val="1"/>
                <w:color w:val="auto"/>
              </w:rPr>
            </w:pPr>
          </w:p>
        </w:tc>
      </w:tr>
      <w:tr>
        <w:trPr>
          <w:trHeight w:val="215"/>
        </w:trPr>
        <w:tc>
          <w:tcPr>
            <w:tcW w:w="7160" w:type="dxa"/>
            <w:vAlign w:val="bottom"/>
          </w:tcPr>
          <w:p>
            <w:pPr>
              <w:ind w:left="100"/>
              <w:spacing w:after="0"/>
              <w:rPr>
                <w:sz w:val="20"/>
                <w:szCs w:val="20"/>
                <w:color w:val="auto"/>
              </w:rPr>
            </w:pPr>
            <w:r>
              <w:rPr>
                <w:rFonts w:ascii="Arial" w:cs="Arial" w:eastAsia="Arial" w:hAnsi="Arial"/>
                <w:sz w:val="16"/>
                <w:szCs w:val="16"/>
                <w:color w:val="auto"/>
              </w:rPr>
              <w:t>Professional fees</w:t>
            </w:r>
          </w:p>
        </w:tc>
        <w:tc>
          <w:tcPr>
            <w:tcW w:w="4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3,343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4,973</w:t>
            </w: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Software and IT costs</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4,622</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215"/>
        </w:trPr>
        <w:tc>
          <w:tcPr>
            <w:tcW w:w="716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7,626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7,232</w:t>
            </w: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 expense on corporate debt</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1,391</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15"/>
        </w:trPr>
        <w:tc>
          <w:tcPr>
            <w:tcW w:w="7160" w:type="dxa"/>
            <w:vAlign w:val="bottom"/>
          </w:tcPr>
          <w:p>
            <w:pPr>
              <w:ind w:left="100"/>
              <w:spacing w:after="0"/>
              <w:rPr>
                <w:sz w:val="20"/>
                <w:szCs w:val="20"/>
                <w:color w:val="auto"/>
              </w:rPr>
            </w:pPr>
            <w:r>
              <w:rPr>
                <w:rFonts w:ascii="Arial" w:cs="Arial" w:eastAsia="Arial" w:hAnsi="Arial"/>
                <w:sz w:val="16"/>
                <w:szCs w:val="16"/>
                <w:color w:val="auto"/>
              </w:rPr>
              <w:t>Impairment charges</w:t>
            </w:r>
          </w:p>
        </w:tc>
        <w:tc>
          <w:tcPr>
            <w:tcW w:w="4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2,752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Other expenses</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4,454</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5,199</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6"/>
                <w:szCs w:val="16"/>
                <w:color w:val="auto"/>
              </w:rPr>
              <w:t>Total expenses</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48,298</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47,211</w:t>
            </w: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Loss from continuing operations before provision for income taxes</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(44,240 )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(15,415 )</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Provision for income taxes from continuing operations</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436</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6"/>
                <w:szCs w:val="16"/>
                <w:color w:val="auto"/>
              </w:rPr>
              <w:t>Net loss from continuing operations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(44,676 )</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(15,469 )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Net loss from discontinued operations</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(22,941 )</w:t>
            </w:r>
          </w:p>
        </w:tc>
        <w:tc>
          <w:tcPr>
            <w:tcW w:w="5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(59,272 )</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color w:val="auto"/>
              </w:rPr>
              <w:t>Net loss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(67,617 )</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(74,741 )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 continuing operations, basic and 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(24.90 )</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(8.93 )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60" w:type="dxa"/>
            <w:vAlign w:val="bottom"/>
            <w:shd w:val="clear" w:color="auto" w:fill="CFF0FC"/>
          </w:tcPr>
          <w:p>
            <w:pPr>
              <w:spacing w:after="0" w:line="182" w:lineRule="exact"/>
              <w:rPr>
                <w:sz w:val="20"/>
                <w:szCs w:val="20"/>
                <w:color w:val="auto"/>
              </w:rPr>
            </w:pPr>
            <w:r>
              <w:rPr>
                <w:rFonts w:ascii="Arial" w:cs="Arial" w:eastAsia="Arial" w:hAnsi="Arial"/>
                <w:sz w:val="16"/>
                <w:szCs w:val="16"/>
                <w:color w:val="auto"/>
              </w:rPr>
              <w:t>Net loss per share attributable to common stockholders, discontinued operations, basic and</w:t>
            </w:r>
          </w:p>
        </w:tc>
        <w:tc>
          <w:tcPr>
            <w:tcW w:w="420" w:type="dxa"/>
            <w:vAlign w:val="bottom"/>
            <w:vMerge w:val="restart"/>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(12.79 )</w:t>
            </w:r>
          </w:p>
        </w:tc>
        <w:tc>
          <w:tcPr>
            <w:tcW w:w="58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(34.23 )</w:t>
            </w:r>
          </w:p>
        </w:tc>
        <w:tc>
          <w:tcPr>
            <w:tcW w:w="0" w:type="dxa"/>
            <w:vAlign w:val="bottom"/>
          </w:tcPr>
          <w:p>
            <w:pPr>
              <w:spacing w:after="0"/>
              <w:rPr>
                <w:sz w:val="1"/>
                <w:szCs w:val="1"/>
                <w:color w:val="auto"/>
              </w:rPr>
            </w:pPr>
          </w:p>
        </w:tc>
      </w:tr>
      <w:tr>
        <w:trPr>
          <w:trHeight w:val="203"/>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diluted</w:t>
            </w:r>
          </w:p>
        </w:tc>
        <w:tc>
          <w:tcPr>
            <w:tcW w:w="420" w:type="dxa"/>
            <w:vAlign w:val="bottom"/>
            <w:vMerge w:val="continue"/>
            <w:shd w:val="clear" w:color="auto" w:fill="CFF0FC"/>
          </w:tcPr>
          <w:p>
            <w:pPr>
              <w:spacing w:after="0"/>
              <w:rPr>
                <w:sz w:val="17"/>
                <w:szCs w:val="17"/>
                <w:color w:val="auto"/>
              </w:rPr>
            </w:pPr>
          </w:p>
        </w:tc>
        <w:tc>
          <w:tcPr>
            <w:tcW w:w="1480" w:type="dxa"/>
            <w:vAlign w:val="bottom"/>
            <w:vMerge w:val="continue"/>
            <w:shd w:val="clear" w:color="auto" w:fill="CFF0FC"/>
          </w:tcPr>
          <w:p>
            <w:pPr>
              <w:spacing w:after="0"/>
              <w:rPr>
                <w:sz w:val="17"/>
                <w:szCs w:val="17"/>
                <w:color w:val="auto"/>
              </w:rPr>
            </w:pPr>
          </w:p>
        </w:tc>
        <w:tc>
          <w:tcPr>
            <w:tcW w:w="580" w:type="dxa"/>
            <w:vAlign w:val="bottom"/>
            <w:gridSpan w:val="2"/>
            <w:vMerge w:val="continue"/>
            <w:shd w:val="clear" w:color="auto" w:fill="CFF0FC"/>
          </w:tcPr>
          <w:p>
            <w:pPr>
              <w:spacing w:after="0"/>
              <w:rPr>
                <w:sz w:val="17"/>
                <w:szCs w:val="17"/>
                <w:color w:val="auto"/>
              </w:rPr>
            </w:pPr>
          </w:p>
        </w:tc>
        <w:tc>
          <w:tcPr>
            <w:tcW w:w="14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6"/>
                <w:szCs w:val="16"/>
                <w:color w:val="auto"/>
              </w:rPr>
              <w:t>Total net loss per share attributable to common stockholders, basic and 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(37.68 )</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(43.16 )</w:t>
            </w:r>
          </w:p>
        </w:tc>
        <w:tc>
          <w:tcPr>
            <w:tcW w:w="0" w:type="dxa"/>
            <w:vAlign w:val="bottom"/>
          </w:tcPr>
          <w:p>
            <w:pPr>
              <w:spacing w:after="0"/>
              <w:rPr>
                <w:sz w:val="1"/>
                <w:szCs w:val="1"/>
                <w:color w:val="auto"/>
              </w:rPr>
            </w:pPr>
          </w:p>
        </w:tc>
      </w:tr>
      <w:tr>
        <w:trPr>
          <w:trHeight w:val="182"/>
        </w:trPr>
        <w:tc>
          <w:tcPr>
            <w:tcW w:w="7160" w:type="dxa"/>
            <w:vAlign w:val="bottom"/>
            <w:shd w:val="clear" w:color="auto" w:fill="CFF0FC"/>
          </w:tcPr>
          <w:p>
            <w:pPr>
              <w:spacing w:after="0" w:line="182" w:lineRule="exact"/>
              <w:rPr>
                <w:sz w:val="20"/>
                <w:szCs w:val="20"/>
                <w:color w:val="auto"/>
              </w:rPr>
            </w:pPr>
            <w:r>
              <w:rPr>
                <w:rFonts w:ascii="Arial" w:cs="Arial" w:eastAsia="Arial" w:hAnsi="Arial"/>
                <w:sz w:val="16"/>
                <w:szCs w:val="16"/>
                <w:color w:val="auto"/>
              </w:rPr>
              <w:t>Weighted-average number of shares outstanding used to compute net loss per share attributable</w:t>
            </w:r>
          </w:p>
        </w:tc>
        <w:tc>
          <w:tcPr>
            <w:tcW w:w="42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1,794,303</w:t>
            </w:r>
          </w:p>
        </w:tc>
        <w:tc>
          <w:tcPr>
            <w:tcW w:w="18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460" w:type="dxa"/>
            <w:vAlign w:val="bottom"/>
            <w:tcBorders>
              <w:top w:val="single" w:sz="8" w:color="auto"/>
            </w:tcBorders>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1,731,636</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FF0FC"/>
            </w:tcBorders>
            <w:shd w:val="clear" w:color="auto" w:fill="CFF0FC"/>
          </w:tcPr>
          <w:p>
            <w:pPr>
              <w:spacing w:after="0" w:line="176" w:lineRule="exact"/>
              <w:rPr>
                <w:sz w:val="20"/>
                <w:szCs w:val="20"/>
                <w:color w:val="auto"/>
              </w:rPr>
            </w:pPr>
            <w:r>
              <w:rPr>
                <w:rFonts w:ascii="Arial" w:cs="Arial" w:eastAsia="Arial" w:hAnsi="Arial"/>
                <w:sz w:val="16"/>
                <w:szCs w:val="16"/>
                <w:color w:val="auto"/>
              </w:rPr>
              <w:t>to common stockholders, basic and diluted</w:t>
            </w: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5789295</wp:posOffset>
            </wp:positionH>
            <wp:positionV relativeFrom="paragraph">
              <wp:posOffset>-5098415</wp:posOffset>
            </wp:positionV>
            <wp:extent cx="13652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-4520565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-3407410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-2028825</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-1463675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-1155065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-1137920</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-829945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-812800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-410210</wp:posOffset>
            </wp:positionV>
            <wp:extent cx="111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-24765</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11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VROOM, INC.</w:t>
      </w:r>
    </w:p>
    <w:p>
      <w:pPr>
        <w:jc w:val="center"/>
        <w:spacing w:after="0" w:line="234" w:lineRule="auto"/>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line="235" w:lineRule="auto"/>
        <w:rPr>
          <w:sz w:val="20"/>
          <w:szCs w:val="20"/>
          <w:color w:val="auto"/>
        </w:rPr>
      </w:pPr>
      <w:r>
        <w:rPr>
          <w:rFonts w:ascii="Arial" w:cs="Arial" w:eastAsia="Arial" w:hAnsi="Arial"/>
          <w:sz w:val="18"/>
          <w:szCs w:val="18"/>
          <w:b w:val="1"/>
          <w:bCs w:val="1"/>
          <w:color w:val="auto"/>
        </w:rPr>
        <w:t>(in thousands, except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300" w:type="dxa"/>
            <w:vAlign w:val="bottom"/>
            <w:gridSpan w:val="3"/>
            <w:vMerge w:val="restart"/>
          </w:tcPr>
          <w:p>
            <w:pPr>
              <w:jc w:val="right"/>
              <w:ind w:right="441"/>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82"/>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30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18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2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1,727,525</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2,075,931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(1,596,100 )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479,833</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0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2,041</w:t>
            </w:r>
          </w:p>
        </w:tc>
        <w:tc>
          <w:tcPr>
            <w:tcW w:w="32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7,501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(74,741 )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(74,741 )</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2023</w:t>
            </w:r>
          </w:p>
        </w:tc>
        <w:tc>
          <w:tcPr>
            <w:tcW w:w="12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1,735,026</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2,077,972</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(1,670,841 )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407,133</w:t>
            </w:r>
          </w:p>
        </w:tc>
        <w:tc>
          <w:tcPr>
            <w:tcW w:w="0" w:type="dxa"/>
            <w:vAlign w:val="bottom"/>
          </w:tcPr>
          <w:p>
            <w:pPr>
              <w:spacing w:after="0"/>
              <w:rPr>
                <w:sz w:val="1"/>
                <w:szCs w:val="1"/>
                <w:color w:val="auto"/>
              </w:rPr>
            </w:pPr>
          </w:p>
        </w:tc>
      </w:tr>
      <w:tr>
        <w:trPr>
          <w:trHeight w:val="363"/>
        </w:trPr>
        <w:tc>
          <w:tcPr>
            <w:tcW w:w="4660" w:type="dxa"/>
            <w:vAlign w:val="bottom"/>
          </w:tcPr>
          <w:p>
            <w:pPr>
              <w:spacing w:after="0"/>
              <w:rPr>
                <w:sz w:val="24"/>
                <w:szCs w:val="24"/>
                <w:color w:val="auto"/>
              </w:rPr>
            </w:pPr>
          </w:p>
        </w:tc>
        <w:tc>
          <w:tcPr>
            <w:tcW w:w="2300" w:type="dxa"/>
            <w:vAlign w:val="bottom"/>
            <w:gridSpan w:val="3"/>
            <w:vMerge w:val="restart"/>
          </w:tcPr>
          <w:p>
            <w:pPr>
              <w:jc w:val="right"/>
              <w:ind w:right="441"/>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182"/>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2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30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18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2023</w:t>
            </w:r>
          </w:p>
        </w:tc>
        <w:tc>
          <w:tcPr>
            <w:tcW w:w="12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1,791,286</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2,088,381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(1,960,712 )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127,671</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0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1,433</w:t>
            </w:r>
          </w:p>
        </w:tc>
        <w:tc>
          <w:tcPr>
            <w:tcW w:w="32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4,340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(67,617 )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(67,617 )</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March 31, 2024</w:t>
            </w:r>
          </w:p>
        </w:tc>
        <w:tc>
          <w:tcPr>
            <w:tcW w:w="12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1,795,626</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2,089,814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(2,028,329 )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61,487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-1840230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-1823085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-1840230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-1823085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-1840230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-1823085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-1840230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-1823085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-1257935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-1240790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-1257935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-1240790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-1257935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-1240790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-1257935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-1240790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-607060</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-589915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-607060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-589915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-607060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-589915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-607060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-589915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-24765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-7620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-24765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VROOM, INC.</w:t>
      </w:r>
    </w:p>
    <w:p>
      <w:pPr>
        <w:jc w:val="center"/>
        <w:spacing w:after="0" w:line="234" w:lineRule="auto"/>
        <w:rPr>
          <w:sz w:val="20"/>
          <w:szCs w:val="20"/>
          <w:color w:val="auto"/>
        </w:rPr>
      </w:pPr>
      <w:r>
        <w:rPr>
          <w:rFonts w:ascii="Arial" w:cs="Arial" w:eastAsia="Arial" w:hAnsi="Arial"/>
          <w:sz w:val="18"/>
          <w:szCs w:val="18"/>
          <w:b w:val="1"/>
          <w:bCs w:val="1"/>
          <w:color w:val="auto"/>
        </w:rPr>
        <w:t>CONDENSED CONSOLIDATED STATEMENTS OF CASH FLOWS</w:t>
      </w:r>
    </w:p>
    <w:p>
      <w:pPr>
        <w:ind w:left="4980"/>
        <w:spacing w:after="0" w:line="235"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2023</w:t>
            </w:r>
          </w:p>
        </w:tc>
      </w:tr>
      <w:tr>
        <w:trPr>
          <w:trHeight w:val="182"/>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Net loss from continuing operations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(44,676 )</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(15,469 )</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2,752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Profit share receivable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9,642</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Gain on debt extinguishment</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(8,709 )</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7,626</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7,224</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Amortization of debt issuance costs</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843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802</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40,163</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16,603</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1,324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1,679</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to record finance receivables held for sale at lower of cost or fair value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306</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(1,251 )</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Amortization of unearned discounts on finance receivables at fair value</w:t>
            </w:r>
          </w:p>
        </w:tc>
        <w:tc>
          <w:tcPr>
            <w:tcW w:w="1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(4,792 )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(5,320 )</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net</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(1,921 )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(3,256 )</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Originations of finance receivables held for sale</w:t>
            </w:r>
          </w:p>
        </w:tc>
        <w:tc>
          <w:tcPr>
            <w:tcW w:w="1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(130,404 )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(143,174 )</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40,387</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20,731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1,850</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receivable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342</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(3,737 )</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3,022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7,069</w:t>
            </w:r>
          </w:p>
        </w:tc>
      </w:tr>
      <w:tr>
        <w:trPr>
          <w:trHeight w:val="18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liabilities</w:t>
            </w:r>
          </w:p>
        </w:tc>
        <w:tc>
          <w:tcPr>
            <w:tcW w:w="10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(61 )</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(6,740 )</w:t>
            </w: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color w:val="auto"/>
              </w:rPr>
              <w:t>Net cash used in operating activities from continuing operations</w:t>
            </w:r>
          </w:p>
        </w:tc>
        <w:tc>
          <w:tcPr>
            <w:tcW w:w="10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(75,043 )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(131,698 )</w:t>
            </w:r>
          </w:p>
        </w:tc>
      </w:tr>
      <w:tr>
        <w:trPr>
          <w:trHeight w:val="18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0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98,167</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46,677</w:t>
            </w: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23,124</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(85,021 )</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Originations of finance receivables at fair value</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(3,392 )</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35,195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41,850</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Consolidation of VIEs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11,409</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773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2,144</w:t>
            </w:r>
          </w:p>
        </w:tc>
      </w:tr>
      <w:tr>
        <w:trPr>
          <w:trHeight w:val="18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10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(644 )</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(814 )</w:t>
            </w: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color w:val="auto"/>
              </w:rPr>
              <w:t>Net cash provided by investing activities from continuing operations</w:t>
            </w:r>
          </w:p>
        </w:tc>
        <w:tc>
          <w:tcPr>
            <w:tcW w:w="10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35,324</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51,197</w:t>
            </w:r>
          </w:p>
        </w:tc>
      </w:tr>
      <w:tr>
        <w:trPr>
          <w:trHeight w:val="18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(used in) investing activities from discontinued operations</w:t>
            </w:r>
          </w:p>
        </w:tc>
        <w:tc>
          <w:tcPr>
            <w:tcW w:w="10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5,747</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(4,379 )</w:t>
            </w: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104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41,071</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46,818</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Proceeds from borrowings under secured financing agreements</w:t>
            </w:r>
          </w:p>
        </w:tc>
        <w:tc>
          <w:tcPr>
            <w:tcW w:w="10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238,735</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(73,647 )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(42,784 )</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Principal repayments of financing of beneficial interests in securitizations</w:t>
            </w:r>
          </w:p>
        </w:tc>
        <w:tc>
          <w:tcPr>
            <w:tcW w:w="1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(2,651 )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125,100</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135,900</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1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(30,092 )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(241,351 )</w:t>
            </w: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Repurchases of convertible senior notes</w:t>
            </w:r>
          </w:p>
        </w:tc>
        <w:tc>
          <w:tcPr>
            <w:tcW w:w="10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(5,883 )</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Other financing activities</w:t>
            </w: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(156 )</w:t>
            </w:r>
          </w:p>
        </w:tc>
      </w:tr>
      <w:tr>
        <w:trPr>
          <w:trHeight w:val="182"/>
        </w:trPr>
        <w:tc>
          <w:tcPr>
            <w:tcW w:w="7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 from continuing operations</w:t>
            </w:r>
          </w:p>
        </w:tc>
        <w:tc>
          <w:tcPr>
            <w:tcW w:w="10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18,670</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84,461</w:t>
            </w:r>
          </w:p>
        </w:tc>
      </w:tr>
      <w:tr>
        <w:trPr>
          <w:trHeight w:val="189"/>
        </w:trPr>
        <w:tc>
          <w:tcPr>
            <w:tcW w:w="7540" w:type="dxa"/>
            <w:vAlign w:val="bottom"/>
          </w:tcPr>
          <w:p>
            <w:pPr>
              <w:ind w:left="20"/>
              <w:spacing w:after="0"/>
              <w:rPr>
                <w:sz w:val="20"/>
                <w:szCs w:val="20"/>
                <w:color w:val="auto"/>
              </w:rPr>
            </w:pPr>
            <w:r>
              <w:rPr>
                <w:rFonts w:ascii="Arial" w:cs="Arial" w:eastAsia="Arial" w:hAnsi="Arial"/>
                <w:sz w:val="14"/>
                <w:szCs w:val="14"/>
                <w:color w:val="auto"/>
              </w:rPr>
              <w:t>Net cash used in financing activities from discontinued operations</w:t>
            </w:r>
          </w:p>
        </w:tc>
        <w:tc>
          <w:tcPr>
            <w:tcW w:w="1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(151,178 )</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(129,560 )</w:t>
            </w:r>
          </w:p>
        </w:tc>
      </w:tr>
      <w:tr>
        <w:trPr>
          <w:trHeight w:val="182"/>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(132,508 )</w:t>
            </w:r>
          </w:p>
        </w:tc>
        <w:tc>
          <w:tcPr>
            <w:tcW w:w="1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(45,099 )</w:t>
            </w: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10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(68,313 )</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(83,302 )</w:t>
            </w:r>
          </w:p>
        </w:tc>
      </w:tr>
      <w:tr>
        <w:trPr>
          <w:trHeight w:val="18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208,819</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472,010</w:t>
            </w:r>
          </w:p>
        </w:tc>
      </w:tr>
      <w:tr>
        <w:trPr>
          <w:trHeight w:val="182"/>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140,506</w:t>
            </w:r>
          </w:p>
        </w:tc>
        <w:tc>
          <w:tcPr>
            <w:tcW w:w="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388,708</w:t>
            </w:r>
          </w:p>
        </w:tc>
      </w:tr>
      <w:tr>
        <w:trPr>
          <w:trHeight w:val="20"/>
        </w:trPr>
        <w:tc>
          <w:tcPr>
            <w:tcW w:w="7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-3329940</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-3081655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-2114550</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-1866265</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-401955</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-153670</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VROOM, INC.</w:t>
      </w:r>
    </w:p>
    <w:p>
      <w:pPr>
        <w:jc w:val="center"/>
        <w:spacing w:after="0" w:line="234" w:lineRule="auto"/>
        <w:rPr>
          <w:sz w:val="20"/>
          <w:szCs w:val="20"/>
          <w:color w:val="auto"/>
        </w:rPr>
      </w:pPr>
      <w:r>
        <w:rPr>
          <w:rFonts w:ascii="Arial" w:cs="Arial" w:eastAsia="Arial" w:hAnsi="Arial"/>
          <w:sz w:val="18"/>
          <w:szCs w:val="18"/>
          <w:b w:val="1"/>
          <w:bCs w:val="1"/>
          <w:color w:val="auto"/>
        </w:rPr>
        <w:t>CONDENSED CONSOLIDATED STATEMENTS OF CASH FLOWS (continued)</w:t>
      </w:r>
    </w:p>
    <w:p>
      <w:pPr>
        <w:ind w:left="4980"/>
        <w:spacing w:after="0" w:line="235" w:lineRule="auto"/>
        <w:rPr>
          <w:sz w:val="20"/>
          <w:szCs w:val="20"/>
          <w:color w:val="auto"/>
        </w:rPr>
      </w:pPr>
      <w:r>
        <w:rPr>
          <w:rFonts w:ascii="Arial" w:cs="Arial" w:eastAsia="Arial" w:hAnsi="Arial"/>
          <w:sz w:val="18"/>
          <w:szCs w:val="18"/>
          <w:b w:val="1"/>
          <w:bCs w:val="1"/>
          <w:color w:val="auto"/>
        </w:rPr>
        <w:t>(in thousands)</w:t>
      </w: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13,497</w:t>
            </w:r>
          </w:p>
        </w:tc>
        <w:tc>
          <w:tcPr>
            <w:tcW w:w="78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6,347</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spacing w:after="0"/>
              <w:rPr>
                <w:sz w:val="14"/>
                <w:szCs w:val="14"/>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Finance receivables from consolidation of 2022-2 securitization transaction</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180,706</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Elimination of beneficial interest from the consolidation of 2022-2 securitization transaction</w:t>
            </w:r>
          </w:p>
        </w:tc>
        <w:tc>
          <w:tcPr>
            <w:tcW w:w="640" w:type="dxa"/>
            <w:vAlign w:val="bottom"/>
            <w:tcBorders>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9,811</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color w:val="auto"/>
              </w:rPr>
              <w:t>Securitization debt from consolidation of 2022-2 securitization transaction</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186,386</w:t>
            </w:r>
          </w:p>
        </w:tc>
      </w:tr>
      <w:tr>
        <w:trPr>
          <w:trHeight w:val="20"/>
        </w:trPr>
        <w:tc>
          <w:tcPr>
            <w:tcW w:w="7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Reclassification of finance receivables held for sale to finance receivables at fair value, net</w:t>
            </w:r>
          </w:p>
        </w:tc>
        <w:tc>
          <w:tcPr>
            <w:tcW w:w="640" w:type="dxa"/>
            <w:vAlign w:val="bottom"/>
            <w:tcBorders>
              <w:bottom w:val="single" w:sz="8" w:color="auto"/>
            </w:tcBorders>
            <w:shd w:val="clear" w:color="auto" w:fill="CFF0FC"/>
          </w:tcPr>
          <w:p>
            <w:pPr>
              <w:jc w:val="right"/>
              <w:ind w:right="4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248,081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-589915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-316230</wp:posOffset>
            </wp:positionV>
            <wp:extent cx="102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-299085</wp:posOffset>
            </wp:positionV>
            <wp:extent cx="102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196" w:lineRule="exact"/>
        <w:rPr>
          <w:sz w:val="20"/>
          <w:szCs w:val="20"/>
          <w:color w:val="auto"/>
        </w:rPr>
      </w:pPr>
    </w:p>
    <w:p>
      <w:pPr>
        <w:ind w:right="140" w:firstLine="761"/>
        <w:spacing w:after="0" w:line="252" w:lineRule="auto"/>
        <w:rPr>
          <w:sz w:val="20"/>
          <w:szCs w:val="20"/>
          <w:color w:val="auto"/>
        </w:rPr>
      </w:pPr>
      <w:r>
        <w:rPr>
          <w:rFonts w:ascii="Arial" w:cs="Arial" w:eastAsia="Arial" w:hAnsi="Arial"/>
          <w:sz w:val="18"/>
          <w:szCs w:val="18"/>
          <w:color w:val="auto"/>
        </w:rPr>
        <w:t>Vroom, Inc., through its wholly owned subsidiaries (collectively, the "Company”), is a leading automotive finance company that offers vehicle financing to consumers through third-party dealers and an artificial intelligence-powered analytics and digital services platform for automotive retail.</w:t>
      </w:r>
    </w:p>
    <w:p>
      <w:pPr>
        <w:spacing w:after="0" w:line="157"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In January 2021, the Company completed the acquisition of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spacing w:after="0" w:line="163"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Maximization Plan</w:t>
      </w:r>
    </w:p>
    <w:p>
      <w:pPr>
        <w:spacing w:after="0" w:line="196"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The Company was previously an end-to-end ecommerce platform to buy and sell used vehicles. On January 22, 2024, the Company announced that its Board of Directors ("Board") had approved a Value Maximization Plan, pursuant to which the Company discontinued its ecommerce operations and wound down its used vehicle dealership business in order to preserve liquidity and enable the Company to maximize stakeholder value through its remaining businesses. The Company ceased transacting through vroom.com, completed transactions for customers who had previously contracted with the Company to purchase or sell a vehicle, halted purchases of additional vehicles, sold substantially all of its used vehicle inventory through wholesale channels, paid off its vehicle floorplan financing facility dated November 4, 2022 with Ally Bank and Ally Financial Inc. (the "2022 Vehicle Floorplan Facility") and conducted a reduction-in-force commensurate with the reduced operations. As of March 29, 2024, the Company substantially completed the wind-down of its ecommerce operations and used vehicle dealership business (the "Ecommerce Wind-Down").</w:t>
      </w:r>
    </w:p>
    <w:p>
      <w:pPr>
        <w:spacing w:after="0" w:line="168" w:lineRule="exact"/>
        <w:rPr>
          <w:sz w:val="20"/>
          <w:szCs w:val="20"/>
          <w:color w:val="auto"/>
        </w:rPr>
      </w:pPr>
    </w:p>
    <w:p>
      <w:pPr>
        <w:ind w:right="160" w:firstLine="764"/>
        <w:spacing w:after="0" w:line="246" w:lineRule="auto"/>
        <w:rPr>
          <w:sz w:val="20"/>
          <w:szCs w:val="20"/>
          <w:color w:val="auto"/>
        </w:rPr>
      </w:pPr>
      <w:r>
        <w:rPr>
          <w:rFonts w:ascii="Arial" w:cs="Arial" w:eastAsia="Arial" w:hAnsi="Arial"/>
          <w:sz w:val="18"/>
          <w:szCs w:val="18"/>
          <w:color w:val="auto"/>
        </w:rPr>
        <w:t>The Company owns and operates UACC, a leading automotive finance company that offers vehicle financing to its customers through third-party dealers under the UACC brand, and CarStory, an artificial intelligence-powered analytics and digital services platform for automotive retail. The UACC and CarStory businesses continue to serve their third-party customers, with their operations substantially unaffected by the Ecommerce Wind-Down.</w:t>
      </w:r>
    </w:p>
    <w:p>
      <w:pPr>
        <w:spacing w:after="0" w:line="163" w:lineRule="exact"/>
        <w:rPr>
          <w:sz w:val="20"/>
          <w:szCs w:val="20"/>
          <w:color w:val="auto"/>
        </w:rPr>
      </w:pPr>
    </w:p>
    <w:p>
      <w:pPr>
        <w:ind w:right="120" w:firstLine="764"/>
        <w:spacing w:after="0" w:line="238" w:lineRule="auto"/>
        <w:rPr>
          <w:sz w:val="20"/>
          <w:szCs w:val="20"/>
          <w:color w:val="auto"/>
        </w:rPr>
      </w:pPr>
      <w:r>
        <w:rPr>
          <w:rFonts w:ascii="Arial" w:cs="Arial" w:eastAsia="Arial" w:hAnsi="Arial"/>
          <w:sz w:val="18"/>
          <w:szCs w:val="18"/>
          <w:color w:val="auto"/>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 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15 — Segment Information for further detail.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6" w:lineRule="exact"/>
        <w:rPr>
          <w:sz w:val="20"/>
          <w:szCs w:val="20"/>
          <w:color w:val="auto"/>
        </w:rPr>
      </w:pPr>
    </w:p>
    <w:p>
      <w:pPr>
        <w:ind w:right="20" w:firstLine="761"/>
        <w:spacing w:after="0" w:line="252" w:lineRule="auto"/>
        <w:rPr>
          <w:sz w:val="20"/>
          <w:szCs w:val="20"/>
          <w:color w:val="auto"/>
        </w:rPr>
      </w:pPr>
      <w:r>
        <w:rPr>
          <w:rFonts w:ascii="Arial" w:cs="Arial" w:eastAsia="Arial" w:hAnsi="Arial"/>
          <w:sz w:val="18"/>
          <w:szCs w:val="18"/>
          <w:color w:val="auto"/>
        </w:rPr>
        <w:t>On February 13, 2024, the Company effected a 1-for-80 reverse stock split of the Company’s common stock. All shares of the Company’s common stock, stock-based instruments and per-share data included in these condensed consolidated financial statements have been retroactively adjusted as though the stock split has been effected prior to all periods presented.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2023,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notes included in the Annual Report on Form 10-K for the year ended December 31, 2023.</w:t>
      </w:r>
    </w:p>
    <w:p>
      <w:pPr>
        <w:spacing w:after="0" w:line="169"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March 31, 2024 and its results of operations for the three months ended March 31, 2024 and 2023. The results for the three months ended March 31, 2024 are not necessarily indicative of the results expected for the current fiscal year or any other future periods. Certain prior year amounts have been reclassified to conform to the current year presentation related to discontinued operations and new financial statement presentation as a result of the Ecommerce Wind-Down and the reverse stock split.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right="600" w:firstLine="761"/>
        <w:spacing w:after="0" w:line="271"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three months ended March 31, 2024 and 2023.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6" w:lineRule="exact"/>
        <w:rPr>
          <w:sz w:val="20"/>
          <w:szCs w:val="20"/>
          <w:color w:val="auto"/>
        </w:rPr>
      </w:pPr>
    </w:p>
    <w:p>
      <w:pPr>
        <w:ind w:right="20" w:firstLine="761"/>
        <w:spacing w:after="0" w:line="252" w:lineRule="auto"/>
        <w:rPr>
          <w:sz w:val="20"/>
          <w:szCs w:val="20"/>
          <w:color w:val="auto"/>
        </w:rPr>
      </w:pPr>
      <w:r>
        <w:rPr>
          <w:rFonts w:ascii="Arial" w:cs="Arial" w:eastAsia="Arial" w:hAnsi="Arial"/>
          <w:sz w:val="18"/>
          <w:szCs w:val="18"/>
          <w:color w:val="auto"/>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securitization and warehouse credit facility to provide additional collateral for the borrowings. Refer to Note 9 — Warehouse Credit Facilities of Consolidated VIEs and Note 10 — Long Term Debt for further detail.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196" w:lineRule="exact"/>
        <w:rPr>
          <w:sz w:val="20"/>
          <w:szCs w:val="20"/>
          <w:color w:val="auto"/>
        </w:rPr>
      </w:pPr>
    </w:p>
    <w:p>
      <w:pPr>
        <w:ind w:right="260" w:firstLine="761"/>
        <w:spacing w:after="0" w:line="252" w:lineRule="auto"/>
        <w:rPr>
          <w:sz w:val="20"/>
          <w:szCs w:val="20"/>
          <w:color w:val="auto"/>
        </w:rPr>
      </w:pPr>
      <w:r>
        <w:rPr>
          <w:rFonts w:ascii="Arial" w:cs="Arial" w:eastAsia="Arial" w:hAnsi="Arial"/>
          <w:sz w:val="18"/>
          <w:szCs w:val="18"/>
          <w:color w:val="auto"/>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jc w:val="both"/>
        <w:ind w:right="440" w:firstLine="761"/>
        <w:spacing w:after="0" w:line="252" w:lineRule="auto"/>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196" w:lineRule="exact"/>
        <w:rPr>
          <w:sz w:val="20"/>
          <w:szCs w:val="20"/>
          <w:color w:val="auto"/>
        </w:rPr>
      </w:pPr>
    </w:p>
    <w:p>
      <w:pPr>
        <w:jc w:val="both"/>
        <w:ind w:firstLine="761"/>
        <w:spacing w:after="0" w:line="246" w:lineRule="auto"/>
        <w:rPr>
          <w:sz w:val="20"/>
          <w:szCs w:val="20"/>
          <w:color w:val="auto"/>
        </w:rPr>
      </w:pPr>
      <w:r>
        <w:rPr>
          <w:rFonts w:ascii="Arial" w:cs="Arial" w:eastAsia="Arial" w:hAnsi="Arial"/>
          <w:sz w:val="18"/>
          <w:szCs w:val="18"/>
          <w:color w:val="auto"/>
        </w:rPr>
        <w:t>Finance receivables that the Company intends to sell and not hold to maturity are classified as held for sale. The Company intends to sell finance receivables through securitization transactions. Finance receivables classified as held for sale are recorded at the lower of cost or fair value. Deferred acquisition costs and any discounts are deferred until the finance receivables are sold and are then recognized as part of the total gain or loss on sale. Refer to Note 3 – Revenue Recognition.</w:t>
      </w:r>
    </w:p>
    <w:p>
      <w:pPr>
        <w:spacing w:after="0" w:line="163" w:lineRule="exact"/>
        <w:rPr>
          <w:sz w:val="20"/>
          <w:szCs w:val="20"/>
          <w:color w:val="auto"/>
        </w:rPr>
      </w:pPr>
    </w:p>
    <w:p>
      <w:pPr>
        <w:ind w:right="140" w:firstLine="761"/>
        <w:spacing w:after="0" w:line="239" w:lineRule="auto"/>
        <w:rPr>
          <w:sz w:val="20"/>
          <w:szCs w:val="20"/>
          <w:color w:val="auto"/>
        </w:rPr>
      </w:pPr>
      <w:r>
        <w:rPr>
          <w:rFonts w:ascii="Arial" w:cs="Arial" w:eastAsia="Arial" w:hAnsi="Arial"/>
          <w:sz w:val="18"/>
          <w:szCs w:val="18"/>
          <w:color w:val="auto"/>
        </w:rPr>
        <w:t>The Company records a valuation allowance to report finance receivables at the lower of cost or fair value. To determine the valuation allowance, finance receivables are evaluated collectively as they represent a large group of smaller-balance homogeneous loans. To the extent that actual experience differs from estimates, significant adjustments to the Company's valuation allowance may be needed. Fair value adjustments are recorded in "Realized and unrealized losses, net of recoveries" in the consolidated statements of operations. Principal balances and corresponding deferred acquisition costs and discounts of finance receivables are charged-off when the Company is unable to sell the finance receivable and the related vehicle has been repossessed and liquidated or the receivable has otherwise been deemed uncollectible. As of March 31, 2024 and December 31, 2023, the valuation allowance for finance receivables classified as held for sale was $32.9 million and $33.8 million, respectively. Refer to Note 14 – Financial Instruments and Fair Value Measurements.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196"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Finance receivables for which the fair value option was elected under ASC 825 are classified as finance receivables at fair value. The Company reassesses the estimate for fair value at each reporting period with any changes reflected as a fair value adjustment and recorded in "Realized and unrealized losses, net of recoveries" in the consolidated statements of operations. The Company recognizes the acquisition fees as other income at the time of issuance and recognizes the acquisition costs as an expense in the period incurred.</w:t>
      </w:r>
    </w:p>
    <w:p>
      <w:pPr>
        <w:spacing w:after="0" w:line="163"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Finance receivables at fair value include both finance receivables held for sale at fair value as well as finance receivables held for investment at fair value. Finance receivables held for sale at fair value represent finance receivables that the Company intends to sell but elected the fair value option as described above. The aggregate principal balance and the fair value of the finance receivables held for sale at fair value was $140.6 million and $125.6 million, respectively and the aggregate principal balance and the fair value of the finance receivables held for investment at fair value was $343.3 million and $295.7 million, respectively as of March 31, 2024. The Company did not have any finance receivables held for sale at fair value as of December 31, 2023.</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14 – Financial Instruments and Fair Value Measurements.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 xml:space="preserve">The Company elected the fair value option upon consolidation of the assets and liabilities of its variable interest entities ("VIEs") related to the 2022-2 and 2023-1 securitization transactions. Refer to Note 4 – Variable Interest Entities and Securitizations. These VIEs are consolidated collateralized financing entities (CFEs) and are accounted for using the measurement alternative in accordance with ASU 2014-13, </w:t>
      </w:r>
      <w:r>
        <w:rPr>
          <w:rFonts w:ascii="Arial" w:cs="Arial" w:eastAsia="Arial" w:hAnsi="Arial"/>
          <w:sz w:val="18"/>
          <w:szCs w:val="18"/>
          <w:i w:val="1"/>
          <w:iCs w:val="1"/>
          <w:color w:val="auto"/>
        </w:rPr>
        <w:t>Measuring the Financial Assets and Liabilities of a Consolidated Collateralized Financing Entity</w:t>
      </w:r>
      <w:r>
        <w:rPr>
          <w:rFonts w:ascii="Arial" w:cs="Arial" w:eastAsia="Arial" w:hAnsi="Arial"/>
          <w:sz w:val="18"/>
          <w:szCs w:val="18"/>
          <w:color w:val="auto"/>
        </w:rPr>
        <w:t xml:space="preserve"> (“ASU 2014-13"). During the three months ended March 31, 2024 and 2023, the Company recognized the following revenue and expenses associated with these CFEs in the condensed consolidated statements of operations:</w:t>
      </w:r>
    </w:p>
    <w:p>
      <w:pPr>
        <w:spacing w:after="0" w:line="19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18,117</w:t>
            </w:r>
          </w:p>
        </w:tc>
        <w:tc>
          <w:tcPr>
            <w:tcW w:w="4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(4,906 )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(4,397 )</w:t>
            </w: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Realized and unrealized losses, net of recoveries</w:t>
            </w:r>
          </w:p>
        </w:tc>
        <w:tc>
          <w:tcPr>
            <w:tcW w:w="98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w w:val="94"/>
              </w:rPr>
              <w:t>(15,751 )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(8,675 )</w:t>
            </w:r>
          </w:p>
        </w:tc>
      </w:tr>
      <w:tr>
        <w:trPr>
          <w:trHeight w:val="239"/>
        </w:trPr>
        <w:tc>
          <w:tcPr>
            <w:tcW w:w="7540" w:type="dxa"/>
            <w:vAlign w:val="bottom"/>
          </w:tcPr>
          <w:p>
            <w:pPr>
              <w:ind w:left="20"/>
              <w:spacing w:after="0"/>
              <w:rPr>
                <w:sz w:val="20"/>
                <w:szCs w:val="20"/>
                <w:color w:val="auto"/>
              </w:rPr>
            </w:pPr>
            <w:r>
              <w:rPr>
                <w:rFonts w:ascii="Arial" w:cs="Arial" w:eastAsia="Arial" w:hAnsi="Arial"/>
                <w:sz w:val="18"/>
                <w:szCs w:val="18"/>
                <w:color w:val="auto"/>
              </w:rPr>
              <w:t>Noninterest income, net</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(3,378 )</w:t>
            </w:r>
          </w:p>
        </w:tc>
      </w:tr>
    </w:tbl>
    <w:p>
      <w:pPr>
        <w:spacing w:after="0" w:line="174" w:lineRule="exact"/>
        <w:rPr>
          <w:sz w:val="20"/>
          <w:szCs w:val="20"/>
          <w:color w:val="auto"/>
        </w:rPr>
      </w:pPr>
    </w:p>
    <w:p>
      <w:pPr>
        <w:ind w:right="460" w:firstLine="761"/>
        <w:spacing w:after="0" w:line="252" w:lineRule="auto"/>
        <w:rPr>
          <w:sz w:val="20"/>
          <w:szCs w:val="20"/>
          <w:color w:val="auto"/>
        </w:rPr>
      </w:pPr>
      <w:r>
        <w:rPr>
          <w:rFonts w:ascii="Arial" w:cs="Arial" w:eastAsia="Arial" w:hAnsi="Arial"/>
          <w:sz w:val="18"/>
          <w:szCs w:val="18"/>
          <w:color w:val="auto"/>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 Note 14 – Financial Instruments and Fair Value Measurements for further details.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96"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p>
    <w:p>
      <w:pPr>
        <w:spacing w:after="0" w:line="169"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UACC’s customers, in this instance, are the third-party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years ended March 31, 2024 and 2023, no customer represented 10% or more of the Company’s income and no customer represented more than 10% of the Company’s finance receivables as of March 31, 2024 and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6"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As of March 31, 2024, the Company had cash and cash equivalents of $91.0 million and restricted cash of $49.5 million. Restricted cash primarily includes restricted cash required under UACC's securitization transactions and Warehouse Credit Facilities of $48.1 million. The Company has historically had negative cash flows and generated losses from operations and the Company’s primary source of liquidity has been cash generated through financing activities.</w:t>
      </w:r>
    </w:p>
    <w:p>
      <w:pPr>
        <w:spacing w:after="0" w:line="163" w:lineRule="exact"/>
        <w:rPr>
          <w:sz w:val="20"/>
          <w:szCs w:val="20"/>
          <w:color w:val="auto"/>
        </w:rPr>
      </w:pPr>
    </w:p>
    <w:p>
      <w:pPr>
        <w:ind w:right="80" w:firstLine="764"/>
        <w:spacing w:after="0" w:line="246" w:lineRule="auto"/>
        <w:rPr>
          <w:sz w:val="20"/>
          <w:szCs w:val="20"/>
          <w:color w:val="auto"/>
        </w:rPr>
      </w:pPr>
      <w:r>
        <w:rPr>
          <w:rFonts w:ascii="Arial" w:cs="Arial" w:eastAsia="Arial" w:hAnsi="Arial"/>
          <w:sz w:val="18"/>
          <w:szCs w:val="18"/>
          <w:color w:val="auto"/>
        </w:rPr>
        <w:t>In January 2024, the Company announced its Value Maximization Plan to discontinue its ecommerce operations and wind-down its used vehicle dealership business, refer to Note 1 — Description of Business and Basis of Presentation — Value Maximization Plan. As a result of the liquidation of the Company's vehicle inventory as part of the Ecommerce Wind-Down, the Company repaid all amounts outstanding under the 2022 Vehicle Floorplan Facility in the first quarter of 2024 and the agreement was terminated.</w:t>
      </w:r>
    </w:p>
    <w:p>
      <w:pPr>
        <w:spacing w:after="0" w:line="163" w:lineRule="exact"/>
        <w:rPr>
          <w:sz w:val="20"/>
          <w:szCs w:val="20"/>
          <w:color w:val="auto"/>
        </w:rPr>
      </w:pPr>
    </w:p>
    <w:p>
      <w:pPr>
        <w:ind w:right="20" w:firstLine="764"/>
        <w:spacing w:after="0" w:line="252" w:lineRule="auto"/>
        <w:rPr>
          <w:sz w:val="20"/>
          <w:szCs w:val="20"/>
          <w:color w:val="auto"/>
        </w:rPr>
      </w:pPr>
      <w:r>
        <w:rPr>
          <w:rFonts w:ascii="Arial" w:cs="Arial" w:eastAsia="Arial" w:hAnsi="Arial"/>
          <w:sz w:val="18"/>
          <w:szCs w:val="18"/>
          <w:color w:val="auto"/>
        </w:rPr>
        <w:t>UACC has four warehouse credit facilities with an aggregate borrowing limit of $825.0 million as of March 31, 2024. As of March 31, 2024, outstanding borrowings related to the Warehouse Credit Facilities were $516.3 million and excess borrowing capacity was $53.9 million. As of March 31, 2024, the Company was in compliance with all covenants related to the Warehouse Credit Facilities.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firstLine="764"/>
        <w:spacing w:after="0" w:line="246" w:lineRule="auto"/>
        <w:rPr>
          <w:sz w:val="20"/>
          <w:szCs w:val="20"/>
          <w:color w:val="auto"/>
        </w:rPr>
      </w:pPr>
      <w:r>
        <w:rPr>
          <w:rFonts w:ascii="Arial" w:cs="Arial" w:eastAsia="Arial" w:hAnsi="Arial"/>
          <w:sz w:val="18"/>
          <w:szCs w:val="18"/>
          <w:color w:val="auto"/>
        </w:rPr>
        <w:t>Failure to satisfy these and or any other requirements contained within the agreements would restrict access to the Warehouse Credit Facilities and could have a material adverse effect on the financial condition of the Company, results of operations and liquidity. Certain breaches of covenants may also result in acceleration of the repayment of borrowings prior to the scheduled maturity. Refer to Note 9 – Warehouse Credit Facilities of Consolidated VIEs for further discussion.</w:t>
      </w:r>
    </w:p>
    <w:p>
      <w:pPr>
        <w:spacing w:after="0" w:line="163" w:lineRule="exact"/>
        <w:rPr>
          <w:sz w:val="20"/>
          <w:szCs w:val="20"/>
          <w:color w:val="auto"/>
        </w:rPr>
      </w:pPr>
    </w:p>
    <w:p>
      <w:pPr>
        <w:ind w:right="220" w:firstLine="764"/>
        <w:spacing w:after="0" w:line="246" w:lineRule="auto"/>
        <w:rPr>
          <w:sz w:val="20"/>
          <w:szCs w:val="20"/>
          <w:color w:val="auto"/>
        </w:rPr>
      </w:pPr>
      <w:r>
        <w:rPr>
          <w:rFonts w:ascii="Arial" w:cs="Arial" w:eastAsia="Arial" w:hAnsi="Arial"/>
          <w:sz w:val="18"/>
          <w:szCs w:val="18"/>
          <w:color w:val="auto"/>
        </w:rPr>
        <w:t>The Company expects to use cash and cash equivalents to finance future capital requirements and UACC’s Warehouse Credit Facilities to fund finance receivables.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spacing w:after="0" w:line="163" w:lineRule="exact"/>
        <w:rPr>
          <w:sz w:val="20"/>
          <w:szCs w:val="20"/>
          <w:color w:val="auto"/>
        </w:rPr>
      </w:pPr>
    </w:p>
    <w:p>
      <w:pPr>
        <w:ind w:right="20" w:firstLine="761"/>
        <w:spacing w:after="0" w:line="252" w:lineRule="auto"/>
        <w:rPr>
          <w:sz w:val="20"/>
          <w:szCs w:val="20"/>
          <w:color w:val="auto"/>
        </w:rPr>
      </w:pPr>
      <w:r>
        <w:rPr>
          <w:rFonts w:ascii="Arial" w:cs="Arial" w:eastAsia="Arial" w:hAnsi="Arial"/>
          <w:sz w:val="18"/>
          <w:szCs w:val="18"/>
          <w:color w:val="auto"/>
        </w:rPr>
        <w:t>The Company’s future capital requirements will depend on many factors, including the ability to realize benefits of the Value Maximization Plan, available advance rates on the Warehouse Credit Facilities, our ability to complete additional securitization transactions at terms favorable to us, and our future credit losses.</w:t>
      </w:r>
    </w:p>
    <w:p>
      <w:pPr>
        <w:spacing w:after="0" w:line="157" w:lineRule="exact"/>
        <w:rPr>
          <w:sz w:val="20"/>
          <w:szCs w:val="20"/>
          <w:color w:val="auto"/>
        </w:rPr>
      </w:pPr>
    </w:p>
    <w:p>
      <w:pPr>
        <w:ind w:right="40" w:firstLine="764"/>
        <w:spacing w:after="0" w:line="252" w:lineRule="auto"/>
        <w:rPr>
          <w:sz w:val="20"/>
          <w:szCs w:val="20"/>
          <w:color w:val="auto"/>
        </w:rPr>
      </w:pPr>
      <w:r>
        <w:rPr>
          <w:rFonts w:ascii="Arial" w:cs="Arial" w:eastAsia="Arial" w:hAnsi="Arial"/>
          <w:sz w:val="18"/>
          <w:szCs w:val="18"/>
          <w:color w:val="auto"/>
        </w:rPr>
        <w:t>The Company anticipates that existing cash and cash equivalents and UACC's Warehouse Credit Facilities will be sufficient to support the Company’s ongoing operations and obligations, inclusive of the Ecommerce Wind-Down, for at least the next twelve months from the date of issuance of the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96" w:lineRule="exact"/>
        <w:rPr>
          <w:sz w:val="20"/>
          <w:szCs w:val="20"/>
          <w:color w:val="auto"/>
        </w:rPr>
      </w:pPr>
    </w:p>
    <w:p>
      <w:pPr>
        <w:ind w:right="60" w:firstLine="761"/>
        <w:spacing w:after="0" w:line="266"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Contracts with Customers</w:t>
      </w:r>
      <w:r>
        <w:rPr>
          <w:rFonts w:ascii="Arial" w:cs="Arial" w:eastAsia="Arial" w:hAnsi="Arial"/>
          <w:sz w:val="17"/>
          <w:szCs w:val="17"/>
          <w:color w:val="auto"/>
        </w:rPr>
        <w:t>, which requires contract assets and contract liabilities acquired in a business combination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accordance with Topic 606 as if the acquirer had originated the contracts. The Company adopted the guidance on January 1, 2023, which did not have a material impact on the Company's condensed consolidated financial statements and related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96" w:lineRule="exact"/>
        <w:rPr>
          <w:sz w:val="20"/>
          <w:szCs w:val="20"/>
          <w:color w:val="auto"/>
        </w:rPr>
      </w:pPr>
    </w:p>
    <w:p>
      <w:pPr>
        <w:ind w:right="120" w:firstLine="761"/>
        <w:spacing w:after="0" w:line="241"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requires disclosure of incremental segment information on an annual and interim basis, primarily through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segment expenses. The guidance will be effective for fiscal years beginning after December 15, 2023, and interim periods within fiscal years beginning after December 15, 2024 and requires retrospective application to all periods presented upon adoption, with early adoption permitted. The Company is currently evaluating the impact that the adoption of this guidance will have on its condensed consolidated financial statements and related disclosures.</w:t>
      </w:r>
    </w:p>
    <w:p>
      <w:pPr>
        <w:spacing w:after="0" w:line="169" w:lineRule="exact"/>
        <w:rPr>
          <w:sz w:val="20"/>
          <w:szCs w:val="20"/>
          <w:color w:val="auto"/>
        </w:rPr>
      </w:pPr>
    </w:p>
    <w:p>
      <w:pPr>
        <w:ind w:right="140" w:firstLine="761"/>
        <w:spacing w:after="0" w:line="243"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condensed consolidated financial statements and related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98" w:lineRule="exact"/>
        <w:rPr>
          <w:sz w:val="20"/>
          <w:szCs w:val="20"/>
          <w:color w:val="auto"/>
        </w:rPr>
      </w:pPr>
    </w:p>
    <w:p>
      <w:pPr>
        <w:ind w:right="540" w:firstLine="761"/>
        <w:spacing w:after="0" w:line="271"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consumers throughout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200" w:firstLine="761"/>
        <w:spacing w:after="0" w:line="246" w:lineRule="auto"/>
        <w:rPr>
          <w:sz w:val="20"/>
          <w:szCs w:val="20"/>
          <w:color w:val="auto"/>
        </w:rPr>
      </w:pPr>
      <w:r>
        <w:rPr>
          <w:rFonts w:ascii="Arial" w:cs="Arial" w:eastAsia="Arial" w:hAnsi="Arial"/>
          <w:sz w:val="18"/>
          <w:szCs w:val="18"/>
          <w:color w:val="auto"/>
        </w:rPr>
        <w:t>The Company’s interest income is related to finance receivables originated by UACC for its network of third-party dealership customers and vehicle financing UACC offered to Vroom’s customers through its ecommerce platform prior to the Ecommerce Wind-down. Interest income also includes discount income on finance receivables held for investment at fair value, which represents the amortization of unearned acquisition discounts over the contractual life of the underlying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finance receivables using the interest method. Interest income on each automotive finance receivables is calculated based on the finance receivable’s outstanding principal balance multiplied by the contractual interest rate.</w:t>
      </w:r>
    </w:p>
    <w:p>
      <w:pPr>
        <w:spacing w:after="0" w:line="139"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Income</w:t>
      </w:r>
    </w:p>
    <w:p>
      <w:pPr>
        <w:spacing w:after="0" w:line="196"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and 3.25% for the 2022-2 and 2023-1 securitization transactions of the outstanding principal balance of the finance receivables serviced. Late charges and other fees are calculated at predetermined amounts or percentages of overdue finance receivable balances and are recorded on a cash basis. From January to March 2023, UACC waived the monthly servicing fees related to the 2022-2 securitization transaction, which resulted in consolidation of the 2022-2 VIE. Servicing fees related to the 2022-2 and 2023-1 securitization transactions are eliminated in consolidation. Refer to Note 4 – Variable Interest Entities and Securitizations.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income</w:t>
      </w:r>
    </w:p>
    <w:p>
      <w:pPr>
        <w:spacing w:after="0" w:line="196" w:lineRule="exact"/>
        <w:rPr>
          <w:sz w:val="20"/>
          <w:szCs w:val="20"/>
          <w:color w:val="auto"/>
        </w:rPr>
      </w:pPr>
    </w:p>
    <w:p>
      <w:pPr>
        <w:jc w:val="both"/>
        <w:ind w:right="520" w:firstLine="761"/>
        <w:spacing w:after="0" w:line="252" w:lineRule="auto"/>
        <w:rPr>
          <w:sz w:val="20"/>
          <w:szCs w:val="20"/>
          <w:color w:val="auto"/>
        </w:rPr>
      </w:pPr>
      <w:r>
        <w:rPr>
          <w:rFonts w:ascii="Arial" w:cs="Arial" w:eastAsia="Arial" w:hAnsi="Arial"/>
          <w:sz w:val="18"/>
          <w:szCs w:val="18"/>
          <w:color w:val="auto"/>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administered these products and are responsible for their fulfillment.</w:t>
      </w:r>
    </w:p>
    <w:p>
      <w:pPr>
        <w:spacing w:after="0" w:line="157" w:lineRule="exact"/>
        <w:rPr>
          <w:sz w:val="20"/>
          <w:szCs w:val="20"/>
          <w:color w:val="auto"/>
        </w:rPr>
      </w:pPr>
    </w:p>
    <w:p>
      <w:pPr>
        <w:ind w:right="340" w:firstLine="761"/>
        <w:spacing w:after="0" w:line="243" w:lineRule="auto"/>
        <w:rPr>
          <w:sz w:val="20"/>
          <w:szCs w:val="20"/>
          <w:color w:val="auto"/>
        </w:rPr>
      </w:pPr>
      <w:r>
        <w:rPr>
          <w:rFonts w:ascii="Arial" w:cs="Arial" w:eastAsia="Arial" w:hAnsi="Arial"/>
          <w:sz w:val="18"/>
          <w:szCs w:val="18"/>
          <w:color w:val="auto"/>
        </w:rPr>
        <w:t>UACC also offers third-party vehicle service contracts and United Auto Credit GAP to consumers who obtain financing through UACC. United Auto Credit GAP is a debt waiver product that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financial receivables on straight-line basis.</w:t>
      </w:r>
    </w:p>
    <w:p>
      <w:pPr>
        <w:spacing w:after="0" w:line="166" w:lineRule="exact"/>
        <w:rPr>
          <w:sz w:val="20"/>
          <w:szCs w:val="20"/>
          <w:color w:val="auto"/>
        </w:rPr>
      </w:pPr>
    </w:p>
    <w:p>
      <w:pPr>
        <w:jc w:val="both"/>
        <w:ind w:right="220" w:firstLine="761"/>
        <w:spacing w:after="0" w:line="252" w:lineRule="auto"/>
        <w:rPr>
          <w:sz w:val="20"/>
          <w:szCs w:val="20"/>
          <w:color w:val="auto"/>
        </w:rPr>
      </w:pPr>
      <w:r>
        <w:rPr>
          <w:rFonts w:ascii="Arial" w:cs="Arial" w:eastAsia="Arial" w:hAnsi="Arial"/>
          <w:sz w:val="18"/>
          <w:szCs w:val="18"/>
          <w:color w:val="auto"/>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p>
    <w:p>
      <w:pPr>
        <w:spacing w:after="0" w:line="157"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March 31, 2024 and December 31, 2023, the Company’s reserve for chargebacks was $13.3 million and $11.8 million, respectively, which are included within “Other liabilities.”</w:t>
      </w:r>
    </w:p>
    <w:p>
      <w:pPr>
        <w:spacing w:after="0" w:line="169"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March 31, 2024 and December 31, 2023, the Company recognized $10.4 million and $22.3 million, respectively, related to cumulative profit-sharing payments to which it expects to be entitled, which are included within “Other assets."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Revenue</w:t>
      </w:r>
    </w:p>
    <w:p>
      <w:pPr>
        <w:spacing w:after="0" w:line="196"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Deferred revenue includes advances received from customers in excess of revenue recognized.</w:t>
      </w:r>
    </w:p>
    <w:p>
      <w:pPr>
        <w:spacing w:after="0" w:line="198" w:lineRule="exact"/>
        <w:rPr>
          <w:sz w:val="20"/>
          <w:szCs w:val="20"/>
          <w:color w:val="auto"/>
        </w:rPr>
      </w:pPr>
    </w:p>
    <w:p>
      <w:pPr>
        <w:ind w:right="100" w:firstLine="761"/>
        <w:spacing w:after="0" w:line="271" w:lineRule="auto"/>
        <w:rPr>
          <w:sz w:val="20"/>
          <w:szCs w:val="20"/>
          <w:color w:val="auto"/>
        </w:rPr>
      </w:pPr>
      <w:r>
        <w:rPr>
          <w:rFonts w:ascii="Arial" w:cs="Arial" w:eastAsia="Arial" w:hAnsi="Arial"/>
          <w:sz w:val="18"/>
          <w:szCs w:val="18"/>
          <w:color w:val="auto"/>
        </w:rPr>
        <w:t>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198"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169"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63" w:lineRule="exact"/>
        <w:rPr>
          <w:sz w:val="20"/>
          <w:szCs w:val="20"/>
          <w:color w:val="auto"/>
        </w:rPr>
      </w:pPr>
    </w:p>
    <w:p>
      <w:pPr>
        <w:jc w:val="both"/>
        <w:ind w:right="140" w:firstLine="761"/>
        <w:spacing w:after="0" w:line="246" w:lineRule="auto"/>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 In January 2023, UACC completed the 2023-1 securitization transaction.</w:t>
      </w:r>
    </w:p>
    <w:p>
      <w:pPr>
        <w:spacing w:after="0" w:line="163" w:lineRule="exact"/>
        <w:rPr>
          <w:sz w:val="20"/>
          <w:szCs w:val="20"/>
          <w:color w:val="auto"/>
        </w:rPr>
      </w:pPr>
    </w:p>
    <w:p>
      <w:pPr>
        <w:jc w:val="both"/>
        <w:ind w:right="40" w:firstLine="761"/>
        <w:spacing w:after="0" w:line="252" w:lineRule="auto"/>
        <w:rPr>
          <w:sz w:val="20"/>
          <w:szCs w:val="20"/>
          <w:color w:val="auto"/>
        </w:rPr>
      </w:pPr>
      <w:r>
        <w:rPr>
          <w:rFonts w:ascii="Arial" w:cs="Arial" w:eastAsia="Arial" w:hAnsi="Arial"/>
          <w:sz w:val="18"/>
          <w:szCs w:val="18"/>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spacing w:after="0" w:line="157"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66"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In 2023, UACC completed the 2023-1 securitization transaction, in which it sold rated asset-backed non-investment grade securities, for proceeds of $260.9 million. UACC still retains the residual interests related to the 2023-1 securitization transaction. The trust is collateralized by finance receivables with an aggregate principal balance of $326.4 million. These finance receivables are serviced by UACC. The Company consolidated the 2023-1 VIE and accounted for this transaction as a secured borrowing. UACC retained the servicing rights to these finance receivables and receives an "at market" servicing fee.</w:t>
      </w:r>
    </w:p>
    <w:p>
      <w:pPr>
        <w:spacing w:after="0" w:line="166" w:lineRule="exact"/>
        <w:rPr>
          <w:sz w:val="20"/>
          <w:szCs w:val="20"/>
          <w:color w:val="auto"/>
        </w:rPr>
      </w:pPr>
    </w:p>
    <w:p>
      <w:pPr>
        <w:ind w:right="680" w:firstLine="761"/>
        <w:spacing w:after="0" w:line="271" w:lineRule="auto"/>
        <w:rPr>
          <w:sz w:val="20"/>
          <w:szCs w:val="20"/>
          <w:color w:val="auto"/>
        </w:rPr>
      </w:pPr>
      <w:r>
        <w:rPr>
          <w:rFonts w:ascii="Arial" w:cs="Arial" w:eastAsia="Arial" w:hAnsi="Arial"/>
          <w:sz w:val="18"/>
          <w:szCs w:val="18"/>
          <w:color w:val="auto"/>
        </w:rPr>
        <w:t>UACC is the primary beneficiary of the 2023-1 securitization trusts, as it has both the power to direct the activities that most significantly impact the entity’s economic performance and the obligation to absorb losses or the right to receive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benefits from the entity that could potentially be significant to the VIE. UACC also retained a portion of the economic interests in the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 Refer to Note 10 – Long Term Debt for further details.</w:t>
      </w:r>
    </w:p>
    <w:p>
      <w:pPr>
        <w:spacing w:after="0" w:line="163"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In July 2022, UACC sold a pool of finance receivables in the 2022-2 securitization transaction. UACC retained the servicing rights to these finance receivables and receives an "at market" servicing fee. UACC retained an insignificant amount of the asset-backed securities issued in the securitization in order to comply with Risk Retention Rules. Originally, the Company concluded that it is not the primary beneficiary of the 2022-2 securitization trust because UACC retained interests in the VIE are insignificant. Therefore, the Company did not originally consolidate the 2022-2 trust. From January to March 2023, although not contractually required, UACC elected to waive its servicing fee on the 2022-2 securitization, due to higher-than-expected losses, which transferred more than an insignificant portion of the corresponding risk of loss from the VIE to the Company. Since UACC has the power to direct the significant activities of the VIE, as it is the servicer, and additionally it absorbs the risk of loss, the Company concluded that it is the primary beneficiary of the VIE. In March 2023, the Company accounted for the transaction as secured borrowings and consolidated the 2022-2 securitization trust. The beneficial interest was then eliminated.</w:t>
      </w:r>
    </w:p>
    <w:p>
      <w:pPr>
        <w:spacing w:after="0" w:line="172" w:lineRule="exact"/>
        <w:rPr>
          <w:sz w:val="20"/>
          <w:szCs w:val="20"/>
          <w:color w:val="auto"/>
        </w:rPr>
      </w:pPr>
    </w:p>
    <w:p>
      <w:pPr>
        <w:ind w:right="100" w:firstLine="764"/>
        <w:spacing w:after="0" w:line="241"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2022-2 and 2023-1 securitization trusts consolidated by UACC meet the definition of a CFE, therefore, the Company has elected to apply the measurement alternative when consolidating these VIEs. Refer to Note 14 – Financial Instruments and Fair Value Measurements for further detail.</w:t>
      </w:r>
    </w:p>
    <w:p>
      <w:pPr>
        <w:spacing w:after="0" w:line="169" w:lineRule="exact"/>
        <w:rPr>
          <w:sz w:val="20"/>
          <w:szCs w:val="20"/>
          <w:color w:val="auto"/>
        </w:rPr>
      </w:pPr>
    </w:p>
    <w:p>
      <w:pPr>
        <w:jc w:val="both"/>
        <w:ind w:right="120" w:firstLine="764"/>
        <w:spacing w:after="0" w:line="255" w:lineRule="auto"/>
        <w:rPr>
          <w:sz w:val="20"/>
          <w:szCs w:val="20"/>
          <w:color w:val="auto"/>
        </w:rPr>
      </w:pPr>
      <w:r>
        <w:rPr>
          <w:rFonts w:ascii="Arial" w:cs="Arial" w:eastAsia="Arial" w:hAnsi="Arial"/>
          <w:sz w:val="17"/>
          <w:szCs w:val="17"/>
          <w:color w:val="auto"/>
        </w:rPr>
        <w:t>UACC has four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These trusts are consolidated VIEs. Refer to Note 9 – Warehouse Credit Facilities of Consolidated VIEs for further details on the warehouse facilities.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20" w:firstLine="764"/>
        <w:spacing w:after="0" w:line="246" w:lineRule="auto"/>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As of March 31, 2024</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2"/>
        </w:trPr>
        <w:tc>
          <w:tcPr>
            <w:tcW w:w="5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5140" w:type="dxa"/>
            <w:vAlign w:val="bottom"/>
          </w:tcPr>
          <w:p>
            <w:pPr>
              <w:spacing w:after="0"/>
              <w:rPr>
                <w:sz w:val="17"/>
                <w:szCs w:val="17"/>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Securitization Vehicles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right="34"/>
              <w:spacing w:after="0" w:line="203"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21,581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26,522</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48,103</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239,978</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141,360</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381,338</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450,006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450,006</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4,344</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9,064</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13,408</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11,396</w:t>
            </w:r>
          </w:p>
        </w:tc>
        <w:tc>
          <w:tcPr>
            <w:tcW w:w="100" w:type="dxa"/>
            <w:vAlign w:val="bottom"/>
          </w:tcPr>
          <w:p>
            <w:pPr>
              <w:spacing w:after="0"/>
              <w:rPr>
                <w:sz w:val="19"/>
                <w:szCs w:val="19"/>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270,314</w:t>
            </w: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633,937</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904,251</w:t>
            </w:r>
          </w:p>
        </w:tc>
        <w:tc>
          <w:tcPr>
            <w:tcW w:w="100" w:type="dxa"/>
            <w:vAlign w:val="bottom"/>
            <w:shd w:val="clear" w:color="auto" w:fill="CFF0FC"/>
          </w:tcPr>
          <w:p>
            <w:pPr>
              <w:spacing w:after="0"/>
              <w:rPr>
                <w:sz w:val="22"/>
                <w:szCs w:val="22"/>
                <w:color w:val="auto"/>
              </w:rPr>
            </w:pPr>
          </w:p>
        </w:tc>
      </w:tr>
      <w:tr>
        <w:trPr>
          <w:trHeight w:val="210"/>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Liabilities:</w:t>
            </w:r>
          </w:p>
        </w:tc>
        <w:tc>
          <w:tcPr>
            <w:tcW w:w="6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w:t>
            </w:r>
          </w:p>
        </w:tc>
        <w:tc>
          <w:tcPr>
            <w:tcW w:w="60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237,899</w:t>
            </w: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237,899</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Warehouse credit facilities</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516,276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516,276</w:t>
            </w:r>
          </w:p>
        </w:tc>
        <w:tc>
          <w:tcPr>
            <w:tcW w:w="100" w:type="dxa"/>
            <w:vAlign w:val="bottom"/>
          </w:tcPr>
          <w:p>
            <w:pPr>
              <w:spacing w:after="0"/>
              <w:rPr>
                <w:sz w:val="19"/>
                <w:szCs w:val="19"/>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12,713</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241,233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528,989</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770,222</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6"/>
        </w:trPr>
        <w:tc>
          <w:tcPr>
            <w:tcW w:w="5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 2023</w:t>
            </w: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5140" w:type="dxa"/>
            <w:vAlign w:val="bottom"/>
          </w:tcPr>
          <w:p>
            <w:pPr>
              <w:spacing w:after="0"/>
              <w:rPr>
                <w:sz w:val="17"/>
                <w:szCs w:val="17"/>
                <w:color w:val="auto"/>
              </w:rPr>
            </w:pPr>
          </w:p>
        </w:tc>
        <w:tc>
          <w:tcPr>
            <w:tcW w:w="17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Securitization Vehicles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jc w:val="center"/>
              <w:ind w:right="34"/>
              <w:spacing w:after="0" w:line="203" w:lineRule="exact"/>
              <w:rPr>
                <w:sz w:val="20"/>
                <w:szCs w:val="20"/>
                <w:color w:val="auto"/>
              </w:rPr>
            </w:pPr>
            <w:r>
              <w:rPr>
                <w:rFonts w:ascii="Arial" w:cs="Arial" w:eastAsia="Arial" w:hAnsi="Arial"/>
                <w:sz w:val="14"/>
                <w:szCs w:val="14"/>
                <w:b w:val="1"/>
                <w:bCs w:val="1"/>
                <w:color w:val="auto"/>
              </w:rPr>
              <w:t>Facilities</w:t>
            </w:r>
            <w:r>
              <w:rPr>
                <w:rFonts w:ascii="Arial" w:cs="Arial" w:eastAsia="Arial" w:hAnsi="Arial"/>
                <w:sz w:val="19"/>
                <w:szCs w:val="19"/>
                <w:b w:val="1"/>
                <w:bCs w:val="1"/>
                <w:color w:val="auto"/>
                <w:vertAlign w:val="superscript"/>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28,458</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20,688</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49,146</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316,998</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341,444</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457,185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457,185</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6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6,107</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7,586</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13,693</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100" w:type="dxa"/>
            <w:vAlign w:val="bottom"/>
          </w:tcPr>
          <w:p>
            <w:pPr>
              <w:spacing w:after="0"/>
              <w:rPr>
                <w:sz w:val="19"/>
                <w:szCs w:val="19"/>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357,846</w:t>
            </w: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516,892</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874,738</w:t>
            </w:r>
          </w:p>
        </w:tc>
        <w:tc>
          <w:tcPr>
            <w:tcW w:w="100" w:type="dxa"/>
            <w:vAlign w:val="bottom"/>
            <w:shd w:val="clear" w:color="auto" w:fill="CFF0FC"/>
          </w:tcPr>
          <w:p>
            <w:pPr>
              <w:spacing w:after="0"/>
              <w:rPr>
                <w:sz w:val="22"/>
                <w:szCs w:val="22"/>
                <w:color w:val="auto"/>
              </w:rPr>
            </w:pPr>
          </w:p>
        </w:tc>
      </w:tr>
      <w:tr>
        <w:trPr>
          <w:trHeight w:val="210"/>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Liabilities:</w:t>
            </w:r>
          </w:p>
        </w:tc>
        <w:tc>
          <w:tcPr>
            <w:tcW w:w="6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w:t>
            </w:r>
          </w:p>
        </w:tc>
        <w:tc>
          <w:tcPr>
            <w:tcW w:w="60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314,095</w:t>
            </w:r>
          </w:p>
        </w:tc>
        <w:tc>
          <w:tcPr>
            <w:tcW w:w="4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314,095</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Warehouse credit facilities</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421,268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421,268</w:t>
            </w:r>
          </w:p>
        </w:tc>
        <w:tc>
          <w:tcPr>
            <w:tcW w:w="100" w:type="dxa"/>
            <w:vAlign w:val="bottom"/>
          </w:tcPr>
          <w:p>
            <w:pPr>
              <w:spacing w:after="0"/>
              <w:rPr>
                <w:sz w:val="19"/>
                <w:szCs w:val="19"/>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9,801</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600" w:type="dxa"/>
            <w:vAlign w:val="bottom"/>
          </w:tcPr>
          <w:p>
            <w:pPr>
              <w:jc w:val="right"/>
              <w:ind w:right="41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318,629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431,069</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749,698</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-3176270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-3159125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-3176270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-3159125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-2567940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-2567940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-787400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-770255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-787400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-770255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-787400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-179070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-179070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9 – Warehouse Credit Facilities of Consolidated VIEs for further details of the warehouse facilities.</w:t>
      </w:r>
    </w:p>
    <w:p>
      <w:pPr>
        <w:spacing w:after="0" w:line="234"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 or accounts for these securitization transactions as secured financing when it is the primary beneficiary.</w:t>
      </w:r>
    </w:p>
    <w:p>
      <w:pPr>
        <w:spacing w:after="0" w:line="166"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In February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entities, however, the Company concluded that it is not the primary beneficiary of the 2022-1 securitization trust because UACC retained interests in the VIE are insignificant. The beneficial interest retained by UACC included rated notes and unrated residual certificates issued by the 2022-1 securitization trust.</w:t>
      </w:r>
    </w:p>
    <w:p>
      <w:pPr>
        <w:sectPr>
          <w:pgSz w:w="11900" w:h="16838" w:orient="portrait"/>
          <w:cols w:equalWidth="0" w:num="1">
            <w:col w:w="11240"/>
          </w:cols>
          <w:pgMar w:left="320" w:top="768"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300" w:firstLine="761"/>
        <w:spacing w:after="0" w:line="241" w:lineRule="auto"/>
        <w:rPr>
          <w:sz w:val="20"/>
          <w:szCs w:val="20"/>
          <w:color w:val="auto"/>
        </w:rPr>
      </w:pPr>
      <w:r>
        <w:rPr>
          <w:rFonts w:ascii="Arial" w:cs="Arial" w:eastAsia="Arial" w:hAnsi="Arial"/>
          <w:sz w:val="18"/>
          <w:szCs w:val="18"/>
          <w:color w:val="auto"/>
        </w:rPr>
        <w:t>As of March 31, 2024 and December 31, 2023, the assets UACC retains in the unconsolidated VIEs were approximately $3.7 million and $4.5 million, respectively, and are included in "Other assets" in the Company's consolidated balance sheet. The beneficial interests in securitizations are subject to restrictions on transfer pursuant to UACC’s obligations as a sponsor under Risk Retention Rules. These securities are interests in securitization trusts, thus there are no contractual maturities. During the three months ended March 31, 2023, the Company entered into a Risk Retention Financing Facility to finance the majority of its retained beneficial interests in securitizations. Refer to Note 10 – Long Term Debt for further detail.</w:t>
      </w:r>
    </w:p>
    <w:p>
      <w:pPr>
        <w:spacing w:after="0" w:line="169" w:lineRule="exact"/>
        <w:rPr>
          <w:sz w:val="20"/>
          <w:szCs w:val="20"/>
          <w:color w:val="auto"/>
        </w:rPr>
      </w:pPr>
    </w:p>
    <w:p>
      <w:pPr>
        <w:ind w:right="420" w:firstLine="761"/>
        <w:spacing w:after="0" w:line="271"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March 31, 2024</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288"/>
              <w:spacing w:after="0"/>
              <w:rPr>
                <w:sz w:val="20"/>
                <w:szCs w:val="20"/>
                <w:color w:val="auto"/>
              </w:rPr>
            </w:pPr>
            <w:r>
              <w:rPr>
                <w:rFonts w:ascii="Arial" w:cs="Arial" w:eastAsia="Arial" w:hAnsi="Arial"/>
                <w:sz w:val="14"/>
                <w:szCs w:val="14"/>
                <w:b w:val="1"/>
                <w:bCs w:val="1"/>
                <w:color w:val="auto"/>
              </w:rPr>
              <w:t>As of December 31, 2023</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8"/>
              <w:spacing w:after="0" w:line="159"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9"/>
              <w:spacing w:after="0" w:line="159"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8"/>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9"/>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100" w:type="dxa"/>
            <w:vAlign w:val="bottom"/>
          </w:tcPr>
          <w:p>
            <w:pPr>
              <w:spacing w:after="0"/>
              <w:rPr>
                <w:sz w:val="16"/>
                <w:szCs w:val="16"/>
                <w:color w:val="auto"/>
              </w:rPr>
            </w:pPr>
          </w:p>
        </w:tc>
      </w:tr>
      <w:tr>
        <w:trPr>
          <w:trHeight w:val="223"/>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Rated notes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6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3,545</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6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CFF0FC"/>
          </w:tcPr>
          <w:p>
            <w:pPr>
              <w:spacing w:after="0"/>
              <w:rPr>
                <w:sz w:val="19"/>
                <w:szCs w:val="19"/>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r>
      <w:tr>
        <w:trPr>
          <w:trHeight w:val="229"/>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4,076</w:t>
            </w:r>
          </w:p>
        </w:tc>
        <w:tc>
          <w:tcPr>
            <w:tcW w:w="6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4,032</w:t>
            </w:r>
          </w:p>
        </w:tc>
        <w:tc>
          <w:tcPr>
            <w:tcW w:w="28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4,032</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4,848</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4,795</w:t>
            </w:r>
          </w:p>
        </w:tc>
        <w:tc>
          <w:tcPr>
            <w:tcW w:w="6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-179070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-179070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-179070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-179070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60" w:firstLine="761"/>
        <w:spacing w:after="0" w:line="252" w:lineRule="auto"/>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98" w:lineRule="exact"/>
        <w:rPr>
          <w:sz w:val="20"/>
          <w:szCs w:val="20"/>
          <w:color w:val="auto"/>
        </w:rPr>
      </w:pPr>
    </w:p>
    <w:p>
      <w:pPr>
        <w:ind w:right="240" w:firstLine="761"/>
        <w:spacing w:after="0" w:line="243" w:lineRule="auto"/>
        <w:rPr>
          <w:sz w:val="20"/>
          <w:szCs w:val="20"/>
          <w:color w:val="auto"/>
        </w:rPr>
      </w:pPr>
      <w:r>
        <w:rPr>
          <w:rFonts w:ascii="Arial" w:cs="Arial" w:eastAsia="Arial" w:hAnsi="Arial"/>
          <w:sz w:val="18"/>
          <w:szCs w:val="18"/>
          <w:color w:val="auto"/>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months ended March 31, 2024, the Company reported the ecommerce operations and used vehicle dealership business as discontinued operations and recast prior periods to reflect this presentation.</w:t>
      </w:r>
    </w:p>
    <w:p>
      <w:pPr>
        <w:spacing w:after="0" w:line="166" w:lineRule="exact"/>
        <w:rPr>
          <w:sz w:val="20"/>
          <w:szCs w:val="20"/>
          <w:color w:val="auto"/>
        </w:rPr>
      </w:pPr>
    </w:p>
    <w:p>
      <w:pPr>
        <w:jc w:val="both"/>
        <w:ind w:right="240" w:firstLine="749"/>
        <w:spacing w:after="0" w:line="252" w:lineRule="auto"/>
        <w:rPr>
          <w:sz w:val="20"/>
          <w:szCs w:val="20"/>
          <w:color w:val="auto"/>
        </w:rPr>
      </w:pPr>
      <w:r>
        <w:rPr>
          <w:rFonts w:ascii="Arial" w:cs="Arial" w:eastAsia="Arial" w:hAnsi="Arial"/>
          <w:sz w:val="18"/>
          <w:szCs w:val="18"/>
          <w:color w:val="auto"/>
        </w:rPr>
        <w:t>During the three months ended March 31, 2024, the Company incurred charges of approximately $14.7 million for severance and other personnel-related costs and approximately $11.9 million for contract and lease termination costs as a result of the Ecommerce Wind-Down recorded in "Net loss from discontinued operations" in the consolidated statements of operations.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20" w:firstLine="764"/>
        <w:spacing w:after="0" w:line="271" w:lineRule="auto"/>
        <w:rPr>
          <w:sz w:val="20"/>
          <w:szCs w:val="20"/>
          <w:color w:val="auto"/>
        </w:rPr>
      </w:pPr>
      <w:r>
        <w:rPr>
          <w:rFonts w:ascii="Arial" w:cs="Arial" w:eastAsia="Arial" w:hAnsi="Arial"/>
          <w:sz w:val="18"/>
          <w:szCs w:val="18"/>
          <w:color w:val="auto"/>
        </w:rPr>
        <w:t>The following table summarizes the major income and expense line items from discontinued operations as reported in the condensed consolidated statements of operations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March 31,</w:t>
            </w:r>
          </w:p>
        </w:tc>
        <w:tc>
          <w:tcPr>
            <w:tcW w:w="1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820" w:type="dxa"/>
            <w:vAlign w:val="bottom"/>
          </w:tcPr>
          <w:p>
            <w:pPr>
              <w:spacing w:after="0"/>
              <w:rPr>
                <w:sz w:val="17"/>
                <w:szCs w:val="17"/>
                <w:color w:val="auto"/>
              </w:rPr>
            </w:pPr>
          </w:p>
        </w:tc>
        <w:tc>
          <w:tcPr>
            <w:tcW w:w="1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8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1520" w:type="dxa"/>
            <w:vAlign w:val="bottom"/>
          </w:tcPr>
          <w:p>
            <w:pPr>
              <w:jc w:val="right"/>
              <w:ind w:right="131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47,320</w:t>
            </w:r>
          </w:p>
        </w:tc>
        <w:tc>
          <w:tcPr>
            <w:tcW w:w="320" w:type="dxa"/>
            <w:vAlign w:val="bottom"/>
          </w:tcPr>
          <w:p>
            <w:pPr>
              <w:spacing w:after="0"/>
              <w:rPr>
                <w:sz w:val="19"/>
                <w:szCs w:val="19"/>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135,387</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 vehicle</w:t>
            </w:r>
          </w:p>
        </w:tc>
        <w:tc>
          <w:tcPr>
            <w:tcW w:w="1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140,127</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13,895</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1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3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189,082</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153,440</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vehicle</w:t>
            </w:r>
          </w:p>
        </w:tc>
        <w:tc>
          <w:tcPr>
            <w:tcW w:w="1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43,673</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135,724</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1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141,800</w:t>
            </w:r>
          </w:p>
        </w:tc>
        <w:tc>
          <w:tcPr>
            <w:tcW w:w="3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 of sales</w:t>
            </w:r>
          </w:p>
        </w:tc>
        <w:tc>
          <w:tcPr>
            <w:tcW w:w="1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185,473</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3,609</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57,750</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Gain on disposal of long lived assets</w:t>
            </w:r>
          </w:p>
        </w:tc>
        <w:tc>
          <w:tcPr>
            <w:tcW w:w="15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(9,541 )</w:t>
            </w:r>
          </w:p>
        </w:tc>
        <w:tc>
          <w:tcPr>
            <w:tcW w:w="9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(81 )</w:t>
            </w:r>
          </w:p>
        </w:tc>
      </w:tr>
      <w:tr>
        <w:trPr>
          <w:trHeight w:val="22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5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(22,119 )</w:t>
            </w:r>
          </w:p>
        </w:tc>
        <w:tc>
          <w:tcPr>
            <w:tcW w:w="9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(57,085 )</w:t>
            </w: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5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32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(856 )</w:t>
            </w:r>
          </w:p>
        </w:tc>
        <w:tc>
          <w:tcPr>
            <w:tcW w:w="9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(3,517 )</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1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(22,841 )</w:t>
            </w:r>
          </w:p>
        </w:tc>
        <w:tc>
          <w:tcPr>
            <w:tcW w:w="9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(59,050 )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from discontinued operations</w:t>
            </w:r>
          </w:p>
        </w:tc>
        <w:tc>
          <w:tcPr>
            <w:tcW w:w="1520" w:type="dxa"/>
            <w:vAlign w:val="bottom"/>
            <w:shd w:val="clear" w:color="auto" w:fill="CFF0FC"/>
          </w:tcPr>
          <w:p>
            <w:pPr>
              <w:jc w:val="right"/>
              <w:ind w:right="1316"/>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(22,941 )</w:t>
            </w:r>
          </w:p>
        </w:tc>
        <w:tc>
          <w:tcPr>
            <w:tcW w:w="92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(59,272 )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-1515110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-1515110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-923925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860" w:firstLine="761"/>
        <w:spacing w:after="0" w:line="271" w:lineRule="auto"/>
        <w:rPr>
          <w:sz w:val="20"/>
          <w:szCs w:val="20"/>
          <w:color w:val="auto"/>
        </w:rPr>
      </w:pPr>
      <w:r>
        <w:rPr>
          <w:rFonts w:ascii="Arial" w:cs="Arial" w:eastAsia="Arial" w:hAnsi="Arial"/>
          <w:sz w:val="18"/>
          <w:szCs w:val="18"/>
          <w:color w:val="auto"/>
        </w:rPr>
        <w:t>The following table summarizes the major classes of assets and liabilities from discontinued operations as reported in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tcPr>
          <w:p>
            <w:pPr>
              <w:jc w:val="center"/>
              <w:ind w:left="588"/>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r>
      <w:tr>
        <w:trPr>
          <w:trHeight w:val="185"/>
        </w:trPr>
        <w:tc>
          <w:tcPr>
            <w:tcW w:w="4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23"/>
        </w:trPr>
        <w:tc>
          <w:tcPr>
            <w:tcW w:w="4660" w:type="dxa"/>
            <w:vAlign w:val="bottom"/>
          </w:tcPr>
          <w:p>
            <w:pPr>
              <w:spacing w:after="0"/>
              <w:rPr>
                <w:sz w:val="19"/>
                <w:szCs w:val="19"/>
                <w:color w:val="auto"/>
              </w:rPr>
            </w:pPr>
          </w:p>
        </w:tc>
        <w:tc>
          <w:tcPr>
            <w:tcW w:w="2820" w:type="dxa"/>
            <w:vAlign w:val="bottom"/>
            <w:gridSpan w:val="2"/>
          </w:tcPr>
          <w:p>
            <w:pPr>
              <w:jc w:val="center"/>
              <w:ind w:left="1773"/>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center"/>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820" w:type="dxa"/>
            <w:vAlign w:val="bottom"/>
            <w:gridSpan w:val="2"/>
          </w:tcPr>
          <w:p>
            <w:pPr>
              <w:jc w:val="right"/>
              <w:ind w:right="146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547</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163,250</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1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13,889</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19,150</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tcPr>
          <w:p>
            <w:pPr>
              <w:spacing w:after="0"/>
              <w:rPr>
                <w:sz w:val="19"/>
                <w:szCs w:val="19"/>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from discontinued operations</w:t>
            </w:r>
          </w:p>
        </w:tc>
        <w:tc>
          <w:tcPr>
            <w:tcW w:w="2820" w:type="dxa"/>
            <w:vAlign w:val="bottom"/>
            <w:gridSpan w:val="2"/>
            <w:shd w:val="clear" w:color="auto" w:fill="CFF0FC"/>
          </w:tcPr>
          <w:p>
            <w:pPr>
              <w:jc w:val="right"/>
              <w:ind w:right="14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18,142</w:t>
            </w: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196,537</w:t>
            </w:r>
          </w:p>
        </w:tc>
        <w:tc>
          <w:tcPr>
            <w:tcW w:w="100" w:type="dxa"/>
            <w:vAlign w:val="bottom"/>
            <w:shd w:val="clear" w:color="auto" w:fill="CFF0FC"/>
          </w:tcPr>
          <w:p>
            <w:pPr>
              <w:spacing w:after="0"/>
              <w:rPr>
                <w:sz w:val="22"/>
                <w:szCs w:val="22"/>
                <w:color w:val="auto"/>
              </w:rPr>
            </w:pPr>
          </w:p>
        </w:tc>
      </w:tr>
      <w:tr>
        <w:trPr>
          <w:trHeight w:val="210"/>
        </w:trPr>
        <w:tc>
          <w:tcPr>
            <w:tcW w:w="4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16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2820" w:type="dxa"/>
            <w:vAlign w:val="bottom"/>
            <w:gridSpan w:val="2"/>
            <w:shd w:val="clear" w:color="auto" w:fill="CFF0FC"/>
          </w:tcPr>
          <w:p>
            <w:pPr>
              <w:jc w:val="right"/>
              <w:ind w:right="14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12,897</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27,133</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floorplan</w:t>
            </w:r>
          </w:p>
        </w:tc>
        <w:tc>
          <w:tcPr>
            <w:tcW w:w="11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151,178</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14,025</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11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23,461</w:t>
            </w: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19"/>
                <w:szCs w:val="19"/>
                <w:color w:val="auto"/>
              </w:rPr>
            </w:pPr>
          </w:p>
        </w:tc>
      </w:tr>
      <w:tr>
        <w:trPr>
          <w:trHeight w:val="263"/>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 from discontinued operations</w:t>
            </w:r>
          </w:p>
        </w:tc>
        <w:tc>
          <w:tcPr>
            <w:tcW w:w="2820" w:type="dxa"/>
            <w:vAlign w:val="bottom"/>
            <w:gridSpan w:val="2"/>
            <w:shd w:val="clear" w:color="auto" w:fill="CFF0FC"/>
          </w:tcPr>
          <w:p>
            <w:pPr>
              <w:jc w:val="right"/>
              <w:ind w:right="146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25,293</w:t>
            </w:r>
          </w:p>
        </w:tc>
        <w:tc>
          <w:tcPr>
            <w:tcW w:w="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228,120</w:t>
            </w:r>
          </w:p>
        </w:tc>
        <w:tc>
          <w:tcPr>
            <w:tcW w:w="100" w:type="dxa"/>
            <w:vAlign w:val="bottom"/>
            <w:shd w:val="clear" w:color="auto" w:fill="CFF0FC"/>
          </w:tcPr>
          <w:p>
            <w:pPr>
              <w:spacing w:after="0"/>
              <w:rPr>
                <w:sz w:val="22"/>
                <w:szCs w:val="22"/>
                <w:color w:val="auto"/>
              </w:rPr>
            </w:pPr>
          </w:p>
        </w:tc>
      </w:tr>
      <w:tr>
        <w:trPr>
          <w:trHeight w:val="618"/>
        </w:trPr>
        <w:tc>
          <w:tcPr>
            <w:tcW w:w="466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jc w:val="right"/>
              <w:ind w:right="13"/>
              <w:spacing w:after="0"/>
              <w:rPr>
                <w:sz w:val="20"/>
                <w:szCs w:val="20"/>
                <w:color w:val="auto"/>
              </w:rPr>
            </w:pPr>
            <w:r>
              <w:rPr>
                <w:rFonts w:ascii="Arial" w:cs="Arial" w:eastAsia="Arial" w:hAnsi="Arial"/>
                <w:sz w:val="18"/>
                <w:szCs w:val="18"/>
                <w:color w:val="auto"/>
              </w:rPr>
              <w:t>20</w:t>
            </w:r>
          </w:p>
        </w:tc>
        <w:tc>
          <w:tcPr>
            <w:tcW w:w="1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46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-2114550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-2097405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-2097405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-915670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-898525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2023</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2,815</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2,653</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503</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434</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Internal-use software</w:t>
            </w:r>
          </w:p>
        </w:tc>
        <w:tc>
          <w:tcPr>
            <w:tcW w:w="360" w:type="dxa"/>
            <w:vAlign w:val="bottom"/>
          </w:tcPr>
          <w:p>
            <w:pPr>
              <w:spacing w:after="0"/>
              <w:rPr>
                <w:sz w:val="19"/>
                <w:szCs w:val="19"/>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2,647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4,807</w:t>
            </w:r>
          </w:p>
        </w:tc>
      </w:tr>
      <w:tr>
        <w:trPr>
          <w:trHeight w:val="229"/>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857</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1,370</w:t>
            </w:r>
          </w:p>
        </w:tc>
      </w:tr>
      <w:tr>
        <w:trPr>
          <w:trHeight w:val="223"/>
        </w:trPr>
        <w:tc>
          <w:tcPr>
            <w:tcW w:w="7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7,193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9,767</w:t>
            </w:r>
          </w:p>
        </w:tc>
      </w:tr>
      <w:tr>
        <w:trPr>
          <w:trHeight w:val="229"/>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(4,779 )</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(4,785 )</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2,414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4,982</w:t>
            </w:r>
          </w:p>
        </w:tc>
      </w:tr>
      <w:tr>
        <w:trPr>
          <w:trHeight w:val="20"/>
        </w:trPr>
        <w:tc>
          <w:tcPr>
            <w:tcW w:w="7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-478790</wp:posOffset>
            </wp:positionV>
            <wp:extent cx="120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-179070</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ind w:right="360" w:firstLine="761"/>
        <w:spacing w:after="0" w:line="271" w:lineRule="auto"/>
        <w:rPr>
          <w:sz w:val="20"/>
          <w:szCs w:val="20"/>
          <w:color w:val="auto"/>
        </w:rPr>
      </w:pPr>
      <w:r>
        <w:rPr>
          <w:rFonts w:ascii="Arial" w:cs="Arial" w:eastAsia="Arial" w:hAnsi="Arial"/>
          <w:sz w:val="18"/>
          <w:szCs w:val="18"/>
          <w:color w:val="auto"/>
        </w:rPr>
        <w:t>Depreciation and amortization expense was $0.9 million and $0.5 million for the three months ended March 31, 2024 and 2023, respectively.</w:t>
      </w:r>
    </w:p>
    <w:p>
      <w:pPr>
        <w:spacing w:after="0" w:line="139" w:lineRule="exact"/>
        <w:rPr>
          <w:sz w:val="20"/>
          <w:szCs w:val="20"/>
          <w:color w:val="auto"/>
        </w:rPr>
      </w:pPr>
    </w:p>
    <w:p>
      <w:pPr>
        <w:ind w:right="40" w:firstLine="761"/>
        <w:spacing w:after="0" w:line="271" w:lineRule="auto"/>
        <w:rPr>
          <w:sz w:val="20"/>
          <w:szCs w:val="20"/>
          <w:color w:val="auto"/>
        </w:rPr>
      </w:pPr>
      <w:r>
        <w:rPr>
          <w:rFonts w:ascii="Arial" w:cs="Arial" w:eastAsia="Arial" w:hAnsi="Arial"/>
          <w:sz w:val="18"/>
          <w:szCs w:val="18"/>
          <w:color w:val="auto"/>
        </w:rPr>
        <w:t>The Company recorded impairment charges for "Property and equipment, net" of $2.7 million for the three months ended March 31, 2024, related to the Company's internal-use software that no longer have a planned future use.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March 31, 2024</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76"/>
              <w:spacing w:after="0"/>
              <w:rPr>
                <w:sz w:val="20"/>
                <w:szCs w:val="20"/>
                <w:color w:val="auto"/>
              </w:rPr>
            </w:pPr>
            <w:r>
              <w:rPr>
                <w:rFonts w:ascii="Arial" w:cs="Arial" w:eastAsia="Arial" w:hAnsi="Arial"/>
                <w:sz w:val="14"/>
                <w:szCs w:val="14"/>
                <w:b w:val="1"/>
                <w:bCs w:val="1"/>
                <w:color w:val="auto"/>
              </w:rPr>
              <w:t>December 31, 2023</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ind w:left="40"/>
              <w:spacing w:after="0" w:line="159" w:lineRule="exact"/>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w:t>
            </w:r>
          </w:p>
        </w:tc>
        <w:tc>
          <w:tcPr>
            <w:tcW w:w="8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Carrying</w:t>
            </w:r>
          </w:p>
        </w:tc>
      </w:tr>
      <w:tr>
        <w:trPr>
          <w:trHeight w:val="185"/>
        </w:trPr>
        <w:tc>
          <w:tcPr>
            <w:tcW w:w="4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and purchased technology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108,700</w:t>
            </w:r>
          </w:p>
        </w:tc>
        <w:tc>
          <w:tcPr>
            <w:tcW w:w="4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(42,299 )  $</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66,401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$ 108,700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(38,050 )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87,647</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69,400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(19,505 )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49,895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69,400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(17,336 )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60,739</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(3,360 )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(3,022 )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shd w:val="clear" w:color="auto" w:fill="CFF0FC"/>
          </w:tcPr>
          <w:p>
            <w:pPr>
              <w:spacing w:after="0"/>
              <w:rPr>
                <w:sz w:val="19"/>
                <w:szCs w:val="19"/>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780" w:type="dxa"/>
            <w:vAlign w:val="bottom"/>
          </w:tcPr>
          <w:p>
            <w:pPr>
              <w:ind w:left="320"/>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190,300</w:t>
            </w:r>
          </w:p>
        </w:tc>
        <w:tc>
          <w:tcPr>
            <w:tcW w:w="2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(65,164 )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125,136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$ 190,300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(58,408 )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131,892</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-179070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-179070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-179070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-179070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-179070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100" w:firstLine="761"/>
        <w:spacing w:after="0" w:line="271" w:lineRule="auto"/>
        <w:rPr>
          <w:sz w:val="20"/>
          <w:szCs w:val="20"/>
          <w:color w:val="auto"/>
        </w:rPr>
      </w:pPr>
      <w:r>
        <w:rPr>
          <w:rFonts w:ascii="Arial" w:cs="Arial" w:eastAsia="Arial" w:hAnsi="Arial"/>
          <w:sz w:val="18"/>
          <w:szCs w:val="18"/>
          <w:color w:val="auto"/>
        </w:rPr>
        <w:t>Amortization expense for intangible assets was $6.8 million and $6.8 million for the three months ended March 31, 2024 and 2023, respectively.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amortization expense for intangible assets subsequent to March 31, 2024, consists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 remainder of 2024</w:t>
            </w:r>
          </w:p>
        </w:tc>
        <w:tc>
          <w:tcPr>
            <w:tcW w:w="600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20,267</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2025</w:t>
            </w:r>
          </w:p>
        </w:tc>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tcPr>
          <w:p>
            <w:pPr>
              <w:spacing w:after="0"/>
              <w:rPr>
                <w:sz w:val="19"/>
                <w:szCs w:val="19"/>
                <w:color w:val="auto"/>
              </w:rPr>
            </w:pPr>
          </w:p>
        </w:tc>
      </w:tr>
      <w:tr>
        <w:trPr>
          <w:trHeight w:val="22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21,979</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2027</w:t>
            </w:r>
          </w:p>
        </w:tc>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tcPr>
          <w:p>
            <w:pPr>
              <w:spacing w:after="0"/>
              <w:rPr>
                <w:sz w:val="19"/>
                <w:szCs w:val="19"/>
                <w:color w:val="auto"/>
              </w:rPr>
            </w:pPr>
          </w:p>
        </w:tc>
      </w:tr>
      <w:tr>
        <w:trPr>
          <w:trHeight w:val="22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4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FF0FC"/>
          </w:tcPr>
          <w:p>
            <w:pPr>
              <w:spacing w:after="0"/>
              <w:rPr>
                <w:sz w:val="19"/>
                <w:szCs w:val="19"/>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19"/>
                <w:szCs w:val="19"/>
                <w:color w:val="auto"/>
              </w:rPr>
            </w:pPr>
          </w:p>
        </w:tc>
      </w:tr>
      <w:tr>
        <w:trPr>
          <w:trHeight w:val="263"/>
        </w:trPr>
        <w:tc>
          <w:tcPr>
            <w:tcW w:w="3680" w:type="dxa"/>
            <w:vAlign w:val="bottom"/>
            <w:shd w:val="clear" w:color="auto" w:fill="CFF0FC"/>
          </w:tcPr>
          <w:p>
            <w:pPr>
              <w:spacing w:after="0"/>
              <w:rPr>
                <w:sz w:val="22"/>
                <w:szCs w:val="22"/>
                <w:color w:val="auto"/>
              </w:rPr>
            </w:pPr>
          </w:p>
        </w:tc>
        <w:tc>
          <w:tcPr>
            <w:tcW w:w="600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125,136</w:t>
            </w:r>
          </w:p>
        </w:tc>
        <w:tc>
          <w:tcPr>
            <w:tcW w:w="100" w:type="dxa"/>
            <w:vAlign w:val="bottom"/>
            <w:shd w:val="clear" w:color="auto" w:fill="CFF0FC"/>
          </w:tcPr>
          <w:p>
            <w:pPr>
              <w:spacing w:after="0"/>
              <w:rPr>
                <w:sz w:val="22"/>
                <w:szCs w:val="22"/>
                <w:color w:val="auto"/>
              </w:rPr>
            </w:pPr>
          </w:p>
        </w:tc>
      </w:tr>
      <w:tr>
        <w:trPr>
          <w:trHeight w:val="618"/>
        </w:trPr>
        <w:tc>
          <w:tcPr>
            <w:tcW w:w="3680" w:type="dxa"/>
            <w:vAlign w:val="bottom"/>
            <w:tcBorders>
              <w:top w:val="single" w:sz="8" w:color="CFF0FC"/>
            </w:tcBorders>
          </w:tcPr>
          <w:p>
            <w:pPr>
              <w:spacing w:after="0"/>
              <w:rPr>
                <w:sz w:val="24"/>
                <w:szCs w:val="24"/>
                <w:color w:val="auto"/>
              </w:rPr>
            </w:pPr>
          </w:p>
        </w:tc>
        <w:tc>
          <w:tcPr>
            <w:tcW w:w="4840" w:type="dxa"/>
            <w:vAlign w:val="bottom"/>
            <w:tcBorders>
              <w:top w:val="single" w:sz="8" w:color="CFF0FC"/>
            </w:tcBorders>
          </w:tcPr>
          <w:p>
            <w:pPr>
              <w:jc w:val="right"/>
              <w:ind w:right="271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36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Liabilities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liabilities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712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Warranty and GAP liabilities</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22,167</w:t>
            </w:r>
          </w:p>
        </w:tc>
        <w:tc>
          <w:tcPr>
            <w:tcW w:w="58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shd w:val="clear" w:color="auto" w:fill="CFF0FC"/>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Dealer related liabilities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benefits</w:t>
            </w:r>
          </w:p>
        </w:tc>
        <w:tc>
          <w:tcPr>
            <w:tcW w:w="1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8,923</w:t>
            </w:r>
          </w:p>
        </w:tc>
        <w:tc>
          <w:tcPr>
            <w:tcW w:w="100" w:type="dxa"/>
            <w:vAlign w:val="bottom"/>
            <w:shd w:val="clear" w:color="auto" w:fill="CFF0FC"/>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software and IT costs</w:t>
            </w:r>
          </w:p>
        </w:tc>
        <w:tc>
          <w:tcPr>
            <w:tcW w:w="1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9"/>
                <w:szCs w:val="19"/>
                <w:color w:val="auto"/>
              </w:rPr>
            </w:pPr>
          </w:p>
        </w:tc>
      </w:tr>
      <w:tr>
        <w:trPr>
          <w:trHeight w:val="229"/>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payable</w:t>
            </w:r>
          </w:p>
        </w:tc>
        <w:tc>
          <w:tcPr>
            <w:tcW w:w="1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FF0FC"/>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9"/>
                <w:szCs w:val="19"/>
                <w:color w:val="auto"/>
              </w:rPr>
            </w:pPr>
          </w:p>
        </w:tc>
      </w:tr>
      <w:tr>
        <w:trPr>
          <w:trHeight w:val="263"/>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liabilities</w:t>
            </w: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61,260</w:t>
            </w:r>
          </w:p>
        </w:tc>
        <w:tc>
          <w:tcPr>
            <w:tcW w:w="300" w:type="dxa"/>
            <w:vAlign w:val="bottom"/>
            <w:tcBorders>
              <w:bottom w:val="single" w:sz="8" w:color="CFF0FC"/>
            </w:tcBorders>
            <w:gridSpan w:val="2"/>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Warehouse Credit Facilities of Consolidated VIEs</w:t>
      </w:r>
    </w:p>
    <w:p>
      <w:pPr>
        <w:spacing w:after="0" w:line="198" w:lineRule="exact"/>
        <w:rPr>
          <w:sz w:val="20"/>
          <w:szCs w:val="20"/>
          <w:color w:val="auto"/>
        </w:rPr>
      </w:pPr>
    </w:p>
    <w:p>
      <w:pPr>
        <w:ind w:right="40" w:firstLine="764"/>
        <w:spacing w:after="0" w:line="243"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as of March 31, 2024. The Warehouse Credit Facilities are collateralized by eligible finance receivables and available borrowings are computed based on a percentage of eligible finance receivables. As of March 31, 2024 and December 31, 2023, the Company had excess borrowing capacity of $53.9 million and $56.9 million on UACC's Warehouse Credit Facilities, respectively. The terms of the Warehouse Credit Facilities include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Facility One</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Facility Two</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Facility Three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Facility Four</w:t>
            </w:r>
          </w:p>
        </w:tc>
        <w:tc>
          <w:tcPr>
            <w:tcW w:w="100" w:type="dxa"/>
            <w:vAlign w:val="bottom"/>
          </w:tcPr>
          <w:p>
            <w:pPr>
              <w:spacing w:after="0"/>
              <w:rPr>
                <w:sz w:val="16"/>
                <w:szCs w:val="16"/>
                <w:color w:val="auto"/>
              </w:rPr>
            </w:pPr>
          </w:p>
        </w:tc>
      </w:tr>
      <w:tr>
        <w:trPr>
          <w:trHeight w:val="190"/>
        </w:trPr>
        <w:tc>
          <w:tcPr>
            <w:tcW w:w="414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Execution date</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80"/>
              <w:spacing w:after="0" w:line="190" w:lineRule="exact"/>
              <w:rPr>
                <w:sz w:val="20"/>
                <w:szCs w:val="20"/>
                <w:color w:val="auto"/>
              </w:rPr>
            </w:pPr>
            <w:r>
              <w:rPr>
                <w:rFonts w:ascii="Arial" w:cs="Arial" w:eastAsia="Arial" w:hAnsi="Arial"/>
                <w:sz w:val="18"/>
                <w:szCs w:val="18"/>
                <w:color w:val="auto"/>
              </w:rPr>
              <w:t>November 18,</w:t>
            </w:r>
          </w:p>
        </w:tc>
      </w:tr>
      <w:tr>
        <w:trPr>
          <w:trHeight w:val="235"/>
        </w:trPr>
        <w:tc>
          <w:tcPr>
            <w:tcW w:w="4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May 30, 2012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November 19, 2013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11, 2019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20"/>
                <w:szCs w:val="20"/>
                <w:color w:val="auto"/>
              </w:rPr>
            </w:pPr>
          </w:p>
        </w:tc>
      </w:tr>
      <w:tr>
        <w:trPr>
          <w:trHeight w:val="197"/>
        </w:trPr>
        <w:tc>
          <w:tcPr>
            <w:tcW w:w="4140" w:type="dxa"/>
            <w:vAlign w:val="bottom"/>
          </w:tcPr>
          <w:p>
            <w:pPr>
              <w:ind w:left="20"/>
              <w:spacing w:after="0" w:line="197" w:lineRule="exact"/>
              <w:rPr>
                <w:sz w:val="20"/>
                <w:szCs w:val="20"/>
                <w:color w:val="auto"/>
              </w:rPr>
            </w:pPr>
            <w:r>
              <w:rPr>
                <w:rFonts w:ascii="Arial" w:cs="Arial" w:eastAsia="Arial" w:hAnsi="Arial"/>
                <w:sz w:val="18"/>
                <w:szCs w:val="18"/>
                <w:color w:val="auto"/>
              </w:rPr>
              <w:t>Maturity date</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80"/>
              <w:spacing w:after="0" w:line="197" w:lineRule="exact"/>
              <w:rPr>
                <w:sz w:val="20"/>
                <w:szCs w:val="20"/>
                <w:color w:val="auto"/>
              </w:rPr>
            </w:pPr>
            <w:r>
              <w:rPr>
                <w:rFonts w:ascii="Arial" w:cs="Arial" w:eastAsia="Arial" w:hAnsi="Arial"/>
                <w:sz w:val="18"/>
                <w:szCs w:val="18"/>
                <w:color w:val="auto"/>
              </w:rPr>
              <w:t>September 12,</w:t>
            </w:r>
          </w:p>
        </w:tc>
      </w:tr>
      <w:tr>
        <w:trPr>
          <w:trHeight w:val="235"/>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July 21, 2025</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2, 2025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August 29, 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borrowings limit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FF0FC"/>
          </w:tcPr>
          <w:p>
            <w:pPr>
              <w:spacing w:after="0"/>
              <w:rPr>
                <w:sz w:val="19"/>
                <w:szCs w:val="19"/>
                <w:color w:val="auto"/>
              </w:rPr>
            </w:pPr>
          </w:p>
        </w:tc>
      </w:tr>
      <w:tr>
        <w:trPr>
          <w:trHeight w:val="22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As of March 31, 2024</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41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Aggregate principal balance of finance</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201,092</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108,112</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148,241</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215,174</w:t>
            </w:r>
          </w:p>
        </w:tc>
        <w:tc>
          <w:tcPr>
            <w:tcW w:w="100" w:type="dxa"/>
            <w:vAlign w:val="bottom"/>
            <w:shd w:val="clear" w:color="auto" w:fill="CFF0FC"/>
          </w:tcPr>
          <w:p>
            <w:pPr>
              <w:spacing w:after="0"/>
              <w:rPr>
                <w:sz w:val="20"/>
                <w:szCs w:val="20"/>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Outstanding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163,626</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60,086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120,929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171,635</w:t>
            </w:r>
          </w:p>
        </w:tc>
        <w:tc>
          <w:tcPr>
            <w:tcW w:w="100" w:type="dxa"/>
            <w:vAlign w:val="bottom"/>
          </w:tcPr>
          <w:p>
            <w:pPr>
              <w:spacing w:after="0"/>
              <w:rPr>
                <w:sz w:val="19"/>
                <w:szCs w:val="19"/>
                <w:color w:val="auto"/>
              </w:rPr>
            </w:pP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7,983</w:t>
            </w:r>
          </w:p>
        </w:tc>
        <w:tc>
          <w:tcPr>
            <w:tcW w:w="100" w:type="dxa"/>
            <w:vAlign w:val="bottom"/>
            <w:shd w:val="clear" w:color="auto" w:fill="CFF0FC"/>
          </w:tcPr>
          <w:p>
            <w:pPr>
              <w:spacing w:after="0"/>
              <w:rPr>
                <w:sz w:val="19"/>
                <w:szCs w:val="19"/>
                <w:color w:val="auto"/>
              </w:rPr>
            </w:pPr>
          </w:p>
        </w:tc>
      </w:tr>
      <w:tr>
        <w:trPr>
          <w:trHeight w:val="22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41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Aggregate principal balance of finance</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223,207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165,927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92,978</w:t>
            </w:r>
          </w:p>
        </w:tc>
        <w:tc>
          <w:tcPr>
            <w:tcW w:w="100" w:type="dxa"/>
            <w:vAlign w:val="bottom"/>
            <w:shd w:val="clear" w:color="auto" w:fill="CFF0FC"/>
          </w:tcPr>
          <w:p>
            <w:pPr>
              <w:spacing w:after="0"/>
              <w:rPr>
                <w:sz w:val="20"/>
                <w:szCs w:val="20"/>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Outstanding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177,375</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51,012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117,264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75,617</w:t>
            </w:r>
          </w:p>
        </w:tc>
        <w:tc>
          <w:tcPr>
            <w:tcW w:w="100" w:type="dxa"/>
            <w:vAlign w:val="bottom"/>
          </w:tcPr>
          <w:p>
            <w:pPr>
              <w:spacing w:after="0"/>
              <w:rPr>
                <w:sz w:val="19"/>
                <w:szCs w:val="19"/>
                <w:color w:val="auto"/>
              </w:rPr>
            </w:pP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FF0FC"/>
          </w:tcPr>
          <w:p>
            <w:pPr>
              <w:spacing w:after="0"/>
              <w:rPr>
                <w:sz w:val="19"/>
                <w:szCs w:val="19"/>
                <w:color w:val="auto"/>
              </w:rPr>
            </w:pPr>
          </w:p>
        </w:tc>
      </w:tr>
      <w:tr>
        <w:trPr>
          <w:trHeight w:val="638"/>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4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ind w:right="240" w:firstLine="764"/>
        <w:spacing w:after="0" w:line="271" w:lineRule="auto"/>
        <w:rPr>
          <w:sz w:val="20"/>
          <w:szCs w:val="20"/>
          <w:color w:val="auto"/>
        </w:rPr>
      </w:pPr>
      <w:r>
        <w:rPr>
          <w:rFonts w:ascii="Arial" w:cs="Arial" w:eastAsia="Arial" w:hAnsi="Arial"/>
          <w:sz w:val="18"/>
          <w:szCs w:val="18"/>
          <w:color w:val="auto"/>
        </w:rPr>
        <w:t>As of March 31, 2024 and December 31, 2023, the Company's weighted average interest rate on the Warehouse Credit Facilities borrowings was approximately 7.22% and 6.98%, respectively.</w:t>
      </w:r>
    </w:p>
    <w:p>
      <w:pPr>
        <w:spacing w:after="0" w:line="139" w:lineRule="exact"/>
        <w:rPr>
          <w:sz w:val="20"/>
          <w:szCs w:val="20"/>
          <w:color w:val="auto"/>
        </w:rPr>
      </w:pPr>
    </w:p>
    <w:p>
      <w:pPr>
        <w:ind w:right="40" w:firstLine="764"/>
        <w:spacing w:after="0" w:line="241" w:lineRule="auto"/>
        <w:rPr>
          <w:sz w:val="20"/>
          <w:szCs w:val="20"/>
          <w:color w:val="auto"/>
        </w:rPr>
      </w:pPr>
      <w:r>
        <w:rPr>
          <w:rFonts w:ascii="Arial" w:cs="Arial" w:eastAsia="Arial" w:hAnsi="Arial"/>
          <w:sz w:val="18"/>
          <w:szCs w:val="18"/>
          <w:color w:val="auto"/>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March 31, 2024 and December 31, 2023, the Company was in compliance with all covenants related to the Warehouse Credit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 Term Debt</w:t>
      </w:r>
    </w:p>
    <w:p>
      <w:pPr>
        <w:spacing w:after="0" w:line="198" w:lineRule="exact"/>
        <w:rPr>
          <w:sz w:val="20"/>
          <w:szCs w:val="20"/>
          <w:color w:val="auto"/>
        </w:rPr>
      </w:pPr>
    </w:p>
    <w:p>
      <w:pPr>
        <w:ind w:right="240" w:firstLine="764"/>
        <w:spacing w:after="0" w:line="271" w:lineRule="auto"/>
        <w:rPr>
          <w:sz w:val="20"/>
          <w:szCs w:val="20"/>
          <w:color w:val="auto"/>
        </w:rPr>
      </w:pPr>
      <w:r>
        <w:rPr>
          <w:rFonts w:ascii="Arial" w:cs="Arial" w:eastAsia="Arial" w:hAnsi="Arial"/>
          <w:sz w:val="18"/>
          <w:szCs w:val="18"/>
          <w:color w:val="auto"/>
        </w:rPr>
        <w:t>Debt instruments, excluding warehouse credit facilities of consolidated VIEs, which are discussed in Note 9 — Warehouse Credit Facilities of Consolidated VIEs,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jc w:val="right"/>
              <w:ind w:right="555"/>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694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287,175</w:t>
            </w:r>
          </w:p>
        </w:tc>
        <w:tc>
          <w:tcPr>
            <w:tcW w:w="6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286,800</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Securitization debt of consolidated VIEs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237,899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314,095</w:t>
            </w:r>
          </w:p>
        </w:tc>
        <w:tc>
          <w:tcPr>
            <w:tcW w:w="100" w:type="dxa"/>
            <w:vAlign w:val="bottom"/>
          </w:tcPr>
          <w:p>
            <w:pPr>
              <w:spacing w:after="0"/>
              <w:rPr>
                <w:sz w:val="19"/>
                <w:szCs w:val="19"/>
                <w:color w:val="auto"/>
              </w:rPr>
            </w:pPr>
          </w:p>
        </w:tc>
      </w:tr>
      <w:tr>
        <w:trPr>
          <w:trHeight w:val="22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of beneficial interest in securitizations</w:t>
            </w:r>
          </w:p>
        </w:tc>
        <w:tc>
          <w:tcPr>
            <w:tcW w:w="3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12,758</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15,378</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Junior subordinated debentures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w:t>
            </w:r>
          </w:p>
        </w:tc>
        <w:tc>
          <w:tcPr>
            <w:tcW w:w="3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tcBorders>
              <w:bottom w:val="single" w:sz="8" w:color="CFF0FC"/>
            </w:tcBorders>
          </w:tcPr>
          <w:p>
            <w:pPr>
              <w:spacing w:after="0"/>
              <w:rPr>
                <w:sz w:val="19"/>
                <w:szCs w:val="19"/>
                <w:color w:val="auto"/>
              </w:rPr>
            </w:pPr>
          </w:p>
        </w:tc>
      </w:tr>
      <w:tr>
        <w:trPr>
          <w:trHeight w:val="263"/>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548,142</w:t>
            </w:r>
          </w:p>
        </w:tc>
        <w:tc>
          <w:tcPr>
            <w:tcW w:w="3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626,583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-179070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6" w:lineRule="exact"/>
        <w:rPr>
          <w:sz w:val="20"/>
          <w:szCs w:val="20"/>
          <w:color w:val="auto"/>
        </w:rPr>
      </w:pPr>
    </w:p>
    <w:p>
      <w:pPr>
        <w:ind w:right="140" w:firstLine="749"/>
        <w:spacing w:after="0" w:line="246"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63"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203"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Each $1,000 principal amount of the Notes will initially be convertible into 0.2232 shares of the Company’s common stock, which is equivalent to an initial conversion price of approximately $4,480.29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03" w:lineRule="exact"/>
        <w:rPr>
          <w:sz w:val="20"/>
          <w:szCs w:val="20"/>
          <w:color w:val="auto"/>
        </w:rPr>
      </w:pPr>
    </w:p>
    <w:p>
      <w:pPr>
        <w:ind w:left="760" w:right="60" w:hanging="378"/>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61" w:lineRule="exact"/>
        <w:rPr>
          <w:rFonts w:ascii="Times New Roman" w:cs="Times New Roman" w:eastAsia="Times New Roman" w:hAnsi="Times New Roman"/>
          <w:sz w:val="18"/>
          <w:szCs w:val="18"/>
          <w:color w:val="auto"/>
        </w:rPr>
      </w:pPr>
    </w:p>
    <w:p>
      <w:pPr>
        <w:jc w:val="both"/>
        <w:ind w:left="760" w:right="20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any or all of the Notes for redemption; 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ind w:left="760" w:right="760" w:hanging="378"/>
        <w:spacing w:after="0" w:line="27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181" w:lineRule="exact"/>
        <w:rPr>
          <w:sz w:val="20"/>
          <w:szCs w:val="20"/>
          <w:color w:val="auto"/>
        </w:rPr>
      </w:pPr>
    </w:p>
    <w:p>
      <w:pPr>
        <w:ind w:right="100" w:firstLine="764"/>
        <w:spacing w:after="0" w:line="271"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180" w:lineRule="exact"/>
        <w:rPr>
          <w:sz w:val="20"/>
          <w:szCs w:val="20"/>
          <w:color w:val="auto"/>
        </w:rPr>
      </w:pPr>
    </w:p>
    <w:p>
      <w:pPr>
        <w:ind w:right="100" w:firstLine="824"/>
        <w:spacing w:after="0" w:line="246"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03" w:lineRule="exact"/>
        <w:rPr>
          <w:sz w:val="20"/>
          <w:szCs w:val="20"/>
          <w:color w:val="auto"/>
        </w:rPr>
      </w:pPr>
    </w:p>
    <w:p>
      <w:pPr>
        <w:ind w:firstLine="764"/>
        <w:spacing w:after="0" w:line="241"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months ended March 31, 2024, the conditions allowing holders of the Notes to convert were not met.</w:t>
      </w:r>
    </w:p>
    <w:p>
      <w:pPr>
        <w:spacing w:after="0" w:line="169" w:lineRule="exact"/>
        <w:rPr>
          <w:sz w:val="20"/>
          <w:szCs w:val="20"/>
          <w:color w:val="auto"/>
        </w:rPr>
      </w:pPr>
    </w:p>
    <w:p>
      <w:pPr>
        <w:ind w:right="300" w:firstLine="749"/>
        <w:spacing w:after="0" w:line="252" w:lineRule="auto"/>
        <w:rPr>
          <w:sz w:val="20"/>
          <w:szCs w:val="20"/>
          <w:color w:val="auto"/>
        </w:rPr>
      </w:pPr>
      <w:r>
        <w:rPr>
          <w:rFonts w:ascii="Arial" w:cs="Arial" w:eastAsia="Arial" w:hAnsi="Arial"/>
          <w:sz w:val="18"/>
          <w:szCs w:val="18"/>
          <w:color w:val="auto"/>
        </w:rPr>
        <w:t>During the three months ended March 31, 2023, the Company repurchased $14.6 million in aggregate principal amount of the Notes, net of deferred issuance costs, for $5.9 million in open-market transactions. The Company recognized a gain on extinguishment of debt of $8.7 million for the three months ended March 31, 2023.</w:t>
      </w:r>
    </w:p>
    <w:p>
      <w:pPr>
        <w:spacing w:after="0" w:line="197" w:lineRule="exact"/>
        <w:rPr>
          <w:sz w:val="20"/>
          <w:szCs w:val="20"/>
          <w:color w:val="auto"/>
        </w:rPr>
      </w:pPr>
    </w:p>
    <w:p>
      <w:pPr>
        <w:jc w:val="both"/>
        <w:ind w:right="160" w:firstLine="764"/>
        <w:spacing w:after="0" w:line="274" w:lineRule="auto"/>
        <w:rPr>
          <w:sz w:val="20"/>
          <w:szCs w:val="20"/>
          <w:color w:val="auto"/>
        </w:rPr>
      </w:pPr>
      <w:r>
        <w:rPr>
          <w:rFonts w:ascii="Arial" w:cs="Arial" w:eastAsia="Arial" w:hAnsi="Arial"/>
          <w:sz w:val="17"/>
          <w:szCs w:val="17"/>
          <w:color w:val="auto"/>
        </w:rPr>
        <w:t>The Company accounts for the Notes as a single liability-classified instrument measured at amortized cost. As of March 31, 2024, the unamortized debt discount and debt issuance costs was $3.3 million and the net carrying value was $287.2 million. As of December 31, 2023, the unamortized debt discount and debt issuance costs was $3.7 million and the net carrying value was $286.8 million.</w:t>
      </w:r>
    </w:p>
    <w:p>
      <w:pPr>
        <w:spacing w:after="0" w:line="140" w:lineRule="exact"/>
        <w:rPr>
          <w:sz w:val="20"/>
          <w:szCs w:val="20"/>
          <w:color w:val="auto"/>
        </w:rPr>
      </w:pPr>
    </w:p>
    <w:p>
      <w:pPr>
        <w:ind w:right="140" w:firstLine="764"/>
        <w:spacing w:after="0" w:line="252" w:lineRule="auto"/>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three months ended March 31, 2024 and 2023 were $0.9 million and $1.1 million, respectively. The effective interest rate of the Notes is 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196" w:lineRule="exact"/>
        <w:rPr>
          <w:sz w:val="20"/>
          <w:szCs w:val="20"/>
          <w:color w:val="auto"/>
        </w:rPr>
      </w:pPr>
    </w:p>
    <w:p>
      <w:pPr>
        <w:ind w:right="100" w:firstLine="764"/>
        <w:spacing w:after="0" w:line="243"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securitization debt under the fair value option using the measurement alternative. Fair value adjustments are recorded in "Realized and unrealized losses, net of recoveries" in the condensed consolidated statements of operations. Refer to Note 14 – Financial Instruments and Fair Value Measurements. For the 2022-2 and 2023-1 securitization transactions, the Company consolidated the VIEs and accounted for these transactions as secured borrowings. Refer to Note 4 – Variable Interest Entities and Securitizations for further discussion.</w:t>
      </w:r>
    </w:p>
    <w:p>
      <w:pPr>
        <w:spacing w:after="0" w:line="166" w:lineRule="exact"/>
        <w:rPr>
          <w:sz w:val="20"/>
          <w:szCs w:val="20"/>
          <w:color w:val="auto"/>
        </w:rPr>
      </w:pPr>
    </w:p>
    <w:p>
      <w:pPr>
        <w:ind w:right="40" w:firstLine="764"/>
        <w:spacing w:after="0"/>
        <w:rPr>
          <w:sz w:val="20"/>
          <w:szCs w:val="20"/>
          <w:color w:val="auto"/>
        </w:rPr>
      </w:pPr>
      <w:r>
        <w:rPr>
          <w:rFonts w:ascii="Arial" w:cs="Arial" w:eastAsia="Arial" w:hAnsi="Arial"/>
          <w:sz w:val="18"/>
          <w:szCs w:val="18"/>
          <w:color w:val="auto"/>
        </w:rPr>
        <w:t>Upon the issuance of the securitization debt for the 2023-1 securitization transaction, UACC retained the residual interests.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$21.6 million and $28.5 million as of March 31, 2024 and December 31, 2023, respectively.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240" w:firstLine="764"/>
        <w:spacing w:after="0" w:line="246" w:lineRule="auto"/>
        <w:rPr>
          <w:sz w:val="20"/>
          <w:szCs w:val="20"/>
          <w:color w:val="auto"/>
        </w:rPr>
      </w:pPr>
      <w:r>
        <w:rPr>
          <w:rFonts w:ascii="Arial" w:cs="Arial" w:eastAsia="Arial" w:hAnsi="Arial"/>
          <w:sz w:val="18"/>
          <w:szCs w:val="18"/>
          <w:color w:val="auto"/>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163" w:lineRule="exact"/>
        <w:rPr>
          <w:sz w:val="20"/>
          <w:szCs w:val="20"/>
          <w:color w:val="auto"/>
        </w:rPr>
      </w:pPr>
    </w:p>
    <w:p>
      <w:pPr>
        <w:ind w:right="400" w:firstLine="764"/>
        <w:spacing w:after="0" w:line="271" w:lineRule="auto"/>
        <w:rPr>
          <w:sz w:val="20"/>
          <w:szCs w:val="20"/>
          <w:color w:val="auto"/>
        </w:rPr>
      </w:pPr>
      <w:r>
        <w:rPr>
          <w:rFonts w:ascii="Arial" w:cs="Arial" w:eastAsia="Arial" w:hAnsi="Arial"/>
          <w:sz w:val="18"/>
          <w:szCs w:val="18"/>
          <w:color w:val="auto"/>
        </w:rPr>
        <w:t>The securitization debt issued is included in "Long-term debt" on the condensed consolidated balance sheet. The securitization debt of consolidated VIEs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As of March 31, 2024</w:t>
            </w:r>
          </w:p>
        </w:tc>
        <w:tc>
          <w:tcPr>
            <w:tcW w:w="24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vMerge w:val="restart"/>
          </w:tcPr>
          <w:p>
            <w:pPr>
              <w:jc w:val="center"/>
              <w:ind w:right="270"/>
              <w:spacing w:after="0"/>
              <w:rPr>
                <w:sz w:val="20"/>
                <w:szCs w:val="20"/>
                <w:color w:val="auto"/>
              </w:rPr>
            </w:pPr>
            <w:r>
              <w:rPr>
                <w:rFonts w:ascii="Arial" w:cs="Arial" w:eastAsia="Arial" w:hAnsi="Arial"/>
                <w:sz w:val="14"/>
                <w:szCs w:val="14"/>
                <w:b w:val="1"/>
                <w:bCs w:val="1"/>
                <w:color w:val="auto"/>
              </w:rPr>
              <w:t>Contractual Interest</w:t>
            </w:r>
          </w:p>
        </w:tc>
        <w:tc>
          <w:tcPr>
            <w:tcW w:w="11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rPr>
              <w:t>Outstanding</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6"/>
                <w:szCs w:val="16"/>
                <w:color w:val="auto"/>
              </w:rPr>
            </w:pP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6"/>
                <w:szCs w:val="16"/>
                <w:color w:val="auto"/>
              </w:rPr>
            </w:pPr>
          </w:p>
        </w:tc>
        <w:tc>
          <w:tcPr>
            <w:tcW w:w="176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rPr>
              <w:t>Rate</w:t>
            </w:r>
          </w:p>
        </w:tc>
        <w:tc>
          <w:tcPr>
            <w:tcW w:w="1120" w:type="dxa"/>
            <w:vAlign w:val="bottom"/>
          </w:tcPr>
          <w:p>
            <w:pPr>
              <w:jc w:val="center"/>
              <w:ind w:right="53"/>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3000" w:type="dxa"/>
            <w:vAlign w:val="bottom"/>
            <w:tcBorders>
              <w:top w:val="single" w:sz="8" w:color="auto"/>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United Auto Credit 2022-2-B</w:t>
            </w:r>
          </w:p>
        </w:tc>
        <w:tc>
          <w:tcPr>
            <w:tcW w:w="24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line="190" w:lineRule="exact"/>
              <w:rPr>
                <w:sz w:val="20"/>
                <w:szCs w:val="20"/>
                <w:color w:val="auto"/>
              </w:rPr>
            </w:pPr>
            <w:r>
              <w:rPr>
                <w:rFonts w:ascii="Arial" w:cs="Arial" w:eastAsia="Arial" w:hAnsi="Arial"/>
                <w:sz w:val="18"/>
                <w:szCs w:val="18"/>
                <w:color w:val="auto"/>
              </w:rPr>
              <w:t>December 10,</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0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30,324</w:t>
            </w:r>
          </w:p>
        </w:tc>
        <w:tc>
          <w:tcPr>
            <w:tcW w:w="2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5.41 %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15,287</w:t>
            </w:r>
          </w:p>
        </w:tc>
        <w:tc>
          <w:tcPr>
            <w:tcW w:w="5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2022-2-C</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May 10, 2027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26,533</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5.81 %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2022-2-D</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January 10, 2028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32,889</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6.84 %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32,889</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2022-2-E</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April 10, 2029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33,440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33,440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2023-1-B</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July 10, 2028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51,157</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5.91 %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44,053</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2023-1-C</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July 10, 2028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33,326</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6.28 %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33,326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2023-1-D</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July 10, 2028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35,653</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8.00 %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35,653</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line="197" w:lineRule="exact"/>
              <w:rPr>
                <w:sz w:val="20"/>
                <w:szCs w:val="20"/>
                <w:color w:val="auto"/>
              </w:rPr>
            </w:pPr>
            <w:r>
              <w:rPr>
                <w:rFonts w:ascii="Arial" w:cs="Arial" w:eastAsia="Arial" w:hAnsi="Arial"/>
                <w:sz w:val="18"/>
                <w:szCs w:val="18"/>
                <w:color w:val="auto"/>
              </w:rPr>
              <w:t>United Auto Credit 2023-1-E</w:t>
            </w:r>
          </w:p>
        </w:tc>
        <w:tc>
          <w:tcPr>
            <w:tcW w:w="240" w:type="dxa"/>
            <w:vAlign w:val="bottom"/>
          </w:tcPr>
          <w:p>
            <w:pPr>
              <w:spacing w:after="0"/>
              <w:rPr>
                <w:sz w:val="17"/>
                <w:szCs w:val="17"/>
                <w:color w:val="auto"/>
              </w:rPr>
            </w:pPr>
          </w:p>
        </w:tc>
        <w:tc>
          <w:tcPr>
            <w:tcW w:w="1560" w:type="dxa"/>
            <w:vAlign w:val="bottom"/>
          </w:tcPr>
          <w:p>
            <w:pPr>
              <w:spacing w:after="0" w:line="197" w:lineRule="exact"/>
              <w:rPr>
                <w:sz w:val="20"/>
                <w:szCs w:val="20"/>
                <w:color w:val="auto"/>
              </w:rPr>
            </w:pPr>
            <w:r>
              <w:rPr>
                <w:rFonts w:ascii="Arial" w:cs="Arial" w:eastAsia="Arial" w:hAnsi="Arial"/>
                <w:sz w:val="18"/>
                <w:szCs w:val="18"/>
                <w:color w:val="auto"/>
              </w:rPr>
              <w:t>September 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23,256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10.98 %</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rated notes</w:t>
            </w:r>
          </w:p>
        </w:tc>
        <w:tc>
          <w:tcPr>
            <w:tcW w:w="24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266,578</w:t>
            </w:r>
          </w:p>
        </w:tc>
        <w:tc>
          <w:tcPr>
            <w:tcW w:w="1920" w:type="dxa"/>
            <w:vAlign w:val="bottom"/>
            <w:tcBorders>
              <w:bottom w:val="single" w:sz="8" w:color="CFF0FC"/>
            </w:tcBorders>
            <w:gridSpan w:val="3"/>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244,437</w:t>
            </w:r>
          </w:p>
        </w:tc>
        <w:tc>
          <w:tcPr>
            <w:tcW w:w="3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237,899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40" w:type="dxa"/>
            <w:vAlign w:val="bottom"/>
          </w:tcPr>
          <w:p>
            <w:pPr>
              <w:spacing w:after="0"/>
              <w:rPr>
                <w:sz w:val="24"/>
                <w:szCs w:val="24"/>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vMerge w:val="restart"/>
          </w:tcPr>
          <w:p>
            <w:pPr>
              <w:jc w:val="center"/>
              <w:ind w:right="270"/>
              <w:spacing w:after="0"/>
              <w:rPr>
                <w:sz w:val="20"/>
                <w:szCs w:val="20"/>
                <w:color w:val="auto"/>
              </w:rPr>
            </w:pPr>
            <w:r>
              <w:rPr>
                <w:rFonts w:ascii="Arial" w:cs="Arial" w:eastAsia="Arial" w:hAnsi="Arial"/>
                <w:sz w:val="14"/>
                <w:szCs w:val="14"/>
                <w:b w:val="1"/>
                <w:bCs w:val="1"/>
                <w:color w:val="auto"/>
              </w:rPr>
              <w:t>Contractual Interest</w:t>
            </w:r>
          </w:p>
        </w:tc>
        <w:tc>
          <w:tcPr>
            <w:tcW w:w="11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rPr>
              <w:t>Outstanding</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6"/>
                <w:szCs w:val="16"/>
                <w:color w:val="auto"/>
              </w:rPr>
            </w:pP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6"/>
                <w:szCs w:val="16"/>
                <w:color w:val="auto"/>
              </w:rPr>
            </w:pPr>
          </w:p>
        </w:tc>
        <w:tc>
          <w:tcPr>
            <w:tcW w:w="176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rPr>
              <w:t>Rate</w:t>
            </w:r>
          </w:p>
        </w:tc>
        <w:tc>
          <w:tcPr>
            <w:tcW w:w="1120" w:type="dxa"/>
            <w:vAlign w:val="bottom"/>
          </w:tcPr>
          <w:p>
            <w:pPr>
              <w:jc w:val="center"/>
              <w:ind w:right="53"/>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United Auto Credit 2021-1-D</w:t>
            </w:r>
          </w:p>
        </w:tc>
        <w:tc>
          <w:tcPr>
            <w:tcW w:w="24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10, 2026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29,380</w:t>
            </w:r>
          </w:p>
        </w:tc>
        <w:tc>
          <w:tcPr>
            <w:tcW w:w="3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2021-1-E</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June 10, 2026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2.58 %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line="197" w:lineRule="exact"/>
              <w:rPr>
                <w:sz w:val="20"/>
                <w:szCs w:val="20"/>
                <w:color w:val="auto"/>
              </w:rPr>
            </w:pPr>
            <w:r>
              <w:rPr>
                <w:rFonts w:ascii="Arial" w:cs="Arial" w:eastAsia="Arial" w:hAnsi="Arial"/>
                <w:sz w:val="18"/>
                <w:szCs w:val="18"/>
                <w:color w:val="auto"/>
              </w:rPr>
              <w:t>United Auto Credit 2021-1-F</w:t>
            </w:r>
          </w:p>
        </w:tc>
        <w:tc>
          <w:tcPr>
            <w:tcW w:w="240" w:type="dxa"/>
            <w:vAlign w:val="bottom"/>
          </w:tcPr>
          <w:p>
            <w:pPr>
              <w:spacing w:after="0"/>
              <w:rPr>
                <w:sz w:val="17"/>
                <w:szCs w:val="17"/>
                <w:color w:val="auto"/>
              </w:rPr>
            </w:pPr>
          </w:p>
        </w:tc>
        <w:tc>
          <w:tcPr>
            <w:tcW w:w="1560" w:type="dxa"/>
            <w:vAlign w:val="bottom"/>
          </w:tcPr>
          <w:p>
            <w:pPr>
              <w:spacing w:after="0" w:line="197" w:lineRule="exact"/>
              <w:rPr>
                <w:sz w:val="20"/>
                <w:szCs w:val="20"/>
                <w:color w:val="auto"/>
              </w:rPr>
            </w:pPr>
            <w:r>
              <w:rPr>
                <w:rFonts w:ascii="Arial" w:cs="Arial" w:eastAsia="Arial" w:hAnsi="Arial"/>
                <w:sz w:val="18"/>
                <w:szCs w:val="18"/>
                <w:color w:val="auto"/>
              </w:rPr>
              <w:t>September 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0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13,910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4.30 %</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13,910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United Auto Credit 2022-2-B</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December 10,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30,324</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5.41 %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28,786</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2022-2-C</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May 10, 2027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26,533</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5.81 %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2022-2-D</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January 10, 2028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32,889</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6.84 %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32,889</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2022-2-E</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April 10, 2029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33,440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33,440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2023-1-A</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July 10, 2025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118,598</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5.57 %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15,089</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2023-1-B</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July 10, 2028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51,157</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5.91 %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51,157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2023-1-C</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July 10, 2028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33,326</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6.28 %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33,326</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2023-1-D</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July 10, 2028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35,653</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8.00 %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35,653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United Auto Credit 2023-1-E</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September 10,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23,256</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23,814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2029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9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10.98 %</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Total rated notes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449,266</w:t>
            </w: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318,085</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-2953385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-2936240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-2953385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-2936240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-179070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160" w:firstLine="764"/>
        <w:spacing w:after="0" w:line="246" w:lineRule="auto"/>
        <w:rPr>
          <w:sz w:val="20"/>
          <w:szCs w:val="20"/>
          <w:color w:val="auto"/>
        </w:rPr>
      </w:pPr>
      <w:r>
        <w:rPr>
          <w:rFonts w:ascii="Arial" w:cs="Arial" w:eastAsia="Arial" w:hAnsi="Arial"/>
          <w:sz w:val="18"/>
          <w:szCs w:val="18"/>
          <w:color w:val="auto"/>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$85.8 million in 2024, $72.3 million in 2025, $41.1 million in 2026, $22.1 million in 2027 and $23.1 million in 2028.</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February 2024, UACC exercised its option to repurchase the 2021-1 securitization debt for a total redemption price of $35.6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40" w:firstLine="764"/>
        <w:spacing w:after="0" w:line="271"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5"/>
          </w:tcPr>
          <w:p>
            <w:pPr>
              <w:ind w:left="620"/>
              <w:spacing w:after="0"/>
              <w:rPr>
                <w:sz w:val="20"/>
                <w:szCs w:val="20"/>
                <w:color w:val="auto"/>
              </w:rPr>
            </w:pPr>
            <w:r>
              <w:rPr>
                <w:rFonts w:ascii="Arial" w:cs="Arial" w:eastAsia="Arial" w:hAnsi="Arial"/>
                <w:sz w:val="14"/>
                <w:szCs w:val="14"/>
                <w:b w:val="1"/>
                <w:bCs w:val="1"/>
                <w:color w:val="auto"/>
              </w:rPr>
              <w:t>As of December 31,</w:t>
            </w:r>
          </w:p>
        </w:tc>
      </w:tr>
      <w:tr>
        <w:trPr>
          <w:trHeight w:val="29"/>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
        </w:trPr>
        <w:tc>
          <w:tcPr>
            <w:tcW w:w="48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4800" w:type="dxa"/>
            <w:vAlign w:val="bottom"/>
          </w:tcPr>
          <w:p>
            <w:pPr>
              <w:spacing w:after="0"/>
              <w:rPr>
                <w:sz w:val="13"/>
                <w:szCs w:val="13"/>
                <w:color w:val="auto"/>
              </w:rPr>
            </w:pPr>
          </w:p>
        </w:tc>
        <w:tc>
          <w:tcPr>
            <w:tcW w:w="168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Aggregate Principal</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58"/>
              <w:spacing w:after="0" w:line="159" w:lineRule="exact"/>
              <w:rPr>
                <w:sz w:val="20"/>
                <w:szCs w:val="20"/>
                <w:color w:val="auto"/>
              </w:rPr>
            </w:pPr>
            <w:r>
              <w:rPr>
                <w:rFonts w:ascii="Arial" w:cs="Arial" w:eastAsia="Arial" w:hAnsi="Arial"/>
                <w:sz w:val="14"/>
                <w:szCs w:val="14"/>
                <w:b w:val="1"/>
                <w:bCs w:val="1"/>
                <w:color w:val="auto"/>
              </w:rPr>
              <w:t>Aggregate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Principal Balance</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2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38,951</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35,790</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United Auto Credit 2022-2</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107,766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125,072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111,379</w:t>
            </w:r>
          </w:p>
        </w:tc>
        <w:tc>
          <w:tcPr>
            <w:tcW w:w="100" w:type="dxa"/>
            <w:vAlign w:val="bottom"/>
          </w:tcPr>
          <w:p>
            <w:pPr>
              <w:spacing w:after="0"/>
              <w:rPr>
                <w:sz w:val="19"/>
                <w:szCs w:val="19"/>
                <w:color w:val="auto"/>
              </w:rPr>
            </w:pPr>
          </w:p>
        </w:tc>
      </w:tr>
      <w:tr>
        <w:trPr>
          <w:trHeight w:val="22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2023-1</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171,318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145,128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197,586</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Total finance receivables of CFEs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279,084</w:t>
            </w:r>
          </w:p>
        </w:tc>
        <w:tc>
          <w:tcPr>
            <w:tcW w:w="3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239,978</w:t>
            </w:r>
          </w:p>
        </w:tc>
        <w:tc>
          <w:tcPr>
            <w:tcW w:w="5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361,609</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316,998</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-179070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-179070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of Beneficial Interests in Securitizations</w:t>
      </w:r>
    </w:p>
    <w:p>
      <w:pPr>
        <w:spacing w:after="0" w:line="196"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w:t>
      </w:r>
    </w:p>
    <w:p>
      <w:pPr>
        <w:spacing w:after="0" w:line="168" w:lineRule="exact"/>
        <w:rPr>
          <w:sz w:val="20"/>
          <w:szCs w:val="20"/>
          <w:color w:val="auto"/>
        </w:rPr>
      </w:pPr>
    </w:p>
    <w:p>
      <w:pPr>
        <w:ind w:right="60" w:firstLine="749"/>
        <w:spacing w:after="0" w:line="274" w:lineRule="auto"/>
        <w:rPr>
          <w:sz w:val="20"/>
          <w:szCs w:val="20"/>
          <w:color w:val="auto"/>
        </w:rPr>
      </w:pPr>
      <w:r>
        <w:rPr>
          <w:rFonts w:ascii="Arial" w:cs="Arial" w:eastAsia="Arial" w:hAnsi="Arial"/>
          <w:sz w:val="17"/>
          <w:szCs w:val="17"/>
          <w:color w:val="auto"/>
        </w:rPr>
        <w:t>The outstanding balance of this facility, net of unamortized debt issuance costs, was $12.8 million and $15.4 million as of March 31, 2024 and December 31, 2023, respectively, and is included in "Long-term debt" on the condensed consolidated balance sheet. As of March 31, 2024 and December 31, 2023, the fair value of the collateral pledged under this facility was $13.1 million and $15.8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196" w:lineRule="exact"/>
        <w:rPr>
          <w:sz w:val="20"/>
          <w:szCs w:val="20"/>
          <w:color w:val="auto"/>
        </w:rPr>
      </w:pPr>
    </w:p>
    <w:p>
      <w:pPr>
        <w:ind w:right="160" w:firstLine="764"/>
        <w:spacing w:after="0" w:line="246"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6" w:lineRule="exact"/>
        <w:rPr>
          <w:sz w:val="20"/>
          <w:szCs w:val="20"/>
          <w:color w:val="auto"/>
        </w:rPr>
      </w:pPr>
    </w:p>
    <w:p>
      <w:pPr>
        <w:ind w:right="120" w:firstLine="761"/>
        <w:spacing w:after="0" w:line="239"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68" w:lineRule="exact"/>
        <w:rPr>
          <w:sz w:val="20"/>
          <w:szCs w:val="20"/>
          <w:color w:val="auto"/>
        </w:rPr>
      </w:pPr>
    </w:p>
    <w:p>
      <w:pPr>
        <w:ind w:right="60" w:firstLine="761"/>
        <w:spacing w:after="0" w:line="257"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53"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spacing w:after="0" w:line="153"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222222"/>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On May 6, 2024, Vroom, Inc., and Vroom Automotive, LLC and the FTC reached an agreement to resolve the FTC’s allegations, subject to final approval by the FTC and the court. Under the agreement, the Company will pay a total of $1 million in customer redress and abide permanently by an injunction.</w:t>
      </w:r>
    </w:p>
    <w:p>
      <w:pPr>
        <w:spacing w:after="0" w:line="171"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the Attorney General of the State of Texas agreed to a temporary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w:t>
      </w:r>
    </w:p>
    <w:p>
      <w:pPr>
        <w:spacing w:after="0" w:line="169"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In August 2022, a plaintiff filed a putative class action lawsuit in the New York State Supreme Court against Vroom, Inc., and Vroom Automotive LLC as defendants, alleging, among other things, deficiencies in Vroom’s titling and registration of sold vehicles: Emely Reyes Martinez, on behalf of all others similarly situated, v. Vroom Automotive, LLC and Vroom Inc., No. 652684/2022. The Company removed the case to the U.S. District Court for the Southern District of New York (Case No. 22-cv-7631) and filed a motion to compel arbitration of all claims. In September 2023, Vroom’s motion to compel arbitration was granted, and the court action stayed pending the outcome of any arbitration proceeding over the plaintiff’s individual claims.</w:t>
      </w:r>
    </w:p>
    <w:p>
      <w:pPr>
        <w:spacing w:after="0" w:line="169" w:lineRule="exact"/>
        <w:rPr>
          <w:sz w:val="20"/>
          <w:szCs w:val="20"/>
          <w:color w:val="auto"/>
        </w:rPr>
      </w:pPr>
    </w:p>
    <w:p>
      <w:pPr>
        <w:ind w:right="80" w:firstLine="749"/>
        <w:spacing w:after="0" w:line="258" w:lineRule="auto"/>
        <w:rPr>
          <w:sz w:val="20"/>
          <w:szCs w:val="20"/>
          <w:color w:val="auto"/>
        </w:rPr>
      </w:pPr>
      <w:r>
        <w:rPr>
          <w:rFonts w:ascii="Arial" w:cs="Arial" w:eastAsia="Arial" w:hAnsi="Arial"/>
          <w:sz w:val="17"/>
          <w:szCs w:val="17"/>
          <w:color w:val="auto"/>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Notice</w:t>
      </w:r>
    </w:p>
    <w:p>
      <w:pPr>
        <w:spacing w:after="0" w:line="198"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On December 21, 2023, the Company received written notice from The Nasdaq Stock Market LLC (“Nasdaq”) notifying it that, for the last 30 consecutive business days, the bid price for the Company's common stock had closed below the $1.00 per share minimum bid price requirement for continued inclusion on the Nasdaq Global Select Market pursuant to Nasdaq Listing Rule 5450(a)(1) (the "Minimum Bid Price Requirement").</w:t>
      </w:r>
    </w:p>
    <w:p>
      <w:pPr>
        <w:spacing w:after="0" w:line="163"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On February 13, 2024 after obtaining stockholder approval, the Company effected a 1-for-80 reverse stock split (the "Reverse Stock Split"), and the Company's stock began trading on a post-split adjusted basis on February 14, 2024. On February 29, 2024, the Company was notified by the Nasdaq Listing Qualifications staff that the closing bid price of its common stock had been at $1.00 per share or greater for 11 consecutive business days, from February 14, 2024 to February 28, 2024. Accordingly, the Company has regained compliance with Nasdaq Listing Rule 5450(a)(1) and this matter is now closed. If the Company's common stock again closes below the $1.00 per share minimum bid price required by Nasdaq for 30 consecutive business days, the Company would again receive another notice of non-compliance with Nasdaq's listing standards and face the risk of delisting.</w:t>
      </w:r>
    </w:p>
    <w:p>
      <w:pPr>
        <w:spacing w:after="0" w:line="169" w:lineRule="exact"/>
        <w:rPr>
          <w:sz w:val="20"/>
          <w:szCs w:val="20"/>
          <w:color w:val="auto"/>
        </w:rPr>
      </w:pPr>
    </w:p>
    <w:p>
      <w:pPr>
        <w:ind w:right="220" w:firstLine="749"/>
        <w:spacing w:after="0" w:line="252" w:lineRule="auto"/>
        <w:rPr>
          <w:sz w:val="20"/>
          <w:szCs w:val="20"/>
          <w:color w:val="auto"/>
        </w:rPr>
      </w:pPr>
      <w:r>
        <w:rPr>
          <w:rFonts w:ascii="Arial" w:cs="Arial" w:eastAsia="Arial" w:hAnsi="Arial"/>
          <w:sz w:val="18"/>
          <w:szCs w:val="18"/>
          <w:color w:val="auto"/>
        </w:rPr>
        <w:t>All shares of the Company’s common stock, stock-based instruments, and per-share data included in these condensed consolidated financial statements have been retroactively adjusted as though the Reverse Stock Split has been effected prior to all periods presented.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96"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Preferred Stock and 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6" w:lineRule="exact"/>
        <w:rPr>
          <w:sz w:val="20"/>
          <w:szCs w:val="20"/>
          <w:color w:val="auto"/>
        </w:rPr>
      </w:pPr>
    </w:p>
    <w:p>
      <w:pPr>
        <w:ind w:right="440" w:firstLine="637"/>
        <w:spacing w:after="0" w:line="271"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March 31, 2024, there was no preferred stock issued or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6" w:lineRule="exact"/>
        <w:rPr>
          <w:sz w:val="20"/>
          <w:szCs w:val="20"/>
          <w:color w:val="auto"/>
        </w:rPr>
      </w:pPr>
    </w:p>
    <w:p>
      <w:pPr>
        <w:ind w:right="200" w:firstLine="637"/>
        <w:spacing w:after="0" w:line="266" w:lineRule="auto"/>
        <w:rPr>
          <w:sz w:val="20"/>
          <w:szCs w:val="20"/>
          <w:color w:val="auto"/>
        </w:rPr>
      </w:pPr>
      <w:r>
        <w:rPr>
          <w:rFonts w:ascii="Arial" w:cs="Arial" w:eastAsia="Arial" w:hAnsi="Arial"/>
          <w:sz w:val="17"/>
          <w:szCs w:val="17"/>
          <w:color w:val="auto"/>
        </w:rPr>
        <w:t>On February 13, 2024, the Company amended its certificate of incorporation to effect a 1-for-80 reverse stock split of shares of the Company’s outstanding common stock, such that every 80 shares of common stock became one of common stock. The shares of common stock authorized for issuance remained unchanged at 500,000,000 and the par value per share of common stock remained unchanged at $0.001. Each share of common stock entitles the holder to one vote on all matters submitted to a vote of the Company’s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96" w:lineRule="exact"/>
        <w:rPr>
          <w:sz w:val="20"/>
          <w:szCs w:val="20"/>
          <w:color w:val="auto"/>
        </w:rPr>
      </w:pPr>
    </w:p>
    <w:p>
      <w:pPr>
        <w:ind w:right="480" w:firstLine="637"/>
        <w:spacing w:after="0" w:line="246" w:lineRule="auto"/>
        <w:rPr>
          <w:sz w:val="20"/>
          <w:szCs w:val="20"/>
          <w:color w:val="auto"/>
        </w:rPr>
      </w:pPr>
      <w:r>
        <w:rPr>
          <w:rFonts w:ascii="Arial" w:cs="Arial" w:eastAsia="Arial" w:hAnsi="Arial"/>
          <w:sz w:val="18"/>
          <w:szCs w:val="18"/>
          <w:color w:val="auto"/>
        </w:rPr>
        <w:t>On December 1, 2023, the Company entered into an equity distribution agreement with Virtu Americas LLC to sell shares of the Company’s common stock, par value $0.001 per share, with aggregate gross sales proceeds of up to $50.0 million, from time to time, through an “at-the-market” equity offering program (the "ATM offering"). As of March 31, 2024, the Company has up to $47.5 million remaining in aggregate gross proceeds that can be issued through the ATM offering.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98" w:lineRule="exact"/>
        <w:rPr>
          <w:sz w:val="20"/>
          <w:szCs w:val="20"/>
          <w:color w:val="auto"/>
        </w:rPr>
      </w:pPr>
    </w:p>
    <w:p>
      <w:pPr>
        <w:ind w:right="180" w:firstLine="761"/>
        <w:spacing w:after="0" w:line="245" w:lineRule="auto"/>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37,739 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w:t>
      </w:r>
    </w:p>
    <w:p>
      <w:pPr>
        <w:jc w:val="both"/>
        <w:ind w:right="40"/>
        <w:spacing w:after="0" w:line="248" w:lineRule="auto"/>
        <w:rPr>
          <w:sz w:val="20"/>
          <w:szCs w:val="20"/>
          <w:color w:val="auto"/>
        </w:rPr>
      </w:pPr>
      <w:r>
        <w:rPr>
          <w:rFonts w:ascii="Arial" w:cs="Arial" w:eastAsia="Arial" w:hAnsi="Arial"/>
          <w:sz w:val="18"/>
          <w:szCs w:val="18"/>
          <w:color w:val="auto"/>
        </w:rPr>
        <w:t>forfeited or lapse unexercised and which following the effective date are not issued under the 2014 Plan. Awards may be issued in the form of restricted stock units, restricted stock, stock appreciation rights, and stock options. As of March 31, 2024, the Company has registered an additional 209,299 shares of the Company's common stock to be issued pursuant to the 2020 Plan. As of March 31, 2024, there were 94,624 shares available for future issuance under the 2020 Plan.</w:t>
      </w:r>
    </w:p>
    <w:p>
      <w:pPr>
        <w:spacing w:after="0" w:line="160"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37,500 shares of the Company’s common stock are reserved for issuance under the Inducement Award Plan. As of March 31, 2024, there were 31,501 shares available for future issuance under the Inducement Award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96"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The Company recognized $1.3 million and $1.7 million of stock-based compensation expense related to RSUs for the three months ended March 31, 2024 and 2023, respectively. As of March 31, 2024 and December 31, 2023, the Company had $6.0 million and $4.4 million, respectively, of unrecognized stock-based compensation expense that is expected to be recognized over a weighted-average period of 1.1 and 1.2 years, respectively.</w:t>
      </w:r>
    </w:p>
    <w:p>
      <w:pPr>
        <w:spacing w:after="0" w:line="163" w:lineRule="exact"/>
        <w:rPr>
          <w:sz w:val="20"/>
          <w:szCs w:val="20"/>
          <w:color w:val="auto"/>
        </w:rPr>
      </w:pPr>
    </w:p>
    <w:p>
      <w:pPr>
        <w:ind w:right="200" w:firstLine="761"/>
        <w:spacing w:after="0" w:line="271"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and certain other “good leaver” circumstances.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 and Fair Value Measurements</w:t>
      </w:r>
    </w:p>
    <w:p>
      <w:pPr>
        <w:spacing w:after="0" w:line="198"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3" w:lineRule="exact"/>
        <w:rPr>
          <w:sz w:val="20"/>
          <w:szCs w:val="20"/>
          <w:color w:val="auto"/>
        </w:rPr>
      </w:pPr>
    </w:p>
    <w:p>
      <w:pPr>
        <w:jc w:val="both"/>
        <w:ind w:left="760" w:right="120"/>
        <w:spacing w:after="0" w:line="252"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63"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96"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certain of UACC’s finance receivables that are ineligible to be sold, and certain other finance receivables.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ind w:right="920" w:firstLine="761"/>
        <w:spacing w:after="0" w:line="271"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As of March 31, 2024</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2"/>
        </w:trPr>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69,064</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69,064</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239,978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239,978</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181,301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181,301</w:t>
            </w:r>
          </w:p>
        </w:tc>
      </w:tr>
      <w:tr>
        <w:trPr>
          <w:trHeight w:val="22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3,722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3,722</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69,064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3,722</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421,279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494,065</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237,899</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237,899</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237,899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237,899</w:t>
            </w: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98"/>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2"/>
        </w:trPr>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27,121</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27,121</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316,998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316,998</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31,672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31,672</w:t>
            </w:r>
          </w:p>
        </w:tc>
      </w:tr>
      <w:tr>
        <w:trPr>
          <w:trHeight w:val="22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4,485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4,485</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27,121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4,485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348,670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380,276</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314,095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314,095</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314,095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314,095</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-3013075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-3013075</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-3013075</wp:posOffset>
            </wp:positionV>
            <wp:extent cx="857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-2397125</wp:posOffset>
            </wp:positionV>
            <wp:extent cx="857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-2397125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-2397125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-795655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-795655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-795655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-179070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196" w:lineRule="exact"/>
        <w:rPr>
          <w:sz w:val="20"/>
          <w:szCs w:val="20"/>
          <w:color w:val="auto"/>
        </w:rPr>
      </w:pPr>
    </w:p>
    <w:p>
      <w:pPr>
        <w:ind w:right="440" w:firstLine="749"/>
        <w:spacing w:after="0" w:line="252" w:lineRule="auto"/>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57" w:lineRule="exact"/>
        <w:rPr>
          <w:sz w:val="20"/>
          <w:szCs w:val="20"/>
          <w:color w:val="auto"/>
        </w:rPr>
      </w:pPr>
    </w:p>
    <w:p>
      <w:pPr>
        <w:ind w:right="40" w:firstLine="749"/>
        <w:spacing w:after="0" w:line="252"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57" w:lineRule="exact"/>
        <w:rPr>
          <w:sz w:val="20"/>
          <w:szCs w:val="20"/>
          <w:color w:val="auto"/>
        </w:rPr>
      </w:pPr>
    </w:p>
    <w:p>
      <w:pPr>
        <w:ind w:right="240" w:firstLine="749"/>
        <w:spacing w:after="0" w:line="271"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The Company elected the fair value option for the assets and liabilities of its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VIEs related to securitization transactions that were deemed to be CFEs.</w:t>
      </w:r>
    </w:p>
    <w:p>
      <w:pPr>
        <w:spacing w:after="0" w:line="139"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In accordance with ASC 825, the Company has elected the fair value option, for the eligible financial assets and liabilities of the 2022-2 and 2023-1 consolidated CFEs in order to mitigate potential accounting mismatches between the carrying value of the financial assets and liabilities. To eliminate potential measurement differences, the 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 changes in the</w:t>
      </w:r>
    </w:p>
    <w:p>
      <w:pPr>
        <w:sectPr>
          <w:pgSz w:w="11900" w:h="16838" w:orient="portrait"/>
          <w:cols w:equalWidth="0" w:num="1">
            <w:col w:w="11240"/>
          </w:cols>
          <w:pgMar w:left="320" w:top="768"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CFE’s net assets, including changes in fair value adjustments and net interest earned, in its condensed consolidated statements of operations.</w:t>
      </w:r>
    </w:p>
    <w:p>
      <w:pPr>
        <w:spacing w:after="0" w:line="139"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69"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p>
    <w:p>
      <w:pPr>
        <w:spacing w:after="0" w:line="171" w:lineRule="exact"/>
        <w:rPr>
          <w:sz w:val="20"/>
          <w:szCs w:val="20"/>
          <w:color w:val="auto"/>
        </w:rPr>
      </w:pPr>
    </w:p>
    <w:p>
      <w:pPr>
        <w:ind w:right="680" w:firstLine="749"/>
        <w:spacing w:after="0" w:line="302"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26"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Finance receivables at fair value represent finance receivables for which the Company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spacing w:after="0" w:line="163" w:lineRule="exact"/>
        <w:rPr>
          <w:sz w:val="20"/>
          <w:szCs w:val="20"/>
          <w:color w:val="auto"/>
        </w:rPr>
      </w:pPr>
    </w:p>
    <w:p>
      <w:pPr>
        <w:ind w:right="240" w:firstLine="749"/>
        <w:spacing w:after="0" w:line="246" w:lineRule="auto"/>
        <w:rPr>
          <w:sz w:val="20"/>
          <w:szCs w:val="20"/>
          <w:color w:val="auto"/>
        </w:rPr>
      </w:pPr>
      <w:r>
        <w:rPr>
          <w:rFonts w:ascii="Arial" w:cs="Arial" w:eastAsia="Arial" w:hAnsi="Arial"/>
          <w:sz w:val="18"/>
          <w:szCs w:val="18"/>
          <w:i w:val="1"/>
          <w:iCs w:val="1"/>
          <w:color w:val="auto"/>
        </w:rPr>
        <w:t xml:space="preserve">Beneficial interests in securitization: </w:t>
      </w:r>
      <w:r>
        <w:rPr>
          <w:rFonts w:ascii="Arial" w:cs="Arial" w:eastAsia="Arial" w:hAnsi="Arial"/>
          <w:sz w:val="18"/>
          <w:szCs w:val="18"/>
          <w:color w:val="auto"/>
        </w:rPr>
        <w:t>Beneficial interests in securitization relate to the 2022-1 securitization completed in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include rated notes as well as certificates. The beneficial interests in the 2022-2 securitization completed in July 2022 were eliminated upon consolidation of the VIE in March 2023. Refer to Note 4 – Variable Interest Entities and Securitizations. The Company elected the fair value option on its beneficial interests in securitization.</w:t>
      </w:r>
    </w:p>
    <w:p>
      <w:pPr>
        <w:spacing w:after="0" w:line="163"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Finance Receivables of</w:t>
            </w:r>
          </w:p>
        </w:tc>
        <w:tc>
          <w:tcPr>
            <w:tcW w:w="120" w:type="dxa"/>
            <w:vAlign w:val="bottom"/>
          </w:tcPr>
          <w:p>
            <w:pPr>
              <w:spacing w:after="0"/>
              <w:rPr>
                <w:sz w:val="14"/>
                <w:szCs w:val="14"/>
                <w:color w:val="auto"/>
              </w:rPr>
            </w:pPr>
          </w:p>
        </w:tc>
        <w:tc>
          <w:tcPr>
            <w:tcW w:w="2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Finance Receivables at Fair</w:t>
            </w:r>
          </w:p>
        </w:tc>
      </w:tr>
      <w:tr>
        <w:trPr>
          <w:trHeight w:val="185"/>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Consolidated CFEs</w:t>
            </w:r>
          </w:p>
        </w:tc>
        <w:tc>
          <w:tcPr>
            <w:tcW w:w="120" w:type="dxa"/>
            <w:vAlign w:val="bottom"/>
          </w:tcPr>
          <w:p>
            <w:pPr>
              <w:spacing w:after="0"/>
              <w:rPr>
                <w:sz w:val="16"/>
                <w:szCs w:val="16"/>
                <w:color w:val="auto"/>
              </w:rPr>
            </w:pPr>
          </w:p>
        </w:tc>
        <w:tc>
          <w:tcPr>
            <w:tcW w:w="21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Value</w:t>
            </w:r>
          </w:p>
        </w:tc>
      </w:tr>
      <w:tr>
        <w:trPr>
          <w:trHeight w:val="22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as of January 1, 2024</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316,998</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31,672</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Transfer within Level 3 categories</w:t>
            </w:r>
          </w:p>
        </w:tc>
        <w:tc>
          <w:tcPr>
            <w:tcW w:w="200" w:type="dxa"/>
            <w:vAlign w:val="bottom"/>
          </w:tcPr>
          <w:p>
            <w:pPr>
              <w:spacing w:after="0"/>
              <w:rPr>
                <w:sz w:val="19"/>
                <w:szCs w:val="19"/>
                <w:color w:val="auto"/>
              </w:rPr>
            </w:pP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(39,040 )</w:t>
            </w: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39,040</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included in realized and unrealized losses</w:t>
            </w:r>
          </w:p>
        </w:tc>
        <w:tc>
          <w:tcPr>
            <w:tcW w:w="20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(14,771 )</w:t>
            </w:r>
          </w:p>
        </w:tc>
        <w:tc>
          <w:tcPr>
            <w:tcW w:w="12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(7,606 )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Issuances, net of discount</w:t>
            </w:r>
          </w:p>
        </w:tc>
        <w:tc>
          <w:tcPr>
            <w:tcW w:w="200" w:type="dxa"/>
            <w:vAlign w:val="bottom"/>
          </w:tcPr>
          <w:p>
            <w:pPr>
              <w:spacing w:after="0"/>
              <w:rPr>
                <w:sz w:val="19"/>
                <w:szCs w:val="19"/>
                <w:color w:val="auto"/>
              </w:rPr>
            </w:pPr>
          </w:p>
        </w:tc>
        <w:tc>
          <w:tcPr>
            <w:tcW w:w="2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130,290</w:t>
            </w:r>
          </w:p>
        </w:tc>
        <w:tc>
          <w:tcPr>
            <w:tcW w:w="100" w:type="dxa"/>
            <w:vAlign w:val="bottom"/>
          </w:tcPr>
          <w:p>
            <w:pPr>
              <w:spacing w:after="0"/>
              <w:rPr>
                <w:sz w:val="19"/>
                <w:szCs w:val="19"/>
                <w:color w:val="auto"/>
              </w:rPr>
            </w:pPr>
          </w:p>
        </w:tc>
      </w:tr>
      <w:tr>
        <w:trPr>
          <w:trHeight w:val="22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Paydowns</w:t>
            </w:r>
          </w:p>
        </w:tc>
        <w:tc>
          <w:tcPr>
            <w:tcW w:w="20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(27,332 )</w:t>
            </w:r>
          </w:p>
        </w:tc>
        <w:tc>
          <w:tcPr>
            <w:tcW w:w="12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(12,762 )</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r>
      <w:tr>
        <w:trPr>
          <w:trHeight w:val="263"/>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as of March 31, 2024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239,978</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181,301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-24765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Finance Receivables of</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Consolidated CFEs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Finance Receivables at Fair</w:t>
      </w:r>
    </w:p>
    <w:p>
      <w:pPr>
        <w:spacing w:after="0" w:line="15"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Value</w:t>
      </w:r>
    </w:p>
    <w:p>
      <w:pPr>
        <w:spacing w:after="0" w:line="10" w:lineRule="exact"/>
        <w:rPr>
          <w:sz w:val="20"/>
          <w:szCs w:val="20"/>
          <w:color w:val="auto"/>
        </w:rPr>
      </w:pPr>
    </w:p>
    <w:p>
      <w:pPr>
        <w:sectPr>
          <w:pgSz w:w="11900" w:h="16838" w:orient="portrait"/>
          <w:cols w:equalWidth="0" w:num="2">
            <w:col w:w="8360" w:space="720"/>
            <w:col w:w="2160"/>
          </w:cols>
          <w:pgMar w:left="320" w:top="76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Fair value as of January 1, 2023</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77,904</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75,270</w:t>
            </w:r>
          </w:p>
        </w:tc>
        <w:tc>
          <w:tcPr>
            <w:tcW w:w="100" w:type="dxa"/>
            <w:vAlign w:val="bottom"/>
          </w:tcPr>
          <w:p>
            <w:pPr>
              <w:spacing w:after="0"/>
              <w:rPr>
                <w:sz w:val="19"/>
                <w:szCs w:val="19"/>
                <w:color w:val="auto"/>
              </w:rPr>
            </w:pPr>
          </w:p>
        </w:tc>
      </w:tr>
      <w:tr>
        <w:trPr>
          <w:trHeight w:val="197"/>
        </w:trPr>
        <w:tc>
          <w:tcPr>
            <w:tcW w:w="64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Reclassification of finance receivables held for sale to finance receivables at</w:t>
            </w:r>
          </w:p>
        </w:tc>
        <w:tc>
          <w:tcPr>
            <w:tcW w:w="8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net</w:t>
            </w:r>
          </w:p>
        </w:tc>
        <w:tc>
          <w:tcPr>
            <w:tcW w:w="8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248,081</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Transfer within Level 3 categories</w:t>
            </w: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26,128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(26,128 )</w:t>
            </w:r>
          </w:p>
        </w:tc>
      </w:tr>
      <w:tr>
        <w:trPr>
          <w:trHeight w:val="22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Consolidation of VIEs</w:t>
            </w:r>
          </w:p>
        </w:tc>
        <w:tc>
          <w:tcPr>
            <w:tcW w:w="8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180,706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Losses included in realized and unrealized losses</w:t>
            </w:r>
          </w:p>
        </w:tc>
        <w:tc>
          <w:tcPr>
            <w:tcW w:w="8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(12,624 )</w:t>
            </w:r>
          </w:p>
        </w:tc>
        <w:tc>
          <w:tcPr>
            <w:tcW w:w="8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r>
      <w:tr>
        <w:trPr>
          <w:trHeight w:val="22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Issuances, net of discount</w:t>
            </w:r>
          </w:p>
        </w:tc>
        <w:tc>
          <w:tcPr>
            <w:tcW w:w="8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FF0FC"/>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Paydowns</w:t>
            </w:r>
          </w:p>
        </w:tc>
        <w:tc>
          <w:tcPr>
            <w:tcW w:w="8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(32,787 )</w:t>
            </w:r>
          </w:p>
        </w:tc>
        <w:tc>
          <w:tcPr>
            <w:tcW w:w="8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(9,062 )</w:t>
            </w:r>
          </w:p>
        </w:tc>
      </w:tr>
      <w:tr>
        <w:trPr>
          <w:trHeight w:val="22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4,735</w:t>
            </w:r>
          </w:p>
        </w:tc>
        <w:tc>
          <w:tcPr>
            <w:tcW w:w="2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Fair value as of March 31, 2023</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492,143</w:t>
            </w: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44,127</w:t>
            </w: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-179070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 on a quarterly basis, except for assets and liabilities acquired during the prior period as described below. During the three months</w:t>
      </w:r>
    </w:p>
    <w:p>
      <w:pPr>
        <w:spacing w:after="0" w:line="234" w:lineRule="auto"/>
        <w:rPr>
          <w:sz w:val="20"/>
          <w:szCs w:val="20"/>
          <w:color w:val="auto"/>
        </w:rPr>
      </w:pPr>
      <w:r>
        <w:rPr>
          <w:rFonts w:ascii="Arial" w:cs="Arial" w:eastAsia="Arial" w:hAnsi="Arial"/>
          <w:sz w:val="18"/>
          <w:szCs w:val="18"/>
          <w:color w:val="auto"/>
        </w:rPr>
        <w:t>ended March 31, 2024, there were no transfer between levels of the fair value hierarchy. During the three months ended March 31, 2023,</w:t>
      </w:r>
    </w:p>
    <w:p>
      <w:pPr>
        <w:spacing w:after="0" w:line="235" w:lineRule="auto"/>
        <w:rPr>
          <w:sz w:val="20"/>
          <w:szCs w:val="20"/>
          <w:color w:val="auto"/>
        </w:rPr>
      </w:pPr>
      <w:r>
        <w:rPr>
          <w:rFonts w:ascii="Arial" w:cs="Arial" w:eastAsia="Arial" w:hAnsi="Arial"/>
          <w:sz w:val="18"/>
          <w:szCs w:val="18"/>
          <w:color w:val="auto"/>
        </w:rPr>
        <w:t>$180.7 million of finance receivables related to the 2022-2 securitization transaction were consolidated and classified as Level 3 and $248.1</w:t>
      </w:r>
    </w:p>
    <w:p>
      <w:pPr>
        <w:spacing w:after="0" w:line="234" w:lineRule="auto"/>
        <w:rPr>
          <w:sz w:val="20"/>
          <w:szCs w:val="20"/>
          <w:color w:val="auto"/>
        </w:rPr>
      </w:pPr>
      <w:r>
        <w:rPr>
          <w:rFonts w:ascii="Arial" w:cs="Arial" w:eastAsia="Arial" w:hAnsi="Arial"/>
          <w:sz w:val="18"/>
          <w:szCs w:val="18"/>
          <w:color w:val="auto"/>
        </w:rPr>
        <w:t>million of finance receivables held for sale related to the 2023-1 securitization transaction were reclassified to Level 3 finance receivables of</w:t>
      </w:r>
    </w:p>
    <w:p>
      <w:pPr>
        <w:spacing w:after="0"/>
        <w:rPr>
          <w:sz w:val="20"/>
          <w:szCs w:val="20"/>
          <w:color w:val="auto"/>
        </w:rPr>
      </w:pPr>
      <w:r>
        <w:rPr>
          <w:rFonts w:ascii="Arial" w:cs="Arial" w:eastAsia="Arial" w:hAnsi="Arial"/>
          <w:sz w:val="18"/>
          <w:szCs w:val="18"/>
          <w:color w:val="auto"/>
        </w:rPr>
        <w:t>consolidated CFEs.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Data for Financial Assets and Liabilities for which FVO Was Elected</w:t>
      </w:r>
    </w:p>
    <w:p>
      <w:pPr>
        <w:spacing w:after="0" w:line="196" w:lineRule="exact"/>
        <w:rPr>
          <w:sz w:val="20"/>
          <w:szCs w:val="20"/>
          <w:color w:val="auto"/>
        </w:rPr>
      </w:pPr>
    </w:p>
    <w:p>
      <w:pPr>
        <w:jc w:val="both"/>
        <w:ind w:right="180" w:firstLine="749"/>
        <w:spacing w:after="0" w:line="301" w:lineRule="auto"/>
        <w:rPr>
          <w:sz w:val="20"/>
          <w:szCs w:val="20"/>
          <w:color w:val="auto"/>
        </w:rPr>
      </w:pPr>
      <w:r>
        <w:rPr>
          <w:rFonts w:ascii="Arial" w:cs="Arial" w:eastAsia="Arial" w:hAnsi="Arial"/>
          <w:sz w:val="17"/>
          <w:szCs w:val="17"/>
          <w:color w:val="auto"/>
        </w:rPr>
        <w:t>The following table presents the gains or losses recorded in "Realized and unrealized losses, net of recoveries" in the condensed consolidated statements of operations related to the eligible financial instruments for which the fair value option was elected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20" w:type="dxa"/>
            <w:vAlign w:val="bottom"/>
          </w:tcPr>
          <w:p>
            <w:pPr>
              <w:spacing w:after="0"/>
              <w:rPr>
                <w:sz w:val="17"/>
                <w:szCs w:val="17"/>
                <w:color w:val="auto"/>
              </w:rPr>
            </w:pPr>
          </w:p>
        </w:tc>
        <w:tc>
          <w:tcPr>
            <w:tcW w:w="3200" w:type="dxa"/>
            <w:vAlign w:val="bottom"/>
            <w:tcBorders>
              <w:bottom w:val="single" w:sz="8" w:color="auto"/>
            </w:tcBorders>
            <w:gridSpan w:val="5"/>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ind w:left="280"/>
              <w:spacing w:after="0"/>
              <w:rPr>
                <w:sz w:val="20"/>
                <w:szCs w:val="20"/>
                <w:color w:val="auto"/>
              </w:rPr>
            </w:pPr>
            <w:r>
              <w:rPr>
                <w:rFonts w:ascii="Arial" w:cs="Arial" w:eastAsia="Arial" w:hAnsi="Arial"/>
                <w:sz w:val="18"/>
                <w:szCs w:val="18"/>
                <w:color w:val="auto"/>
              </w:rPr>
              <w:t>Finance receivables of CFEs</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9,896</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 at fair value</w:t>
            </w: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14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(1,412 )</w:t>
            </w:r>
          </w:p>
        </w:tc>
      </w:tr>
      <w:tr>
        <w:trPr>
          <w:trHeight w:val="229"/>
        </w:trPr>
        <w:tc>
          <w:tcPr>
            <w:tcW w:w="7320" w:type="dxa"/>
            <w:vAlign w:val="bottom"/>
          </w:tcPr>
          <w:p>
            <w:pPr>
              <w:ind w:left="280"/>
              <w:spacing w:after="0"/>
              <w:rPr>
                <w:sz w:val="20"/>
                <w:szCs w:val="20"/>
                <w:color w:val="auto"/>
              </w:rPr>
            </w:pPr>
            <w:r>
              <w:rPr>
                <w:rFonts w:ascii="Arial" w:cs="Arial" w:eastAsia="Arial" w:hAnsi="Arial"/>
                <w:sz w:val="18"/>
                <w:szCs w:val="18"/>
                <w:color w:val="auto"/>
              </w:rPr>
              <w:t>Beneficial interests in securitizations</w:t>
            </w:r>
          </w:p>
        </w:tc>
        <w:tc>
          <w:tcPr>
            <w:tcW w:w="1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Liabilities</w:t>
            </w: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Debt of securitized VIEs</w:t>
            </w:r>
          </w:p>
        </w:tc>
        <w:tc>
          <w:tcPr>
            <w:tcW w:w="1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(2,549 )</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(1,222 )</w:t>
            </w: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loss included in "Realized and unrealized losses, net of recoveries"</w:t>
            </w:r>
          </w:p>
        </w:tc>
        <w:tc>
          <w:tcPr>
            <w:tcW w:w="114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18,194</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18"/>
        </w:trPr>
        <w:tc>
          <w:tcPr>
            <w:tcW w:w="7320" w:type="dxa"/>
            <w:vAlign w:val="bottom"/>
          </w:tcPr>
          <w:p>
            <w:pPr>
              <w:ind w:left="5520"/>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7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-906780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-889635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Finance Receivables of CFEs at</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Finance Receivables at</w:t>
            </w:r>
          </w:p>
        </w:tc>
      </w:tr>
      <w:tr>
        <w:trPr>
          <w:trHeight w:val="18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As of March 31, 2024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6740" w:type="dxa"/>
            <w:vAlign w:val="bottom"/>
            <w:tcBorders>
              <w:top w:val="single" w:sz="8" w:color="auto"/>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279,084</w:t>
            </w:r>
          </w:p>
        </w:tc>
        <w:tc>
          <w:tcPr>
            <w:tcW w:w="6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204,860</w:t>
            </w:r>
          </w:p>
        </w:tc>
        <w:tc>
          <w:tcPr>
            <w:tcW w:w="10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239,978</w:t>
            </w:r>
          </w:p>
        </w:tc>
        <w:tc>
          <w:tcPr>
            <w:tcW w:w="68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181,301</w:t>
            </w:r>
          </w:p>
        </w:tc>
        <w:tc>
          <w:tcPr>
            <w:tcW w:w="100" w:type="dxa"/>
            <w:vAlign w:val="bottom"/>
          </w:tcPr>
          <w:p>
            <w:pPr>
              <w:spacing w:after="0"/>
              <w:rPr>
                <w:sz w:val="19"/>
                <w:szCs w:val="19"/>
                <w:color w:val="auto"/>
              </w:rPr>
            </w:pPr>
          </w:p>
        </w:tc>
      </w:tr>
      <w:tr>
        <w:trPr>
          <w:trHeight w:val="197"/>
        </w:trPr>
        <w:tc>
          <w:tcPr>
            <w:tcW w:w="674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4,953</w:t>
            </w:r>
          </w:p>
        </w:tc>
        <w:tc>
          <w:tcPr>
            <w:tcW w:w="6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20"/>
                <w:szCs w:val="20"/>
                <w:color w:val="auto"/>
              </w:rPr>
            </w:pPr>
          </w:p>
        </w:tc>
      </w:tr>
      <w:tr>
        <w:trPr>
          <w:trHeight w:val="197"/>
        </w:trPr>
        <w:tc>
          <w:tcPr>
            <w:tcW w:w="6740" w:type="dxa"/>
            <w:vAlign w:val="bottom"/>
          </w:tcPr>
          <w:p>
            <w:pPr>
              <w:ind w:left="20"/>
              <w:spacing w:after="0" w:line="197" w:lineRule="exact"/>
              <w:rPr>
                <w:sz w:val="20"/>
                <w:szCs w:val="20"/>
                <w:color w:val="auto"/>
              </w:rPr>
            </w:pPr>
            <w:r>
              <w:rPr>
                <w:rFonts w:ascii="Arial" w:cs="Arial" w:eastAsia="Arial" w:hAnsi="Arial"/>
                <w:sz w:val="18"/>
                <w:szCs w:val="18"/>
                <w:color w:val="auto"/>
                <w:w w:val="99"/>
              </w:rPr>
              <w:t>Aggregate fair value of receivables carried at fair value that are on nonaccrual status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4,263</w:t>
            </w:r>
          </w:p>
        </w:tc>
        <w:tc>
          <w:tcPr>
            <w:tcW w:w="68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r>
      <w:tr>
        <w:trPr>
          <w:trHeight w:val="364"/>
        </w:trPr>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Finance Receivables of CFEs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Finance Receivables at</w:t>
            </w:r>
          </w:p>
        </w:tc>
      </w:tr>
      <w:tr>
        <w:trPr>
          <w:trHeight w:val="18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at Fair Value</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6740" w:type="dxa"/>
            <w:vAlign w:val="bottom"/>
            <w:tcBorders>
              <w:top w:val="single" w:sz="8" w:color="auto"/>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361,609</w:t>
            </w: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36,207</w:t>
            </w:r>
          </w:p>
        </w:tc>
        <w:tc>
          <w:tcPr>
            <w:tcW w:w="10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316,998</w:t>
            </w:r>
          </w:p>
        </w:tc>
        <w:tc>
          <w:tcPr>
            <w:tcW w:w="60" w:type="dxa"/>
            <w:vAlign w:val="bottom"/>
          </w:tcPr>
          <w:p>
            <w:pPr>
              <w:spacing w:after="0"/>
              <w:rPr>
                <w:sz w:val="19"/>
                <w:szCs w:val="19"/>
                <w:color w:val="auto"/>
              </w:rPr>
            </w:pPr>
          </w:p>
        </w:tc>
        <w:tc>
          <w:tcPr>
            <w:tcW w:w="6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31,672</w:t>
            </w:r>
          </w:p>
        </w:tc>
        <w:tc>
          <w:tcPr>
            <w:tcW w:w="100" w:type="dxa"/>
            <w:vAlign w:val="bottom"/>
          </w:tcPr>
          <w:p>
            <w:pPr>
              <w:spacing w:after="0"/>
              <w:rPr>
                <w:sz w:val="19"/>
                <w:szCs w:val="19"/>
                <w:color w:val="auto"/>
              </w:rPr>
            </w:pPr>
          </w:p>
        </w:tc>
      </w:tr>
      <w:tr>
        <w:trPr>
          <w:trHeight w:val="197"/>
        </w:trPr>
        <w:tc>
          <w:tcPr>
            <w:tcW w:w="674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0"/>
                <w:szCs w:val="20"/>
                <w:color w:val="auto"/>
              </w:rPr>
            </w:pPr>
          </w:p>
        </w:tc>
      </w:tr>
      <w:tr>
        <w:trPr>
          <w:trHeight w:val="197"/>
        </w:trPr>
        <w:tc>
          <w:tcPr>
            <w:tcW w:w="6740" w:type="dxa"/>
            <w:vAlign w:val="bottom"/>
          </w:tcPr>
          <w:p>
            <w:pPr>
              <w:ind w:left="20"/>
              <w:spacing w:after="0" w:line="197" w:lineRule="exact"/>
              <w:rPr>
                <w:sz w:val="20"/>
                <w:szCs w:val="20"/>
                <w:color w:val="auto"/>
              </w:rPr>
            </w:pPr>
            <w:r>
              <w:rPr>
                <w:rFonts w:ascii="Arial" w:cs="Arial" w:eastAsia="Arial" w:hAnsi="Arial"/>
                <w:sz w:val="18"/>
                <w:szCs w:val="18"/>
                <w:color w:val="auto"/>
                <w:w w:val="99"/>
              </w:rPr>
              <w:t>Aggregate fair value of receivables carried at fair value that are on nonaccrual status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Pr>
          <w:p>
            <w:pPr>
              <w:spacing w:after="0"/>
              <w:rPr>
                <w:sz w:val="20"/>
                <w:szCs w:val="20"/>
                <w:color w:val="auto"/>
              </w:rPr>
            </w:pPr>
          </w:p>
        </w:tc>
        <w:tc>
          <w:tcPr>
            <w:tcW w:w="6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71"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ectPr>
          <w:pgSz w:w="11900" w:h="16838" w:orient="portrait"/>
          <w:cols w:equalWidth="0" w:num="1">
            <w:col w:w="11240"/>
          </w:cols>
          <w:pgMar w:left="320" w:top="768"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March 31, 2024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Securitization debt of consolidated</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VIEs at Fair Value</w:t>
      </w:r>
    </w:p>
    <w:p>
      <w:pPr>
        <w:spacing w:after="0" w:line="21" w:lineRule="exact"/>
        <w:rPr>
          <w:sz w:val="20"/>
          <w:szCs w:val="20"/>
          <w:color w:val="auto"/>
        </w:rPr>
      </w:pPr>
    </w:p>
    <w:p>
      <w:pPr>
        <w:sectPr>
          <w:pgSz w:w="11900" w:h="16838" w:orient="portrait"/>
          <w:cols w:equalWidth="0" w:num="2">
            <w:col w:w="7960" w:space="720"/>
            <w:col w:w="2560"/>
          </w:cols>
          <w:pgMar w:left="320" w:top="768"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Aggregate unpaid principal balance of rated notes of securitized VIEs</w:t>
            </w:r>
          </w:p>
        </w:tc>
        <w:tc>
          <w:tcPr>
            <w:tcW w:w="294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244,437</w:t>
            </w:r>
          </w:p>
        </w:tc>
        <w:tc>
          <w:tcPr>
            <w:tcW w:w="100" w:type="dxa"/>
            <w:vAlign w:val="bottom"/>
            <w:shd w:val="clear" w:color="auto" w:fill="CCEEFF"/>
          </w:tcPr>
          <w:p>
            <w:pPr>
              <w:spacing w:after="0"/>
              <w:rPr>
                <w:sz w:val="18"/>
                <w:szCs w:val="18"/>
                <w:color w:val="auto"/>
              </w:rPr>
            </w:pP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3520" w:type="dxa"/>
            <w:vAlign w:val="bottom"/>
            <w:gridSpan w:val="5"/>
          </w:tcPr>
          <w:p>
            <w:pPr>
              <w:jc w:val="right"/>
              <w:ind w:right="208"/>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237,899</w:t>
            </w:r>
          </w:p>
        </w:tc>
        <w:tc>
          <w:tcPr>
            <w:tcW w:w="100" w:type="dxa"/>
            <w:vAlign w:val="bottom"/>
          </w:tcPr>
          <w:p>
            <w:pPr>
              <w:spacing w:after="0"/>
              <w:rPr>
                <w:sz w:val="20"/>
                <w:szCs w:val="20"/>
                <w:color w:val="auto"/>
              </w:rPr>
            </w:pPr>
          </w:p>
        </w:tc>
      </w:tr>
      <w:tr>
        <w:trPr>
          <w:trHeight w:val="359"/>
        </w:trPr>
        <w:tc>
          <w:tcPr>
            <w:tcW w:w="55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r>
      <w:tr>
        <w:trPr>
          <w:trHeight w:val="18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Aggregate unpaid principal balance of rated notes of securitized VIEs</w:t>
            </w:r>
          </w:p>
        </w:tc>
        <w:tc>
          <w:tcPr>
            <w:tcW w:w="3520" w:type="dxa"/>
            <w:vAlign w:val="bottom"/>
            <w:gridSpan w:val="5"/>
            <w:shd w:val="clear" w:color="auto" w:fill="CCEEFF"/>
          </w:tcPr>
          <w:p>
            <w:pPr>
              <w:ind w:left="316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318,085</w:t>
            </w:r>
          </w:p>
        </w:tc>
        <w:tc>
          <w:tcPr>
            <w:tcW w:w="100" w:type="dxa"/>
            <w:vAlign w:val="bottom"/>
            <w:shd w:val="clear" w:color="auto" w:fill="CCEEFF"/>
          </w:tcPr>
          <w:p>
            <w:pPr>
              <w:spacing w:after="0"/>
              <w:rPr>
                <w:sz w:val="19"/>
                <w:szCs w:val="19"/>
                <w:color w:val="auto"/>
              </w:rPr>
            </w:pP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3520" w:type="dxa"/>
            <w:vAlign w:val="bottom"/>
            <w:gridSpan w:val="5"/>
          </w:tcPr>
          <w:p>
            <w:pPr>
              <w:ind w:left="31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314,095</w:t>
            </w:r>
          </w:p>
        </w:tc>
        <w:tc>
          <w:tcPr>
            <w:tcW w:w="100" w:type="dxa"/>
            <w:vAlign w:val="bottom"/>
          </w:tcPr>
          <w:p>
            <w:pPr>
              <w:spacing w:after="0"/>
              <w:rPr>
                <w:sz w:val="20"/>
                <w:szCs w:val="20"/>
                <w:color w:val="auto"/>
              </w:rPr>
            </w:pPr>
          </w:p>
        </w:tc>
      </w:tr>
      <w:tr>
        <w:trPr>
          <w:trHeight w:val="628"/>
        </w:trPr>
        <w:tc>
          <w:tcPr>
            <w:tcW w:w="5520" w:type="dxa"/>
            <w:vAlign w:val="bottom"/>
          </w:tcPr>
          <w:p>
            <w:pPr>
              <w:spacing w:after="0"/>
              <w:rPr>
                <w:sz w:val="24"/>
                <w:szCs w:val="24"/>
                <w:color w:val="auto"/>
              </w:rPr>
            </w:pPr>
          </w:p>
        </w:tc>
        <w:tc>
          <w:tcPr>
            <w:tcW w:w="2920" w:type="dxa"/>
            <w:vAlign w:val="bottom"/>
          </w:tcPr>
          <w:p>
            <w:pPr>
              <w:jc w:val="right"/>
              <w:ind w:right="2630"/>
              <w:spacing w:after="0"/>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55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196" w:lineRule="exact"/>
        <w:rPr>
          <w:sz w:val="20"/>
          <w:szCs w:val="20"/>
          <w:color w:val="auto"/>
        </w:rPr>
      </w:pPr>
    </w:p>
    <w:p>
      <w:pPr>
        <w:jc w:val="both"/>
        <w:ind w:right="380" w:firstLine="749"/>
        <w:spacing w:after="0" w:line="252" w:lineRule="auto"/>
        <w:rPr>
          <w:sz w:val="20"/>
          <w:szCs w:val="20"/>
          <w:color w:val="auto"/>
        </w:rPr>
      </w:pPr>
      <w:r>
        <w:rPr>
          <w:rFonts w:ascii="Arial" w:cs="Arial" w:eastAsia="Arial" w:hAnsi="Arial"/>
          <w:sz w:val="18"/>
          <w:szCs w:val="18"/>
          <w:color w:val="auto"/>
        </w:rPr>
        <w:t>The carrying amounts of restricted cash, accounts payable and accrued liabilities approximate fair value due to their short-term nature. The carrying value of the Warehouse Credit Facilities was determined to approximate fair value due to its short-term duration and variable interest rate that approximates prevailing interest rates as of each reporting period.</w:t>
      </w:r>
    </w:p>
    <w:p>
      <w:pPr>
        <w:spacing w:after="0" w:line="157" w:lineRule="exact"/>
        <w:rPr>
          <w:sz w:val="20"/>
          <w:szCs w:val="20"/>
          <w:color w:val="auto"/>
        </w:rPr>
      </w:pPr>
    </w:p>
    <w:p>
      <w:pPr>
        <w:ind w:right="80" w:firstLine="749"/>
        <w:spacing w:after="0" w:line="258" w:lineRule="auto"/>
        <w:rPr>
          <w:sz w:val="20"/>
          <w:szCs w:val="20"/>
          <w:color w:val="auto"/>
        </w:rPr>
      </w:pPr>
      <w:r>
        <w:rPr>
          <w:rFonts w:ascii="Arial" w:cs="Arial" w:eastAsia="Arial" w:hAnsi="Arial"/>
          <w:sz w:val="17"/>
          <w:szCs w:val="17"/>
          <w:i w:val="1"/>
          <w:iCs w:val="1"/>
          <w:color w:val="auto"/>
        </w:rPr>
        <w:t xml:space="preserve">Finance receivables held for sale, net: </w:t>
      </w:r>
      <w:r>
        <w:rPr>
          <w:rFonts w:ascii="Arial" w:cs="Arial" w:eastAsia="Arial" w:hAnsi="Arial"/>
          <w:sz w:val="17"/>
          <w:szCs w:val="17"/>
          <w:color w:val="auto"/>
        </w:rPr>
        <w:t>For finance receivables eligible to be sold in a securitization, the Company determines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these finance 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As of March 31, 2024, the carrying value and fair value of the finance receivables held for sale, net were $419.1 million. As of December 31, 2023, the Company determined that all of these finance receivables should be marked to their fair value of $468.8 million based on the results of the Company's lower of amortized cost basis or fair value analysis.</w:t>
      </w:r>
    </w:p>
    <w:p>
      <w:pPr>
        <w:spacing w:after="0" w:line="15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addition, from time to time the Company may mark certain receivables, that are no longer eligible to be sold in a securitization, classified as held for sale to fair value on a non-recurring basis. As of March 31, 2024 and December 31, 2023, there were $35.1 million and $34.8 million of these finance receivables that were marked to fair value on a non-recurring basis, respectively. These are finance receivables that became delinquent and no longer meet the expected securitization sales criteria. The Company uses a discounted cash flow model to estimate the present value of future recoveries for finance receivables. Such fair value measurement of finance receivables held for sale, net is considered Level 3 of the fair value hierarchy.</w:t>
      </w:r>
    </w:p>
    <w:p>
      <w:pPr>
        <w:spacing w:after="0" w:line="169" w:lineRule="exact"/>
        <w:rPr>
          <w:sz w:val="20"/>
          <w:szCs w:val="20"/>
          <w:color w:val="auto"/>
        </w:rPr>
      </w:pPr>
    </w:p>
    <w:p>
      <w:pPr>
        <w:ind w:right="720" w:firstLine="749"/>
        <w:spacing w:after="0" w:line="252"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was determined utilizing actual bids and offer prices of the Notes in markets that are not active and are classified within Level 2 of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6120" w:type="dxa"/>
            <w:vAlign w:val="bottom"/>
          </w:tcPr>
          <w:p>
            <w:pPr>
              <w:spacing w:after="0"/>
              <w:rPr>
                <w:sz w:val="15"/>
                <w:szCs w:val="15"/>
                <w:color w:val="auto"/>
              </w:rPr>
            </w:pPr>
          </w:p>
        </w:tc>
        <w:tc>
          <w:tcPr>
            <w:tcW w:w="15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8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1560" w:type="dxa"/>
            <w:vAlign w:val="bottom"/>
            <w:shd w:val="clear" w:color="auto" w:fill="CFF0FC"/>
          </w:tcPr>
          <w:p>
            <w:pPr>
              <w:jc w:val="right"/>
              <w:ind w:right="135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287,175</w:t>
            </w: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286,800</w:t>
            </w:r>
          </w:p>
        </w:tc>
        <w:tc>
          <w:tcPr>
            <w:tcW w:w="100" w:type="dxa"/>
            <w:vAlign w:val="bottom"/>
            <w:shd w:val="clear" w:color="auto" w:fill="CFF0FC"/>
          </w:tcPr>
          <w:p>
            <w:pPr>
              <w:spacing w:after="0"/>
              <w:rPr>
                <w:sz w:val="19"/>
                <w:szCs w:val="19"/>
                <w:color w:val="auto"/>
              </w:rPr>
            </w:pPr>
          </w:p>
        </w:tc>
      </w:tr>
      <w:tr>
        <w:trPr>
          <w:trHeight w:val="239"/>
        </w:trPr>
        <w:tc>
          <w:tcPr>
            <w:tcW w:w="612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560" w:type="dxa"/>
            <w:vAlign w:val="bottom"/>
          </w:tcPr>
          <w:p>
            <w:pPr>
              <w:jc w:val="right"/>
              <w:ind w:right="135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149,601</w:t>
            </w: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152,506</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140" w:firstLine="749"/>
        <w:spacing w:after="0" w:line="252" w:lineRule="auto"/>
        <w:rPr>
          <w:sz w:val="20"/>
          <w:szCs w:val="20"/>
          <w:color w:val="auto"/>
        </w:rPr>
      </w:pPr>
      <w:r>
        <w:rPr>
          <w:rFonts w:ascii="Arial" w:cs="Arial" w:eastAsia="Arial" w:hAnsi="Arial"/>
          <w:sz w:val="18"/>
          <w:szCs w:val="18"/>
          <w:i w:val="1"/>
          <w:iCs w:val="1"/>
          <w:color w:val="auto"/>
        </w:rPr>
        <w:t xml:space="preserve">Financing of beneficial interests in securitizations: </w:t>
      </w:r>
      <w:r>
        <w:rPr>
          <w:rFonts w:ascii="Arial" w:cs="Arial" w:eastAsia="Arial" w:hAnsi="Arial"/>
          <w:sz w:val="18"/>
          <w:szCs w:val="18"/>
          <w:color w:val="auto"/>
        </w:rPr>
        <w:t>The fair value of the financing of beneficial interests in securitizations,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carried at fair value on the accompanying condensed consolidated balance sheets, approximated their carrying value as of March 31, 2024 and are classified within Level 3 of the fair value hierarchy.</w:t>
      </w:r>
    </w:p>
    <w:p>
      <w:pPr>
        <w:spacing w:after="0" w:line="157" w:lineRule="exact"/>
        <w:rPr>
          <w:sz w:val="20"/>
          <w:szCs w:val="20"/>
          <w:color w:val="auto"/>
        </w:rPr>
      </w:pPr>
    </w:p>
    <w:p>
      <w:pPr>
        <w:ind w:right="20" w:firstLine="749"/>
        <w:spacing w:after="0" w:line="252"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sheets, approximated their carrying value as of March 31, 2024 and 2023 and are classified within Level 3 of the fair value hierarchy.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98" w:lineRule="exact"/>
        <w:rPr>
          <w:sz w:val="20"/>
          <w:szCs w:val="20"/>
          <w:color w:val="auto"/>
        </w:rPr>
      </w:pPr>
    </w:p>
    <w:p>
      <w:pPr>
        <w:ind w:right="80" w:firstLine="761"/>
        <w:spacing w:after="0" w:line="238" w:lineRule="auto"/>
        <w:rPr>
          <w:sz w:val="20"/>
          <w:szCs w:val="20"/>
          <w:color w:val="auto"/>
        </w:rPr>
      </w:pPr>
      <w:r>
        <w:rPr>
          <w:rFonts w:ascii="Arial" w:cs="Arial" w:eastAsia="Arial" w:hAnsi="Arial"/>
          <w:sz w:val="18"/>
          <w:szCs w:val="18"/>
          <w:color w:val="auto"/>
        </w:rPr>
        <w:t>As a result of the Ecommerce Wind-Down during the three months ended March 31, 2024, the Company revised its reportable segments. The Company is now organized into two 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as well as certain Vroom contracts that are continuing to be renegotiated and right-sized to account for reduced headcount following the Ecommerce Wind-down. The Company retrospectively restated segment results for the comparative period to conform to the new presentation. No operating segments have been aggregated to form the reportable segments.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0" w:firstLine="761"/>
        <w:spacing w:after="0"/>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CODM reviews Adjusted EBITDA for each of the reportable segments. Adjusted EBITDA is defined as net loss before interest expense on corporate debt, interest income on cash and cash equivalents, income tax expense, depreciation and amortization expense, stock compensation expense, gain on debt extinguishment and long-lived asset impairment charges, incurred by the segment. The CODM does not evaluate operating segments using asset information as these are managed on an enterprise-wide group basis. Accordingly, the Company does not report segment asset information. As of March 31, 2024 and December 31, 2023, long-lived assets were predominantly located in the United States.</w:t>
      </w:r>
    </w:p>
    <w:p>
      <w:pPr>
        <w:spacing w:after="0" w:line="169" w:lineRule="exact"/>
        <w:rPr>
          <w:sz w:val="20"/>
          <w:szCs w:val="20"/>
          <w:color w:val="auto"/>
        </w:rPr>
      </w:pPr>
    </w:p>
    <w:p>
      <w:pPr>
        <w:jc w:val="both"/>
        <w:ind w:right="320" w:firstLine="761"/>
        <w:spacing w:after="0" w:line="252" w:lineRule="auto"/>
        <w:rPr>
          <w:sz w:val="20"/>
          <w:szCs w:val="20"/>
          <w:color w:val="auto"/>
        </w:rPr>
      </w:pPr>
      <w:r>
        <w:rPr>
          <w:rFonts w:ascii="Arial" w:cs="Arial" w:eastAsia="Arial" w:hAnsi="Arial"/>
          <w:sz w:val="18"/>
          <w:szCs w:val="18"/>
          <w:color w:val="auto"/>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spacing w:after="0" w:line="157" w:lineRule="exact"/>
        <w:rPr>
          <w:sz w:val="20"/>
          <w:szCs w:val="20"/>
          <w:color w:val="auto"/>
        </w:rPr>
      </w:pPr>
    </w:p>
    <w:p>
      <w:pPr>
        <w:ind w:right="200" w:firstLine="761"/>
        <w:spacing w:after="0" w:line="271" w:lineRule="auto"/>
        <w:rPr>
          <w:sz w:val="20"/>
          <w:szCs w:val="20"/>
          <w:color w:val="auto"/>
        </w:rPr>
      </w:pPr>
      <w:r>
        <w:rPr>
          <w:rFonts w:ascii="Arial" w:cs="Arial" w:eastAsia="Arial" w:hAnsi="Arial"/>
          <w:sz w:val="18"/>
          <w:szCs w:val="18"/>
          <w:color w:val="auto"/>
        </w:rPr>
        <w:t>The CarStory reportable segment represents sales of AI-powered analytics and digital services to automotive dealers, automotive financial services companies and others in the automotive industry.</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61"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4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6350</wp:posOffset>
            </wp:positionV>
            <wp:extent cx="43840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UACC</w:t>
            </w:r>
          </w:p>
        </w:tc>
        <w:tc>
          <w:tcPr>
            <w:tcW w:w="12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CarStory</w:t>
            </w:r>
          </w:p>
        </w:tc>
        <w:tc>
          <w:tcPr>
            <w:tcW w:w="12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UACC</w:t>
            </w:r>
          </w:p>
        </w:tc>
        <w:tc>
          <w:tcPr>
            <w:tcW w:w="100" w:type="dxa"/>
            <w:vAlign w:val="bottom"/>
          </w:tcPr>
          <w:p>
            <w:pPr>
              <w:spacing w:after="0"/>
              <w:rPr>
                <w:sz w:val="18"/>
                <w:szCs w:val="18"/>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CarStory</w:t>
            </w:r>
          </w:p>
        </w:tc>
        <w:tc>
          <w:tcPr>
            <w:tcW w:w="10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51,541</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(464 ) $</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51,077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35,299</w:t>
            </w: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(931 ) $</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34,368</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Warehouse credit facility</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9,471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Securitization debt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4,345</w:t>
            </w:r>
          </w:p>
        </w:tc>
        <w:tc>
          <w:tcPr>
            <w:tcW w:w="100" w:type="dxa"/>
            <w:vAlign w:val="bottom"/>
            <w:shd w:val="clear" w:color="auto" w:fill="CFF0FC"/>
          </w:tcPr>
          <w:p>
            <w:pPr>
              <w:spacing w:after="0"/>
              <w:rPr>
                <w:sz w:val="19"/>
                <w:szCs w:val="19"/>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Pr>
          <w:p>
            <w:pPr>
              <w:spacing w:after="0"/>
              <w:rPr>
                <w:sz w:val="18"/>
                <w:szCs w:val="18"/>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interest income</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37,201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(464 )</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27,855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(931 )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26,924</w:t>
            </w:r>
          </w:p>
        </w:tc>
        <w:tc>
          <w:tcPr>
            <w:tcW w:w="100" w:type="dxa"/>
            <w:vAlign w:val="bottom"/>
            <w:shd w:val="clear" w:color="auto" w:fill="CFF0FC"/>
          </w:tcPr>
          <w:p>
            <w:pPr>
              <w:spacing w:after="0"/>
              <w:rPr>
                <w:sz w:val="19"/>
                <w:szCs w:val="19"/>
                <w:color w:val="auto"/>
              </w:rPr>
            </w:pPr>
          </w:p>
        </w:tc>
      </w:tr>
      <w:tr>
        <w:trPr>
          <w:trHeight w:val="216"/>
        </w:trPr>
        <w:tc>
          <w:tcPr>
            <w:tcW w:w="4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Realized and unrealized losses, net of recoveries</w:t>
            </w: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27,761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30,819</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12,272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Net interest income after losses and recoveries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(3,521 )</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(4,387 )</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11,196</w:t>
            </w:r>
          </w:p>
        </w:tc>
        <w:tc>
          <w:tcPr>
            <w:tcW w:w="100" w:type="dxa"/>
            <w:vAlign w:val="bottom"/>
          </w:tcPr>
          <w:p>
            <w:pPr>
              <w:spacing w:after="0"/>
              <w:rPr>
                <w:sz w:val="18"/>
                <w:szCs w:val="18"/>
                <w:color w:val="auto"/>
              </w:rPr>
            </w:pPr>
          </w:p>
        </w:tc>
      </w:tr>
      <w:tr>
        <w:trPr>
          <w:trHeight w:val="223"/>
        </w:trPr>
        <w:tc>
          <w:tcPr>
            <w:tcW w:w="4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Noninterest (loss) income:</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Servicing income</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Warranties and GAP income, net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(11,252 )</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(9,642 )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2,835</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CarStory revenue</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3,170</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Gain on debt extinguishment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8,709</w:t>
            </w:r>
          </w:p>
        </w:tc>
        <w:tc>
          <w:tcPr>
            <w:tcW w:w="100" w:type="dxa"/>
            <w:vAlign w:val="bottom"/>
          </w:tcPr>
          <w:p>
            <w:pPr>
              <w:spacing w:after="0"/>
              <w:rPr>
                <w:sz w:val="19"/>
                <w:szCs w:val="19"/>
                <w:color w:val="auto"/>
              </w:rPr>
            </w:pPr>
          </w:p>
        </w:tc>
      </w:tr>
      <w:tr>
        <w:trPr>
          <w:trHeight w:val="216"/>
        </w:trPr>
        <w:tc>
          <w:tcPr>
            <w:tcW w:w="4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Total noninterest (loss) income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(11,111 )</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(1,860 )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20,600</w:t>
            </w:r>
          </w:p>
        </w:tc>
        <w:tc>
          <w:tcPr>
            <w:tcW w:w="100" w:type="dxa"/>
            <w:vAlign w:val="bottom"/>
          </w:tcPr>
          <w:p>
            <w:pPr>
              <w:spacing w:after="0"/>
              <w:rPr>
                <w:sz w:val="18"/>
                <w:szCs w:val="18"/>
                <w:color w:val="auto"/>
              </w:rPr>
            </w:pPr>
          </w:p>
        </w:tc>
      </w:tr>
      <w:tr>
        <w:trPr>
          <w:trHeight w:val="223"/>
        </w:trPr>
        <w:tc>
          <w:tcPr>
            <w:tcW w:w="4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18,788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23,221</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3,343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4,973</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Software and IT costs</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5,246</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7,626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7,232</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 on corporate debt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4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48,298</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47,211</w:t>
            </w:r>
          </w:p>
        </w:tc>
        <w:tc>
          <w:tcPr>
            <w:tcW w:w="100" w:type="dxa"/>
            <w:vAlign w:val="bottom"/>
          </w:tcPr>
          <w:p>
            <w:pPr>
              <w:spacing w:after="0"/>
              <w:rPr>
                <w:sz w:val="18"/>
                <w:szCs w:val="18"/>
                <w:color w:val="auto"/>
              </w:rPr>
            </w:pPr>
          </w:p>
        </w:tc>
      </w:tr>
      <w:tr>
        <w:trPr>
          <w:trHeight w:val="209"/>
        </w:trPr>
        <w:tc>
          <w:tcPr>
            <w:tcW w:w="4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48"/>
              <w:spacing w:after="0"/>
              <w:rPr>
                <w:sz w:val="20"/>
                <w:szCs w:val="20"/>
                <w:color w:val="auto"/>
              </w:rPr>
            </w:pPr>
            <w:r>
              <w:rPr>
                <w:rFonts w:ascii="Arial" w:cs="Arial" w:eastAsia="Arial" w:hAnsi="Arial"/>
                <w:sz w:val="16"/>
                <w:szCs w:val="16"/>
                <w:color w:val="auto"/>
              </w:rPr>
              <w:t>(10,147 ) $</w:t>
            </w:r>
          </w:p>
        </w:tc>
        <w:tc>
          <w:tcPr>
            <w:tcW w:w="540" w:type="dxa"/>
            <w:vAlign w:val="bottom"/>
          </w:tcPr>
          <w:p>
            <w:pPr>
              <w:jc w:val="right"/>
              <w:spacing w:after="0"/>
              <w:rPr>
                <w:sz w:val="20"/>
                <w:szCs w:val="20"/>
                <w:color w:val="auto"/>
              </w:rPr>
            </w:pPr>
            <w:r>
              <w:rPr>
                <w:rFonts w:ascii="Arial" w:cs="Arial" w:eastAsia="Arial" w:hAnsi="Arial"/>
                <w:sz w:val="16"/>
                <w:szCs w:val="16"/>
                <w:color w:val="auto"/>
              </w:rPr>
              <w:t>559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(22,564 ) $</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(32,152 )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(4,467 ) $</w:t>
            </w:r>
          </w:p>
        </w:tc>
        <w:tc>
          <w:tcPr>
            <w:tcW w:w="480" w:type="dxa"/>
            <w:vAlign w:val="bottom"/>
          </w:tcPr>
          <w:p>
            <w:pPr>
              <w:jc w:val="right"/>
              <w:spacing w:after="0"/>
              <w:rPr>
                <w:sz w:val="20"/>
                <w:szCs w:val="20"/>
                <w:color w:val="auto"/>
              </w:rPr>
            </w:pPr>
            <w:r>
              <w:rPr>
                <w:rFonts w:ascii="Arial" w:cs="Arial" w:eastAsia="Arial" w:hAnsi="Arial"/>
                <w:sz w:val="16"/>
                <w:szCs w:val="16"/>
                <w:color w:val="auto"/>
              </w:rPr>
              <w:t>567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w w:val="98"/>
              </w:rPr>
              <w:t>(12,398 ) $</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(16,298 )</w:t>
            </w:r>
          </w:p>
        </w:tc>
      </w:tr>
      <w:tr>
        <w:trPr>
          <w:trHeight w:val="20"/>
        </w:trPr>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-3064510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-3064510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-3064510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-3064510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-3064510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-3064510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-3064510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-1899920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-1899920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-1899920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-1899920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-1899920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-1899920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-1899920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-444500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-444500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-444500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-444500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-444500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-444500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-444500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-444500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-153670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-153670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-153670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-153670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-153670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-153670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6512560</wp:posOffset>
            </wp:positionH>
            <wp:positionV relativeFrom="paragraph">
              <wp:posOffset>-153670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6"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The reconciliation between reportable segment Adjusted EBITDA to consolidated net loss from continuing operations is as follows (in thousands):</w:t>
      </w:r>
    </w:p>
    <w:p>
      <w:pPr>
        <w:spacing w:after="0" w:line="23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6350</wp:posOffset>
            </wp:positionV>
            <wp:extent cx="28600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Adjusted EBITDA by Segment</w:t>
            </w:r>
          </w:p>
        </w:tc>
        <w:tc>
          <w:tcPr>
            <w:tcW w:w="1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140"/>
              <w:spacing w:after="0"/>
              <w:rPr>
                <w:sz w:val="20"/>
                <w:szCs w:val="20"/>
                <w:color w:val="auto"/>
              </w:rPr>
            </w:pPr>
            <w:r>
              <w:rPr>
                <w:rFonts w:ascii="Arial" w:cs="Arial" w:eastAsia="Arial" w:hAnsi="Arial"/>
                <w:sz w:val="16"/>
                <w:szCs w:val="16"/>
                <w:color w:val="auto"/>
              </w:rPr>
              <w:t>UACC</w:t>
            </w:r>
          </w:p>
        </w:tc>
        <w:tc>
          <w:tcPr>
            <w:tcW w:w="1380" w:type="dxa"/>
            <w:vAlign w:val="bottom"/>
          </w:tcPr>
          <w:p>
            <w:pPr>
              <w:jc w:val="right"/>
              <w:ind w:right="1181"/>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(10,147 )</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(4,467 )</w:t>
            </w:r>
          </w:p>
        </w:tc>
      </w:tr>
      <w:tr>
        <w:trPr>
          <w:trHeight w:val="216"/>
        </w:trPr>
        <w:tc>
          <w:tcPr>
            <w:tcW w:w="6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CarStory</w:t>
            </w:r>
          </w:p>
        </w:tc>
        <w:tc>
          <w:tcPr>
            <w:tcW w:w="1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140"/>
              <w:spacing w:after="0"/>
              <w:rPr>
                <w:sz w:val="20"/>
                <w:szCs w:val="20"/>
                <w:color w:val="auto"/>
              </w:rPr>
            </w:pPr>
            <w:r>
              <w:rPr>
                <w:rFonts w:ascii="Arial" w:cs="Arial" w:eastAsia="Arial" w:hAnsi="Arial"/>
                <w:sz w:val="16"/>
                <w:szCs w:val="16"/>
                <w:color w:val="auto"/>
              </w:rPr>
              <w:t>Corporate</w:t>
            </w:r>
          </w:p>
        </w:tc>
        <w:tc>
          <w:tcPr>
            <w:tcW w:w="13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(22,564 )</w:t>
            </w:r>
          </w:p>
        </w:tc>
        <w:tc>
          <w:tcPr>
            <w:tcW w:w="5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(12,398 )</w:t>
            </w:r>
          </w:p>
        </w:tc>
      </w:tr>
      <w:tr>
        <w:trPr>
          <w:trHeight w:val="20"/>
        </w:trPr>
        <w:tc>
          <w:tcPr>
            <w:tcW w:w="6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shd w:val="clear" w:color="auto" w:fill="CFF0FC"/>
          </w:tcPr>
          <w:p>
            <w:pPr>
              <w:jc w:val="right"/>
              <w:ind w:right="118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(32,152 )</w:t>
            </w:r>
          </w:p>
        </w:tc>
        <w:tc>
          <w:tcPr>
            <w:tcW w:w="5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(16,298 )</w:t>
            </w:r>
          </w:p>
        </w:tc>
      </w:tr>
      <w:tr>
        <w:trPr>
          <w:trHeight w:val="196"/>
        </w:trPr>
        <w:tc>
          <w:tcPr>
            <w:tcW w:w="662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 on cash and cash equivalents</w:t>
            </w:r>
          </w:p>
        </w:tc>
        <w:tc>
          <w:tcPr>
            <w:tcW w:w="1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2,425</w:t>
            </w:r>
          </w:p>
        </w:tc>
        <w:tc>
          <w:tcPr>
            <w:tcW w:w="100" w:type="dxa"/>
            <w:vAlign w:val="bottom"/>
            <w:shd w:val="clear" w:color="auto" w:fill="CFF0FC"/>
          </w:tcPr>
          <w:p>
            <w:pPr>
              <w:spacing w:after="0"/>
              <w:rPr>
                <w:sz w:val="18"/>
                <w:szCs w:val="18"/>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3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(436 )</w:t>
            </w:r>
          </w:p>
        </w:tc>
        <w:tc>
          <w:tcPr>
            <w:tcW w:w="5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(54 )</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(7,626 )</w:t>
            </w:r>
          </w:p>
        </w:tc>
        <w:tc>
          <w:tcPr>
            <w:tcW w:w="5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(7,232 )</w:t>
            </w:r>
          </w:p>
        </w:tc>
      </w:tr>
      <w:tr>
        <w:trPr>
          <w:trHeight w:val="215"/>
        </w:trPr>
        <w:tc>
          <w:tcPr>
            <w:tcW w:w="662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3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(1,324 )</w:t>
            </w:r>
          </w:p>
        </w:tc>
        <w:tc>
          <w:tcPr>
            <w:tcW w:w="5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(1,679 )</w:t>
            </w: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debt extinguishment</w:t>
            </w:r>
          </w:p>
        </w:tc>
        <w:tc>
          <w:tcPr>
            <w:tcW w:w="1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8,709</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13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(2,752 )</w:t>
            </w: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from continuing operations</w:t>
            </w:r>
          </w:p>
        </w:tc>
        <w:tc>
          <w:tcPr>
            <w:tcW w:w="1380" w:type="dxa"/>
            <w:vAlign w:val="bottom"/>
            <w:shd w:val="clear" w:color="auto" w:fill="CFF0FC"/>
          </w:tcPr>
          <w:p>
            <w:pPr>
              <w:jc w:val="right"/>
              <w:ind w:right="118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(44,676 )</w:t>
            </w:r>
          </w:p>
        </w:tc>
        <w:tc>
          <w:tcPr>
            <w:tcW w:w="5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(15,469 )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-1155065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-1137920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-24765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-7620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98" w:lineRule="exact"/>
        <w:rPr>
          <w:sz w:val="20"/>
          <w:szCs w:val="20"/>
          <w:color w:val="auto"/>
        </w:rPr>
      </w:pPr>
    </w:p>
    <w:p>
      <w:pPr>
        <w:ind w:right="20" w:firstLine="761"/>
        <w:spacing w:after="0" w:line="257" w:lineRule="auto"/>
        <w:rPr>
          <w:sz w:val="20"/>
          <w:szCs w:val="20"/>
          <w:color w:val="auto"/>
        </w:rPr>
      </w:pPr>
      <w:r>
        <w:rPr>
          <w:rFonts w:ascii="Arial" w:cs="Arial" w:eastAsia="Arial" w:hAnsi="Arial"/>
          <w:sz w:val="17"/>
          <w:szCs w:val="17"/>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p>
    <w:p>
      <w:pPr>
        <w:spacing w:after="0" w:line="153" w:lineRule="exact"/>
        <w:rPr>
          <w:sz w:val="20"/>
          <w:szCs w:val="20"/>
          <w:color w:val="auto"/>
        </w:rPr>
      </w:pPr>
    </w:p>
    <w:p>
      <w:pPr>
        <w:ind w:right="100" w:firstLine="749"/>
        <w:spacing w:after="0" w:line="271" w:lineRule="auto"/>
        <w:rPr>
          <w:sz w:val="20"/>
          <w:szCs w:val="20"/>
          <w:color w:val="auto"/>
        </w:rPr>
      </w:pPr>
      <w:r>
        <w:rPr>
          <w:rFonts w:ascii="Arial" w:cs="Arial" w:eastAsia="Arial" w:hAnsi="Arial"/>
          <w:sz w:val="18"/>
          <w:szCs w:val="18"/>
          <w:color w:val="auto"/>
        </w:rPr>
        <w:t>The Company’s effective tax rate from continuing operations for the three months ended March 31, 2024 and 2023 was (1.0)% and (0.35)%, respectively.</w:t>
      </w:r>
    </w:p>
    <w:p>
      <w:pPr>
        <w:spacing w:after="0" w:line="139" w:lineRule="exact"/>
        <w:rPr>
          <w:sz w:val="20"/>
          <w:szCs w:val="20"/>
          <w:color w:val="auto"/>
        </w:rPr>
      </w:pPr>
    </w:p>
    <w:p>
      <w:pPr>
        <w:ind w:right="40" w:firstLine="761"/>
        <w:spacing w:after="0" w:line="252"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2017 and prior. The company is not currently under audit for any US federal or state income tax audits.</w:t>
      </w:r>
    </w:p>
    <w:p>
      <w:pPr>
        <w:spacing w:after="0" w:line="157"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66" w:lineRule="exact"/>
        <w:rPr>
          <w:sz w:val="20"/>
          <w:szCs w:val="20"/>
          <w:color w:val="auto"/>
        </w:rPr>
      </w:pPr>
    </w:p>
    <w:p>
      <w:pPr>
        <w:ind w:right="20" w:firstLine="761"/>
        <w:spacing w:after="0" w:line="252" w:lineRule="auto"/>
        <w:rPr>
          <w:sz w:val="20"/>
          <w:szCs w:val="20"/>
          <w:color w:val="auto"/>
        </w:rPr>
      </w:pPr>
      <w:r>
        <w:rPr>
          <w:rFonts w:ascii="Arial" w:cs="Arial" w:eastAsia="Arial" w:hAnsi="Arial"/>
          <w:sz w:val="18"/>
          <w:szCs w:val="18"/>
          <w:color w:val="auto"/>
        </w:rPr>
        <w:t>The Company has not identified any uncertain tax positions as of March 31, 2024 or December 31, 2023. Any interest and penalties related to uncertain tax positions shall be recorded as a component of income tax expense. To date, no interest or penalties have been accrued in relation to uncertain tax positions.</w:t>
      </w:r>
    </w:p>
    <w:p>
      <w:pPr>
        <w:spacing w:after="0" w:line="157" w:lineRule="exact"/>
        <w:rPr>
          <w:sz w:val="20"/>
          <w:szCs w:val="20"/>
          <w:color w:val="auto"/>
        </w:rPr>
      </w:pPr>
    </w:p>
    <w:p>
      <w:pPr>
        <w:ind w:right="380" w:firstLine="749"/>
        <w:spacing w:after="0" w:line="246" w:lineRule="auto"/>
        <w:rPr>
          <w:sz w:val="20"/>
          <w:szCs w:val="20"/>
          <w:color w:val="auto"/>
        </w:rPr>
      </w:pPr>
      <w:r>
        <w:rPr>
          <w:rFonts w:ascii="Arial" w:cs="Arial" w:eastAsia="Arial" w:hAnsi="Arial"/>
          <w:sz w:val="18"/>
          <w:szCs w:val="18"/>
          <w:color w:val="auto"/>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evaluated the provisions included under the IRA and the provisions do not have a material impact to the Company's condensed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from continuing operations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(44,676 )</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(15,469 )</w:t>
            </w:r>
          </w:p>
        </w:tc>
        <w:tc>
          <w:tcPr>
            <w:tcW w:w="0" w:type="dxa"/>
            <w:vAlign w:val="bottom"/>
          </w:tcPr>
          <w:p>
            <w:pPr>
              <w:spacing w:after="0"/>
              <w:rPr>
                <w:sz w:val="1"/>
                <w:szCs w:val="1"/>
                <w:color w:val="auto"/>
              </w:rPr>
            </w:pPr>
          </w:p>
        </w:tc>
      </w:tr>
      <w:tr>
        <w:trPr>
          <w:trHeight w:val="20"/>
        </w:trPr>
        <w:tc>
          <w:tcPr>
            <w:tcW w:w="70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Net loss from discontinued operations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(22,941 )</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(59,272 )</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(67,617 )</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(74,741 )</w:t>
            </w:r>
          </w:p>
        </w:tc>
        <w:tc>
          <w:tcPr>
            <w:tcW w:w="0" w:type="dxa"/>
            <w:vAlign w:val="bottom"/>
          </w:tcPr>
          <w:p>
            <w:pPr>
              <w:spacing w:after="0"/>
              <w:rPr>
                <w:sz w:val="1"/>
                <w:szCs w:val="1"/>
                <w:color w:val="auto"/>
              </w:rPr>
            </w:pPr>
          </w:p>
        </w:tc>
      </w:tr>
      <w:tr>
        <w:trPr>
          <w:trHeight w:val="190"/>
        </w:trPr>
        <w:tc>
          <w:tcPr>
            <w:tcW w:w="7080" w:type="dxa"/>
            <w:vAlign w:val="bottom"/>
            <w:tcBorders>
              <w:top w:val="single" w:sz="8" w:color="CFF0FC"/>
            </w:tcBorders>
          </w:tcPr>
          <w:p>
            <w:pPr>
              <w:ind w:left="20"/>
              <w:spacing w:after="0" w:line="190" w:lineRule="exact"/>
              <w:rPr>
                <w:sz w:val="20"/>
                <w:szCs w:val="20"/>
                <w:color w:val="auto"/>
              </w:rPr>
            </w:pPr>
            <w:r>
              <w:rPr>
                <w:rFonts w:ascii="Arial" w:cs="Arial" w:eastAsia="Arial" w:hAnsi="Arial"/>
                <w:sz w:val="18"/>
                <w:szCs w:val="18"/>
                <w:color w:val="auto"/>
              </w:rPr>
              <w:t>Weighted-average number of shares outstanding used to compute net loss per share</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1,794,303</w:t>
            </w:r>
          </w:p>
        </w:tc>
        <w:tc>
          <w:tcPr>
            <w:tcW w:w="300" w:type="dxa"/>
            <w:vAlign w:val="bottom"/>
            <w:tcBorders>
              <w:top w:val="single" w:sz="8" w:color="CFF0FC"/>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1,731,636</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20"/>
              <w:spacing w:after="0"/>
              <w:rPr>
                <w:sz w:val="20"/>
                <w:szCs w:val="20"/>
                <w:color w:val="auto"/>
              </w:rPr>
            </w:pPr>
            <w:r>
              <w:rPr>
                <w:rFonts w:ascii="Arial" w:cs="Arial" w:eastAsia="Arial" w:hAnsi="Arial"/>
                <w:sz w:val="18"/>
                <w:szCs w:val="18"/>
                <w:color w:val="auto"/>
              </w:rPr>
              <w:t>attributable to common stockholders, basic and diluted</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8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Net loss per share attributable to common stockholders, continuing operations, basic</w:t>
            </w:r>
          </w:p>
        </w:tc>
        <w:tc>
          <w:tcPr>
            <w:tcW w:w="46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(24.90 )</w:t>
            </w:r>
          </w:p>
        </w:tc>
        <w:tc>
          <w:tcPr>
            <w:tcW w:w="660" w:type="dxa"/>
            <w:vAlign w:val="bottom"/>
            <w:vMerge w:val="restart"/>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(8.93 )</w:t>
            </w:r>
          </w:p>
        </w:tc>
        <w:tc>
          <w:tcPr>
            <w:tcW w:w="0" w:type="dxa"/>
            <w:vAlign w:val="bottom"/>
          </w:tcPr>
          <w:p>
            <w:pPr>
              <w:spacing w:after="0"/>
              <w:rPr>
                <w:sz w:val="1"/>
                <w:szCs w:val="1"/>
                <w:color w:val="auto"/>
              </w:rPr>
            </w:pPr>
          </w:p>
        </w:tc>
      </w:tr>
      <w:tr>
        <w:trPr>
          <w:trHeight w:val="214"/>
        </w:trPr>
        <w:tc>
          <w:tcPr>
            <w:tcW w:w="70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and diluted</w:t>
            </w:r>
          </w:p>
        </w:tc>
        <w:tc>
          <w:tcPr>
            <w:tcW w:w="460" w:type="dxa"/>
            <w:vAlign w:val="bottom"/>
            <w:vMerge w:val="continue"/>
            <w:shd w:val="clear" w:color="auto" w:fill="CFF0FC"/>
          </w:tcPr>
          <w:p>
            <w:pPr>
              <w:spacing w:after="0"/>
              <w:rPr>
                <w:sz w:val="18"/>
                <w:szCs w:val="18"/>
                <w:color w:val="auto"/>
              </w:rPr>
            </w:pPr>
          </w:p>
        </w:tc>
        <w:tc>
          <w:tcPr>
            <w:tcW w:w="1740" w:type="dxa"/>
            <w:vAlign w:val="bottom"/>
            <w:gridSpan w:val="2"/>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tcPr>
          <w:p>
            <w:pPr>
              <w:ind w:left="20"/>
              <w:spacing w:after="0" w:line="177" w:lineRule="exact"/>
              <w:rPr>
                <w:sz w:val="20"/>
                <w:szCs w:val="20"/>
                <w:color w:val="auto"/>
              </w:rPr>
            </w:pPr>
            <w:r>
              <w:rPr>
                <w:rFonts w:ascii="Arial" w:cs="Arial" w:eastAsia="Arial" w:hAnsi="Arial"/>
                <w:sz w:val="18"/>
                <w:szCs w:val="18"/>
                <w:color w:val="auto"/>
              </w:rPr>
              <w:t>Net loss per share attributable to common stockholders, discontinued operations,</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(12.79 )</w:t>
            </w:r>
          </w:p>
        </w:tc>
        <w:tc>
          <w:tcPr>
            <w:tcW w:w="660" w:type="dxa"/>
            <w:vAlign w:val="bottom"/>
            <w:vMerge w:val="restart"/>
          </w:tcPr>
          <w:p>
            <w:pPr>
              <w:jc w:val="right"/>
              <w:ind w:right="470"/>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(34.23 )</w:t>
            </w:r>
          </w:p>
        </w:tc>
        <w:tc>
          <w:tcPr>
            <w:tcW w:w="0" w:type="dxa"/>
            <w:vAlign w:val="bottom"/>
          </w:tcPr>
          <w:p>
            <w:pPr>
              <w:spacing w:after="0"/>
              <w:rPr>
                <w:sz w:val="1"/>
                <w:szCs w:val="1"/>
                <w:color w:val="auto"/>
              </w:rPr>
            </w:pPr>
          </w:p>
        </w:tc>
      </w:tr>
      <w:tr>
        <w:trPr>
          <w:trHeight w:val="194"/>
        </w:trPr>
        <w:tc>
          <w:tcPr>
            <w:tcW w:w="7080" w:type="dxa"/>
            <w:vAlign w:val="bottom"/>
          </w:tcPr>
          <w:p>
            <w:pPr>
              <w:ind w:left="20"/>
              <w:spacing w:after="0" w:line="195" w:lineRule="exact"/>
              <w:rPr>
                <w:sz w:val="20"/>
                <w:szCs w:val="20"/>
                <w:color w:val="auto"/>
              </w:rPr>
            </w:pPr>
            <w:r>
              <w:rPr>
                <w:rFonts w:ascii="Arial" w:cs="Arial" w:eastAsia="Arial" w:hAnsi="Arial"/>
                <w:sz w:val="18"/>
                <w:szCs w:val="18"/>
                <w:color w:val="auto"/>
              </w:rPr>
              <w:t>basic and diluted</w:t>
            </w:r>
          </w:p>
        </w:tc>
        <w:tc>
          <w:tcPr>
            <w:tcW w:w="460" w:type="dxa"/>
            <w:vAlign w:val="bottom"/>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net loss per share attributable to common stockholders, basic and diluted</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(37.68 )</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(43.16 )</w:t>
            </w: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-1309370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-1001395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-470535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-453390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120" w:firstLine="761"/>
        <w:spacing w:after="0" w:line="27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03"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As of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2023</w:t>
            </w:r>
          </w:p>
        </w:tc>
      </w:tr>
      <w:tr>
        <w:trPr>
          <w:trHeight w:val="223"/>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64,830</w:t>
            </w:r>
          </w:p>
        </w:tc>
        <w:tc>
          <w:tcPr>
            <w:tcW w:w="21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78,326</w:t>
            </w: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26,042</w:t>
            </w:r>
          </w:p>
        </w:tc>
        <w:tc>
          <w:tcPr>
            <w:tcW w:w="2160" w:type="dxa"/>
            <w:vAlign w:val="bottom"/>
            <w:gridSpan w:val="2"/>
          </w:tcPr>
          <w:p>
            <w:pPr>
              <w:jc w:val="right"/>
              <w:ind w:right="39"/>
              <w:spacing w:after="0"/>
              <w:rPr>
                <w:sz w:val="20"/>
                <w:szCs w:val="20"/>
                <w:color w:val="auto"/>
              </w:rPr>
            </w:pPr>
            <w:r>
              <w:rPr>
                <w:rFonts w:ascii="Arial" w:cs="Arial" w:eastAsia="Arial" w:hAnsi="Arial"/>
                <w:sz w:val="18"/>
                <w:szCs w:val="18"/>
                <w:color w:val="auto"/>
              </w:rPr>
              <w:t>34,858</w:t>
            </w:r>
          </w:p>
        </w:tc>
      </w:tr>
      <w:tr>
        <w:trPr>
          <w:trHeight w:val="229"/>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1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170,406</w:t>
            </w:r>
          </w:p>
        </w:tc>
        <w:tc>
          <w:tcPr>
            <w:tcW w:w="14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191,505</w:t>
            </w: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261,278</w:t>
            </w:r>
          </w:p>
        </w:tc>
        <w:tc>
          <w:tcPr>
            <w:tcW w:w="2160" w:type="dxa"/>
            <w:vAlign w:val="bottom"/>
            <w:gridSpan w:val="2"/>
          </w:tcPr>
          <w:p>
            <w:pPr>
              <w:jc w:val="right"/>
              <w:ind w:right="39"/>
              <w:spacing w:after="0"/>
              <w:rPr>
                <w:sz w:val="20"/>
                <w:szCs w:val="20"/>
                <w:color w:val="auto"/>
              </w:rPr>
            </w:pPr>
            <w:r>
              <w:rPr>
                <w:rFonts w:ascii="Arial" w:cs="Arial" w:eastAsia="Arial" w:hAnsi="Arial"/>
                <w:sz w:val="18"/>
                <w:szCs w:val="18"/>
                <w:color w:val="auto"/>
              </w:rPr>
              <w:t>304,689</w:t>
            </w:r>
          </w:p>
        </w:tc>
      </w:tr>
      <w:tr>
        <w:trPr>
          <w:trHeight w:val="20"/>
        </w:trPr>
        <w:tc>
          <w:tcPr>
            <w:tcW w:w="7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-179070</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Revised Consolidated Financial Statements Information</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March 2024, in connection with the Ecommerce Wind-Down, the Company identified errors related to an overstatement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balances in other current liabilities and accounts payable as of and prior to December 31, 2023. The Company incorrectly recorded</w:t>
      </w:r>
    </w:p>
    <w:p>
      <w:pPr>
        <w:spacing w:after="0" w:line="234" w:lineRule="auto"/>
        <w:rPr>
          <w:sz w:val="20"/>
          <w:szCs w:val="20"/>
          <w:color w:val="auto"/>
        </w:rPr>
      </w:pPr>
      <w:r>
        <w:rPr>
          <w:rFonts w:ascii="Arial" w:cs="Arial" w:eastAsia="Arial" w:hAnsi="Arial"/>
          <w:sz w:val="18"/>
          <w:szCs w:val="18"/>
          <w:color w:val="auto"/>
        </w:rPr>
        <w:t>approximately $1.4 million of other current liabilities and $4.1 million of accounts payable, instead of a reduction in operating expenses of</w:t>
      </w:r>
    </w:p>
    <w:p>
      <w:pPr>
        <w:spacing w:after="0" w:line="235" w:lineRule="auto"/>
        <w:rPr>
          <w:sz w:val="20"/>
          <w:szCs w:val="20"/>
          <w:color w:val="auto"/>
        </w:rPr>
      </w:pPr>
      <w:r>
        <w:rPr>
          <w:rFonts w:ascii="Arial" w:cs="Arial" w:eastAsia="Arial" w:hAnsi="Arial"/>
          <w:sz w:val="18"/>
          <w:szCs w:val="18"/>
          <w:color w:val="auto"/>
        </w:rPr>
        <w:t>$5.5 million, of which $4.6 million related to annual periods prior to 2023. The Company evaluated the impact of these errors and concluded</w:t>
      </w:r>
    </w:p>
    <w:p>
      <w:pPr>
        <w:spacing w:after="0" w:line="234" w:lineRule="auto"/>
        <w:rPr>
          <w:sz w:val="20"/>
          <w:szCs w:val="20"/>
          <w:color w:val="auto"/>
        </w:rPr>
      </w:pPr>
      <w:r>
        <w:rPr>
          <w:rFonts w:ascii="Arial" w:cs="Arial" w:eastAsia="Arial" w:hAnsi="Arial"/>
          <w:sz w:val="18"/>
          <w:szCs w:val="18"/>
          <w:color w:val="auto"/>
        </w:rPr>
        <w:t>that they are not material to any previously issued annual or interim consolidated financial statements. As a result of these errors, the</w:t>
      </w:r>
    </w:p>
    <w:p>
      <w:pPr>
        <w:spacing w:after="0" w:line="235" w:lineRule="auto"/>
        <w:rPr>
          <w:sz w:val="20"/>
          <w:szCs w:val="20"/>
          <w:color w:val="auto"/>
        </w:rPr>
      </w:pPr>
      <w:r>
        <w:rPr>
          <w:rFonts w:ascii="Arial" w:cs="Arial" w:eastAsia="Arial" w:hAnsi="Arial"/>
          <w:sz w:val="18"/>
          <w:szCs w:val="18"/>
          <w:color w:val="auto"/>
        </w:rPr>
        <w:t>Company has revised the consolidated financial statements for the three months ended March 31, 2023 and as of December 31, 2023 and</w:t>
      </w:r>
    </w:p>
    <w:p>
      <w:pPr>
        <w:spacing w:after="0" w:line="234" w:lineRule="auto"/>
        <w:rPr>
          <w:sz w:val="20"/>
          <w:szCs w:val="20"/>
          <w:color w:val="auto"/>
        </w:rPr>
      </w:pPr>
      <w:r>
        <w:rPr>
          <w:rFonts w:ascii="Arial" w:cs="Arial" w:eastAsia="Arial" w:hAnsi="Arial"/>
          <w:sz w:val="18"/>
          <w:szCs w:val="18"/>
          <w:color w:val="auto"/>
        </w:rPr>
        <w:t>2022 and for the years then ended. The Company intends to reflect these revisions in its 2024 Quarterly Reports to be filed on Form 10-Q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2024 Annual Report to be filed on Form 10-K.</w:t>
      </w:r>
    </w:p>
    <w:p>
      <w:pPr>
        <w:spacing w:after="0" w:line="180"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The following table (in thousands) sets forth the Company’s consolidated results of operations for the three months ended March 31, 2023 and the years ended December 31, 2023 and 2022, which have been retrospectively adjusted for the impact of the immaterial errors identified as well as new financial statement presentation and discontinued operations presentation related to the Ecommerce Wind-Down.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Three Months Ended March 31, 2023</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Discontinued</w:t>
            </w:r>
          </w:p>
        </w:tc>
        <w:tc>
          <w:tcPr>
            <w:tcW w:w="1200" w:type="dxa"/>
            <w:vAlign w:val="bottom"/>
            <w:gridSpan w:val="3"/>
          </w:tcPr>
          <w:p>
            <w:pPr>
              <w:ind w:left="40"/>
              <w:spacing w:after="0" w:line="159" w:lineRule="exact"/>
              <w:rPr>
                <w:sz w:val="20"/>
                <w:szCs w:val="20"/>
                <w:color w:val="auto"/>
              </w:rPr>
            </w:pPr>
            <w:r>
              <w:rPr>
                <w:rFonts w:ascii="Arial" w:cs="Arial" w:eastAsia="Arial" w:hAnsi="Arial"/>
                <w:sz w:val="14"/>
                <w:szCs w:val="14"/>
                <w:b w:val="1"/>
                <w:bCs w:val="1"/>
                <w:color w:val="auto"/>
              </w:rPr>
              <w:t>Presentation</w:t>
            </w:r>
          </w:p>
        </w:tc>
        <w:tc>
          <w:tcPr>
            <w:tcW w:w="1100" w:type="dxa"/>
            <w:vAlign w:val="bottom"/>
            <w:gridSpan w:val="3"/>
          </w:tcPr>
          <w:p>
            <w:pPr>
              <w:jc w:val="right"/>
              <w:ind w:right="180"/>
              <w:spacing w:after="0" w:line="159" w:lineRule="exact"/>
              <w:rPr>
                <w:sz w:val="20"/>
                <w:szCs w:val="20"/>
                <w:color w:val="auto"/>
              </w:rPr>
            </w:pPr>
            <w:r>
              <w:rPr>
                <w:rFonts w:ascii="Arial" w:cs="Arial" w:eastAsia="Arial" w:hAnsi="Arial"/>
                <w:sz w:val="14"/>
                <w:szCs w:val="14"/>
                <w:b w:val="1"/>
                <w:bCs w:val="1"/>
                <w:color w:val="auto"/>
              </w:rPr>
              <w:t>As Recasted</w:t>
            </w:r>
          </w:p>
        </w:tc>
      </w:tr>
      <w:tr>
        <w:trPr>
          <w:trHeight w:val="185"/>
        </w:trPr>
        <w:tc>
          <w:tcPr>
            <w:tcW w:w="516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Operations</w:t>
            </w: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Reclasses (1)</w:t>
            </w:r>
          </w:p>
        </w:tc>
        <w:tc>
          <w:tcPr>
            <w:tcW w:w="22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and Revised</w:t>
            </w:r>
          </w:p>
        </w:tc>
        <w:tc>
          <w:tcPr>
            <w:tcW w:w="100" w:type="dxa"/>
            <w:vAlign w:val="bottom"/>
          </w:tcPr>
          <w:p>
            <w:pPr>
              <w:spacing w:after="0"/>
              <w:rPr>
                <w:sz w:val="16"/>
                <w:szCs w:val="16"/>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196,467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(153,440 )</w:t>
            </w:r>
          </w:p>
        </w:tc>
        <w:tc>
          <w:tcPr>
            <w:tcW w:w="260" w:type="dxa"/>
            <w:vAlign w:val="bottom"/>
            <w:shd w:val="clear" w:color="auto" w:fill="CFF0FC"/>
          </w:tcPr>
          <w:p>
            <w:pPr>
              <w:jc w:val="right"/>
              <w:ind w:right="85"/>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(43,026 )</w:t>
            </w:r>
          </w:p>
        </w:tc>
        <w:tc>
          <w:tcPr>
            <w:tcW w:w="28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Total cost of sales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157,662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(149,557 )</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(8,105 )</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gross profit</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38,805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(3,883 )</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(34,921 )</w:t>
            </w: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431"/>
        </w:trPr>
        <w:tc>
          <w:tcPr>
            <w:tcW w:w="51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96,537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(303 )</w:t>
            </w: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(57,672 )</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(38,562 )</w:t>
            </w:r>
          </w:p>
        </w:tc>
        <w:tc>
          <w:tcPr>
            <w:tcW w:w="2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(3,299 )</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(7,232 )</w:t>
            </w: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(68,263 )</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57,088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7"/>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debt extinguishment</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(8,709 )</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8,709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(5,482 )</w:t>
            </w: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(4,437 )</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(5,942 )</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Other loss, net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11,240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(11,240 )</w:t>
            </w: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3"/>
        </w:trPr>
        <w:tc>
          <w:tcPr>
            <w:tcW w:w="5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34,368</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7,444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26,924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Realized and unrealized losses, net of recoveries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15,728</w:t>
            </w:r>
          </w:p>
        </w:tc>
        <w:tc>
          <w:tcPr>
            <w:tcW w:w="100" w:type="dxa"/>
            <w:vAlign w:val="bottom"/>
          </w:tcPr>
          <w:p>
            <w:pPr>
              <w:spacing w:after="0"/>
              <w:rPr>
                <w:sz w:val="18"/>
                <w:szCs w:val="18"/>
                <w:color w:val="auto"/>
              </w:rPr>
            </w:pPr>
          </w:p>
        </w:tc>
      </w:tr>
      <w:tr>
        <w:trPr>
          <w:trHeight w:val="20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 after losses and recoveries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11,196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11,196</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noninterest (loss) income</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47,211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(74,771 )</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(15,415 )</w:t>
            </w: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(15,415 )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(219 )</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from continuing operations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(15,469 )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Net loss from discontinued operations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(59,272 )</w:t>
            </w:r>
          </w:p>
        </w:tc>
      </w:tr>
      <w:tr>
        <w:trPr>
          <w:trHeight w:val="20"/>
        </w:trPr>
        <w:tc>
          <w:tcPr>
            <w:tcW w:w="5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net loss</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(75,044 )</w:t>
            </w: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(74,741 )</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-3501390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-3501390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-3501390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-3501390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-3501390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-24765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3917950</wp:posOffset>
            </wp:positionH>
            <wp:positionV relativeFrom="paragraph">
              <wp:posOffset>-7620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per share attributable to common stockholders,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571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basic and diluted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per share attributable to common stockholders, discontinued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5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
        </w:trPr>
        <w:tc>
          <w:tcPr>
            <w:tcW w:w="5140" w:type="dxa"/>
            <w:vAlign w:val="bottom"/>
            <w:vMerge w:val="restart"/>
          </w:tcPr>
          <w:p>
            <w:pPr>
              <w:spacing w:after="0"/>
              <w:rPr>
                <w:sz w:val="20"/>
                <w:szCs w:val="20"/>
                <w:color w:val="auto"/>
              </w:rPr>
            </w:pPr>
            <w:r>
              <w:rPr>
                <w:rFonts w:ascii="Arial" w:cs="Arial" w:eastAsia="Arial" w:hAnsi="Arial"/>
                <w:sz w:val="16"/>
                <w:szCs w:val="16"/>
                <w:color w:val="auto"/>
              </w:rPr>
              <w:t>Total net loss per share attributable to common stockholders, basic</w:t>
            </w: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40" w:type="dxa"/>
            <w:vAlign w:val="bottom"/>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(43.34 )</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and diluted</w:t>
            </w:r>
          </w:p>
        </w:tc>
        <w:tc>
          <w:tcPr>
            <w:tcW w:w="18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140" w:type="dxa"/>
            <w:vAlign w:val="bottom"/>
          </w:tcPr>
          <w:p>
            <w:pPr>
              <w:spacing w:after="0" w:line="181" w:lineRule="exact"/>
              <w:rPr>
                <w:sz w:val="20"/>
                <w:szCs w:val="20"/>
                <w:color w:val="auto"/>
              </w:rPr>
            </w:pPr>
            <w:r>
              <w:rPr>
                <w:rFonts w:ascii="Arial" w:cs="Arial" w:eastAsia="Arial" w:hAnsi="Arial"/>
                <w:sz w:val="16"/>
                <w:szCs w:val="16"/>
                <w:color w:val="auto"/>
              </w:rPr>
              <w:t>Weighted-average number of shares outstanding used to compute</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 basic and</w:t>
            </w: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1,731,636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-24765</wp:posOffset>
            </wp:positionV>
            <wp:extent cx="14471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471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(8.93 )</w:t>
      </w:r>
    </w:p>
    <w:p>
      <w:pPr>
        <w:spacing w:after="0" w:line="2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(34.23 )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20320</wp:posOffset>
            </wp:positionV>
            <wp:extent cx="13957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01" w:lineRule="exact"/>
        <w:rPr>
          <w:sz w:val="20"/>
          <w:szCs w:val="20"/>
          <w:color w:val="auto"/>
        </w:rPr>
      </w:pPr>
    </w:p>
    <w:p>
      <w:pPr>
        <w:ind w:left="500" w:hanging="499"/>
        <w:spacing w:after="0"/>
        <w:tabs>
          <w:tab w:leader="none" w:pos="500" w:val="left"/>
        </w:tabs>
        <w:numPr>
          <w:ilvl w:val="0"/>
          <w:numId w:val="7"/>
        </w:numPr>
        <w:rPr>
          <w:rFonts w:ascii="Arial" w:cs="Arial" w:eastAsia="Arial" w:hAnsi="Arial"/>
          <w:sz w:val="15"/>
          <w:szCs w:val="15"/>
          <w:color w:val="auto"/>
        </w:rPr>
      </w:pPr>
      <w:r>
        <w:rPr>
          <w:rFonts w:ascii="Arial" w:cs="Arial" w:eastAsia="Arial" w:hAnsi="Arial"/>
          <w:sz w:val="15"/>
          <w:szCs w:val="15"/>
          <w:color w:val="auto"/>
        </w:rPr>
        <w:t>(43.16 )</w:t>
      </w:r>
    </w:p>
    <w:p>
      <w:pPr>
        <w:spacing w:after="0" w:line="393" w:lineRule="exact"/>
        <w:rPr>
          <w:rFonts w:ascii="Arial" w:cs="Arial" w:eastAsia="Arial" w:hAnsi="Arial"/>
          <w:sz w:val="15"/>
          <w:szCs w:val="15"/>
          <w:color w:val="auto"/>
        </w:rPr>
      </w:pPr>
    </w:p>
    <w:p>
      <w:pPr>
        <w:ind w:left="240"/>
        <w:spacing w:after="0"/>
        <w:rPr>
          <w:rFonts w:ascii="Arial" w:cs="Arial" w:eastAsia="Arial" w:hAnsi="Arial"/>
          <w:sz w:val="15"/>
          <w:szCs w:val="15"/>
          <w:color w:val="auto"/>
        </w:rPr>
      </w:pPr>
      <w:r>
        <w:rPr>
          <w:rFonts w:ascii="Arial" w:cs="Arial" w:eastAsia="Arial" w:hAnsi="Arial"/>
          <w:sz w:val="16"/>
          <w:szCs w:val="16"/>
          <w:color w:val="auto"/>
        </w:rPr>
        <w:t>1,731,636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20320</wp:posOffset>
            </wp:positionV>
            <wp:extent cx="139573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95730" cy="2540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9440" w:space="720"/>
            <w:col w:w="1080"/>
          </w:cols>
          <w:pgMar w:left="320" w:top="768" w:right="339" w:bottom="1440" w:gutter="0" w:footer="0" w:header="0"/>
          <w:type w:val="continuous"/>
        </w:sectPr>
      </w:pP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revised presentation as a result of the Ecommerce Wind-Down.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2023</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89"/>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Discontinued</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Presentation</w:t>
            </w:r>
          </w:p>
        </w:tc>
        <w:tc>
          <w:tcPr>
            <w:tcW w:w="11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As Recasted</w:t>
            </w:r>
          </w:p>
        </w:tc>
      </w:tr>
      <w:tr>
        <w:trPr>
          <w:trHeight w:val="185"/>
        </w:trPr>
        <w:tc>
          <w:tcPr>
            <w:tcW w:w="516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Reclasses (1)</w:t>
            </w:r>
          </w:p>
        </w:tc>
        <w:tc>
          <w:tcPr>
            <w:tcW w:w="2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and Revised</w:t>
            </w:r>
          </w:p>
        </w:tc>
        <w:tc>
          <w:tcPr>
            <w:tcW w:w="100" w:type="dxa"/>
            <w:vAlign w:val="bottom"/>
          </w:tcPr>
          <w:p>
            <w:pPr>
              <w:spacing w:after="0"/>
              <w:rPr>
                <w:sz w:val="16"/>
                <w:szCs w:val="16"/>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893,203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(687,215 )</w:t>
            </w:r>
          </w:p>
        </w:tc>
        <w:tc>
          <w:tcPr>
            <w:tcW w:w="32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(205,988 )</w:t>
            </w: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Total cost of sales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731,256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(692,037 )</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(39,219 )</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gross profit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161,947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(166,769 )</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340,657</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(929 )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(205,977 )</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(133,751 )</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42,769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(13,656 )</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(29,113 )</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Impairment charges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48,748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(48,748 )</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(270,227 )</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273,203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(3,905 )</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Gain on debt extinguishment</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(37,878 )</w:t>
            </w:r>
          </w:p>
        </w:tc>
        <w:tc>
          <w:tcPr>
            <w:tcW w:w="3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37,878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45,445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(19,556 )</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(25,889 )</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(21,158 )</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loss (income), net</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108,289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(108,289 )</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5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24"/>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178,482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178,482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interest expense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41,893</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136,589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136,589</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Realized and unrealized losses, net of recoveries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122,541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122,541</w:t>
            </w:r>
          </w:p>
        </w:tc>
        <w:tc>
          <w:tcPr>
            <w:tcW w:w="100" w:type="dxa"/>
            <w:vAlign w:val="bottom"/>
          </w:tcPr>
          <w:p>
            <w:pPr>
              <w:spacing w:after="0"/>
              <w:rPr>
                <w:sz w:val="18"/>
                <w:szCs w:val="18"/>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interest income after losses and recoveries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14,048</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noninterest (loss) income</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75,126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75,126</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173,629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173,629</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(364,925 )</w:t>
            </w: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279,541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(84,455 )</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(84,455 )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(492 )</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from continuing operations</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(84,578 )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Net loss from discontinued operations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(280,033 )</w:t>
            </w:r>
          </w:p>
        </w:tc>
      </w:tr>
      <w:tr>
        <w:trPr>
          <w:trHeight w:val="20"/>
        </w:trPr>
        <w:tc>
          <w:tcPr>
            <w:tcW w:w="5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net loss</w:t>
            </w: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(365,540 )</w:t>
            </w:r>
          </w:p>
        </w:tc>
        <w:tc>
          <w:tcPr>
            <w:tcW w:w="38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(364,611 )</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-3355975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-3355975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-3355975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-3355975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-3355975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-2525395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-2525395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-2525395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-2525395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-24765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-7620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per share attributable to common stockholders,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571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basic and diluted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per share attributable to common stockholders, discontinued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5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
        </w:trPr>
        <w:tc>
          <w:tcPr>
            <w:tcW w:w="5140" w:type="dxa"/>
            <w:vAlign w:val="bottom"/>
            <w:vMerge w:val="restart"/>
          </w:tcPr>
          <w:p>
            <w:pPr>
              <w:spacing w:after="0"/>
              <w:rPr>
                <w:sz w:val="20"/>
                <w:szCs w:val="20"/>
                <w:color w:val="auto"/>
              </w:rPr>
            </w:pPr>
            <w:r>
              <w:rPr>
                <w:rFonts w:ascii="Arial" w:cs="Arial" w:eastAsia="Arial" w:hAnsi="Arial"/>
                <w:sz w:val="16"/>
                <w:szCs w:val="16"/>
                <w:color w:val="auto"/>
              </w:rPr>
              <w:t>Total net loss per share attributable to common stockholders, basic</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40" w:type="dxa"/>
            <w:vAlign w:val="bottom"/>
            <w:vMerge w:val="continue"/>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(209.70 )</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and diluted</w:t>
            </w:r>
          </w:p>
        </w:tc>
        <w:tc>
          <w:tcPr>
            <w:tcW w:w="2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140" w:type="dxa"/>
            <w:vAlign w:val="bottom"/>
          </w:tcPr>
          <w:p>
            <w:pPr>
              <w:spacing w:after="0" w:line="181" w:lineRule="exact"/>
              <w:rPr>
                <w:sz w:val="20"/>
                <w:szCs w:val="20"/>
                <w:color w:val="auto"/>
              </w:rPr>
            </w:pPr>
            <w:r>
              <w:rPr>
                <w:rFonts w:ascii="Arial" w:cs="Arial" w:eastAsia="Arial" w:hAnsi="Arial"/>
                <w:sz w:val="16"/>
                <w:szCs w:val="16"/>
                <w:color w:val="auto"/>
              </w:rPr>
              <w:t>Weighted-average number of shares outstanding used to compute</w:t>
            </w: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 basic and</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1,743,128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4089400</wp:posOffset>
            </wp:positionH>
            <wp:positionV relativeFrom="paragraph">
              <wp:posOffset>-24765</wp:posOffset>
            </wp:positionV>
            <wp:extent cx="142113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2113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(48.52 )</w:t>
      </w:r>
    </w:p>
    <w:p>
      <w:pPr>
        <w:spacing w:after="0" w:line="2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(160.65 )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20320</wp:posOffset>
            </wp:positionV>
            <wp:extent cx="14128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201"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5"/>
          <w:szCs w:val="15"/>
          <w:color w:val="auto"/>
        </w:rPr>
      </w:pPr>
      <w:r>
        <w:rPr>
          <w:rFonts w:ascii="Arial" w:cs="Arial" w:eastAsia="Arial" w:hAnsi="Arial"/>
          <w:sz w:val="15"/>
          <w:szCs w:val="15"/>
          <w:color w:val="auto"/>
        </w:rPr>
        <w:t>(209.17 )</w:t>
      </w:r>
    </w:p>
    <w:p>
      <w:pPr>
        <w:spacing w:after="0" w:line="393" w:lineRule="exact"/>
        <w:rPr>
          <w:rFonts w:ascii="Arial" w:cs="Arial" w:eastAsia="Arial" w:hAnsi="Arial"/>
          <w:sz w:val="15"/>
          <w:szCs w:val="15"/>
          <w:color w:val="auto"/>
        </w:rPr>
      </w:pPr>
    </w:p>
    <w:p>
      <w:pPr>
        <w:ind w:left="260"/>
        <w:spacing w:after="0"/>
        <w:rPr>
          <w:rFonts w:ascii="Arial" w:cs="Arial" w:eastAsia="Arial" w:hAnsi="Arial"/>
          <w:sz w:val="15"/>
          <w:szCs w:val="15"/>
          <w:color w:val="auto"/>
        </w:rPr>
      </w:pPr>
      <w:r>
        <w:rPr>
          <w:rFonts w:ascii="Arial" w:cs="Arial" w:eastAsia="Arial" w:hAnsi="Arial"/>
          <w:sz w:val="16"/>
          <w:szCs w:val="16"/>
          <w:color w:val="auto"/>
        </w:rPr>
        <w:t>1,743,128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20320</wp:posOffset>
            </wp:positionV>
            <wp:extent cx="141287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12875" cy="2540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9420" w:space="720"/>
            <w:col w:w="1100"/>
          </w:cols>
          <w:pgMar w:left="320" w:top="768" w:right="339" w:bottom="1440" w:gutter="0" w:footer="0" w:header="0"/>
          <w:type w:val="continuous"/>
        </w:sectPr>
      </w:pP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revised presentation as a result of the Ecommerce Wind-Down.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Discontinued</w:t>
            </w:r>
          </w:p>
        </w:tc>
        <w:tc>
          <w:tcPr>
            <w:tcW w:w="124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Presentation</w:t>
            </w:r>
          </w:p>
        </w:tc>
        <w:tc>
          <w:tcPr>
            <w:tcW w:w="1100" w:type="dxa"/>
            <w:vAlign w:val="bottom"/>
            <w:gridSpan w:val="3"/>
          </w:tcPr>
          <w:p>
            <w:pPr>
              <w:ind w:left="40"/>
              <w:spacing w:after="0" w:line="159" w:lineRule="exact"/>
              <w:rPr>
                <w:sz w:val="20"/>
                <w:szCs w:val="20"/>
                <w:color w:val="auto"/>
              </w:rPr>
            </w:pPr>
            <w:r>
              <w:rPr>
                <w:rFonts w:ascii="Arial" w:cs="Arial" w:eastAsia="Arial" w:hAnsi="Arial"/>
                <w:sz w:val="14"/>
                <w:szCs w:val="14"/>
                <w:b w:val="1"/>
                <w:bCs w:val="1"/>
                <w:color w:val="auto"/>
              </w:rPr>
              <w:t>As Recasted</w:t>
            </w:r>
          </w:p>
        </w:tc>
      </w:tr>
      <w:tr>
        <w:trPr>
          <w:trHeight w:val="185"/>
        </w:trPr>
        <w:tc>
          <w:tcPr>
            <w:tcW w:w="51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26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Reclasses (1)</w:t>
            </w:r>
          </w:p>
        </w:tc>
        <w:tc>
          <w:tcPr>
            <w:tcW w:w="24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and Revised</w:t>
            </w:r>
          </w:p>
        </w:tc>
        <w:tc>
          <w:tcPr>
            <w:tcW w:w="100" w:type="dxa"/>
            <w:vAlign w:val="bottom"/>
          </w:tcPr>
          <w:p>
            <w:pPr>
              <w:spacing w:after="0"/>
              <w:rPr>
                <w:sz w:val="16"/>
                <w:szCs w:val="16"/>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1,948,901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44"/>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 (1,774,270 )</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   (174,631 )</w:t>
            </w:r>
          </w:p>
        </w:tc>
        <w:tc>
          <w:tcPr>
            <w:tcW w:w="300" w:type="dxa"/>
            <w:vAlign w:val="bottom"/>
            <w:shd w:val="clear" w:color="auto" w:fill="CFF0FC"/>
          </w:tcPr>
          <w:p>
            <w:pPr>
              <w:jc w:val="right"/>
              <w:ind w:right="125"/>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Total cost of sales</w:t>
            </w:r>
          </w:p>
        </w:tc>
        <w:tc>
          <w:tcPr>
            <w:tcW w:w="1020" w:type="dxa"/>
            <w:vAlign w:val="bottom"/>
          </w:tcPr>
          <w:p>
            <w:pPr>
              <w:jc w:val="right"/>
              <w:spacing w:after="0"/>
              <w:rPr>
                <w:sz w:val="20"/>
                <w:szCs w:val="20"/>
                <w:color w:val="auto"/>
              </w:rPr>
            </w:pPr>
            <w:r>
              <w:rPr>
                <w:rFonts w:ascii="Arial" w:cs="Arial" w:eastAsia="Arial" w:hAnsi="Arial"/>
                <w:sz w:val="16"/>
                <w:szCs w:val="16"/>
                <w:color w:val="auto"/>
              </w:rPr>
              <w:t>1,704,114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(1,686,340 )</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(17,774 )</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gross profit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244,787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(87,930 )</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(156,857 )</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5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566,387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(1,447 )</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(424,985 )</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(139,955 )</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jc w:val="right"/>
              <w:spacing w:after="0"/>
              <w:rPr>
                <w:sz w:val="20"/>
                <w:szCs w:val="20"/>
                <w:color w:val="auto"/>
              </w:rPr>
            </w:pPr>
            <w:r>
              <w:rPr>
                <w:rFonts w:ascii="Arial" w:cs="Arial" w:eastAsia="Arial" w:hAnsi="Arial"/>
                <w:sz w:val="16"/>
                <w:szCs w:val="16"/>
                <w:color w:val="auto"/>
              </w:rPr>
              <w:t>38,290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(11,220 )</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(27,070 )</w:t>
            </w:r>
          </w:p>
        </w:tc>
        <w:tc>
          <w:tcPr>
            <w:tcW w:w="3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 charges</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211,873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(211,873 )</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(571,763 )</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560,148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5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(164,684 )</w:t>
            </w:r>
          </w:p>
        </w:tc>
        <w:tc>
          <w:tcPr>
            <w:tcW w:w="3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164,684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40,693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(26,831 )</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(13,862 )</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(19,363 )</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15,934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loss (income), net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43,181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(43,181 )</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9"/>
        </w:trPr>
        <w:tc>
          <w:tcPr>
            <w:tcW w:w="5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91,671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91,671</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interest expense</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9,508</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-1463675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-1463675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-1463675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-1463675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Realized (gain) on sale of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Realized and unrealized losses,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29210</wp:posOffset>
            </wp:positionV>
            <wp:extent cx="65087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interest income after gains, losses and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6"/>
          <w:szCs w:val="16"/>
          <w:color w:val="auto"/>
        </w:rPr>
        <w:t>82,163</w:t>
      </w:r>
      <w:r>
        <w:rPr>
          <w:sz w:val="20"/>
          <w:szCs w:val="20"/>
          <w:color w:val="auto"/>
        </w:rPr>
        <w:tab/>
      </w:r>
      <w:r>
        <w:rPr>
          <w:rFonts w:ascii="Arial" w:cs="Arial" w:eastAsia="Arial" w:hAnsi="Arial"/>
          <w:sz w:val="16"/>
          <w:szCs w:val="16"/>
          <w:color w:val="auto"/>
        </w:rPr>
        <w:t>82,163</w:t>
      </w:r>
    </w:p>
    <w:p>
      <w:pPr>
        <w:spacing w:after="0" w:line="274"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color w:val="auto"/>
        </w:rPr>
        <w:t>(44,481 )</w:t>
      </w:r>
      <w:r>
        <w:rPr>
          <w:sz w:val="20"/>
          <w:szCs w:val="20"/>
          <w:color w:val="auto"/>
        </w:rPr>
        <w:tab/>
      </w:r>
      <w:r>
        <w:rPr>
          <w:rFonts w:ascii="Arial" w:cs="Arial" w:eastAsia="Arial" w:hAnsi="Arial"/>
          <w:sz w:val="15"/>
          <w:szCs w:val="15"/>
          <w:color w:val="auto"/>
        </w:rPr>
        <w:t>(44,481 )</w:t>
      </w:r>
    </w:p>
    <w:p>
      <w:pPr>
        <w:spacing w:after="0" w:line="45"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6"/>
          <w:szCs w:val="16"/>
          <w:color w:val="auto"/>
        </w:rPr>
        <w:t>54,761</w:t>
      </w:r>
      <w:r>
        <w:rPr>
          <w:sz w:val="20"/>
          <w:szCs w:val="20"/>
          <w:color w:val="auto"/>
        </w:rPr>
        <w:tab/>
      </w:r>
      <w:r>
        <w:rPr>
          <w:rFonts w:ascii="Arial" w:cs="Arial" w:eastAsia="Arial" w:hAnsi="Arial"/>
          <w:sz w:val="16"/>
          <w:szCs w:val="16"/>
          <w:color w:val="auto"/>
        </w:rPr>
        <w:t>54,761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20320</wp:posOffset>
            </wp:positionV>
            <wp:extent cx="29794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979420" cy="8255"/>
                    </a:xfrm>
                    <a:prstGeom prst="rect">
                      <a:avLst/>
                    </a:prstGeom>
                    <a:noFill/>
                  </pic:spPr>
                </pic:pic>
              </a:graphicData>
            </a:graphic>
          </wp:anchor>
        </w:drawing>
      </w:r>
    </w:p>
    <w:p>
      <w:pPr>
        <w:spacing w:after="0" w:line="39"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6"/>
          <w:szCs w:val="16"/>
          <w:color w:val="auto"/>
        </w:rPr>
        <w:t>71,883</w:t>
      </w:r>
      <w:r>
        <w:rPr>
          <w:sz w:val="20"/>
          <w:szCs w:val="20"/>
          <w:color w:val="auto"/>
        </w:rPr>
        <w:tab/>
      </w:r>
      <w:r>
        <w:rPr>
          <w:rFonts w:ascii="Arial" w:cs="Arial" w:eastAsia="Arial" w:hAnsi="Arial"/>
          <w:sz w:val="16"/>
          <w:szCs w:val="16"/>
          <w:color w:val="auto"/>
        </w:rPr>
        <w:t>71,883</w:t>
      </w:r>
    </w:p>
    <w:p>
      <w:pPr>
        <w:spacing w:after="0" w:line="200" w:lineRule="exact"/>
        <w:rPr>
          <w:sz w:val="20"/>
          <w:szCs w:val="20"/>
          <w:color w:val="auto"/>
        </w:rPr>
      </w:pPr>
    </w:p>
    <w:p>
      <w:pPr>
        <w:sectPr>
          <w:pgSz w:w="11900" w:h="16838" w:orient="portrait"/>
          <w:cols w:equalWidth="0" w:num="2">
            <w:col w:w="8620" w:space="720"/>
            <w:col w:w="1900"/>
          </w:cols>
          <w:pgMar w:left="320" w:top="768" w:right="339" w:bottom="1440"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noninterest (loss) income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208,983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208,983</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expenses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179,965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179,965</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income before provision (benefit) for income taxes</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(471,590 )</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571,045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100,901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100,901</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(19,680 )</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6"/>
                <w:szCs w:val="16"/>
                <w:color w:val="auto"/>
              </w:rPr>
              <w:t>(19,680 )</w:t>
            </w:r>
          </w:p>
        </w:tc>
      </w:tr>
      <w:tr>
        <w:trPr>
          <w:trHeight w:val="20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120,581</w:t>
            </w:r>
          </w:p>
        </w:tc>
        <w:tc>
          <w:tcPr>
            <w:tcW w:w="100" w:type="dxa"/>
            <w:vAlign w:val="bottom"/>
            <w:shd w:val="clear" w:color="auto" w:fill="CFF0FC"/>
          </w:tcPr>
          <w:p>
            <w:pPr>
              <w:spacing w:after="0"/>
              <w:rPr>
                <w:sz w:val="18"/>
                <w:szCs w:val="18"/>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(571,045 )</w:t>
            </w:r>
          </w:p>
        </w:tc>
      </w:tr>
      <w:tr>
        <w:trPr>
          <w:trHeight w:val="20"/>
        </w:trPr>
        <w:tc>
          <w:tcPr>
            <w:tcW w:w="5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net loss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(451,910 )   $</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   (450,464 )</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-24765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-7620</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per share attributable to common stockholders,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571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basic and diluted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per share attributable to common stockholders, discontinued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5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
        </w:trPr>
        <w:tc>
          <w:tcPr>
            <w:tcW w:w="5140" w:type="dxa"/>
            <w:vAlign w:val="bottom"/>
            <w:vMerge w:val="restart"/>
          </w:tcPr>
          <w:p>
            <w:pPr>
              <w:spacing w:after="0"/>
              <w:rPr>
                <w:sz w:val="20"/>
                <w:szCs w:val="20"/>
                <w:color w:val="auto"/>
              </w:rPr>
            </w:pPr>
            <w:r>
              <w:rPr>
                <w:rFonts w:ascii="Arial" w:cs="Arial" w:eastAsia="Arial" w:hAnsi="Arial"/>
                <w:sz w:val="16"/>
                <w:szCs w:val="16"/>
                <w:color w:val="auto"/>
              </w:rPr>
              <w:t>Total net loss per share attributable to common stockholders, basic</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40" w:type="dxa"/>
            <w:vAlign w:val="bottom"/>
            <w:vMerge w:val="continue"/>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(262.15 )</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20"/>
                <w:szCs w:val="20"/>
                <w:color w:val="auto"/>
              </w:rPr>
            </w:pPr>
            <w:r>
              <w:rPr>
                <w:rFonts w:ascii="Arial" w:cs="Arial" w:eastAsia="Arial" w:hAnsi="Arial"/>
                <w:sz w:val="16"/>
                <w:szCs w:val="16"/>
                <w:color w:val="auto"/>
              </w:rPr>
              <w:t>and diluted</w:t>
            </w:r>
          </w:p>
        </w:tc>
        <w:tc>
          <w:tcPr>
            <w:tcW w:w="2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140" w:type="dxa"/>
            <w:vAlign w:val="bottom"/>
          </w:tcPr>
          <w:p>
            <w:pPr>
              <w:spacing w:after="0" w:line="181" w:lineRule="exact"/>
              <w:rPr>
                <w:sz w:val="20"/>
                <w:szCs w:val="20"/>
                <w:color w:val="auto"/>
              </w:rPr>
            </w:pPr>
            <w:r>
              <w:rPr>
                <w:rFonts w:ascii="Arial" w:cs="Arial" w:eastAsia="Arial" w:hAnsi="Arial"/>
                <w:sz w:val="16"/>
                <w:szCs w:val="16"/>
                <w:color w:val="auto"/>
              </w:rPr>
              <w:t>Weighted-average number of shares outstanding used to compute</w:t>
            </w: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net loss per share attributable to common stockholders, basic and</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1,723,843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3079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72"/>
        <w:spacing w:after="0"/>
        <w:rPr>
          <w:sz w:val="20"/>
          <w:szCs w:val="20"/>
          <w:color w:val="auto"/>
        </w:rPr>
      </w:pPr>
      <w:r>
        <w:rPr>
          <w:rFonts w:ascii="Arial" w:cs="Arial" w:eastAsia="Arial" w:hAnsi="Arial"/>
          <w:sz w:val="16"/>
          <w:szCs w:val="16"/>
          <w:color w:val="auto"/>
        </w:rPr>
        <w:t>69.95</w:t>
      </w:r>
    </w:p>
    <w:p>
      <w:pPr>
        <w:spacing w:after="0" w:line="207" w:lineRule="exact"/>
        <w:rPr>
          <w:sz w:val="20"/>
          <w:szCs w:val="20"/>
          <w:color w:val="auto"/>
        </w:rPr>
      </w:pPr>
    </w:p>
    <w:p>
      <w:pPr>
        <w:ind w:left="432" w:hanging="432"/>
        <w:spacing w:after="0"/>
        <w:tabs>
          <w:tab w:leader="none" w:pos="432" w:val="left"/>
        </w:tabs>
        <w:numPr>
          <w:ilvl w:val="0"/>
          <w:numId w:val="9"/>
        </w:numPr>
        <w:rPr>
          <w:rFonts w:ascii="Arial" w:cs="Arial" w:eastAsia="Arial" w:hAnsi="Arial"/>
          <w:sz w:val="15"/>
          <w:szCs w:val="15"/>
          <w:color w:val="auto"/>
        </w:rPr>
      </w:pPr>
      <w:r>
        <w:rPr>
          <w:rFonts w:ascii="Arial" w:cs="Arial" w:eastAsia="Arial" w:hAnsi="Arial"/>
          <w:sz w:val="15"/>
          <w:szCs w:val="15"/>
          <w:color w:val="auto"/>
        </w:rPr>
        <w:t>(331.26 )</w:t>
      </w:r>
    </w:p>
    <w:p>
      <w:pPr>
        <w:spacing w:after="0" w:line="232" w:lineRule="exact"/>
        <w:rPr>
          <w:rFonts w:ascii="Arial" w:cs="Arial" w:eastAsia="Arial" w:hAnsi="Arial"/>
          <w:sz w:val="15"/>
          <w:szCs w:val="15"/>
          <w:color w:val="auto"/>
        </w:rPr>
      </w:pPr>
    </w:p>
    <w:p>
      <w:pPr>
        <w:ind w:left="432" w:hanging="432"/>
        <w:spacing w:after="0"/>
        <w:tabs>
          <w:tab w:leader="none" w:pos="432" w:val="left"/>
        </w:tabs>
        <w:numPr>
          <w:ilvl w:val="0"/>
          <w:numId w:val="9"/>
        </w:numPr>
        <w:rPr>
          <w:rFonts w:ascii="Arial" w:cs="Arial" w:eastAsia="Arial" w:hAnsi="Arial"/>
          <w:sz w:val="15"/>
          <w:szCs w:val="15"/>
          <w:color w:val="auto"/>
        </w:rPr>
      </w:pPr>
      <w:r>
        <w:rPr>
          <w:rFonts w:ascii="Arial" w:cs="Arial" w:eastAsia="Arial" w:hAnsi="Arial"/>
          <w:sz w:val="15"/>
          <w:szCs w:val="15"/>
          <w:color w:val="auto"/>
        </w:rPr>
        <w:t>(261.31 )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-228600</wp:posOffset>
            </wp:positionV>
            <wp:extent cx="14128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374" w:lineRule="exact"/>
        <w:rPr>
          <w:sz w:val="20"/>
          <w:szCs w:val="20"/>
          <w:color w:val="auto"/>
        </w:rPr>
      </w:pPr>
    </w:p>
    <w:p>
      <w:pPr>
        <w:ind w:left="252"/>
        <w:spacing w:after="0"/>
        <w:rPr>
          <w:sz w:val="20"/>
          <w:szCs w:val="20"/>
          <w:color w:val="auto"/>
        </w:rPr>
      </w:pPr>
      <w:r>
        <w:rPr>
          <w:rFonts w:ascii="Arial" w:cs="Arial" w:eastAsia="Arial" w:hAnsi="Arial"/>
          <w:sz w:val="16"/>
          <w:szCs w:val="16"/>
          <w:color w:val="auto"/>
        </w:rPr>
        <w:t>1,723,843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20320</wp:posOffset>
            </wp:positionV>
            <wp:extent cx="141287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12875" cy="25400"/>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9428" w:space="720"/>
            <w:col w:w="1092"/>
          </w:cols>
          <w:pgMar w:left="320" w:top="768" w:right="339" w:bottom="1440" w:gutter="0" w:footer="0" w:header="0"/>
          <w:type w:val="continuous"/>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revised presentation as a result of the Ecommerce Wind-Down.</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impacts to our Consolidated Balance Sheets as of December 31, 2023 and 2022 were as follows (in thousands):</w:t>
      </w:r>
    </w:p>
    <w:p>
      <w:pPr>
        <w:sectPr>
          <w:pgSz w:w="11900" w:h="16838" w:orient="portrait"/>
          <w:cols w:equalWidth="0" w:num="1">
            <w:col w:w="11240"/>
          </w:cols>
          <w:pgMar w:left="320" w:top="768"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As of December 31, 2023</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Discontinued</w:t>
            </w:r>
          </w:p>
        </w:tc>
        <w:tc>
          <w:tcPr>
            <w:tcW w:w="118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Presentation</w:t>
            </w:r>
          </w:p>
        </w:tc>
        <w:tc>
          <w:tcPr>
            <w:tcW w:w="1080" w:type="dxa"/>
            <w:vAlign w:val="bottom"/>
            <w:gridSpan w:val="3"/>
          </w:tcPr>
          <w:p>
            <w:pPr>
              <w:ind w:left="40"/>
              <w:spacing w:after="0" w:line="159" w:lineRule="exact"/>
              <w:rPr>
                <w:sz w:val="20"/>
                <w:szCs w:val="20"/>
                <w:color w:val="auto"/>
              </w:rPr>
            </w:pPr>
            <w:r>
              <w:rPr>
                <w:rFonts w:ascii="Arial" w:cs="Arial" w:eastAsia="Arial" w:hAnsi="Arial"/>
                <w:sz w:val="14"/>
                <w:szCs w:val="14"/>
                <w:b w:val="1"/>
                <w:bCs w:val="1"/>
                <w:color w:val="auto"/>
              </w:rPr>
              <w:t>As Recasted</w:t>
            </w:r>
          </w:p>
        </w:tc>
      </w:tr>
      <w:tr>
        <w:trPr>
          <w:trHeight w:val="185"/>
        </w:trPr>
        <w:tc>
          <w:tcPr>
            <w:tcW w:w="5280" w:type="dxa"/>
            <w:vAlign w:val="bottom"/>
          </w:tcPr>
          <w:p>
            <w:pPr>
              <w:spacing w:after="0"/>
              <w:rPr>
                <w:sz w:val="16"/>
                <w:szCs w:val="16"/>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As Reported</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Operations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Reclasses (1)</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Revised</w:t>
            </w: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135,585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135,585</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73,234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73,234</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(4,413 )</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(4,726 )</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Finance receivables at fair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(12,501 )</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503,546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503,546</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163,250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(163,250 )</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(4,485 )</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(8,818 )</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(42,081 )</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952,639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(176,481 )</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(63,793 )</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Finance receivables at fair value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336,169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348,670</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(19,150 )</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4,982</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131,892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131,892</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Interest Receivable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14,484</w:t>
            </w:r>
          </w:p>
        </w:tc>
        <w:tc>
          <w:tcPr>
            <w:tcW w:w="100" w:type="dxa"/>
            <w:vAlign w:val="bottom"/>
          </w:tcPr>
          <w:p>
            <w:pPr>
              <w:spacing w:after="0"/>
              <w:rPr>
                <w:sz w:val="18"/>
                <w:szCs w:val="18"/>
                <w:color w:val="auto"/>
              </w:rPr>
            </w:pPr>
          </w:p>
        </w:tc>
      </w:tr>
      <w:tr>
        <w:trPr>
          <w:trHeight w:val="18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 (including other assets of consolidated VIEs of</w:t>
            </w: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$1.8 million)</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23,527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(906 )</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59,429</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Assets from discontinued operations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196,537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196,537</w:t>
            </w:r>
          </w:p>
        </w:tc>
        <w:tc>
          <w:tcPr>
            <w:tcW w:w="100" w:type="dxa"/>
            <w:vAlign w:val="bottom"/>
          </w:tcPr>
          <w:p>
            <w:pPr>
              <w:spacing w:after="0"/>
              <w:rPr>
                <w:sz w:val="18"/>
                <w:szCs w:val="18"/>
                <w:color w:val="auto"/>
              </w:rPr>
            </w:pPr>
          </w:p>
        </w:tc>
      </w:tr>
      <w:tr>
        <w:trPr>
          <w:trHeight w:val="24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1,475,422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1,475,422</w:t>
            </w:r>
          </w:p>
        </w:tc>
        <w:tc>
          <w:tcPr>
            <w:tcW w:w="100" w:type="dxa"/>
            <w:vAlign w:val="bottom"/>
            <w:shd w:val="clear" w:color="auto" w:fill="CFF0FC"/>
          </w:tcPr>
          <w:p>
            <w:pPr>
              <w:spacing w:after="0"/>
              <w:rPr>
                <w:sz w:val="21"/>
                <w:szCs w:val="21"/>
                <w:color w:val="auto"/>
              </w:rPr>
            </w:pPr>
          </w:p>
        </w:tc>
      </w:tr>
      <w:tr>
        <w:trPr>
          <w:trHeight w:val="197"/>
        </w:trPr>
        <w:tc>
          <w:tcPr>
            <w:tcW w:w="52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26,762</w:t>
            </w:r>
          </w:p>
        </w:tc>
        <w:tc>
          <w:tcPr>
            <w:tcW w:w="24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(4,138 )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(6,439 )</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(16,185 )</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expenses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52,452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(27,133 )</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(25,319 )</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Vehicle floorplan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151,178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(151,178 )</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421,268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421,268</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172,410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(172,410 )</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(14,025 )</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(6,105 )</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(2,632 )</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(1,382 )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(5,884 )</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(2,708 )</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856,806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(5,520 )</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(210,764 )</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(219,254 )</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454,173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172,410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626,583</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25,183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(17,356 )</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10,459</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44,212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61,321</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Liabilities from discontinued operations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228,120</w:t>
            </w:r>
          </w:p>
        </w:tc>
        <w:tc>
          <w:tcPr>
            <w:tcW w:w="100" w:type="dxa"/>
            <w:vAlign w:val="bottom"/>
          </w:tcPr>
          <w:p>
            <w:pPr>
              <w:spacing w:after="0"/>
              <w:rPr>
                <w:sz w:val="18"/>
                <w:szCs w:val="18"/>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1,353,271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(5,520 )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1,347,751</w:t>
            </w:r>
          </w:p>
        </w:tc>
        <w:tc>
          <w:tcPr>
            <w:tcW w:w="100" w:type="dxa"/>
            <w:vAlign w:val="bottom"/>
            <w:shd w:val="clear" w:color="auto" w:fill="CFF0FC"/>
          </w:tcPr>
          <w:p>
            <w:pPr>
              <w:spacing w:after="0"/>
              <w:rPr>
                <w:sz w:val="18"/>
                <w:szCs w:val="18"/>
                <w:color w:val="auto"/>
              </w:rPr>
            </w:pPr>
          </w:p>
        </w:tc>
      </w:tr>
      <w:tr>
        <w:trPr>
          <w:trHeight w:val="209"/>
        </w:trPr>
        <w:tc>
          <w:tcPr>
            <w:tcW w:w="52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8"/>
        </w:trPr>
        <w:tc>
          <w:tcPr>
            <w:tcW w:w="5280" w:type="dxa"/>
            <w:vAlign w:val="bottom"/>
          </w:tcPr>
          <w:p>
            <w:pPr>
              <w:ind w:left="20"/>
              <w:spacing w:after="0"/>
              <w:rPr>
                <w:sz w:val="20"/>
                <w:szCs w:val="20"/>
                <w:color w:val="auto"/>
              </w:rPr>
            </w:pPr>
            <w:r>
              <w:rPr>
                <w:rFonts w:ascii="Arial" w:cs="Arial" w:eastAsia="Arial" w:hAnsi="Arial"/>
                <w:sz w:val="16"/>
                <w:szCs w:val="16"/>
                <w:color w:val="auto"/>
              </w:rPr>
              <w:t>Common stock, $0.001 par value; 500,000,000 shares authorized as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280" w:type="dxa"/>
            <w:vAlign w:val="bottom"/>
          </w:tcPr>
          <w:p>
            <w:pPr>
              <w:ind w:left="20"/>
              <w:spacing w:after="0"/>
              <w:rPr>
                <w:sz w:val="20"/>
                <w:szCs w:val="20"/>
                <w:color w:val="auto"/>
              </w:rPr>
            </w:pPr>
            <w:r>
              <w:rPr>
                <w:rFonts w:ascii="Arial" w:cs="Arial" w:eastAsia="Arial" w:hAnsi="Arial"/>
                <w:sz w:val="16"/>
                <w:szCs w:val="16"/>
                <w:color w:val="auto"/>
              </w:rPr>
              <w:t>December 31, 2023; 1,791,286 shares issued and outstanding as of</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217"/>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2,088,381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2,088,381</w:t>
            </w:r>
          </w:p>
        </w:tc>
        <w:tc>
          <w:tcPr>
            <w:tcW w:w="100" w:type="dxa"/>
            <w:vAlign w:val="bottom"/>
            <w:shd w:val="clear" w:color="auto" w:fill="CFF0FC"/>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(1,966,232 )</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(1,960,712 )</w:t>
            </w: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122,151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127,671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1,475,422</w:t>
            </w:r>
          </w:p>
        </w:tc>
        <w:tc>
          <w:tcPr>
            <w:tcW w:w="24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1,475,422</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-3484245</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-3467100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-3484245</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-3467100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-3484245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-3467100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-3484245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-3467100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-3484245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-3467100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-2088515</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-2088515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-2088515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-2088515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-1249680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-1249680</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-1249680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-1249680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-170815</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-170815</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-170815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-170815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revised presentation as a result of the Ecommerce Wind-Down.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0"/>
          </w:tcPr>
          <w:p>
            <w:pPr>
              <w:jc w:val="center"/>
              <w:ind w:left="321"/>
              <w:spacing w:after="0"/>
              <w:rPr>
                <w:sz w:val="20"/>
                <w:szCs w:val="20"/>
                <w:color w:val="auto"/>
              </w:rPr>
            </w:pPr>
            <w:r>
              <w:rPr>
                <w:rFonts w:ascii="Arial" w:cs="Arial" w:eastAsia="Arial" w:hAnsi="Arial"/>
                <w:sz w:val="14"/>
                <w:szCs w:val="14"/>
                <w:b w:val="1"/>
                <w:bCs w:val="1"/>
                <w:color w:val="auto"/>
              </w:rPr>
              <w:t>As of December 31, 2022</w:t>
            </w: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rPr>
              <w:t>Discontinu</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Presentation</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Recasted</w:t>
            </w:r>
          </w:p>
        </w:tc>
      </w:tr>
      <w:tr>
        <w:trPr>
          <w:trHeight w:val="185"/>
        </w:trPr>
        <w:tc>
          <w:tcPr>
            <w:tcW w:w="5200" w:type="dxa"/>
            <w:vAlign w:val="bottom"/>
          </w:tcPr>
          <w:p>
            <w:pPr>
              <w:spacing w:after="0"/>
              <w:rPr>
                <w:sz w:val="16"/>
                <w:szCs w:val="16"/>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Reclasses (1)</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Revised</w:t>
            </w:r>
          </w:p>
        </w:tc>
      </w:tr>
      <w:tr>
        <w:trPr>
          <w:trHeight w:val="20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398,915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398,915</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73,095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73,095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13,967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(13,046 )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(921 )</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Finance receivables at fair value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(12,939 )</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321,626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321,626</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320,648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(320,648 )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20,592</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58,327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(28,552 )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(29,775 )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r>
      <w:tr>
        <w:trPr>
          <w:trHeight w:val="182"/>
        </w:trPr>
        <w:tc>
          <w:tcPr>
            <w:tcW w:w="52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6"/>
                <w:szCs w:val="16"/>
                <w:color w:val="auto"/>
              </w:rPr>
              <w:t>1,220,10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6"/>
        </w:trPr>
        <w:tc>
          <w:tcPr>
            <w:tcW w:w="5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8"/>
              </w:rPr>
              <w:t>(362,246 )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(43,635 )</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814,228</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Finance receivables at fair value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140,235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153,174</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50,201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(45,735 )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158,910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158,910</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23,568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(21,015 )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2,553</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Interest receivable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7,242</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26,004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(3,246 )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23,454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46,212</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Assets from discontinued operations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432,242</w:t>
            </w:r>
          </w:p>
        </w:tc>
        <w:tc>
          <w:tcPr>
            <w:tcW w:w="100" w:type="dxa"/>
            <w:vAlign w:val="bottom"/>
          </w:tcPr>
          <w:p>
            <w:pPr>
              <w:spacing w:after="0"/>
              <w:rPr>
                <w:sz w:val="18"/>
                <w:szCs w:val="18"/>
                <w:color w:val="auto"/>
              </w:rPr>
            </w:pPr>
          </w:p>
        </w:tc>
      </w:tr>
      <w:tr>
        <w:trPr>
          <w:trHeight w:val="182"/>
        </w:trPr>
        <w:tc>
          <w:tcPr>
            <w:tcW w:w="52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Total assets</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1,619,02</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5"/>
        </w:trPr>
        <w:tc>
          <w:tcPr>
            <w:tcW w:w="5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22"/>
                <w:szCs w:val="22"/>
                <w:color w:val="auto"/>
              </w:rPr>
            </w:pPr>
          </w:p>
        </w:tc>
        <w:tc>
          <w:tcPr>
            <w:tcW w:w="600" w:type="dxa"/>
            <w:vAlign w:val="bottom"/>
            <w:gridSpan w:val="3"/>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1,619,027</w:t>
            </w:r>
          </w:p>
        </w:tc>
        <w:tc>
          <w:tcPr>
            <w:tcW w:w="100" w:type="dxa"/>
            <w:vAlign w:val="bottom"/>
            <w:shd w:val="clear" w:color="auto" w:fill="CFF0FC"/>
          </w:tcPr>
          <w:p>
            <w:pPr>
              <w:spacing w:after="0"/>
              <w:rPr>
                <w:sz w:val="22"/>
                <w:szCs w:val="22"/>
                <w:color w:val="auto"/>
              </w:rPr>
            </w:pPr>
          </w:p>
        </w:tc>
      </w:tr>
      <w:tr>
        <w:trPr>
          <w:trHeight w:val="197"/>
        </w:trPr>
        <w:tc>
          <w:tcPr>
            <w:tcW w:w="52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34,702</w:t>
            </w:r>
          </w:p>
        </w:tc>
        <w:tc>
          <w:tcPr>
            <w:tcW w:w="120" w:type="dxa"/>
            <w:vAlign w:val="bottom"/>
          </w:tcPr>
          <w:p>
            <w:pPr>
              <w:spacing w:after="0"/>
              <w:rPr>
                <w:sz w:val="18"/>
                <w:szCs w:val="18"/>
                <w:color w:val="auto"/>
              </w:rPr>
            </w:pPr>
          </w:p>
        </w:tc>
        <w:tc>
          <w:tcPr>
            <w:tcW w:w="60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(3,310 )</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(14,523 )</w:t>
            </w:r>
          </w:p>
        </w:tc>
        <w:tc>
          <w:tcPr>
            <w:tcW w:w="540" w:type="dxa"/>
            <w:vAlign w:val="bottom"/>
            <w:gridSpan w:val="3"/>
          </w:tcPr>
          <w:p>
            <w:pPr>
              <w:jc w:val="right"/>
              <w:ind w:right="28"/>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(16,869 )</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expenses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76,795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(47,062 )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(29,733 )</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(0 )</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Vehicle floorplan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276,988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(276,988 )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229,518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229,518</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(47,239 )</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(10,655 )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(7,352 )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(2,378 )</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(0 )</w:t>
            </w: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17,693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(1,283 )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(9,966 )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(6,444 )</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FF0FC"/>
          </w:tcPr>
          <w:p>
            <w:pPr>
              <w:spacing w:after="0"/>
              <w:rPr>
                <w:sz w:val="18"/>
                <w:szCs w:val="18"/>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703,320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(4,592 )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(366,547 )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(102,663 )</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229,518</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402,154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47,239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449,393</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20,129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(17,276 )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5,231</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53,046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71,229</w:t>
            </w:r>
          </w:p>
        </w:tc>
        <w:tc>
          <w:tcPr>
            <w:tcW w:w="100" w:type="dxa"/>
            <w:vAlign w:val="bottom"/>
            <w:shd w:val="clear" w:color="auto" w:fill="CFF0FC"/>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Liabilities from discontinued operations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383,823</w:t>
            </w:r>
          </w:p>
        </w:tc>
        <w:tc>
          <w:tcPr>
            <w:tcW w:w="100" w:type="dxa"/>
            <w:vAlign w:val="bottom"/>
          </w:tcPr>
          <w:p>
            <w:pPr>
              <w:spacing w:after="0"/>
              <w:rPr>
                <w:sz w:val="18"/>
                <w:szCs w:val="18"/>
                <w:color w:val="auto"/>
              </w:rPr>
            </w:pPr>
          </w:p>
        </w:tc>
      </w:tr>
      <w:tr>
        <w:trPr>
          <w:trHeight w:val="182"/>
        </w:trPr>
        <w:tc>
          <w:tcPr>
            <w:tcW w:w="5200" w:type="dxa"/>
            <w:vAlign w:val="bottom"/>
            <w:shd w:val="clear" w:color="auto" w:fill="CFF0FC"/>
          </w:tcPr>
          <w:p>
            <w:pPr>
              <w:ind w:left="20"/>
              <w:spacing w:after="0" w:line="182" w:lineRule="exact"/>
              <w:rPr>
                <w:sz w:val="20"/>
                <w:szCs w:val="20"/>
                <w:color w:val="auto"/>
              </w:rPr>
            </w:pPr>
            <w:r>
              <w:rPr>
                <w:rFonts w:ascii="Arial" w:cs="Arial" w:eastAsia="Arial" w:hAnsi="Arial"/>
                <w:sz w:val="16"/>
                <w:szCs w:val="16"/>
                <w:color w:val="auto"/>
              </w:rPr>
              <w:t>Total liabilities</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2" w:lineRule="exact"/>
              <w:rPr>
                <w:sz w:val="20"/>
                <w:szCs w:val="20"/>
                <w:color w:val="auto"/>
              </w:rPr>
            </w:pPr>
            <w:r>
              <w:rPr>
                <w:rFonts w:ascii="Arial" w:cs="Arial" w:eastAsia="Arial" w:hAnsi="Arial"/>
                <w:sz w:val="16"/>
                <w:szCs w:val="16"/>
                <w:color w:val="auto"/>
              </w:rPr>
              <w:t>1,143,78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5"/>
        </w:trPr>
        <w:tc>
          <w:tcPr>
            <w:tcW w:w="5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(4,592 )</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1,139,194</w:t>
            </w:r>
          </w:p>
        </w:tc>
        <w:tc>
          <w:tcPr>
            <w:tcW w:w="100" w:type="dxa"/>
            <w:vAlign w:val="bottom"/>
            <w:shd w:val="clear" w:color="auto" w:fill="CFF0FC"/>
          </w:tcPr>
          <w:p>
            <w:pPr>
              <w:spacing w:after="0"/>
              <w:rPr>
                <w:sz w:val="18"/>
                <w:szCs w:val="18"/>
                <w:color w:val="auto"/>
              </w:rPr>
            </w:pPr>
          </w:p>
        </w:tc>
      </w:tr>
      <w:tr>
        <w:trPr>
          <w:trHeight w:val="210"/>
        </w:trPr>
        <w:tc>
          <w:tcPr>
            <w:tcW w:w="52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6"/>
                <w:szCs w:val="16"/>
                <w:color w:val="auto"/>
              </w:rPr>
              <w:t>Common stock, $0.001 par value; 500,000,000 shares authorized as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of December 31, 2023 and 2022; 1,791,286 and 1,727,525 shares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6"/>
                <w:szCs w:val="16"/>
                <w:color w:val="auto"/>
              </w:rPr>
              <w:t>issued and outstanding as of December 31, 2023 and 2022,</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189"/>
        </w:trPr>
        <w:tc>
          <w:tcPr>
            <w:tcW w:w="5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Additional paid-in-capital</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2,075,93</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2,075,931</w:t>
            </w:r>
          </w:p>
        </w:tc>
        <w:tc>
          <w:tcPr>
            <w:tcW w:w="100" w:type="dxa"/>
            <w:vAlign w:val="bottom"/>
            <w:shd w:val="clear" w:color="auto" w:fill="CFF0FC"/>
          </w:tcPr>
          <w:p>
            <w:pPr>
              <w:spacing w:after="0"/>
              <w:rPr>
                <w:sz w:val="18"/>
                <w:szCs w:val="18"/>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92 )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(1,596,100 )</w:t>
            </w:r>
          </w:p>
        </w:tc>
      </w:tr>
      <w:tr>
        <w:trPr>
          <w:trHeight w:val="210"/>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475,241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479,833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82"/>
        </w:trPr>
        <w:tc>
          <w:tcPr>
            <w:tcW w:w="5200" w:type="dxa"/>
            <w:vAlign w:val="bottom"/>
          </w:tcPr>
          <w:p>
            <w:pPr>
              <w:ind w:left="20"/>
              <w:spacing w:after="0" w:line="182" w:lineRule="exact"/>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6"/>
                <w:szCs w:val="16"/>
                <w:color w:val="auto"/>
              </w:rPr>
              <w:t>1,619,02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5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600" w:type="dxa"/>
            <w:vAlign w:val="bottom"/>
            <w:gridSpan w:val="3"/>
          </w:tcPr>
          <w:p>
            <w:pPr>
              <w:jc w:val="right"/>
              <w:ind w:right="48"/>
              <w:spacing w:after="0"/>
              <w:rPr>
                <w:sz w:val="20"/>
                <w:szCs w:val="20"/>
                <w:color w:val="auto"/>
              </w:rPr>
            </w:pPr>
            <w:r>
              <w:rPr>
                <w:rFonts w:ascii="Arial" w:cs="Arial" w:eastAsia="Arial" w:hAnsi="Arial"/>
                <w:sz w:val="16"/>
                <w:szCs w:val="16"/>
                <w:color w:val="auto"/>
              </w:rPr>
              <w:t>$ — $</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93"/>
              </w:rPr>
              <w:t>$ — $</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ind w:right="28"/>
              <w:spacing w:after="0"/>
              <w:rPr>
                <w:sz w:val="20"/>
                <w:szCs w:val="20"/>
                <w:color w:val="auto"/>
              </w:rPr>
            </w:pPr>
            <w:r>
              <w:rPr>
                <w:rFonts w:ascii="Arial" w:cs="Arial" w:eastAsia="Arial" w:hAnsi="Arial"/>
                <w:sz w:val="16"/>
                <w:szCs w:val="16"/>
                <w:color w:val="auto"/>
                <w:w w:val="98"/>
              </w:rPr>
              <w:t>$ — $</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1,619,027</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-4083685</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-4066540</wp:posOffset>
            </wp:positionV>
            <wp:extent cx="768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-4083685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-4066540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-4083685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-4066540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-4083685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-4066540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-4083685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-4066540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-2687955</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-2687955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-2687955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-2687955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-1729105</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-1729105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-1729105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-1729105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-290195</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-290195</wp:posOffset>
            </wp:positionV>
            <wp:extent cx="768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-290195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-290195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-290195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-290195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-290195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Reflects revised presentation as a result of the Ecommerce Wind-Down.</w:t>
      </w:r>
    </w:p>
    <w:p>
      <w:pPr>
        <w:spacing w:after="0" w:line="207" w:lineRule="exact"/>
        <w:rPr>
          <w:sz w:val="20"/>
          <w:szCs w:val="20"/>
          <w:color w:val="auto"/>
        </w:rPr>
      </w:pPr>
    </w:p>
    <w:p>
      <w:pPr>
        <w:ind w:right="80" w:firstLine="761"/>
        <w:spacing w:after="0" w:line="252" w:lineRule="auto"/>
        <w:rPr>
          <w:sz w:val="20"/>
          <w:szCs w:val="20"/>
          <w:color w:val="auto"/>
        </w:rPr>
      </w:pPr>
      <w:r>
        <w:rPr>
          <w:rFonts w:ascii="Arial" w:cs="Arial" w:eastAsia="Arial" w:hAnsi="Arial"/>
          <w:sz w:val="18"/>
          <w:szCs w:val="18"/>
          <w:color w:val="auto"/>
        </w:rPr>
        <w:t>There is no impact to our Consolidated Statements of Changes in Stockholders’ Equity for the three months ended March 31, 2023 and years ended December 31, 2023 and 2022 other than the impact to accumulated deficit as a result of the changes in Net loss as presented above and as a result of impacts for periods prior to 2023 to opening accumulated deficit as of December 31, 2022.</w:t>
      </w:r>
    </w:p>
    <w:p>
      <w:pPr>
        <w:spacing w:after="0" w:line="157" w:lineRule="exact"/>
        <w:rPr>
          <w:sz w:val="20"/>
          <w:szCs w:val="20"/>
          <w:color w:val="auto"/>
        </w:rPr>
      </w:pPr>
    </w:p>
    <w:p>
      <w:pPr>
        <w:ind w:right="1040" w:firstLine="761"/>
        <w:spacing w:after="0" w:line="271" w:lineRule="auto"/>
        <w:rPr>
          <w:sz w:val="20"/>
          <w:szCs w:val="20"/>
          <w:color w:val="auto"/>
        </w:rPr>
      </w:pPr>
      <w:r>
        <w:rPr>
          <w:rFonts w:ascii="Arial" w:cs="Arial" w:eastAsia="Arial" w:hAnsi="Arial"/>
          <w:sz w:val="18"/>
          <w:szCs w:val="18"/>
          <w:color w:val="auto"/>
        </w:rPr>
        <w:t>There is no impact to net cash used in (provided by) operating activities; investing activities or financing activities in our Consolidated Statements of Cash Flows.</w:t>
      </w:r>
    </w:p>
    <w:p>
      <w:pPr>
        <w:sectPr>
          <w:pgSz w:w="11900" w:h="16838" w:orient="portrait"/>
          <w:cols w:equalWidth="0" w:num="1">
            <w:col w:w="11240"/>
          </w:cols>
          <w:pgMar w:left="320" w:top="768" w:right="339" w:bottom="558"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558"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198" w:lineRule="exact"/>
        <w:rPr>
          <w:sz w:val="20"/>
          <w:szCs w:val="20"/>
          <w:color w:val="auto"/>
        </w:rPr>
      </w:pPr>
    </w:p>
    <w:p>
      <w:pPr>
        <w:ind w:right="20" w:firstLine="761"/>
        <w:spacing w:after="0" w:line="257" w:lineRule="auto"/>
        <w:rPr>
          <w:sz w:val="20"/>
          <w:szCs w:val="20"/>
          <w:color w:val="auto"/>
        </w:rPr>
      </w:pPr>
      <w:r>
        <w:rPr>
          <w:rFonts w:ascii="Arial" w:cs="Arial" w:eastAsia="Arial" w:hAnsi="Arial"/>
          <w:sz w:val="17"/>
          <w:szCs w:val="17"/>
          <w:color w:val="auto"/>
        </w:rPr>
        <w:t>In April 2024, UACC sold approximately $262.5 million of rated asset-backed securities in an auto loan securitization transaction from a securitization trust, established and sponsored by UACC for proceeds of $261.3 million. The trust is collateralized by finance receivables with an aggregate principal balance of $380.1 million. These finance receivables are serviced by UACC. As a result of market conditions, which led to unfavorable pricing, the Company retained the Class E non-investment grade securities and residual interests, which will require the Company to account for the 2024-1 securitization as secured borrowings and remain on balance sheet pending the sale of such retained interests. In May 2024, UACC sold approximately $37.5 million of Class E non-investment grade securities that were initially retained for proceeds of $35.9 million. The Company continues to retain the residual interest and 5% or $15.8 million of the rated notes.</w:t>
      </w:r>
    </w:p>
    <w:p>
      <w:pPr>
        <w:spacing w:after="0" w:line="153" w:lineRule="exact"/>
        <w:rPr>
          <w:sz w:val="20"/>
          <w:szCs w:val="20"/>
          <w:color w:val="auto"/>
        </w:rPr>
      </w:pPr>
    </w:p>
    <w:p>
      <w:pPr>
        <w:ind w:firstLine="761"/>
        <w:spacing w:after="0" w:line="252" w:lineRule="auto"/>
        <w:rPr>
          <w:sz w:val="20"/>
          <w:szCs w:val="20"/>
          <w:color w:val="auto"/>
        </w:rPr>
      </w:pPr>
      <w:r>
        <w:rPr>
          <w:rFonts w:ascii="Arial" w:cs="Arial" w:eastAsia="Arial" w:hAnsi="Arial"/>
          <w:sz w:val="18"/>
          <w:szCs w:val="18"/>
          <w:color w:val="auto"/>
        </w:rPr>
        <w:t>The Company also pledged $13.8 million of its retained beneficial interests as collateral under the Risk Retention Financing Facility, and received proceeds of $13.7 million, with expected repurchase dates ranging from August 2026 to November 2029 at the initial closing date.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Reported amounts reflect the revisions discussed in Note 18 to the condensed consolidated financial statements.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2023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Maximization Plan</w:t>
      </w:r>
    </w:p>
    <w:p>
      <w:pPr>
        <w:spacing w:after="0" w:line="19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On January 22, 2024, we announced that our Board had approved the Value Maximization Plan, pursuant to which we discontinued our ecommerce operations and wound down our used vehicle dealership business in order to preserve liquidity and enable us to maximize stakeholder value through our remaining businesses. We have ceased transacting through vroom.com, completed transactions for customers who had previously contracted with us to purchase or sell a vehicle, halted purchases of additional vehicles, sold substantially all of our used vehicle inventory through wholesale channels and paid off our 2022 Vehicle Floorplan Facility. We continue to take other actions to maximize the value by seeking to monetize our legacy ecommerce platform, reduce our outstanding commitments and preserve our liquidity, and have been executing a reduction-in-force commensurate with our reduced operations. On March 29, 2024, we substantially completed the wind-down of our ecommerce operations and used vehicle dealership business</w:t>
      </w:r>
      <w:r>
        <w:rPr>
          <w:rFonts w:ascii="Arial" w:cs="Arial" w:eastAsia="Arial" w:hAnsi="Arial"/>
          <w:sz w:val="18"/>
          <w:szCs w:val="18"/>
          <w:color w:val="041022"/>
        </w:rPr>
        <w:t>, however, we may incur additional wind-down costs through the</w:t>
      </w:r>
      <w:r>
        <w:rPr>
          <w:rFonts w:ascii="Arial" w:cs="Arial" w:eastAsia="Arial" w:hAnsi="Arial"/>
          <w:sz w:val="18"/>
          <w:szCs w:val="18"/>
          <w:color w:val="auto"/>
        </w:rPr>
        <w:t xml:space="preserve"> </w:t>
      </w:r>
      <w:r>
        <w:rPr>
          <w:rFonts w:ascii="Arial" w:cs="Arial" w:eastAsia="Arial" w:hAnsi="Arial"/>
          <w:sz w:val="18"/>
          <w:szCs w:val="18"/>
          <w:color w:val="041022"/>
        </w:rPr>
        <w:t>end of 2024 (</w:t>
      </w:r>
      <w:r>
        <w:rPr>
          <w:rFonts w:ascii="Arial" w:cs="Arial" w:eastAsia="Arial" w:hAnsi="Arial"/>
          <w:sz w:val="18"/>
          <w:szCs w:val="18"/>
          <w:color w:val="000000"/>
        </w:rPr>
        <w:t>the "Ecommerce Wind-Down")</w:t>
      </w:r>
      <w:r>
        <w:rPr>
          <w:rFonts w:ascii="Arial" w:cs="Arial" w:eastAsia="Arial" w:hAnsi="Arial"/>
          <w:sz w:val="18"/>
          <w:szCs w:val="18"/>
          <w:color w:val="041022"/>
        </w:rPr>
        <w:t>.</w:t>
      </w:r>
    </w:p>
    <w:p>
      <w:pPr>
        <w:spacing w:after="0" w:line="168" w:lineRule="exact"/>
        <w:rPr>
          <w:sz w:val="20"/>
          <w:szCs w:val="20"/>
          <w:color w:val="auto"/>
        </w:rPr>
      </w:pPr>
    </w:p>
    <w:p>
      <w:pPr>
        <w:ind w:right="40" w:firstLine="761"/>
        <w:spacing w:after="0" w:line="266" w:lineRule="auto"/>
        <w:rPr>
          <w:sz w:val="20"/>
          <w:szCs w:val="20"/>
          <w:color w:val="auto"/>
        </w:rPr>
      </w:pPr>
      <w:r>
        <w:rPr>
          <w:rFonts w:ascii="Arial" w:cs="Arial" w:eastAsia="Arial" w:hAnsi="Arial"/>
          <w:sz w:val="17"/>
          <w:szCs w:val="17"/>
          <w:color w:val="auto"/>
        </w:rPr>
        <w:t>We also own and operate UACC, a leading automotive finance company that offers vehicle financing to its customers through third-party dealers under the UACC brand, and CarStory, an artificial intelligence-powered analytics and digital services platform for automotive retail. The UACC and CarStory businesses continue to serve their third-party customers, with their operations substantially unaffected by the Ecommerce Wind-Down. We will seek to grow and enhance the profitability of the UACC and CarStory businesses going forward.</w:t>
      </w:r>
    </w:p>
    <w:p>
      <w:pPr>
        <w:spacing w:after="0" w:line="145"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 xml:space="preserve">As a result of the Value Maximization Plan, we estimate that we will incur total cash charges during 2024 of approximately $16.4 million for severance and other personnel-related costs, with $14.7 million incurred during the three months ended March 31, 2024, and approximately $14.3 million in contract and lease termination costs, with $11.9 million settled during the three months ended March 31, 2024. As part of a planned reduction-in-force under the Value Maximization Plan, </w:t>
      </w:r>
      <w:r>
        <w:rPr>
          <w:rFonts w:ascii="Arial" w:cs="Arial" w:eastAsia="Arial" w:hAnsi="Arial"/>
          <w:sz w:val="18"/>
          <w:szCs w:val="18"/>
          <w:color w:val="041022"/>
        </w:rPr>
        <w:t>approximately 800 employees were impacted by the wind-down,</w:t>
      </w:r>
      <w:r>
        <w:rPr>
          <w:rFonts w:ascii="Arial" w:cs="Arial" w:eastAsia="Arial" w:hAnsi="Arial"/>
          <w:sz w:val="18"/>
          <w:szCs w:val="18"/>
          <w:color w:val="auto"/>
        </w:rPr>
        <w:t xml:space="preserve"> </w:t>
      </w:r>
      <w:r>
        <w:rPr>
          <w:rFonts w:ascii="Arial" w:cs="Arial" w:eastAsia="Arial" w:hAnsi="Arial"/>
          <w:sz w:val="18"/>
          <w:szCs w:val="18"/>
          <w:color w:val="041022"/>
        </w:rPr>
        <w:t>resulting in a reduction of approximately 93% of the employees not engaged in UACC’s or CarStory’s ongoing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2022 Vehicle Floorplan Facility</w:t>
      </w:r>
    </w:p>
    <w:p>
      <w:pPr>
        <w:spacing w:after="0" w:line="196" w:lineRule="exact"/>
        <w:rPr>
          <w:sz w:val="20"/>
          <w:szCs w:val="20"/>
          <w:color w:val="auto"/>
        </w:rPr>
      </w:pPr>
    </w:p>
    <w:p>
      <w:pPr>
        <w:ind w:right="140" w:firstLine="761"/>
        <w:spacing w:after="0" w:line="271" w:lineRule="auto"/>
        <w:rPr>
          <w:sz w:val="20"/>
          <w:szCs w:val="20"/>
          <w:color w:val="auto"/>
        </w:rPr>
      </w:pPr>
      <w:r>
        <w:rPr>
          <w:rFonts w:ascii="Arial" w:cs="Arial" w:eastAsia="Arial" w:hAnsi="Arial"/>
          <w:sz w:val="18"/>
          <w:szCs w:val="18"/>
          <w:color w:val="auto"/>
        </w:rPr>
        <w:t>As a result of the liquidation of our vehicle inventory as part of the "Ecommerce Wind-Down", we repaid the remaining outstanding balance under the 2022 Vehicle Floorplan Facility in full and the agreement has been terminated.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Notice and Reverse Stock Split</w:t>
      </w:r>
    </w:p>
    <w:p>
      <w:pPr>
        <w:spacing w:after="0" w:line="236" w:lineRule="exact"/>
        <w:rPr>
          <w:sz w:val="20"/>
          <w:szCs w:val="20"/>
          <w:color w:val="auto"/>
        </w:rPr>
      </w:pPr>
    </w:p>
    <w:p>
      <w:pPr>
        <w:ind w:right="20" w:firstLine="749"/>
        <w:spacing w:after="0" w:line="274" w:lineRule="auto"/>
        <w:rPr>
          <w:sz w:val="20"/>
          <w:szCs w:val="20"/>
          <w:color w:val="auto"/>
        </w:rPr>
      </w:pPr>
      <w:r>
        <w:rPr>
          <w:rFonts w:ascii="Arial" w:cs="Arial" w:eastAsia="Arial" w:hAnsi="Arial"/>
          <w:sz w:val="17"/>
          <w:szCs w:val="17"/>
          <w:color w:val="auto"/>
        </w:rPr>
        <w:t>On December 21, 2023, we received written notice from The Nasdaq Stock Market LLC (“Nasdaq”) notifying us that, for the last 30 consecutive business days, the bid price for our common stock had closed below the $1.00 per share minimum bid price requirement for continued inclusion on the Nasdaq Global Select Market pursuant to Nasdaq Listing Rule 5450(a)(1) (the "Minimum Bid Price Requirement").</w:t>
      </w:r>
    </w:p>
    <w:p>
      <w:pPr>
        <w:spacing w:after="0" w:line="140" w:lineRule="exact"/>
        <w:rPr>
          <w:sz w:val="20"/>
          <w:szCs w:val="20"/>
          <w:color w:val="auto"/>
        </w:rPr>
      </w:pPr>
    </w:p>
    <w:p>
      <w:pPr>
        <w:jc w:val="both"/>
        <w:ind w:right="160" w:firstLine="749"/>
        <w:spacing w:after="0" w:line="246" w:lineRule="auto"/>
        <w:rPr>
          <w:sz w:val="20"/>
          <w:szCs w:val="20"/>
          <w:color w:val="auto"/>
        </w:rPr>
      </w:pPr>
      <w:r>
        <w:rPr>
          <w:rFonts w:ascii="Arial" w:cs="Arial" w:eastAsia="Arial" w:hAnsi="Arial"/>
          <w:sz w:val="18"/>
          <w:szCs w:val="18"/>
          <w:color w:val="auto"/>
        </w:rPr>
        <w:t>On February 13, 2024, after obtaining stockholder approval, we effected a 1-for-80 reverse stock split (the "Reverse Stock Split"), and our stock began trading on a split-adjusted basis on February 14, 2024. On February 29, 2024, we were notified by the Nasdaq Listing Qualifications staff that the closing bid price of our common stock had been at $1.00 per share or greater for 11 consecutive business days, from February 14, 2024 to February 28, 2024.</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Accordingly, the Company has regained compliance with Nasdaq Listing Rule 5450(a)(1) and this matter is now closed. If our common stock again closes below the $1.00 per share minimum bid price required by Nasdaq for 30 consecutive business days, we would again receive another notice of non-compliance with Nasdaq's listing standards and face the risk of delisting.</w:t>
      </w:r>
    </w:p>
    <w:p>
      <w:pPr>
        <w:spacing w:after="0" w:line="157"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All shares of the Company’s common stock, stock-based instruments, and per-share data included in this Quarterly Report on Form 10-Q have been retroactively adjusted as though the Reverse Stock Split had been effected prior to all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2024-1 Securitization Transaction</w:t>
      </w:r>
    </w:p>
    <w:p>
      <w:pPr>
        <w:spacing w:after="0" w:line="196" w:lineRule="exact"/>
        <w:rPr>
          <w:sz w:val="20"/>
          <w:szCs w:val="20"/>
          <w:color w:val="auto"/>
        </w:rPr>
      </w:pPr>
    </w:p>
    <w:p>
      <w:pPr>
        <w:ind w:right="300" w:firstLine="761"/>
        <w:spacing w:after="0"/>
        <w:rPr>
          <w:sz w:val="20"/>
          <w:szCs w:val="20"/>
          <w:color w:val="auto"/>
        </w:rPr>
      </w:pPr>
      <w:r>
        <w:rPr>
          <w:rFonts w:ascii="Arial" w:cs="Arial" w:eastAsia="Arial" w:hAnsi="Arial"/>
          <w:sz w:val="18"/>
          <w:szCs w:val="18"/>
          <w:color w:val="auto"/>
        </w:rPr>
        <w:t>In April 2024, UACC sold approximately $262.5 million of rated asset-backed securities in an auto loan securitization transaction from a securitization trust, established and sponsored by UACC for proceeds of $261.3 million. The trust is collateralized by finance receivables with an aggregate principal balance of $380.1 million. These finance receivables are serviced by UACC. As a result of market conditions, which led to unfavorable pricing, UACC retained the Class E non-investment grade securities and residual interests, which will require us to account for the 2024-1 securitization as secured borrowings and remain on balance sheet pending the sale of such retained interests. In May 2024, UACC sold approximately $37.5 million of Class E non-investment grade securities that were initially retained for proceeds of $35.9 million. UACC continues to retain the residual interest and 5% or $15.8 million of the rated notes.</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ind w:right="460" w:firstLine="761"/>
        <w:spacing w:after="0" w:line="252" w:lineRule="auto"/>
        <w:rPr>
          <w:sz w:val="20"/>
          <w:szCs w:val="20"/>
          <w:color w:val="auto"/>
        </w:rPr>
      </w:pPr>
      <w:r>
        <w:rPr>
          <w:rFonts w:ascii="Arial" w:cs="Arial" w:eastAsia="Arial" w:hAnsi="Arial"/>
          <w:sz w:val="18"/>
          <w:szCs w:val="18"/>
          <w:color w:val="auto"/>
        </w:rPr>
        <w:t>Vroom owns United Auto Credit Corporation, a leading automotive finance company that offers vehicle financing to consumers through third-party dealers under the UACC brand, and the CarStory business, a leader in AI-powered analytics and digital services for automotive retail.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UACC</w:t>
      </w:r>
    </w:p>
    <w:p>
      <w:pPr>
        <w:spacing w:after="0" w:line="198" w:lineRule="exact"/>
        <w:rPr>
          <w:sz w:val="20"/>
          <w:szCs w:val="20"/>
          <w:color w:val="auto"/>
        </w:rPr>
      </w:pPr>
    </w:p>
    <w:p>
      <w:pPr>
        <w:jc w:val="both"/>
        <w:ind w:right="80" w:firstLine="761"/>
        <w:spacing w:after="0" w:line="252" w:lineRule="auto"/>
        <w:rPr>
          <w:sz w:val="20"/>
          <w:szCs w:val="20"/>
          <w:color w:val="auto"/>
        </w:rPr>
      </w:pPr>
      <w:r>
        <w:rPr>
          <w:rFonts w:ascii="Arial" w:cs="Arial" w:eastAsia="Arial" w:hAnsi="Arial"/>
          <w:sz w:val="18"/>
          <w:szCs w:val="18"/>
          <w:color w:val="auto"/>
        </w:rPr>
        <w:t>UACC, which Vroom acquired in February 2022, is an indirect lender that offers vehicle financing to consumers through third-party dealers under the UACC brand, focusing primarily on the non-prime market. Prior to the Ecommerce Wind-Down, UACC also offered vehicle financing to Vroom’s customers through its ecommerce platform.</w:t>
      </w:r>
    </w:p>
    <w:p>
      <w:pPr>
        <w:spacing w:after="0" w:line="157"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UACC, which has been engaged in automotive finance since 1996, currently offers financing services to a nationwide network of thousands of independent motor vehicle dealers and manufacturer-franchised dealers in 49 states, and we seek to expand that network over time. UACC enables these dealers to finance their customers' purchases of new and used automobiles, medium and light duty trucks and vans with competitive financing terms. The credit programs offered by UACC are primarily designed to serve consumers who have limited access to traditional motor vehicle financing.</w:t>
      </w:r>
    </w:p>
    <w:p>
      <w:pPr>
        <w:spacing w:after="0" w:line="166"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March 31, 2024, UACC serviced a portfolio of approximately 82,000 retail installment sales contracts with an aggregate principal outstanding balance of $1.1 billion.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CarStory</w:t>
      </w:r>
    </w:p>
    <w:p>
      <w:pPr>
        <w:spacing w:after="0" w:line="198" w:lineRule="exact"/>
        <w:rPr>
          <w:sz w:val="20"/>
          <w:szCs w:val="20"/>
          <w:color w:val="auto"/>
        </w:rPr>
      </w:pPr>
    </w:p>
    <w:p>
      <w:pPr>
        <w:ind w:right="120" w:firstLine="761"/>
        <w:spacing w:after="0" w:line="252" w:lineRule="auto"/>
        <w:rPr>
          <w:sz w:val="20"/>
          <w:szCs w:val="20"/>
          <w:color w:val="auto"/>
        </w:rPr>
      </w:pPr>
      <w:r>
        <w:rPr>
          <w:rFonts w:ascii="Arial" w:cs="Arial" w:eastAsia="Arial" w:hAnsi="Arial"/>
          <w:sz w:val="18"/>
          <w:szCs w:val="18"/>
          <w:color w:val="auto"/>
        </w:rPr>
        <w:t>CarStory is a leader in AI-powered analytics and digital services for automotive retail. CarStory offers its digital retailing services to dealers, automotive financial services companies and others in the automotive industry, which use CarStory’s solutions to enhance their customer experience and drive increased vehicle purchases.</w:t>
      </w:r>
    </w:p>
    <w:p>
      <w:pPr>
        <w:spacing w:after="0" w:line="157"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CarStory drives automotive retail innovation by aggregating, optimizing and distributing data from thousands of automotive sources. CarStory tracks over three and a half million unique vehicle identification numbers ("VINs") listed for sale every day. This data is aggregated with demand insights from millions of consumer sessions and VIN data from CarStory's proprietary VIN database to generate accurate price and sales predictions. CarStory helps dealers optimize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their pricing by leveraging data science models for retail pricing that provide predictive pricing for marketing, buying, selling and VIN-level features.</w:t>
      </w:r>
    </w:p>
    <w:p>
      <w:pPr>
        <w:spacing w:after="0" w:line="139"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In addition to its data analytics and digital services, CarStory powers white labeled storefronts for automotive marketplaces and finance companies. In developing its white label capabilities, CarStory also has developed a variety of consumer-focused functions designed to enhance the customer experience and drive conversion. CarStory's data and data science assets create significant opportunity for automotive AI product development, with over 200 million VINs, over three billion photos and price and price elasticity models.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ind w:right="60" w:firstLine="764"/>
        <w:spacing w:after="0"/>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and Adjusted EBITDA.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69" w:lineRule="exact"/>
        <w:rPr>
          <w:sz w:val="20"/>
          <w:szCs w:val="20"/>
          <w:color w:val="auto"/>
        </w:rPr>
      </w:pPr>
    </w:p>
    <w:p>
      <w:pPr>
        <w:jc w:val="both"/>
        <w:ind w:right="560" w:firstLine="764"/>
        <w:spacing w:after="0" w:line="252" w:lineRule="auto"/>
        <w:rPr>
          <w:sz w:val="20"/>
          <w:szCs w:val="20"/>
          <w:color w:val="auto"/>
        </w:rPr>
      </w:pPr>
      <w:r>
        <w:rPr>
          <w:rFonts w:ascii="Arial" w:cs="Arial" w:eastAsia="Arial" w:hAnsi="Arial"/>
          <w:sz w:val="18"/>
          <w:szCs w:val="18"/>
          <w:color w:val="auto"/>
        </w:rPr>
        <w:t>EBITDA and Adjusted EBITDA are supplemental performance measures that our management uses to assess our operating performance and the operating leverage in our business. Because EBITDA and Adjusted EBITDA facilitate internal comparisons of our historical operating performance on a more consistent basis, we use these measures for business planning purposes.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96" w:lineRule="exact"/>
        <w:rPr>
          <w:sz w:val="20"/>
          <w:szCs w:val="20"/>
          <w:color w:val="auto"/>
        </w:rPr>
      </w:pPr>
    </w:p>
    <w:p>
      <w:pPr>
        <w:ind w:right="40" w:firstLine="764"/>
        <w:spacing w:after="0" w:line="271" w:lineRule="auto"/>
        <w:rPr>
          <w:sz w:val="20"/>
          <w:szCs w:val="20"/>
          <w:color w:val="auto"/>
        </w:rPr>
      </w:pPr>
      <w:r>
        <w:rPr>
          <w:rFonts w:ascii="Arial" w:cs="Arial" w:eastAsia="Arial" w:hAnsi="Arial"/>
          <w:sz w:val="18"/>
          <w:szCs w:val="18"/>
          <w:color w:val="auto"/>
        </w:rPr>
        <w:t>We calculate EBITDA as net loss before interest expense on corporate debt, interest income on cash and cash equivalents, income tax expense and depreciation and amortization expense.</w:t>
      </w:r>
    </w:p>
    <w:p>
      <w:pPr>
        <w:spacing w:after="0" w:line="139" w:lineRule="exact"/>
        <w:rPr>
          <w:sz w:val="20"/>
          <w:szCs w:val="20"/>
          <w:color w:val="auto"/>
        </w:rPr>
      </w:pPr>
    </w:p>
    <w:p>
      <w:pPr>
        <w:ind w:right="400" w:firstLine="764"/>
        <w:spacing w:after="0" w:line="271" w:lineRule="auto"/>
        <w:rPr>
          <w:sz w:val="20"/>
          <w:szCs w:val="20"/>
          <w:color w:val="auto"/>
        </w:rPr>
      </w:pPr>
      <w:r>
        <w:rPr>
          <w:rFonts w:ascii="Arial" w:cs="Arial" w:eastAsia="Arial" w:hAnsi="Arial"/>
          <w:sz w:val="18"/>
          <w:szCs w:val="18"/>
          <w:color w:val="auto"/>
        </w:rPr>
        <w:t>We calculate Adjusted EBITDA as EBITDA adjusted to exclude stock compensation expense, gain on debt extinguishment and long-lived asset impairment charges.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presents a reconciliation of EBITDA and Adjusted EBITDA to net loss, which is the most directly comparable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U.S. GAAP measure:</w:t>
      </w:r>
    </w:p>
    <w:p>
      <w:pPr>
        <w:spacing w:after="0" w:line="20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182"/>
        </w:trPr>
        <w:tc>
          <w:tcPr>
            <w:tcW w:w="46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from continuing operations</w:t>
            </w:r>
          </w:p>
        </w:tc>
        <w:tc>
          <w:tcPr>
            <w:tcW w:w="4080" w:type="dxa"/>
            <w:vAlign w:val="bottom"/>
            <w:gridSpan w:val="2"/>
            <w:shd w:val="clear" w:color="auto" w:fill="CFF0FC"/>
          </w:tcPr>
          <w:p>
            <w:pPr>
              <w:jc w:val="right"/>
              <w:ind w:right="73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w w:val="94"/>
              </w:rPr>
              <w:t>(44,676 )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(15,469 )</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on corporate debt</w:t>
            </w:r>
          </w:p>
        </w:tc>
        <w:tc>
          <w:tcPr>
            <w:tcW w:w="3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income on cash and cash equivalents</w:t>
            </w:r>
          </w:p>
        </w:tc>
        <w:tc>
          <w:tcPr>
            <w:tcW w:w="3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(1,005 )</w:t>
            </w:r>
          </w:p>
        </w:tc>
        <w:tc>
          <w:tcPr>
            <w:tcW w:w="4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(2,425 )</w:t>
            </w: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1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19"/>
                <w:szCs w:val="19"/>
                <w:color w:val="auto"/>
              </w:rPr>
            </w:pPr>
          </w:p>
        </w:tc>
      </w:tr>
      <w:tr>
        <w:trPr>
          <w:trHeight w:val="26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4080" w:type="dxa"/>
            <w:vAlign w:val="bottom"/>
            <w:gridSpan w:val="2"/>
            <w:shd w:val="clear" w:color="auto" w:fill="CFF0FC"/>
          </w:tcPr>
          <w:p>
            <w:pPr>
              <w:jc w:val="right"/>
              <w:ind w:right="73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w w:val="94"/>
              </w:rPr>
              <w:t>(36,228 )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(9,268 )</w:t>
            </w:r>
          </w:p>
        </w:tc>
      </w:tr>
      <w:tr>
        <w:trPr>
          <w:trHeight w:val="210"/>
        </w:trPr>
        <w:tc>
          <w:tcPr>
            <w:tcW w:w="4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Stock compensation expense</w:t>
            </w:r>
          </w:p>
        </w:tc>
        <w:tc>
          <w:tcPr>
            <w:tcW w:w="31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top w:val="single" w:sz="8" w:color="CFF0FC"/>
            </w:tcBorders>
          </w:tcPr>
          <w:p>
            <w:pPr>
              <w:spacing w:after="0"/>
              <w:rPr>
                <w:sz w:val="18"/>
                <w:szCs w:val="18"/>
                <w:color w:val="auto"/>
              </w:rPr>
            </w:pPr>
          </w:p>
        </w:tc>
      </w:tr>
      <w:tr>
        <w:trPr>
          <w:trHeight w:val="22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3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(8,709 )</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3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63"/>
        </w:trPr>
        <w:tc>
          <w:tcPr>
            <w:tcW w:w="46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140" w:type="dxa"/>
            <w:vAlign w:val="bottom"/>
            <w:tcBorders>
              <w:top w:val="single" w:sz="8" w:color="CFF0FC"/>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(32,152</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18"/>
        </w:trPr>
        <w:tc>
          <w:tcPr>
            <w:tcW w:w="4600" w:type="dxa"/>
            <w:vAlign w:val="bottom"/>
          </w:tcPr>
          <w:p>
            <w:pPr>
              <w:spacing w:after="0"/>
              <w:rPr>
                <w:sz w:val="24"/>
                <w:szCs w:val="24"/>
                <w:color w:val="auto"/>
              </w:rPr>
            </w:pPr>
          </w:p>
        </w:tc>
        <w:tc>
          <w:tcPr>
            <w:tcW w:w="3140" w:type="dxa"/>
            <w:vAlign w:val="bottom"/>
          </w:tcPr>
          <w:p>
            <w:pPr>
              <w:jc w:val="right"/>
              <w:ind w:right="1930"/>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-1532255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-1515110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-1532255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-1515110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-915670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-898525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-1069975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Factors and Trends Affecting our Operating Results</w:t>
      </w:r>
    </w:p>
    <w:p>
      <w:pPr>
        <w:spacing w:after="0" w:line="198" w:lineRule="exact"/>
        <w:rPr>
          <w:sz w:val="20"/>
          <w:szCs w:val="20"/>
          <w:color w:val="auto"/>
        </w:rPr>
      </w:pPr>
    </w:p>
    <w:p>
      <w:pPr>
        <w:ind w:right="380" w:firstLine="761"/>
        <w:spacing w:after="0" w:line="271"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manage credit losses and enhance profitability at UACC</w:t>
      </w:r>
    </w:p>
    <w:p>
      <w:pPr>
        <w:spacing w:after="0" w:line="19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and higher losses on its finance receivables, which has negatively impacted the fair value of our finance receivables and the losses recognized for the three months ended March 31, 2024 and are expected to continue to negatively impact our business for the remainder of 2024.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our credit program, such as tightening credit, which is starting to return our delinquencies and expected portfolio performance on those vintages to normalized levels.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to access capital</w:t>
      </w:r>
    </w:p>
    <w:p>
      <w:pPr>
        <w:spacing w:after="0" w:line="196" w:lineRule="exact"/>
        <w:rPr>
          <w:sz w:val="20"/>
          <w:szCs w:val="20"/>
          <w:color w:val="auto"/>
        </w:rPr>
      </w:pPr>
    </w:p>
    <w:p>
      <w:pPr>
        <w:ind w:firstLine="761"/>
        <w:spacing w:after="0" w:line="274" w:lineRule="auto"/>
        <w:rPr>
          <w:sz w:val="20"/>
          <w:szCs w:val="20"/>
          <w:color w:val="auto"/>
        </w:rPr>
      </w:pPr>
      <w:r>
        <w:rPr>
          <w:rFonts w:ascii="Arial" w:cs="Arial" w:eastAsia="Arial" w:hAnsi="Arial"/>
          <w:sz w:val="17"/>
          <w:szCs w:val="17"/>
          <w:color w:val="auto"/>
        </w:rPr>
        <w:t>UACC has four senior secured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w:t>
      </w:r>
    </w:p>
    <w:p>
      <w:pPr>
        <w:spacing w:after="0" w:line="140" w:lineRule="exact"/>
        <w:rPr>
          <w:sz w:val="20"/>
          <w:szCs w:val="20"/>
          <w:color w:val="auto"/>
        </w:rPr>
      </w:pPr>
    </w:p>
    <w:p>
      <w:pPr>
        <w:ind w:right="240" w:firstLine="761"/>
        <w:spacing w:after="0" w:line="243" w:lineRule="auto"/>
        <w:rPr>
          <w:sz w:val="20"/>
          <w:szCs w:val="20"/>
          <w:color w:val="auto"/>
        </w:rPr>
      </w:pPr>
      <w:r>
        <w:rPr>
          <w:rFonts w:ascii="Arial" w:cs="Arial" w:eastAsia="Arial" w:hAnsi="Arial"/>
          <w:sz w:val="18"/>
          <w:szCs w:val="18"/>
          <w:color w:val="auto"/>
        </w:rPr>
        <w:t>The success of UACC's business is highly dependent on the ability to continue to access capital through both its warehousing arrangements and securitization program. As a result of high interest rates, the current inflationary environment and vehicle depreciation in the used automotive industry, UACC is experiencing higher loss severity.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spacing w:after="0" w:line="166" w:lineRule="exact"/>
        <w:rPr>
          <w:sz w:val="20"/>
          <w:szCs w:val="20"/>
          <w:color w:val="auto"/>
        </w:rPr>
      </w:pPr>
    </w:p>
    <w:p>
      <w:pPr>
        <w:ind w:right="60" w:firstLine="811"/>
        <w:spacing w:after="0" w:line="274" w:lineRule="auto"/>
        <w:rPr>
          <w:sz w:val="20"/>
          <w:szCs w:val="20"/>
          <w:color w:val="auto"/>
        </w:rPr>
      </w:pPr>
      <w:r>
        <w:rPr>
          <w:rFonts w:ascii="Arial" w:cs="Arial" w:eastAsia="Arial" w:hAnsi="Arial"/>
          <w:sz w:val="17"/>
          <w:szCs w:val="17"/>
          <w:color w:val="auto"/>
        </w:rPr>
        <w:t>In addition, due to UACC's increased credit losses, UACC may not be able to securitize its loan portfolio on favorable terms, or may not be able to sell the subordinate notes or residual certificates issued in its securitizations at a favorable price or at all. As a result of market conditions at the time, which led to unfavorable pricing, UACC retained the residual interests for the 2023-1 securitization transaction.</w:t>
      </w:r>
    </w:p>
    <w:p>
      <w:pPr>
        <w:spacing w:after="0" w:line="140" w:lineRule="exact"/>
        <w:rPr>
          <w:sz w:val="20"/>
          <w:szCs w:val="20"/>
          <w:color w:val="auto"/>
        </w:rPr>
      </w:pPr>
    </w:p>
    <w:p>
      <w:pPr>
        <w:ind w:right="300" w:firstLine="761"/>
        <w:spacing w:after="0" w:line="246" w:lineRule="auto"/>
        <w:rPr>
          <w:sz w:val="20"/>
          <w:szCs w:val="20"/>
          <w:color w:val="auto"/>
        </w:rPr>
      </w:pPr>
      <w:r>
        <w:rPr>
          <w:rFonts w:ascii="Arial" w:cs="Arial" w:eastAsia="Arial" w:hAnsi="Arial"/>
          <w:sz w:val="18"/>
          <w:szCs w:val="18"/>
          <w:color w:val="auto"/>
        </w:rPr>
        <w:t>In addition,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resulted in reduced servicing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our dealer network to increase vehicle finance offerings and expand the size of our serviced loan portfolio</w:t>
      </w:r>
    </w:p>
    <w:p>
      <w:pPr>
        <w:spacing w:after="0" w:line="196"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We intend to moderately grow our automotive financing business while focusing on enhancing profitability. UACC will continue to provide financing services to its existing dealer network and will seek to expand its network over time. UACC provides funding that allows independent motor vehicle dealers and manufacturer-franchised dealers to finance new and used vehicles. Currently, UACC serves a nationwide network of thousands of dealers in 49 states. UACC's credit programs are primarily designed to serve consumers in the non-prime market, who have limited access to traditional vehicle financing, although UACC intends to expand its offerings across a broader range of the credit spectrum going forward.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60" w:firstLine="761"/>
        <w:spacing w:after="0" w:line="243" w:lineRule="auto"/>
        <w:rPr>
          <w:sz w:val="20"/>
          <w:szCs w:val="20"/>
          <w:color w:val="auto"/>
        </w:rPr>
      </w:pPr>
      <w:r>
        <w:rPr>
          <w:rFonts w:ascii="Arial" w:cs="Arial" w:eastAsia="Arial" w:hAnsi="Arial"/>
          <w:sz w:val="18"/>
          <w:szCs w:val="18"/>
          <w:color w:val="auto"/>
        </w:rPr>
        <w:t>During the three months ended March 31, 2024, UACC originated $128.7 million in finance receivables and maintained its serviced loan portfolio at $1.1 billion. As of March 31, 2024, retail installment sale contracts originated from Vroom customers or purchased from Vroom represented approximately 28% of UACC's total serviced loan portfolio. If UACC is unable to replace the volume of retail installment sale contracts it previously received from the Vroom ecommerce business, our business, financial condition, and results of operations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 —We may experience seasonal and other fluctuations in our quarterly results of operations, which may not fully reflect the underlying performance of our business” in our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19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Both the United States and global economies are experiencing a sustained inflationary environment and the Federal Reserve’s efforts to tame inflation have led to increased interest rates, which affects automotive finance rates and our borrowing rates, reducing discretionary spending and making vehicle financing more costly and less accessible to many consumers. In December 2023, the Federal Reserve announced that it expects to cut interest rates in 2024; however, based on the April 2024 meeting, they announced they are holding the rates steady until inflation retreats. It is too soon to know when and to what degree rates may be cut and the impact it may have on the economy. Moreover, geopolitical conflicts and war, including those in Europe and the Middle East, have increased global economic and political uncertainty, which has caused dramatic fluctuations in global financial markets. A significant escalation or expansion of economic disruption could continue to impact consumer spending, broaden inflationary costs, and could have a material adverse effect on our results of operations. We will continue to actively monitor and develop responses to these disruptions, but depending on duration and severity, these trends could continue to negatively impact our business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60" w:type="dxa"/>
            <w:vAlign w:val="bottom"/>
            <w:gridSpan w:val="5"/>
          </w:tcPr>
          <w:p>
            <w:pPr>
              <w:ind w:left="760"/>
              <w:spacing w:after="0"/>
              <w:rPr>
                <w:sz w:val="20"/>
                <w:szCs w:val="20"/>
                <w:color w:val="auto"/>
              </w:rPr>
            </w:pPr>
            <w:r>
              <w:rPr>
                <w:rFonts w:ascii="Arial" w:cs="Arial" w:eastAsia="Arial" w:hAnsi="Arial"/>
                <w:sz w:val="18"/>
                <w:szCs w:val="18"/>
                <w:color w:val="auto"/>
                <w:w w:val="99"/>
              </w:rPr>
              <w:t>The following table presents our consolidated results of operations for the periods indicated:</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3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51,077</w:t>
            </w:r>
          </w:p>
        </w:tc>
        <w:tc>
          <w:tcPr>
            <w:tcW w:w="3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34,368</w:t>
            </w:r>
          </w:p>
        </w:tc>
        <w:tc>
          <w:tcPr>
            <w:tcW w:w="2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16,709</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48.6 %</w:t>
            </w: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120"/>
              <w:spacing w:after="0"/>
              <w:rPr>
                <w:sz w:val="20"/>
                <w:szCs w:val="20"/>
                <w:color w:val="auto"/>
              </w:rPr>
            </w:pPr>
            <w:r>
              <w:rPr>
                <w:rFonts w:ascii="Arial" w:cs="Arial" w:eastAsia="Arial" w:hAnsi="Arial"/>
                <w:sz w:val="16"/>
                <w:szCs w:val="16"/>
                <w:color w:val="auto"/>
              </w:rPr>
              <w:t>Warehouse credit facility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9,471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6,372</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205.6 %</w:t>
            </w: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Securitization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4,869</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524</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14,340</w:t>
            </w:r>
          </w:p>
        </w:tc>
        <w:tc>
          <w:tcPr>
            <w:tcW w:w="32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7,444</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36,737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9,812</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36.4 %</w:t>
            </w:r>
          </w:p>
        </w:tc>
        <w:tc>
          <w:tcPr>
            <w:tcW w:w="0" w:type="dxa"/>
            <w:vAlign w:val="bottom"/>
          </w:tcPr>
          <w:p>
            <w:pPr>
              <w:spacing w:after="0"/>
              <w:rPr>
                <w:sz w:val="1"/>
                <w:szCs w:val="1"/>
                <w:color w:val="auto"/>
              </w:rPr>
            </w:pPr>
          </w:p>
        </w:tc>
      </w:tr>
      <w:tr>
        <w:trPr>
          <w:trHeight w:val="431"/>
        </w:trPr>
        <w:tc>
          <w:tcPr>
            <w:tcW w:w="5820" w:type="dxa"/>
            <w:vAlign w:val="bottom"/>
          </w:tcPr>
          <w:p>
            <w:pPr>
              <w:ind w:left="120"/>
              <w:spacing w:after="0"/>
              <w:rPr>
                <w:sz w:val="20"/>
                <w:szCs w:val="20"/>
                <w:color w:val="auto"/>
              </w:rPr>
            </w:pPr>
            <w:r>
              <w:rPr>
                <w:rFonts w:ascii="Arial" w:cs="Arial" w:eastAsia="Arial" w:hAnsi="Arial"/>
                <w:sz w:val="16"/>
                <w:szCs w:val="16"/>
                <w:color w:val="auto"/>
              </w:rPr>
              <w:t>Realized and unrealized losses, net of recoveries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30,819</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15,728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15,091</w:t>
            </w:r>
          </w:p>
        </w:tc>
        <w:tc>
          <w:tcPr>
            <w:tcW w:w="22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95.9 %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Net interest income after losses and recoveries</w:t>
            </w: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5,918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(5,279 )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(47.1 )%</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6"/>
                <w:szCs w:val="16"/>
                <w:color w:val="auto"/>
              </w:rPr>
              <w:t>Noninterest (loss) income: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Servicing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(835 )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(29.3 )%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Warranties and GAP income, net</w:t>
            </w: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(9,642 )</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(12,477 )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(440.1 )%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CarStory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2,979</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(191 )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Gain on debt extinguishment</w:t>
            </w:r>
          </w:p>
        </w:tc>
        <w:tc>
          <w:tcPr>
            <w:tcW w:w="3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(8,709 )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(248 )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Total noninterest (loss) income</w:t>
            </w: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(1,860 )</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(22,460 )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(109.0 )%</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Compensation and benefits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24,110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889</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Professional fees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3,343</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(1,630 )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(32.8 )%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Software and IT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4,622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(624 )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7,626</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Interest expense on corporate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2,752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2,752</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Other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4,454</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(745 )</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Total expenses</w:t>
            </w: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48,298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47,211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1,087</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20" w:type="dxa"/>
            <w:vAlign w:val="bottom"/>
          </w:tcPr>
          <w:p>
            <w:pPr>
              <w:ind w:left="20"/>
              <w:spacing w:after="0"/>
              <w:rPr>
                <w:sz w:val="20"/>
                <w:szCs w:val="20"/>
                <w:color w:val="auto"/>
              </w:rPr>
            </w:pPr>
            <w:r>
              <w:rPr>
                <w:rFonts w:ascii="Arial" w:cs="Arial" w:eastAsia="Arial" w:hAnsi="Arial"/>
                <w:sz w:val="16"/>
                <w:szCs w:val="16"/>
                <w:color w:val="auto"/>
              </w:rPr>
              <w:t>Loss from continuing operations before provision for income taxes</w:t>
            </w: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(44,240 )</w:t>
            </w:r>
          </w:p>
        </w:tc>
        <w:tc>
          <w:tcPr>
            <w:tcW w:w="5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(15,415 )</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(28,825 )</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187.0 %</w:t>
            </w: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income taxes from continuing operations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436</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382</w:t>
            </w: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707.4 %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Net loss from continuing operations</w:t>
            </w: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(44,676 )</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(15,469 )</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(29,207 )</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188.8 %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Net loss from discontinued operations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(22,941 )</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(59,272 )</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36,331</w:t>
            </w:r>
          </w:p>
        </w:tc>
        <w:tc>
          <w:tcPr>
            <w:tcW w:w="22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61.3 %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(67,617 )</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(74,741 )</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7,124</w:t>
            </w:r>
          </w:p>
        </w:tc>
        <w:tc>
          <w:tcPr>
            <w:tcW w:w="220" w:type="dxa"/>
            <w:vAlign w:val="bottom"/>
          </w:tcPr>
          <w:p>
            <w:pPr>
              <w:spacing w:after="0"/>
              <w:rPr>
                <w:sz w:val="17"/>
                <w:szCs w:val="17"/>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-4803140</wp:posOffset>
            </wp:positionV>
            <wp:extent cx="7132320"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-3124835</wp:posOffset>
            </wp:positionV>
            <wp:extent cx="7132320" cy="1371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-2850515</wp:posOffset>
            </wp:positionV>
            <wp:extent cx="713232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-2019935</wp:posOffset>
            </wp:positionV>
            <wp:extent cx="7132320"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-1471930</wp:posOffset>
            </wp:positionV>
            <wp:extent cx="7132320" cy="1371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-4255135</wp:posOffset>
            </wp:positionV>
            <wp:extent cx="7145020" cy="4279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50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-3689985</wp:posOffset>
            </wp:positionV>
            <wp:extent cx="7132320" cy="1454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-2576830</wp:posOffset>
            </wp:positionV>
            <wp:extent cx="7132320" cy="1454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454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625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1020" w:right="180" w:hanging="249"/>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UACC</w:t>
      </w:r>
      <w:r>
        <w:rPr>
          <w:rFonts w:ascii="Arial" w:cs="Arial" w:eastAsia="Arial" w:hAnsi="Arial"/>
          <w:sz w:val="18"/>
          <w:szCs w:val="18"/>
          <w:color w:val="auto"/>
        </w:rPr>
        <w:t>: The UACC reportable segment represents UACC’s operations with its network of third-party dealership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purchases and servicing of vehicle retail installment sales contracts. The segment also includes the runoff portfolio of retail installment sale contracts originated for Vroom or purchased from Vroom prior to the Ecommerce Wind-Down.</w:t>
      </w:r>
    </w:p>
    <w:p>
      <w:pPr>
        <w:spacing w:after="0" w:line="156" w:lineRule="exact"/>
        <w:rPr>
          <w:rFonts w:ascii="Times New Roman" w:cs="Times New Roman" w:eastAsia="Times New Roman" w:hAnsi="Times New Roman"/>
          <w:sz w:val="18"/>
          <w:szCs w:val="18"/>
          <w:color w:val="auto"/>
        </w:rPr>
      </w:pPr>
    </w:p>
    <w:p>
      <w:pPr>
        <w:ind w:left="1020" w:right="100" w:hanging="249"/>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CarStory</w:t>
      </w:r>
      <w:r>
        <w:rPr>
          <w:rFonts w:ascii="Arial" w:cs="Arial" w:eastAsia="Arial" w:hAnsi="Arial"/>
          <w:sz w:val="18"/>
          <w:szCs w:val="18"/>
          <w:color w:val="auto"/>
        </w:rPr>
        <w:t>: The CarStory reportable segment represents sales of AI-powered analytics and digital services to automotive dealers,</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financial services companies and others in the automotive industry.</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retrospectively restated segment results for the comparative period to conform to the new presentation.</w:t>
      </w: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2024 and 2023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UACC</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7"/>
                <w:szCs w:val="17"/>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40" w:type="dxa"/>
            <w:vAlign w:val="bottom"/>
            <w:gridSpan w:val="5"/>
          </w:tcPr>
          <w:p>
            <w:pPr>
              <w:jc w:val="center"/>
              <w:ind w:right="620"/>
              <w:spacing w:after="0" w:line="159" w:lineRule="exact"/>
              <w:rPr>
                <w:sz w:val="20"/>
                <w:szCs w:val="20"/>
                <w:color w:val="auto"/>
              </w:rPr>
            </w:pPr>
            <w:r>
              <w:rPr>
                <w:rFonts w:ascii="Arial" w:cs="Arial" w:eastAsia="Arial" w:hAnsi="Arial"/>
                <w:sz w:val="14"/>
                <w:szCs w:val="14"/>
                <w:b w:val="1"/>
                <w:bCs w:val="1"/>
                <w:color w:val="auto"/>
              </w:rPr>
              <w:t>(in thousands, except unit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data and average days to sale)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51,541</w:t>
            </w:r>
          </w:p>
        </w:tc>
        <w:tc>
          <w:tcPr>
            <w:tcW w:w="3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35,299</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16,242</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46.0 %</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Warehouse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6,372</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205.6 %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Securitization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14,340</w:t>
            </w:r>
          </w:p>
        </w:tc>
        <w:tc>
          <w:tcPr>
            <w:tcW w:w="3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7,444</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6,896</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interest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37,201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27,855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9,346</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458"/>
        </w:trPr>
        <w:tc>
          <w:tcPr>
            <w:tcW w:w="5380" w:type="dxa"/>
            <w:vAlign w:val="bottom"/>
          </w:tcPr>
          <w:p>
            <w:pPr>
              <w:ind w:left="140"/>
              <w:spacing w:after="0"/>
              <w:rPr>
                <w:sz w:val="20"/>
                <w:szCs w:val="20"/>
                <w:color w:val="auto"/>
              </w:rPr>
            </w:pPr>
            <w:r>
              <w:rPr>
                <w:rFonts w:ascii="Arial" w:cs="Arial" w:eastAsia="Arial" w:hAnsi="Arial"/>
                <w:sz w:val="18"/>
                <w:szCs w:val="18"/>
                <w:color w:val="auto"/>
              </w:rPr>
              <w:t>Realized and unrealized losses, net of recoveries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27,761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15,489</w:t>
            </w:r>
          </w:p>
        </w:tc>
        <w:tc>
          <w:tcPr>
            <w:tcW w:w="260" w:type="dxa"/>
            <w:vAlign w:val="bottom"/>
          </w:tcPr>
          <w:p>
            <w:pPr>
              <w:spacing w:after="0"/>
              <w:rPr>
                <w:sz w:val="24"/>
                <w:szCs w:val="2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126.2 %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Net interest income after losses and recoveries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15,582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(6,143 )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Noninterest 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Servicing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(835 )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Warranties and GAP income,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134.3 %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Total noninterest income</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18,788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18,537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(1,664 )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(65.5 )%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Software and IT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6,021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Interest expense on corporate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139.1 %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2,752</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34,529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32,026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2,503</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(10,147 )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(4,467 )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(5,680 )</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127.1 %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Interest income on 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(568 )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(448 )</w:t>
            </w: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(120 )</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(322 )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-4597400</wp:posOffset>
            </wp:positionV>
            <wp:extent cx="7132320" cy="1454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-2816225</wp:posOffset>
            </wp:positionV>
            <wp:extent cx="7132320" cy="1454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-1925955</wp:posOffset>
            </wp:positionV>
            <wp:extent cx="7132320" cy="1454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454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454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-4978400</wp:posOffset>
            </wp:positionV>
            <wp:extent cx="102235" cy="1708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-4978400</wp:posOffset>
            </wp:positionV>
            <wp:extent cx="93980" cy="1708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-4015105</wp:posOffset>
            </wp:positionV>
            <wp:extent cx="7145020" cy="4540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5020" cy="45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-3415665</wp:posOffset>
            </wp:positionV>
            <wp:extent cx="7132320"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-2525395</wp:posOffset>
            </wp:positionV>
            <wp:extent cx="7132320"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54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-598805</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-598805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-598805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160" w:firstLine="764"/>
        <w:spacing w:after="0" w:line="246"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interest income, which consists of discount income and interest income. Discount income represents the amortization of unearned discounts over the contractual life of the underlying finance receivables held for investment at fair value. Discounts on the finance receivables held-for-sale are deferred until they are sold.</w:t>
      </w:r>
    </w:p>
    <w:p>
      <w:pPr>
        <w:spacing w:after="0" w:line="163" w:lineRule="exact"/>
        <w:rPr>
          <w:sz w:val="20"/>
          <w:szCs w:val="20"/>
          <w:color w:val="auto"/>
        </w:rPr>
      </w:pPr>
    </w:p>
    <w:p>
      <w:pPr>
        <w:ind w:right="260" w:firstLine="764"/>
        <w:spacing w:after="0" w:line="252" w:lineRule="auto"/>
        <w:rPr>
          <w:sz w:val="20"/>
          <w:szCs w:val="20"/>
          <w:color w:val="auto"/>
        </w:rPr>
      </w:pPr>
      <w:r>
        <w:rPr>
          <w:rFonts w:ascii="Arial" w:cs="Arial" w:eastAsia="Arial" w:hAnsi="Arial"/>
          <w:sz w:val="18"/>
          <w:szCs w:val="18"/>
          <w:color w:val="auto"/>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spacing w:after="0" w:line="157" w:lineRule="exact"/>
        <w:rPr>
          <w:sz w:val="20"/>
          <w:szCs w:val="20"/>
          <w:color w:val="auto"/>
        </w:rPr>
      </w:pPr>
    </w:p>
    <w:p>
      <w:pPr>
        <w:ind w:right="100" w:firstLine="764"/>
        <w:spacing w:after="0" w:line="252" w:lineRule="auto"/>
        <w:rPr>
          <w:sz w:val="20"/>
          <w:szCs w:val="20"/>
          <w:color w:val="auto"/>
        </w:rPr>
      </w:pPr>
      <w:r>
        <w:rPr>
          <w:rFonts w:ascii="Arial" w:cs="Arial" w:eastAsia="Arial" w:hAnsi="Arial"/>
          <w:sz w:val="18"/>
          <w:szCs w:val="18"/>
          <w:color w:val="auto"/>
        </w:rPr>
        <w:t>For securitization transactions that are accounted as a sale of finance receivables in accordance with ASC Topic 860, Transfers and Servicing of Financial Assets ("ASC 860"). We recognized gain on sale of finance receivables. There were no securitizations which were accounted for as sales in the periods presented.</w:t>
      </w:r>
    </w:p>
    <w:p>
      <w:pPr>
        <w:sectPr>
          <w:pgSz w:w="11900" w:h="16838" w:orient="portrait"/>
          <w:cols w:equalWidth="0" w:num="1">
            <w:col w:w="11340"/>
          </w:cols>
          <w:pgMar w:left="320" w:top="768" w:right="239" w:bottom="1440" w:gutter="0" w:footer="0" w:header="0"/>
        </w:sectPr>
      </w:pPr>
    </w:p>
    <w:p>
      <w:pPr>
        <w:spacing w:after="0" w:line="1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p>
      <w:pPr>
        <w:ind w:firstLine="764"/>
        <w:spacing w:after="0" w:line="238" w:lineRule="auto"/>
        <w:rPr>
          <w:sz w:val="20"/>
          <w:szCs w:val="20"/>
          <w:color w:val="auto"/>
        </w:rPr>
      </w:pPr>
      <w:r>
        <w:rPr>
          <w:rFonts w:ascii="Arial" w:cs="Arial" w:eastAsia="Arial" w:hAnsi="Arial"/>
          <w:sz w:val="18"/>
          <w:szCs w:val="18"/>
          <w:color w:val="auto"/>
        </w:rPr>
        <w:t>Interest income increased $16.2 million, or 46.0%, to $51.5 million for the three months ended March 31, 2024 from $35.3 million for the three months ended March 31, 2023. This increase was primarily a result of new originations and the consolidation of our 2022-2 securitization, which increased the loan portfolio to $875.5 million as of March 31, 2024 from $723.1 million as of March 31, 2023. Due to the timing of the consolidation, which occurred at the end of the quarter, the average outstanding balance of finance receivables was $869.9 million for the three months ended March 31, 2024, as compared to $579.9 million for the three months ended March 31, 2023. The increase in interest income is also attributable to higher discount income during the three months ended March 31, 2024 as a result of a larger balance of finances receivables held for investment measured at fair value, with discount being amortized, as compared to finance receivables held for sale with discount deferred until receivables are sold. The average outstanding balance of finance receivables held for investment at fair value was $315.3 million for the three months ended March 31, 2024, as compared to $273.4 million for the three months ended March 31,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right="780" w:firstLine="761"/>
        <w:spacing w:after="0" w:line="271" w:lineRule="auto"/>
        <w:rPr>
          <w:sz w:val="20"/>
          <w:szCs w:val="20"/>
          <w:color w:val="auto"/>
        </w:rPr>
      </w:pPr>
      <w:r>
        <w:rPr>
          <w:rFonts w:ascii="Arial" w:cs="Arial" w:eastAsia="Arial" w:hAnsi="Arial"/>
          <w:sz w:val="18"/>
          <w:szCs w:val="18"/>
          <w:color w:val="auto"/>
        </w:rPr>
        <w:t>Interest expense primarily includes interest expense on UACC's Warehouse Credit Facilities, interest expense incurred on securitization debt, and interest expense on financing of beneficial interests in securitizations.</w:t>
      </w:r>
    </w:p>
    <w:p>
      <w:pPr>
        <w:spacing w:after="0" w:line="139"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Interest expense increased $6.9 million or 92.6% to $14.3 million for the three months ended March 31, 2024 from $7.4 million for the three months ended March 31, 2023, primarily as a result of higher interest expense incurred on the Warehouse Credit Facilities, which increased $6.4 million to $9.5 million for the three months ended March 31, 2024 from $3.1 million for the three months ended March 31, 2023. The increase is attributable to a higher outstanding balance of $516.3 million as of March 31, 2024 as compared to $124.2 million as of March 31, 2023, due to financing the larger finance receivable portfolio and an increase in the weighted average interest rates, which increased from 6.70% to 7.22%.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losses, net of recoveries</w:t>
      </w:r>
    </w:p>
    <w:p>
      <w:pPr>
        <w:spacing w:after="0" w:line="196"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Realized and unrealized losses, net of recoveries, primarily represents charge-offs of finance receivables held-for-sale, changes in the fair value of finance receivables for which the fair value option was selected under ASC 825, changes in the valuation allowance on the held-for-sale portfolio, changes in the fair value of securitization debt accounted in accordance with the measurement alternative under ASU 2014-13, changes in the fair value of beneficial interest, as well as collection expenses related to servicing finance receivables.</w:t>
      </w:r>
    </w:p>
    <w:p>
      <w:pPr>
        <w:spacing w:after="0" w:line="163" w:lineRule="exact"/>
        <w:rPr>
          <w:sz w:val="20"/>
          <w:szCs w:val="20"/>
          <w:color w:val="auto"/>
        </w:rPr>
      </w:pPr>
    </w:p>
    <w:p>
      <w:pPr>
        <w:ind w:right="100" w:firstLine="764"/>
        <w:spacing w:after="0" w:line="243" w:lineRule="auto"/>
        <w:rPr>
          <w:sz w:val="20"/>
          <w:szCs w:val="20"/>
          <w:color w:val="auto"/>
        </w:rPr>
      </w:pPr>
      <w:r>
        <w:rPr>
          <w:rFonts w:ascii="Arial" w:cs="Arial" w:eastAsia="Arial" w:hAnsi="Arial"/>
          <w:sz w:val="18"/>
          <w:szCs w:val="18"/>
          <w:color w:val="auto"/>
        </w:rPr>
        <w:t xml:space="preserve">Realized and unrealized losses, net of recoveries, increased $15.5 million or 126.2% to $27.8 million for the three months ended March 31, 2024 from $12.3 million for the three months ended March 31, 2023. </w:t>
      </w:r>
      <w:r>
        <w:rPr>
          <w:rFonts w:ascii="Arial" w:cs="Arial" w:eastAsia="Arial" w:hAnsi="Arial"/>
          <w:sz w:val="18"/>
          <w:szCs w:val="18"/>
          <w:color w:val="1D1C1D"/>
        </w:rPr>
        <w:t>This increase was primarily driven by an increase in realized</w:t>
      </w:r>
      <w:r>
        <w:rPr>
          <w:rFonts w:ascii="Arial" w:cs="Arial" w:eastAsia="Arial" w:hAnsi="Arial"/>
          <w:sz w:val="18"/>
          <w:szCs w:val="18"/>
          <w:color w:val="auto"/>
        </w:rPr>
        <w:t xml:space="preserve"> </w:t>
      </w:r>
      <w:r>
        <w:rPr>
          <w:rFonts w:ascii="Arial" w:cs="Arial" w:eastAsia="Arial" w:hAnsi="Arial"/>
          <w:sz w:val="18"/>
          <w:szCs w:val="18"/>
          <w:color w:val="1D1C1D"/>
        </w:rPr>
        <w:t xml:space="preserve">and unrealized losses on finance receivables as a result of a </w:t>
      </w:r>
      <w:r>
        <w:rPr>
          <w:rFonts w:ascii="Arial" w:cs="Arial" w:eastAsia="Arial" w:hAnsi="Arial"/>
          <w:sz w:val="18"/>
          <w:szCs w:val="18"/>
          <w:color w:val="000000"/>
        </w:rPr>
        <w:t>larger finance receivable portfolio, due to new originations as well as the</w:t>
      </w:r>
      <w:r>
        <w:rPr>
          <w:rFonts w:ascii="Arial" w:cs="Arial" w:eastAsia="Arial" w:hAnsi="Arial"/>
          <w:sz w:val="18"/>
          <w:szCs w:val="18"/>
          <w:color w:val="1D1C1D"/>
        </w:rPr>
        <w:t xml:space="preserve"> </w:t>
      </w:r>
      <w:r>
        <w:rPr>
          <w:rFonts w:ascii="Arial" w:cs="Arial" w:eastAsia="Arial" w:hAnsi="Arial"/>
          <w:sz w:val="18"/>
          <w:szCs w:val="18"/>
          <w:color w:val="000000"/>
        </w:rPr>
        <w:t>consolidation of the 2022-2 securitization, which was previously off- balance sheet, as well as higher credit losses as of March 31, 2024 as compared to March 31,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Income</w:t>
      </w:r>
    </w:p>
    <w:p>
      <w:pPr>
        <w:spacing w:after="0" w:line="196" w:lineRule="exact"/>
        <w:rPr>
          <w:sz w:val="20"/>
          <w:szCs w:val="20"/>
          <w:color w:val="auto"/>
        </w:rPr>
      </w:pPr>
    </w:p>
    <w:p>
      <w:pPr>
        <w:ind w:right="180" w:firstLine="764"/>
        <w:spacing w:after="0" w:line="246" w:lineRule="auto"/>
        <w:rPr>
          <w:sz w:val="20"/>
          <w:szCs w:val="20"/>
          <w:color w:val="auto"/>
        </w:rPr>
      </w:pPr>
      <w:r>
        <w:rPr>
          <w:rFonts w:ascii="Arial" w:cs="Arial" w:eastAsia="Arial" w:hAnsi="Arial"/>
          <w:sz w:val="18"/>
          <w:szCs w:val="18"/>
          <w:color w:val="auto"/>
        </w:rPr>
        <w:t>Servicing income primarily represents the annual fees earned as a percentage of the outstanding principal balance of the finance receivables sold that were accounted for as off-balance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p>
    <w:p>
      <w:pPr>
        <w:spacing w:after="0" w:line="163" w:lineRule="exact"/>
        <w:rPr>
          <w:sz w:val="20"/>
          <w:szCs w:val="20"/>
          <w:color w:val="auto"/>
        </w:rPr>
      </w:pPr>
    </w:p>
    <w:p>
      <w:pPr>
        <w:ind w:right="180" w:firstLine="764"/>
        <w:spacing w:after="0" w:line="301" w:lineRule="auto"/>
        <w:rPr>
          <w:sz w:val="20"/>
          <w:szCs w:val="20"/>
          <w:color w:val="auto"/>
        </w:rPr>
      </w:pPr>
      <w:r>
        <w:rPr>
          <w:rFonts w:ascii="Arial" w:cs="Arial" w:eastAsia="Arial" w:hAnsi="Arial"/>
          <w:sz w:val="17"/>
          <w:szCs w:val="17"/>
          <w:color w:val="auto"/>
        </w:rPr>
        <w:t>Servicing income decreased by $0.9 million or 29.3% to $2.0 million for the three months ended March 31, 2024 from $ 2.9 million for the three months ended March 31, 2023, primarily driven by a lower balance of the 2022-1 securitization, which is off-balance sheet.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Income</w:t>
      </w:r>
    </w:p>
    <w:p>
      <w:pPr>
        <w:spacing w:after="0" w:line="196" w:lineRule="exact"/>
        <w:rPr>
          <w:sz w:val="20"/>
          <w:szCs w:val="20"/>
          <w:color w:val="auto"/>
        </w:rPr>
      </w:pPr>
    </w:p>
    <w:p>
      <w:pPr>
        <w:ind w:right="20" w:firstLine="764"/>
        <w:spacing w:after="0" w:line="246" w:lineRule="auto"/>
        <w:rPr>
          <w:sz w:val="20"/>
          <w:szCs w:val="20"/>
          <w:color w:val="auto"/>
        </w:rPr>
      </w:pPr>
      <w:r>
        <w:rPr>
          <w:rFonts w:ascii="Arial" w:cs="Arial" w:eastAsia="Arial" w:hAnsi="Arial"/>
          <w:sz w:val="18"/>
          <w:szCs w:val="18"/>
          <w:color w:val="auto"/>
        </w:rPr>
        <w:t>UACC earns fees by selling third-party value-added products, such as vehicle service contracts. UACC is also contractually entitled to receive profit-sharing based on the performance of the vehicle service contract policies once a required claims period has passed. UACC recognizes a profit-share to the extent it is probable that it will not result in a significant revenue reversal. The Company estimates the revenue based on historical claims and cancellation data from its consumers, as well as other qualitative assumptions.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p>
      <w:pPr>
        <w:ind w:right="160" w:firstLine="764"/>
        <w:spacing w:after="0" w:line="246" w:lineRule="auto"/>
        <w:rPr>
          <w:sz w:val="20"/>
          <w:szCs w:val="20"/>
          <w:color w:val="auto"/>
        </w:rPr>
      </w:pPr>
      <w:r>
        <w:rPr>
          <w:rFonts w:ascii="Arial" w:cs="Arial" w:eastAsia="Arial" w:hAnsi="Arial"/>
          <w:sz w:val="18"/>
          <w:szCs w:val="18"/>
          <w:color w:val="auto"/>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 loss resulting from collision or theft. The total fees are earned over the contractual life of the related financial receivables on straight-line basis.</w:t>
      </w:r>
    </w:p>
    <w:p>
      <w:pPr>
        <w:spacing w:after="0" w:line="163" w:lineRule="exact"/>
        <w:rPr>
          <w:sz w:val="20"/>
          <w:szCs w:val="20"/>
          <w:color w:val="auto"/>
        </w:rPr>
      </w:pPr>
    </w:p>
    <w:p>
      <w:pPr>
        <w:ind w:right="360" w:firstLine="764"/>
        <w:spacing w:after="0" w:line="271" w:lineRule="auto"/>
        <w:rPr>
          <w:sz w:val="20"/>
          <w:szCs w:val="20"/>
          <w:color w:val="auto"/>
        </w:rPr>
      </w:pPr>
      <w:r>
        <w:rPr>
          <w:rFonts w:ascii="Arial" w:cs="Arial" w:eastAsia="Arial" w:hAnsi="Arial"/>
          <w:sz w:val="18"/>
          <w:szCs w:val="18"/>
          <w:color w:val="auto"/>
        </w:rPr>
        <w:t>Warranties and GAP income decreased by $0.6 million or 26.9% to $1.6 million for the three months ended March 31, 2024 from $2.2 million for the three months ended March 31, 2023, primarily due to higher losses incurred on the GAP debt waiver product.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96" w:lineRule="exact"/>
        <w:rPr>
          <w:sz w:val="20"/>
          <w:szCs w:val="20"/>
          <w:color w:val="auto"/>
        </w:rPr>
      </w:pPr>
    </w:p>
    <w:p>
      <w:pPr>
        <w:ind w:right="240" w:firstLine="761"/>
        <w:spacing w:after="0" w:line="252" w:lineRule="auto"/>
        <w:rPr>
          <w:sz w:val="20"/>
          <w:szCs w:val="20"/>
          <w:color w:val="auto"/>
        </w:rPr>
      </w:pPr>
      <w:r>
        <w:rPr>
          <w:rFonts w:ascii="Arial" w:cs="Arial" w:eastAsia="Arial" w:hAnsi="Arial"/>
          <w:sz w:val="18"/>
          <w:szCs w:val="18"/>
          <w:color w:val="auto"/>
        </w:rPr>
        <w:t>Other income increased $1.4 million or 134.3% to $2.5 million for the three months ended March 31, 2024 from $1.1 million for the three months ended March 31, 2023, primarily driven by higher income related to acquisition fees for originations of finance receivables at fair value, which is recognized in the period the finance receivable is originated.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fees</w:t>
      </w:r>
    </w:p>
    <w:p>
      <w:pPr>
        <w:spacing w:after="0" w:line="196" w:lineRule="exact"/>
        <w:rPr>
          <w:sz w:val="20"/>
          <w:szCs w:val="20"/>
          <w:color w:val="auto"/>
        </w:rPr>
      </w:pPr>
    </w:p>
    <w:p>
      <w:pPr>
        <w:ind w:right="300" w:firstLine="749"/>
        <w:spacing w:after="0" w:line="252" w:lineRule="auto"/>
        <w:rPr>
          <w:sz w:val="20"/>
          <w:szCs w:val="20"/>
          <w:color w:val="auto"/>
        </w:rPr>
      </w:pPr>
      <w:r>
        <w:rPr>
          <w:rFonts w:ascii="Arial" w:cs="Arial" w:eastAsia="Arial" w:hAnsi="Arial"/>
          <w:sz w:val="18"/>
          <w:szCs w:val="18"/>
          <w:color w:val="auto"/>
        </w:rPr>
        <w:t>Professional fees decreased $1.6 million or 64.3% to $ 0.9 million for the three months ended March 31, 2024 from $2.5 million for the three months ended March 31, 2023, primarily as a result of additional professional fees incurred during the first quarter of 2023 as a result of the completion of the 2023-1 securitization transaction.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96" w:lineRule="exact"/>
        <w:rPr>
          <w:sz w:val="20"/>
          <w:szCs w:val="20"/>
          <w:color w:val="auto"/>
        </w:rPr>
      </w:pPr>
    </w:p>
    <w:p>
      <w:pPr>
        <w:ind w:right="620" w:firstLine="749"/>
        <w:spacing w:after="0" w:line="271" w:lineRule="auto"/>
        <w:rPr>
          <w:sz w:val="20"/>
          <w:szCs w:val="20"/>
          <w:color w:val="auto"/>
        </w:rPr>
      </w:pPr>
      <w:r>
        <w:rPr>
          <w:rFonts w:ascii="Arial" w:cs="Arial" w:eastAsia="Arial" w:hAnsi="Arial"/>
          <w:sz w:val="18"/>
          <w:szCs w:val="18"/>
          <w:color w:val="auto"/>
        </w:rPr>
        <w:t>Impairment charges increased $2.8 million related to the impairment of capitalized internal-use software that no longer have a planned future use.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6" w:lineRule="exact"/>
        <w:rPr>
          <w:sz w:val="20"/>
          <w:szCs w:val="20"/>
          <w:color w:val="auto"/>
        </w:rPr>
      </w:pPr>
    </w:p>
    <w:p>
      <w:pPr>
        <w:jc w:val="both"/>
        <w:ind w:right="340" w:firstLine="749"/>
        <w:spacing w:after="0" w:line="252" w:lineRule="auto"/>
        <w:rPr>
          <w:sz w:val="20"/>
          <w:szCs w:val="20"/>
          <w:color w:val="auto"/>
        </w:rPr>
      </w:pPr>
      <w:r>
        <w:rPr>
          <w:rFonts w:ascii="Arial" w:cs="Arial" w:eastAsia="Arial" w:hAnsi="Arial"/>
          <w:sz w:val="18"/>
          <w:szCs w:val="18"/>
          <w:color w:val="auto"/>
        </w:rPr>
        <w:t>Adjusted EBITDA loss increased $5.6 million to $10.1 million for the three months ended March 31, 2024 from $4.5 million for the three months ended March 31, 2023, primarily as a result of the $4.3 million decrease in net interest income after losses and recoveries as discuss above.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CarStory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50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6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7"/>
                <w:szCs w:val="17"/>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500" w:type="dxa"/>
            <w:vAlign w:val="bottom"/>
            <w:gridSpan w:val="4"/>
          </w:tcPr>
          <w:p>
            <w:pPr>
              <w:jc w:val="center"/>
              <w:ind w:left="399"/>
              <w:spacing w:after="0" w:line="159" w:lineRule="exact"/>
              <w:rPr>
                <w:sz w:val="20"/>
                <w:szCs w:val="20"/>
                <w:color w:val="auto"/>
              </w:rPr>
            </w:pPr>
            <w:r>
              <w:rPr>
                <w:rFonts w:ascii="Arial" w:cs="Arial" w:eastAsia="Arial" w:hAnsi="Arial"/>
                <w:sz w:val="14"/>
                <w:szCs w:val="14"/>
                <w:b w:val="1"/>
                <w:bCs w:val="1"/>
                <w:color w:val="auto"/>
              </w:rPr>
              <w:t>(in thousands, except unit</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33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data and average days to sale)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Noninterest income:</w:t>
            </w: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CarStory revenue</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2,979</w:t>
            </w:r>
          </w:p>
        </w:tc>
        <w:tc>
          <w:tcPr>
            <w:tcW w:w="340" w:type="dxa"/>
            <w:vAlign w:val="bottom"/>
          </w:tcPr>
          <w:p>
            <w:pPr>
              <w:spacing w:after="0"/>
              <w:rPr>
                <w:sz w:val="19"/>
                <w:szCs w:val="19"/>
                <w:color w:val="auto"/>
              </w:rPr>
            </w:pP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3,170</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(191 )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260.4 %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Total noninterest income</w:t>
            </w: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3,152</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3,218</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Expenses: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2,214</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(187 )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Professional fees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Software and IT costs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1,605</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Other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Total expenses</w:t>
            </w: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4,225</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4,505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(280 )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559</w:t>
            </w:r>
          </w:p>
        </w:tc>
        <w:tc>
          <w:tcPr>
            <w:tcW w:w="340" w:type="dxa"/>
            <w:vAlign w:val="bottom"/>
          </w:tcPr>
          <w:p>
            <w:pPr>
              <w:spacing w:after="0"/>
              <w:rPr>
                <w:sz w:val="19"/>
                <w:szCs w:val="19"/>
                <w:color w:val="auto"/>
              </w:rPr>
            </w:pP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Interest income on cash and cash equivalents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(173 )</w:t>
            </w: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(46 )</w:t>
            </w: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(126 )</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272.1 %</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454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454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-2906395</wp:posOffset>
            </wp:positionV>
            <wp:extent cx="102235" cy="1708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-2906395</wp:posOffset>
            </wp:positionV>
            <wp:extent cx="93980" cy="1708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543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-598805</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-598805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-598805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CarStory revenue</w:t>
      </w:r>
    </w:p>
    <w:p>
      <w:pPr>
        <w:spacing w:after="0" w:line="196" w:lineRule="exact"/>
        <w:rPr>
          <w:sz w:val="20"/>
          <w:szCs w:val="20"/>
          <w:color w:val="auto"/>
        </w:rPr>
      </w:pPr>
    </w:p>
    <w:p>
      <w:pPr>
        <w:ind w:right="460" w:firstLine="749"/>
        <w:spacing w:after="0" w:line="252" w:lineRule="auto"/>
        <w:rPr>
          <w:sz w:val="20"/>
          <w:szCs w:val="20"/>
          <w:color w:val="auto"/>
        </w:rPr>
      </w:pPr>
      <w:r>
        <w:rPr>
          <w:rFonts w:ascii="Arial" w:cs="Arial" w:eastAsia="Arial" w:hAnsi="Arial"/>
          <w:sz w:val="18"/>
          <w:szCs w:val="18"/>
          <w:color w:val="auto"/>
        </w:rPr>
        <w:t>CarStory generates advertiser, publisher and other user service revenue by offering its AI-powered analytics and digital retailing services to dealers, automotive financial services companies and others in the automotive industry, which use CarStory’s solutions to enhance their customer experience and drive increased vehicle purchases.</w:t>
      </w:r>
    </w:p>
    <w:p>
      <w:pPr>
        <w:spacing w:after="0" w:line="157" w:lineRule="exact"/>
        <w:rPr>
          <w:sz w:val="20"/>
          <w:szCs w:val="20"/>
          <w:color w:val="auto"/>
        </w:rPr>
      </w:pPr>
    </w:p>
    <w:p>
      <w:pPr>
        <w:ind w:right="360" w:firstLine="749"/>
        <w:spacing w:after="0" w:line="271" w:lineRule="auto"/>
        <w:rPr>
          <w:sz w:val="20"/>
          <w:szCs w:val="20"/>
          <w:color w:val="auto"/>
        </w:rPr>
      </w:pPr>
      <w:r>
        <w:rPr>
          <w:rFonts w:ascii="Arial" w:cs="Arial" w:eastAsia="Arial" w:hAnsi="Arial"/>
          <w:sz w:val="18"/>
          <w:szCs w:val="18"/>
          <w:color w:val="auto"/>
        </w:rPr>
        <w:t>CarStory revenue decreased $0.2 million or 6.0% to $3.0 million for the three months ended March 31, 2024 from $3.2 million for the three months ended March 31, 2023, primarily as a result of a change in the scope of service and data provided to our customers.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6" w:lineRule="exact"/>
        <w:rPr>
          <w:sz w:val="20"/>
          <w:szCs w:val="20"/>
          <w:color w:val="auto"/>
        </w:rPr>
      </w:pPr>
    </w:p>
    <w:p>
      <w:pPr>
        <w:ind w:right="200" w:firstLine="749"/>
        <w:spacing w:after="0" w:line="271" w:lineRule="auto"/>
        <w:rPr>
          <w:sz w:val="20"/>
          <w:szCs w:val="20"/>
          <w:color w:val="auto"/>
        </w:rPr>
      </w:pPr>
      <w:r>
        <w:rPr>
          <w:rFonts w:ascii="Arial" w:cs="Arial" w:eastAsia="Arial" w:hAnsi="Arial"/>
          <w:sz w:val="18"/>
          <w:szCs w:val="18"/>
          <w:color w:val="auto"/>
        </w:rPr>
        <w:t>Adjusted EBITDA remained flat at $0.6 million for the three months ended March 31, 2024 as compared to the three months ended March 31, 2023.</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7"/>
                <w:szCs w:val="17"/>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40" w:type="dxa"/>
            <w:vAlign w:val="bottom"/>
            <w:gridSpan w:val="5"/>
          </w:tcPr>
          <w:p>
            <w:pPr>
              <w:jc w:val="center"/>
              <w:ind w:right="620"/>
              <w:spacing w:after="0" w:line="159" w:lineRule="exact"/>
              <w:rPr>
                <w:sz w:val="20"/>
                <w:szCs w:val="20"/>
                <w:color w:val="auto"/>
              </w:rPr>
            </w:pPr>
            <w:r>
              <w:rPr>
                <w:rFonts w:ascii="Arial" w:cs="Arial" w:eastAsia="Arial" w:hAnsi="Arial"/>
                <w:sz w:val="14"/>
                <w:szCs w:val="14"/>
                <w:b w:val="1"/>
                <w:bCs w:val="1"/>
                <w:color w:val="auto"/>
              </w:rPr>
              <w:t>(in thousands, except unit</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data and average days to sale)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(464 )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(931 )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50.2 %</w:t>
            </w:r>
          </w:p>
        </w:tc>
        <w:tc>
          <w:tcPr>
            <w:tcW w:w="0" w:type="dxa"/>
            <w:vAlign w:val="bottom"/>
          </w:tcPr>
          <w:p>
            <w:pPr>
              <w:spacing w:after="0"/>
              <w:rPr>
                <w:sz w:val="1"/>
                <w:szCs w:val="1"/>
                <w:color w:val="auto"/>
              </w:rPr>
            </w:pPr>
          </w:p>
        </w:tc>
      </w:tr>
      <w:tr>
        <w:trPr>
          <w:trHeight w:val="458"/>
        </w:trPr>
        <w:tc>
          <w:tcPr>
            <w:tcW w:w="5380" w:type="dxa"/>
            <w:vAlign w:val="bottom"/>
          </w:tcPr>
          <w:p>
            <w:pPr>
              <w:ind w:left="140"/>
              <w:spacing w:after="0"/>
              <w:rPr>
                <w:sz w:val="20"/>
                <w:szCs w:val="20"/>
                <w:color w:val="auto"/>
              </w:rPr>
            </w:pPr>
            <w:r>
              <w:rPr>
                <w:rFonts w:ascii="Arial" w:cs="Arial" w:eastAsia="Arial" w:hAnsi="Arial"/>
                <w:sz w:val="18"/>
                <w:szCs w:val="18"/>
                <w:color w:val="auto"/>
              </w:rPr>
              <w:t>Realized and unrealized losses, net of recoveries</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3,456</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(398 )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Net interest income after losses and recoveries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(3,521 )</w:t>
            </w:r>
          </w:p>
        </w:tc>
        <w:tc>
          <w:tcPr>
            <w:tcW w:w="34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(4,387 )</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Noninterest (loss) 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Warranties and GAP income,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(11,252 )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(11,884 )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(1,880.4 )%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Gain on debt extinguishment</w:t>
            </w:r>
          </w:p>
        </w:tc>
        <w:tc>
          <w:tcPr>
            <w:tcW w:w="28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(8,709 )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(1,789 )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(92.7 )%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Total noninterest (loss) income</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(11,111 )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11,271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(22,382 )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(198.6 )%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Software and IT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(1,009 )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Interest expense on corporate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Other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(819 )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10,681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(1,137 )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(22,564 )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(12,398 )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(10,166 )</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82.0 %</w:t>
            </w: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Interest income on 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(1,930 )</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1,666</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86.3 %</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956</w:t>
            </w:r>
          </w:p>
        </w:tc>
        <w:tc>
          <w:tcPr>
            <w:tcW w:w="3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-3415665</wp:posOffset>
            </wp:positionV>
            <wp:extent cx="7132320" cy="1454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-2525395</wp:posOffset>
            </wp:positionV>
            <wp:extent cx="7132320" cy="1454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-1634490</wp:posOffset>
            </wp:positionV>
            <wp:extent cx="7132320" cy="1454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454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-3796665</wp:posOffset>
            </wp:positionV>
            <wp:extent cx="102235" cy="1708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-3796665</wp:posOffset>
            </wp:positionV>
            <wp:extent cx="93980" cy="1708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-3124835</wp:posOffset>
            </wp:positionV>
            <wp:extent cx="7132320" cy="154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7132320"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54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-598805</wp:posOffset>
            </wp:positionV>
            <wp:extent cx="768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-598805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-598805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Corporate activities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are continuing to be renegotiated and right-sized to account for reduced headcount following the Ecommerce Wind-down. We expect these costs to decrease in the future. Adjusted EBITDA loss of $22.6 million for the three months ended March 31, 2024 is</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comprised of a loss of $21.6 million related to runoff of the legacy Vroom related items and ongoing contracts, and a loss of $1.0 million related to public company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GAP Income, net</w:t>
      </w:r>
    </w:p>
    <w:p>
      <w:pPr>
        <w:spacing w:after="0" w:line="196" w:lineRule="exact"/>
        <w:rPr>
          <w:sz w:val="20"/>
          <w:szCs w:val="20"/>
          <w:color w:val="auto"/>
        </w:rPr>
      </w:pPr>
    </w:p>
    <w:p>
      <w:pPr>
        <w:ind w:right="320" w:firstLine="761"/>
        <w:spacing w:after="0" w:line="243" w:lineRule="auto"/>
        <w:rPr>
          <w:sz w:val="20"/>
          <w:szCs w:val="20"/>
          <w:color w:val="auto"/>
        </w:rPr>
      </w:pPr>
      <w:r>
        <w:rPr>
          <w:rFonts w:ascii="Arial" w:cs="Arial" w:eastAsia="Arial" w:hAnsi="Arial"/>
          <w:sz w:val="18"/>
          <w:szCs w:val="18"/>
          <w:color w:val="auto"/>
        </w:rPr>
        <w:t>Prior to the Ecommerce Wind-Down, we offered value-added products to our customers pursuant to arrangements with the third parties that sell and administer these products as well as estimated profit-sharing amounts to which we are entitled based on the performance of third-party protection products once a required claims period has passed. A portion of the fees we received are subject to chargeback in the event of early termination, default, or prepayment of the contracts by our customers. Warranties and GAP income, net, recorded within Corporate, relates to the runoff of policies sold prior to the Ecommerce Wind-Down.</w:t>
      </w:r>
    </w:p>
    <w:p>
      <w:pPr>
        <w:spacing w:after="0" w:line="166" w:lineRule="exact"/>
        <w:rPr>
          <w:sz w:val="20"/>
          <w:szCs w:val="20"/>
          <w:color w:val="auto"/>
        </w:rPr>
      </w:pPr>
    </w:p>
    <w:p>
      <w:pPr>
        <w:ind w:right="520" w:firstLine="761"/>
        <w:spacing w:after="0" w:line="271" w:lineRule="auto"/>
        <w:rPr>
          <w:sz w:val="20"/>
          <w:szCs w:val="20"/>
          <w:color w:val="auto"/>
        </w:rPr>
      </w:pPr>
      <w:r>
        <w:rPr>
          <w:rFonts w:ascii="Arial" w:cs="Arial" w:eastAsia="Arial" w:hAnsi="Arial"/>
          <w:sz w:val="18"/>
          <w:szCs w:val="18"/>
          <w:color w:val="auto"/>
        </w:rPr>
        <w:t>See “Note 3—Revenue Recognition” to our condensed consolidated financial statements included elsewhere in this Quarterly Report on Form 10-Q.</w:t>
      </w:r>
    </w:p>
    <w:p>
      <w:pPr>
        <w:spacing w:after="0" w:line="139" w:lineRule="exact"/>
        <w:rPr>
          <w:sz w:val="20"/>
          <w:szCs w:val="20"/>
          <w:color w:val="auto"/>
        </w:rPr>
      </w:pPr>
    </w:p>
    <w:p>
      <w:pPr>
        <w:ind w:right="160" w:firstLine="764"/>
        <w:spacing w:after="0" w:line="252" w:lineRule="auto"/>
        <w:rPr>
          <w:sz w:val="20"/>
          <w:szCs w:val="20"/>
          <w:color w:val="auto"/>
        </w:rPr>
      </w:pPr>
      <w:r>
        <w:rPr>
          <w:rFonts w:ascii="Arial" w:cs="Arial" w:eastAsia="Arial" w:hAnsi="Arial"/>
          <w:sz w:val="18"/>
          <w:szCs w:val="18"/>
          <w:color w:val="auto"/>
        </w:rPr>
        <w:t>Warranties and GAP income, net, decreased $11.9 million to a loss of $ 11.3 million for the three months ended March 31, 2024 from income of $0.6 million for the three months ended March 31, 2023, primarily as a result of a revised estimate of proceeds we expect to recover.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196" w:lineRule="exact"/>
        <w:rPr>
          <w:sz w:val="20"/>
          <w:szCs w:val="20"/>
          <w:color w:val="auto"/>
        </w:rPr>
      </w:pPr>
    </w:p>
    <w:p>
      <w:pPr>
        <w:ind w:right="940" w:firstLine="749"/>
        <w:spacing w:after="0" w:line="271" w:lineRule="auto"/>
        <w:rPr>
          <w:sz w:val="20"/>
          <w:szCs w:val="20"/>
          <w:color w:val="auto"/>
        </w:rPr>
      </w:pPr>
      <w:r>
        <w:rPr>
          <w:rFonts w:ascii="Arial" w:cs="Arial" w:eastAsia="Arial" w:hAnsi="Arial"/>
          <w:sz w:val="18"/>
          <w:szCs w:val="18"/>
          <w:color w:val="auto"/>
        </w:rPr>
        <w:t>Gain on debt extinguishment represents a gain of $ 8.7 million for the three months ended March 31, 2023, related to the repurchase of $14.6 million in aggregate principal balance of the Notes, net of deferred issuance costs, for $5.9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96" w:lineRule="exact"/>
        <w:rPr>
          <w:sz w:val="20"/>
          <w:szCs w:val="20"/>
          <w:color w:val="auto"/>
        </w:rPr>
      </w:pPr>
    </w:p>
    <w:p>
      <w:pPr>
        <w:ind w:right="100" w:firstLine="761"/>
        <w:spacing w:after="0" w:line="252" w:lineRule="auto"/>
        <w:rPr>
          <w:sz w:val="20"/>
          <w:szCs w:val="20"/>
          <w:color w:val="auto"/>
        </w:rPr>
      </w:pPr>
      <w:r>
        <w:rPr>
          <w:rFonts w:ascii="Arial" w:cs="Arial" w:eastAsia="Arial" w:hAnsi="Arial"/>
          <w:sz w:val="18"/>
          <w:szCs w:val="18"/>
          <w:color w:val="auto"/>
        </w:rPr>
        <w:t>Other income primarily represents interest earned on cash and cash equivalents. Other income decreased $ 1.8 million or 92.7% to $0.1 million for the three months ended March 31, 2024 from $1.9 million for the three months ended March 31, 2023, primarily driven by lower cash and cash equivalent balances and lower interest rates earned on cash and cash equivalents.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6" w:lineRule="exact"/>
        <w:rPr>
          <w:sz w:val="20"/>
          <w:szCs w:val="20"/>
          <w:color w:val="auto"/>
        </w:rPr>
      </w:pPr>
    </w:p>
    <w:p>
      <w:pPr>
        <w:ind w:right="340" w:firstLine="749"/>
        <w:spacing w:after="0" w:line="252" w:lineRule="auto"/>
        <w:rPr>
          <w:sz w:val="20"/>
          <w:szCs w:val="20"/>
          <w:color w:val="auto"/>
        </w:rPr>
      </w:pPr>
      <w:r>
        <w:rPr>
          <w:rFonts w:ascii="Arial" w:cs="Arial" w:eastAsia="Arial" w:hAnsi="Arial"/>
          <w:sz w:val="18"/>
          <w:szCs w:val="18"/>
          <w:color w:val="auto"/>
        </w:rPr>
        <w:t>Compensation and benefits expense increased $0.8 million or 36.1% to $3.1 million for the three months ended March 31, 2024 from $2.3 million for the three months ended March 31, 2023, primarily as a result of annual salary increases during 2023 and retention bonuses granted to retain key employees subsequent to the Ecommerce Wind-Down.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and IT costs</w:t>
      </w:r>
    </w:p>
    <w:p>
      <w:pPr>
        <w:spacing w:after="0" w:line="196"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Software and IT costs decreased $ 1.0 million or 42.6% to $1.4 million for the three months ended March 31, 2024 from $2.4 million for the three months ended March 31, 2023, primarily related to volume-based fees as a result of reduced headcount and more efficient targeted software use. We are continuing to renegotiate and right-size our Software and IT contracts to account for reduced headcount following the Ecommerce Wind-down and expect these costs to decrease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96"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Other expenses decreased $0.8 million or 31.1% to $1.8 million for the three months ended March 31, 2024 from $2.6 million for the three months ended March 31, 2023, primarily related to a decrease in public company related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insurance costs as we renegotiated our insurance policies during the third quarter of 2023 as a result of the reduced scale of business.</w:t>
      </w:r>
    </w:p>
    <w:p>
      <w:pPr>
        <w:spacing w:after="0" w:line="19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As of March 31, 2024, we had cash and cash equivalents of $91.0 million and restricted cash of $ 49.5 million. Restricted cash primarily includes restricted cash required under UACC's securitization transactions and Warehouse Credit Facilities of $ 48.1 million. Prior to the Ecommerce Wind-Down, our primary source of liquidity was cash generated through financing activities. Additionally, we had excess borrowing capacity of $53.9 million under UACC's Warehouse Credit Facilities as of March 31, 2024.</w:t>
      </w:r>
    </w:p>
    <w:p>
      <w:pPr>
        <w:spacing w:after="0" w:line="163" w:lineRule="exact"/>
        <w:rPr>
          <w:sz w:val="20"/>
          <w:szCs w:val="20"/>
          <w:color w:val="auto"/>
        </w:rPr>
      </w:pPr>
    </w:p>
    <w:p>
      <w:pPr>
        <w:ind w:right="420" w:firstLine="764"/>
        <w:spacing w:after="0" w:line="271" w:lineRule="auto"/>
        <w:rPr>
          <w:sz w:val="20"/>
          <w:szCs w:val="20"/>
          <w:color w:val="auto"/>
        </w:rPr>
      </w:pPr>
      <w:r>
        <w:rPr>
          <w:rFonts w:ascii="Arial" w:cs="Arial" w:eastAsia="Arial" w:hAnsi="Arial"/>
          <w:sz w:val="18"/>
          <w:szCs w:val="18"/>
          <w:color w:val="auto"/>
        </w:rPr>
        <w:t>As a result of the liquidation of our vehicle inventory as part of the Ecommerce Wind-Down, we repaid all amounts outstanding under the 2022 Vehicle Floorplan Facility in full and the agreement has been terminated.</w:t>
      </w:r>
    </w:p>
    <w:p>
      <w:pPr>
        <w:spacing w:after="0" w:line="139" w:lineRule="exact"/>
        <w:rPr>
          <w:sz w:val="20"/>
          <w:szCs w:val="20"/>
          <w:color w:val="auto"/>
        </w:rPr>
      </w:pPr>
    </w:p>
    <w:p>
      <w:pPr>
        <w:ind w:right="80" w:firstLine="814"/>
        <w:spacing w:after="0" w:line="246" w:lineRule="auto"/>
        <w:rPr>
          <w:sz w:val="20"/>
          <w:szCs w:val="20"/>
          <w:color w:val="auto"/>
        </w:rPr>
      </w:pPr>
      <w:r>
        <w:rPr>
          <w:rFonts w:ascii="Arial" w:cs="Arial" w:eastAsia="Arial" w:hAnsi="Arial"/>
          <w:sz w:val="18"/>
          <w:szCs w:val="18"/>
          <w:color w:val="auto"/>
        </w:rPr>
        <w:t>We expect to use our cash and cash equivalents to finance our future capital requirements and UACC’s Warehouse Credit Facilities to fund our finance receivables. Certain advance rates available to UACC on borrowings from the Warehouse Credit Facilities have decreased as a result of the increased credit losses in UACC's portfolio and overall rising interest rates. Any future decreases on available advance rates may have an adverse impact on our liquidity.</w:t>
      </w:r>
    </w:p>
    <w:p>
      <w:pPr>
        <w:spacing w:after="0" w:line="163" w:lineRule="exact"/>
        <w:rPr>
          <w:sz w:val="20"/>
          <w:szCs w:val="20"/>
          <w:color w:val="auto"/>
        </w:rPr>
      </w:pPr>
    </w:p>
    <w:p>
      <w:pPr>
        <w:ind w:right="140" w:firstLine="764"/>
        <w:spacing w:after="0" w:line="271" w:lineRule="auto"/>
        <w:rPr>
          <w:sz w:val="20"/>
          <w:szCs w:val="20"/>
          <w:color w:val="auto"/>
        </w:rPr>
      </w:pPr>
      <w:r>
        <w:rPr>
          <w:rFonts w:ascii="Arial" w:cs="Arial" w:eastAsia="Arial" w:hAnsi="Arial"/>
          <w:sz w:val="18"/>
          <w:szCs w:val="18"/>
          <w:color w:val="auto"/>
        </w:rPr>
        <w:t>We anticipate that our existing cash and cash equivalents and UACC's Warehouse Credit Facilities will be sufficient to support the Company for at least the next twelve months from the date of this Quarterly Report on Form 10-Q.</w:t>
      </w:r>
    </w:p>
    <w:p>
      <w:pPr>
        <w:spacing w:after="0" w:line="139" w:lineRule="exact"/>
        <w:rPr>
          <w:sz w:val="20"/>
          <w:szCs w:val="20"/>
          <w:color w:val="auto"/>
        </w:rPr>
      </w:pPr>
    </w:p>
    <w:p>
      <w:pPr>
        <w:ind w:right="80" w:firstLine="764"/>
        <w:spacing w:after="0" w:line="246" w:lineRule="auto"/>
        <w:rPr>
          <w:sz w:val="20"/>
          <w:szCs w:val="20"/>
          <w:color w:val="auto"/>
        </w:rPr>
      </w:pPr>
      <w:r>
        <w:rPr>
          <w:rFonts w:ascii="Arial" w:cs="Arial" w:eastAsia="Arial" w:hAnsi="Arial"/>
          <w:sz w:val="18"/>
          <w:szCs w:val="18"/>
          <w:color w:val="auto"/>
        </w:rPr>
        <w:t>Our future capital requirements will depend on many factors, including our ability to successfully implement the Value Maximization Plan and realize its benefits, available advance rates on our Warehouse Credit Facilities, our ability to complete additional securitization transactions on terms favorable to us, and our future credit losses. We have no significant debt maturities due until July 2026 and the payments on our securitization debt are funded by cashflows on the finance receivables within the securitization trusts.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80"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three months ended March 31, 2024, the conditions allowing holders of the Notes to convert were not met.</w:t>
      </w:r>
    </w:p>
    <w:p>
      <w:pPr>
        <w:spacing w:after="0" w:line="163"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As of March 31, 2024, $287.2 million aggregate principal amount of the Notes remain outstanding, net of deferred issuance costs of $3.3 million. Subject to market conditions and availability, we may continue to opportunistically repurchase Notes from time to time to reduce our outstanding indebtedness at a discount. Refer to Note 10 — Long Term Debt of our condensed consolidated financial statements included elsewhere in this Quarterly Report on Form 10-Q,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Transactions</w:t>
      </w:r>
    </w:p>
    <w:p>
      <w:pPr>
        <w:spacing w:after="0" w:line="196" w:lineRule="exact"/>
        <w:rPr>
          <w:sz w:val="20"/>
          <w:szCs w:val="20"/>
          <w:color w:val="auto"/>
        </w:rPr>
      </w:pPr>
    </w:p>
    <w:p>
      <w:pPr>
        <w:ind w:right="40" w:firstLine="764"/>
        <w:spacing w:after="0" w:line="239" w:lineRule="auto"/>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 transactions. In April 2024, UACC sold approximately $262.5 million of rated asset-backed securities in an auto finance receivable securitization transaction from a securitization trust, established and sponsored by UACC for proceeds of $261.3 million. The trust is collateralized by finance receivables with an aggregate principal balance of $380.1 million. These finance receivables are serviced by UACC. As a result of market conditions, which led to unfavorable pricing, UACC retained the Class E non-investment grade securities and residual interests, which will require us to account for the 2024-1 securitization as secured borrowings and remain on balance sheet pending the sale of such retained interests. In May 2024, UACC sold approximately $ 37.5 million of Class E non-investment grade securities that were initially retained for proceeds of $35.9 million. UACC continues to retain the residual interest and 5% or $15.8 million of the rated notes.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40" w:firstLine="764"/>
        <w:spacing w:after="0" w:line="246" w:lineRule="auto"/>
        <w:rPr>
          <w:sz w:val="20"/>
          <w:szCs w:val="20"/>
          <w:color w:val="auto"/>
        </w:rPr>
      </w:pPr>
      <w:r>
        <w:rPr>
          <w:rFonts w:ascii="Arial" w:cs="Arial" w:eastAsia="Arial" w:hAnsi="Arial"/>
          <w:sz w:val="18"/>
          <w:szCs w:val="18"/>
          <w:color w:val="auto"/>
        </w:rPr>
        <w:t>In 2023, UACC sold investment and non-investment grade rated asset-backed securities in the 2023-1 auto loan securitization transaction for proceeds of $ 260.9 million. The securitization trust is collateralized by finance receivables with an aggregate principal balance of $326.4 million. As a result of market conditions at the time, which led to unfavorable pricing, UACC retained the residual interests, and we accounted for the 2023-1 securitization transaction as secured borrowings.</w:t>
      </w:r>
    </w:p>
    <w:p>
      <w:pPr>
        <w:spacing w:after="0" w:line="163" w:lineRule="exact"/>
        <w:rPr>
          <w:sz w:val="20"/>
          <w:szCs w:val="20"/>
          <w:color w:val="auto"/>
        </w:rPr>
      </w:pPr>
    </w:p>
    <w:p>
      <w:pPr>
        <w:jc w:val="both"/>
        <w:ind w:right="380" w:firstLine="764"/>
        <w:spacing w:after="0" w:line="252" w:lineRule="auto"/>
        <w:rPr>
          <w:sz w:val="20"/>
          <w:szCs w:val="20"/>
          <w:color w:val="auto"/>
        </w:rPr>
      </w:pPr>
      <w:r>
        <w:rPr>
          <w:rFonts w:ascii="Arial" w:cs="Arial" w:eastAsia="Arial" w:hAnsi="Arial"/>
          <w:sz w:val="18"/>
          <w:szCs w:val="18"/>
          <w:color w:val="auto"/>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spacing w:after="0" w:line="157" w:lineRule="exact"/>
        <w:rPr>
          <w:sz w:val="20"/>
          <w:szCs w:val="20"/>
          <w:color w:val="auto"/>
        </w:rPr>
      </w:pPr>
    </w:p>
    <w:p>
      <w:pPr>
        <w:ind w:right="440" w:firstLine="764"/>
        <w:spacing w:after="0" w:line="266" w:lineRule="auto"/>
        <w:rPr>
          <w:sz w:val="20"/>
          <w:szCs w:val="20"/>
          <w:color w:val="auto"/>
        </w:rPr>
      </w:pPr>
      <w:r>
        <w:rPr>
          <w:rFonts w:ascii="Arial" w:cs="Arial" w:eastAsia="Arial" w:hAnsi="Arial"/>
          <w:sz w:val="17"/>
          <w:szCs w:val="17"/>
          <w:color w:val="auto"/>
        </w:rPr>
        <w:t>As a result of high interest rates, the current inflationary environment and vehicle depreciation in the used automotive industry, UACC is experiencing higher loss severity. The increased loss severity could lead to reduced servicing income if UACC elects to waive monthly servicing fees going forward as it did in the first quarter of 2023. The waiver of monthly servicing fees related to the 2022-2 securitization transaction resulted in consolidation of the related finance receivables and securitization debt on our financial statements.</w:t>
      </w:r>
    </w:p>
    <w:p>
      <w:pPr>
        <w:spacing w:after="0" w:line="145" w:lineRule="exact"/>
        <w:rPr>
          <w:sz w:val="20"/>
          <w:szCs w:val="20"/>
          <w:color w:val="auto"/>
        </w:rPr>
      </w:pPr>
    </w:p>
    <w:p>
      <w:pPr>
        <w:ind w:right="600" w:firstLine="764"/>
        <w:spacing w:after="0" w:line="271" w:lineRule="auto"/>
        <w:rPr>
          <w:sz w:val="20"/>
          <w:szCs w:val="20"/>
          <w:color w:val="auto"/>
        </w:rPr>
      </w:pPr>
      <w:r>
        <w:rPr>
          <w:rFonts w:ascii="Arial" w:cs="Arial" w:eastAsia="Arial" w:hAnsi="Arial"/>
          <w:sz w:val="18"/>
          <w:szCs w:val="18"/>
          <w:color w:val="auto"/>
        </w:rPr>
        <w:t>Refer to Note 4 — Variable Interest Entities and Securitizations to our condensed consolidated financial statements included elsewhere in this Quarterly Report on Form 10-Q, for further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Risk Retention Financing Facility</w:t>
      </w:r>
    </w:p>
    <w:p>
      <w:pPr>
        <w:spacing w:after="0" w:line="196"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Calibri" w:cs="Calibri" w:eastAsia="Calibri" w:hAnsi="Calibri"/>
          <w:sz w:val="19"/>
          <w:szCs w:val="19"/>
          <w:color w:val="auto"/>
        </w:rPr>
        <w:t>.</w:t>
      </w:r>
    </w:p>
    <w:p>
      <w:pPr>
        <w:spacing w:after="0" w:line="251" w:lineRule="exact"/>
        <w:rPr>
          <w:sz w:val="20"/>
          <w:szCs w:val="20"/>
          <w:color w:val="auto"/>
        </w:rPr>
      </w:pPr>
    </w:p>
    <w:p>
      <w:pPr>
        <w:ind w:right="160" w:firstLine="749"/>
        <w:spacing w:after="0" w:line="252" w:lineRule="auto"/>
        <w:rPr>
          <w:sz w:val="20"/>
          <w:szCs w:val="20"/>
          <w:color w:val="auto"/>
        </w:rPr>
      </w:pPr>
      <w:r>
        <w:rPr>
          <w:rFonts w:ascii="Arial" w:cs="Arial" w:eastAsia="Arial" w:hAnsi="Arial"/>
          <w:sz w:val="18"/>
          <w:szCs w:val="18"/>
          <w:color w:val="auto"/>
        </w:rPr>
        <w:t>In April 2024, we pledged an additional $13.8 million of our retained beneficial interest in the 2024-1 securitization transaction as collateral under the Risk Retention Financing Facility, and received proceeds of $13.7 million, with expected repurchase dates ranging from August 2026 to November 2029 at the initial closing date.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196"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UACC has four senior secured warehouse credit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$825.0 million with maturities between June 2025 and September 2025. As of March 31, 2024, outstanding borrowings related to the Warehouse Credit Facilities were $516.3 million and we were in compliance with all covenants under the terms of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9 — Warehouse Credit Facilities of Consolidated VIEs to our condensed consolidated financial statements included elsewhere in this Quarterly Report on Form 10-Q, for further discussion.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760" w:right="2940" w:firstLine="2129"/>
        <w:spacing w:after="0" w:line="535" w:lineRule="auto"/>
        <w:rPr>
          <w:sz w:val="20"/>
          <w:szCs w:val="20"/>
          <w:color w:val="auto"/>
        </w:rPr>
      </w:pPr>
      <w:r>
        <w:rPr>
          <w:rFonts w:ascii="Arial" w:cs="Arial" w:eastAsia="Arial" w:hAnsi="Arial"/>
          <w:sz w:val="17"/>
          <w:szCs w:val="17"/>
          <w:b w:val="1"/>
          <w:bCs w:val="1"/>
          <w:color w:val="auto"/>
        </w:rPr>
        <w:t xml:space="preserve">Cash Flows from Operating, Investing, and Financing Activities </w:t>
      </w:r>
      <w:r>
        <w:rPr>
          <w:rFonts w:ascii="Arial" w:cs="Arial" w:eastAsia="Arial" w:hAnsi="Arial"/>
          <w:sz w:val="17"/>
          <w:szCs w:val="17"/>
          <w:color w:val="auto"/>
        </w:rPr>
        <w:t>The following table summarizes our cash flows for the years ended March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r>
      <w:tr>
        <w:trPr>
          <w:trHeight w:val="185"/>
        </w:trPr>
        <w:tc>
          <w:tcPr>
            <w:tcW w:w="7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182"/>
        </w:trPr>
        <w:tc>
          <w:tcPr>
            <w:tcW w:w="76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r>
      <w:tr>
        <w:trPr>
          <w:trHeight w:val="182"/>
        </w:trPr>
        <w:tc>
          <w:tcPr>
            <w:tcW w:w="7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 from continuing operations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(75,043 )</w:t>
            </w:r>
          </w:p>
        </w:tc>
        <w:tc>
          <w:tcPr>
            <w:tcW w:w="80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(131,698 )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 from continuing operations</w:t>
            </w:r>
          </w:p>
        </w:tc>
        <w:tc>
          <w:tcPr>
            <w:tcW w:w="42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35,324</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51,197</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18,670</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84,461</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from discontinued operations</w:t>
            </w:r>
          </w:p>
        </w:tc>
        <w:tc>
          <w:tcPr>
            <w:tcW w:w="420" w:type="dxa"/>
            <w:vAlign w:val="bottom"/>
          </w:tcPr>
          <w:p>
            <w:pPr>
              <w:spacing w:after="0"/>
              <w:rPr>
                <w:sz w:val="19"/>
                <w:szCs w:val="19"/>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98,167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46,677</w:t>
            </w: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investing activities from discontinued operations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5,747</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(151,178 )</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(129,560 )</w:t>
            </w:r>
          </w:p>
        </w:tc>
      </w:tr>
      <w:tr>
        <w:trPr>
          <w:trHeight w:val="22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(68,313 )</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(83,302 )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208,819</w:t>
            </w: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472,010</w:t>
            </w:r>
          </w:p>
        </w:tc>
      </w:tr>
      <w:tr>
        <w:trPr>
          <w:trHeight w:val="26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140,506</w:t>
            </w:r>
          </w:p>
        </w:tc>
        <w:tc>
          <w:tcPr>
            <w:tcW w:w="1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388,708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1111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111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6"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Net cash flows used in operating activities from continuing operations decreased by $56.7 million, from $131.7 million for the three months ended March 31, 2023 to $75.0 million for the three months ended March 31, 2024. The decrease was primarily due an increase in principal payments received on finance receivables held for sale of $ 19.7 million, a $17.2 million improvement in net loss from continuing operations after reconciling adjustments, a $14.5 million decrease of originations of finance receivables held for sale, as a result of no longer originating loans for legacy Vroom customers, and changes in working capital of $6.7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6" w:lineRule="exact"/>
        <w:rPr>
          <w:sz w:val="20"/>
          <w:szCs w:val="20"/>
          <w:color w:val="auto"/>
        </w:rPr>
      </w:pPr>
    </w:p>
    <w:p>
      <w:pPr>
        <w:ind w:right="280" w:firstLine="761"/>
        <w:spacing w:after="0" w:line="246" w:lineRule="auto"/>
        <w:rPr>
          <w:sz w:val="20"/>
          <w:szCs w:val="20"/>
          <w:color w:val="auto"/>
        </w:rPr>
      </w:pPr>
      <w:r>
        <w:rPr>
          <w:rFonts w:ascii="Arial" w:cs="Arial" w:eastAsia="Arial" w:hAnsi="Arial"/>
          <w:sz w:val="18"/>
          <w:szCs w:val="18"/>
          <w:color w:val="auto"/>
        </w:rPr>
        <w:t>Net cash flows provided by investing activities from continuing operations decreased by $15.9 million, from $51.2 million for the three months ended March 31, 2023 to $35.3 million for the three months ended March 31, 2024. The decrease is primarily due the consolidation of the 2022-2 securitization transaction which resulted in a cash inflow of $11.4 million during the three months ended March 31, 2023 and a $6.7 million decrease in principal payments received on finance receivables at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Net cash flows provided by financing activities from continuing operations decreased $ 65.8 million, from $84.5 million for the three months ended March 31, 2023 to $18.7 million for the three months ended March 31, 2024. The change was primarily related to proceeds from borrowings under secured financing arrangements of $238.7 million related to the 2023-1 securitization transaction in the first quarter of 2023 and an increase in principal repayments under secured financing agreements of $30.9 million, primarily as a result of calling the 2021-1 securitization transaction in the first quarter of 2024. The changes were partially offset by an increase in net cash inflow of $200.5 million related to our Warehouse Credit Facilities, as the Warehouse Credit Facilities were paid down in the first quarter of 2023 following the 2031-1 securitization transaction.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right="200" w:firstLine="637"/>
        <w:spacing w:after="0" w:line="258"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p>
    <w:p>
      <w:pPr>
        <w:spacing w:after="0" w:line="155" w:lineRule="exact"/>
        <w:rPr>
          <w:sz w:val="20"/>
          <w:szCs w:val="20"/>
          <w:color w:val="auto"/>
        </w:rPr>
      </w:pPr>
    </w:p>
    <w:p>
      <w:pPr>
        <w:ind w:right="280" w:firstLine="637"/>
        <w:spacing w:after="0" w:line="252"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spacing w:after="0" w:line="157"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Except as described below, there have been no material changes to our critical accounting policies and estimates as compared to the critical accounting policies and estimates disclosed in our Annual Report on Form 10-K for the year ended December 31, 2023.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Finance Receivables</w:t>
      </w:r>
    </w:p>
    <w:p>
      <w:pPr>
        <w:spacing w:after="0" w:line="196"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The valuation of finance receivables at fair value is derived from an internally developed model that estimates the present value of future cash flows. We estimate the present value of these future cash flows using a valuation model consisting of internally developed estimates that rely on unobservable assumptions third-party market participants would use in determining fair value, including prepayment speed, default rate, recovery rate, and discount rates. All these assumptions are primarily based on historical performance. These valuation models are calculated by combining similarly priced loans and vintages to determine a stream of expected cash flows which are then discounted. The individual discounted pools of cash flows are then aggregated to determine the total expected discounted cash flows on the outstanding receivable at a given measurement period.</w:t>
      </w:r>
    </w:p>
    <w:p>
      <w:pPr>
        <w:spacing w:after="0" w:line="169" w:lineRule="exact"/>
        <w:rPr>
          <w:sz w:val="20"/>
          <w:szCs w:val="20"/>
          <w:color w:val="auto"/>
        </w:rPr>
      </w:pPr>
    </w:p>
    <w:p>
      <w:pPr>
        <w:ind w:right="420" w:firstLine="637"/>
        <w:spacing w:after="0" w:line="271" w:lineRule="auto"/>
        <w:rPr>
          <w:sz w:val="20"/>
          <w:szCs w:val="20"/>
          <w:color w:val="auto"/>
        </w:rPr>
      </w:pPr>
      <w:r>
        <w:rPr>
          <w:rFonts w:ascii="Arial" w:cs="Arial" w:eastAsia="Arial" w:hAnsi="Arial"/>
          <w:sz w:val="18"/>
          <w:szCs w:val="18"/>
          <w:color w:val="auto"/>
        </w:rPr>
        <w:t>The estimates for the aforementioned assumptions significantly affect the reported amount (and changes thereon) of our finance receivables at fair value on our consolidated balance sheets and condensed consolidated statements of operations.</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98" w:lineRule="exact"/>
        <w:rPr>
          <w:sz w:val="20"/>
          <w:szCs w:val="20"/>
          <w:color w:val="auto"/>
        </w:rPr>
      </w:pPr>
    </w:p>
    <w:p>
      <w:pPr>
        <w:ind w:right="80" w:firstLine="761"/>
        <w:spacing w:after="0" w:line="252" w:lineRule="auto"/>
        <w:rPr>
          <w:sz w:val="20"/>
          <w:szCs w:val="20"/>
          <w:color w:val="auto"/>
        </w:rPr>
      </w:pPr>
      <w:r>
        <w:rPr>
          <w:rFonts w:ascii="Arial" w:cs="Arial" w:eastAsia="Arial" w:hAnsi="Arial"/>
          <w:sz w:val="18"/>
          <w:szCs w:val="18"/>
          <w:color w:val="auto"/>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98" w:lineRule="exact"/>
        <w:rPr>
          <w:sz w:val="20"/>
          <w:szCs w:val="20"/>
          <w:color w:val="auto"/>
        </w:rPr>
      </w:pPr>
    </w:p>
    <w:p>
      <w:pPr>
        <w:ind w:right="120" w:firstLine="749"/>
        <w:spacing w:after="0" w:line="271"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98"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120" w:firstLine="761"/>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March 31, 2024.</w:t>
      </w:r>
    </w:p>
    <w:p>
      <w:pPr>
        <w:spacing w:after="0" w:line="157" w:lineRule="exact"/>
        <w:rPr>
          <w:sz w:val="20"/>
          <w:szCs w:val="20"/>
          <w:color w:val="auto"/>
        </w:rPr>
      </w:pPr>
    </w:p>
    <w:p>
      <w:pPr>
        <w:ind w:firstLine="761"/>
        <w:spacing w:after="0" w:line="271"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March 31, 2024,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ind w:right="640" w:firstLine="761"/>
        <w:spacing w:after="0" w:line="252"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quarterly period ended March 31, 2024, that has materially affected, or is reasonably likely to materially affect, our internal control over financial reporting.</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66" w:lineRule="exact"/>
        <w:rPr>
          <w:sz w:val="20"/>
          <w:szCs w:val="20"/>
          <w:color w:val="auto"/>
        </w:rPr>
      </w:pPr>
    </w:p>
    <w:p>
      <w:pPr>
        <w:ind w:right="40" w:firstLine="761"/>
        <w:spacing w:after="0" w:line="257"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53" w:lineRule="exact"/>
        <w:rPr>
          <w:sz w:val="20"/>
          <w:szCs w:val="20"/>
          <w:color w:val="auto"/>
        </w:rPr>
      </w:pPr>
    </w:p>
    <w:p>
      <w:pPr>
        <w:ind w:right="40" w:firstLine="761"/>
        <w:spacing w:after="0" w:line="257" w:lineRule="auto"/>
        <w:rPr>
          <w:sz w:val="20"/>
          <w:szCs w:val="20"/>
          <w:color w:val="auto"/>
        </w:rPr>
      </w:pPr>
      <w:r>
        <w:rPr>
          <w:rFonts w:ascii="Arial" w:cs="Arial" w:eastAsia="Arial" w:hAnsi="Arial"/>
          <w:sz w:val="17"/>
          <w:szCs w:val="17"/>
          <w:color w:val="auto"/>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spacing w:after="0" w:line="153"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On May 6, 2024, Vroom, Inc., and Vroom Automotive, LLC and the FTC reached an agreement to resolve the FTC’s allegations, subject to final approval by the FTC and the court. Under the agreement, the Company will pay a total of $1 million in customer redress and abide permanently by an injunction.</w:t>
      </w:r>
    </w:p>
    <w:p>
      <w:pPr>
        <w:spacing w:after="0" w:line="171"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vehicles. According to the petition, 80% of the customer complaints referenced in the petition were received in the 12 months prior to April 2022. The petition is captioned State of Texas v. Vroom Automotive LLC, and Vroom Inc., Case No. D -1-GN-001809. In May 2022, Vroom Automotive, LLC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w:t>
      </w:r>
    </w:p>
    <w:p>
      <w:pPr>
        <w:spacing w:after="0" w:line="171" w:lineRule="exact"/>
        <w:rPr>
          <w:sz w:val="20"/>
          <w:szCs w:val="20"/>
          <w:color w:val="auto"/>
        </w:rPr>
      </w:pPr>
    </w:p>
    <w:p>
      <w:pPr>
        <w:ind w:right="240" w:firstLine="761"/>
        <w:spacing w:after="0" w:line="241" w:lineRule="auto"/>
        <w:rPr>
          <w:sz w:val="20"/>
          <w:szCs w:val="20"/>
          <w:color w:val="auto"/>
        </w:rPr>
      </w:pPr>
      <w:r>
        <w:rPr>
          <w:rFonts w:ascii="Arial" w:cs="Arial" w:eastAsia="Arial" w:hAnsi="Arial"/>
          <w:sz w:val="18"/>
          <w:szCs w:val="18"/>
          <w:color w:val="auto"/>
        </w:rPr>
        <w:t>In August 2022, a plaintiff filed a putative class action lawsuit in the New York State Supreme Court against Vroom, Inc., and Vroom Automotive LLC as defendants, alleging, among other things, deficiencies in Vroom’s titling and registration of sold vehicles: Emely Reyes Martinez, on behalf of all others similarly situated, v. Vroom Automotive, LLC and Vroom Inc., No. 652684/2022. The Company removed the case to the U.S. District Court for the Southern District of New York (Case No. 22-cv-7631) and filed a motion to compel arbitration of all claims. In September 2023, Vroom’s motion to compel arbitration was granted, and the court action stayed pending the outcome of any arbitration proceeding over the plaintiff’s individual claims.</w:t>
      </w:r>
    </w:p>
    <w:p>
      <w:pPr>
        <w:spacing w:after="0" w:line="169"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disclosed under “Item 1A. Risk Factors” in our Annual Report. We provide below the material changes to our risk factors described in our Annual Report</w:t>
      </w:r>
      <w:r>
        <w:rPr>
          <w:rFonts w:ascii="Arial" w:cs="Arial" w:eastAsia="Arial" w:hAnsi="Arial"/>
          <w:sz w:val="18"/>
          <w:szCs w:val="18"/>
          <w:color w:val="0563C1"/>
        </w:rPr>
        <w:t>.</w:t>
      </w:r>
      <w:r>
        <w:rPr>
          <w:rFonts w:ascii="Arial" w:cs="Arial" w:eastAsia="Arial" w:hAnsi="Arial"/>
          <w:sz w:val="18"/>
          <w:szCs w:val="18"/>
          <w:color w:val="auto"/>
        </w:rPr>
        <w:t xml:space="preserve"> 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5"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There are risks associated with the discontinuance of our ecommerce operations and wind-down of our used vehicle dealership business.</w:t>
      </w:r>
    </w:p>
    <w:p>
      <w:pPr>
        <w:spacing w:after="0" w:line="125"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On January 22, 2024, we announced the Value Maximization Plan, pursuant to which we discontinued our ecommerce operations and wound down our used vehicle dealership business in order to preserve cash and maximize stakeholder value through our remaining businesses. As a result, we have incurred, and will continue to incur, costs including severance costs, inventory liquidation costs, contract and lease termination costs and non-cash asset impairments, and such costs are expected to exceed any cash we generate on the liquidation of assets. The Company estimates that it will incur total cash charges during 2024 of approximately $16.4 million for severance and other personnel-related costs, with $14.7 million incurred during the three months ended March 31, 2024, and approximately $14.3 million in contract and lease termination costs, with $11.9 million settled during the three months ended March 31, 2024. The actual amount of wind down, transition and impairment charges may materially exceed our estimates, due to various factors, many of which are outside of our control, including the outcomes of discussions and negotiations (a number of which are currently ongoing) with the counterparties to the contracts and leases we intend to terminate or modify. In addition, because of uncertainties with respect to our wind-down plan (including those described above), we may not be able to realize the anticipated benefits of or complete the wind-down in the expected timeframe, on the terms or in the manner we expect, and the costs incurred in connection with such wind-down activities may exceed our estimates. If the time to complete the wind-down takes longer than expected, or the actual costs or impairment charges exceed our estimates, the Company’s business, operational results, financial position and cash flows could be adversely affected.</w:t>
      </w:r>
    </w:p>
    <w:p>
      <w:pPr>
        <w:spacing w:after="0" w:line="172" w:lineRule="exact"/>
        <w:rPr>
          <w:sz w:val="20"/>
          <w:szCs w:val="20"/>
          <w:color w:val="auto"/>
        </w:rPr>
      </w:pPr>
    </w:p>
    <w:p>
      <w:pPr>
        <w:ind w:right="480" w:firstLine="749"/>
        <w:spacing w:after="0" w:line="271" w:lineRule="auto"/>
        <w:rPr>
          <w:sz w:val="20"/>
          <w:szCs w:val="20"/>
          <w:color w:val="auto"/>
        </w:rPr>
      </w:pPr>
      <w:r>
        <w:rPr>
          <w:rFonts w:ascii="Arial" w:cs="Arial" w:eastAsia="Arial" w:hAnsi="Arial"/>
          <w:sz w:val="18"/>
          <w:szCs w:val="18"/>
          <w:color w:val="auto"/>
        </w:rPr>
        <w:t>The purpose of the Value Maximization Plan was to wind-down our ecommerce operations, which were not profitable and had significant cash burn, in order to preserve cash and enable us to maximize stakeholder value through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remaining businesses, UACC and CarStory. As of March 31, 2024, we had cash and cash equivalents of approximately $91.0 million. Given our wind-down expenses, including employee severance costs, our ongoing operating expenses and recent losses at UACC, there can be no assurance that we will succeed in growing and enhancing the profitability of UACC and CarStory and create meaningful stakeholder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announced wind-down involves further risks, including:</w:t>
      </w:r>
    </w:p>
    <w:p>
      <w:pPr>
        <w:spacing w:after="0" w:line="103"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retain qualified personnel necessary to achieve our goals for UACC and CarStory;</w:t>
      </w:r>
    </w:p>
    <w:p>
      <w:pPr>
        <w:spacing w:after="0" w:line="115" w:lineRule="exact"/>
        <w:rPr>
          <w:rFonts w:ascii="Times New Roman" w:cs="Times New Roman" w:eastAsia="Times New Roman" w:hAnsi="Times New Roman"/>
          <w:sz w:val="18"/>
          <w:szCs w:val="18"/>
          <w:color w:val="auto"/>
        </w:rPr>
      </w:pPr>
    </w:p>
    <w:p>
      <w:pPr>
        <w:ind w:left="1020" w:right="880" w:hanging="504"/>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disruption of the operations of the rest of our businesses and diversion of management’s attention from such businesses and operations;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unknown, contingent or other liabilities, including litigation arising in connection with the wind-down;</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negative impact on our business relationships, including but not limited to potential relationships with our customers, suppliers, vendors, licensees and employees; and</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unintended negative consequences from changes to our business.</w:t>
      </w:r>
    </w:p>
    <w:p>
      <w:pPr>
        <w:spacing w:after="0" w:line="210" w:lineRule="exact"/>
        <w:rPr>
          <w:sz w:val="20"/>
          <w:szCs w:val="20"/>
          <w:color w:val="auto"/>
        </w:rPr>
      </w:pPr>
    </w:p>
    <w:p>
      <w:pPr>
        <w:ind w:right="80" w:firstLine="749"/>
        <w:spacing w:after="0" w:line="246" w:lineRule="auto"/>
        <w:rPr>
          <w:sz w:val="20"/>
          <w:szCs w:val="20"/>
          <w:color w:val="auto"/>
        </w:rPr>
      </w:pPr>
      <w:r>
        <w:rPr>
          <w:rFonts w:ascii="Arial" w:cs="Arial" w:eastAsia="Arial" w:hAnsi="Arial"/>
          <w:sz w:val="18"/>
          <w:szCs w:val="18"/>
          <w:color w:val="auto"/>
        </w:rPr>
        <w:t>If any of these or other factors impair our ability to successfully implement the wind-down, we may not be able to realize other business opportunities as we may be required to spend additional time and incur additional expense relating to the wind-down that otherwise would be used on the development, expansion and profitability of our other businesses, which could adversely impact our business, operational results, financial position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generate sufficient liquidity to operate our business.</w:t>
      </w:r>
    </w:p>
    <w:p>
      <w:pPr>
        <w:spacing w:after="0" w:line="196" w:lineRule="exact"/>
        <w:rPr>
          <w:sz w:val="20"/>
          <w:szCs w:val="20"/>
          <w:color w:val="auto"/>
        </w:rPr>
      </w:pPr>
    </w:p>
    <w:p>
      <w:pPr>
        <w:ind w:right="40" w:firstLine="749"/>
        <w:spacing w:after="0" w:line="237" w:lineRule="auto"/>
        <w:rPr>
          <w:sz w:val="20"/>
          <w:szCs w:val="20"/>
          <w:color w:val="auto"/>
        </w:rPr>
      </w:pPr>
      <w:r>
        <w:rPr>
          <w:rFonts w:ascii="Arial" w:cs="Arial" w:eastAsia="Arial" w:hAnsi="Arial"/>
          <w:sz w:val="18"/>
          <w:szCs w:val="18"/>
          <w:color w:val="auto"/>
        </w:rPr>
        <w:t>As of March 31, 2024, we had cash and cash equivalents of approximately $91.0 million. We expect to use our cash and cash equivalents to finance our future capital requirements and UACC’s four senior secured warehouse facility agreements (the “Warehouse Credit Facilities”) to fund our finance receivables. Certain advance rates available to UACC on borrowings from the Warehouse Credit Facilities have decreased as a result of the increasing credit losses in UACC's portfolio and overall higher interest rates. Any future decreases on available advance rates may have an adverse impact on our liquidity. If we are unable to maintain the Warehouse Credit Facilities, all of which expire on varying dates in 2025, absent renewal, on favorable terms or at all, or if they are terminated or expire and are not renewed or we are unable to find a satisfactory replacement, we may be unable to fund our finance receivables, and our business, operational results, financial position and cash flows would be adversely affected. In addition, in April 2024, UACC sold approximately $262.5 million of rated asset-backed securities in an auto loan securitization transaction from a securitization trust, established and sponsored by UACC for proceeds of $261.3 million. The trust is collateralized by finance receivables with an aggregate principal balance of $380.1 million. These finance receivables are serviced by UACC. As a result of market conditions, which led to unfavorable pricing, UACC retained the Class E non-investment grade securities and residual interests, which will require us to account for the 2024-1 securitization as secured borrowings and remain on balance sheet pending the sale of such retained interests. In May 2024, UACC sold approximately $37.5 million of Class E non-investment grade securities that were initially retained for proceeds of $35.9 million.</w:t>
      </w:r>
    </w:p>
    <w:p>
      <w:pPr>
        <w:spacing w:after="0" w:line="172" w:lineRule="exact"/>
        <w:rPr>
          <w:sz w:val="20"/>
          <w:szCs w:val="20"/>
          <w:color w:val="auto"/>
        </w:rPr>
      </w:pPr>
    </w:p>
    <w:p>
      <w:pPr>
        <w:ind w:right="80" w:firstLine="749"/>
        <w:spacing w:after="0" w:line="254" w:lineRule="auto"/>
        <w:rPr>
          <w:sz w:val="20"/>
          <w:szCs w:val="20"/>
          <w:color w:val="auto"/>
        </w:rPr>
      </w:pPr>
      <w:r>
        <w:rPr>
          <w:rFonts w:ascii="Arial" w:cs="Arial" w:eastAsia="Arial" w:hAnsi="Arial"/>
          <w:sz w:val="17"/>
          <w:szCs w:val="17"/>
          <w:color w:val="auto"/>
        </w:rPr>
        <w:t>UACC and CarStory both incurred losses in the first quarter of 2024. We cannot assure you that we will generate sufficient revenue to offset the cost of maintaining our remaining operations, including significant accounting, legal, administrative and other costs associated with being a public company, and to service the interest and repay the outstanding Convertible Senior Notes due 2026 (the "Notes") when due. Our revenue growth may be adversely affected by our inability to grow and develop the UACC and CarStory businesses; weakness in the automotive retail industry generally; general economic conditions, including high interest rates and inflation; global pandemics and other public health emergencies; and increasing competition. Our historical revenue growth is not indicative of our future performance, particularly given the wind-down of our ecommerce business. If we are unable to grow and develop the UACC and CarStory businesses and generate sufficient revenue, our business, financial condition and results of operations will be materially and adversely affected. Additionally, our cash needs may increase in the future as we focus on growing and developing the UACC and CarStory businesses.</w:t>
      </w:r>
    </w:p>
    <w:p>
      <w:pPr>
        <w:spacing w:after="0" w:line="161"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In addition to our ongoing cash requirements, our liquidity will also be used to fund costs related to the wind-down of our ecommerce operations, primarily severance and early contract and lease termination payments. Such payments could be significant and have a material effect on our cash flows from operations. Our future capital requirements will depend on many factors, including our available advance rates on the Warehouse Credit Facilities, our ability to complete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additional securitization transactions on terms favorable to us, and our future credit losses. We have no significant debt maturities due until July 2026 and the payments on our securitization debt are funded by cashflows on the finance receivables within the securitization trusts. However, there can be no assurance that our liquidity will be sufficient to achieve the objectives of our Value Maximization Plan.</w:t>
      </w:r>
    </w:p>
    <w:p>
      <w:pPr>
        <w:spacing w:after="0" w:line="159"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integrate and attract qualified personnel, our ability to develop and successfully grow our business could be harmed.</w:t>
      </w:r>
    </w:p>
    <w:p>
      <w:pPr>
        <w:spacing w:after="0" w:line="125" w:lineRule="exact"/>
        <w:rPr>
          <w:sz w:val="20"/>
          <w:szCs w:val="20"/>
          <w:color w:val="auto"/>
        </w:rPr>
      </w:pPr>
    </w:p>
    <w:p>
      <w:pPr>
        <w:ind w:firstLine="749"/>
        <w:spacing w:after="0" w:line="236"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 future vision, and strategic direction, including as we realign our business in accordance with the Value Maximization Plan. On February 29, 2024, James G. Vagim, III, UACC's Co-President and Chief Executive Officer, and Ravi Gandhi, UACC's Co-President and Chief Financial Officer stepped down. The Company's Chief Executive Officer, Tom Shortt succeeded Mr. Vagim as President and Chief Executive Officer of UACC, and the Company's Vice President of Investor Relations and Financial Planning &amp; Analysis, Jon Sandison, succeeded Mr. Gandhi as UACC's Chief Financial Officer. In addition, effective May 17, 2024 (the "CFO Transition Date"), Robert R. Krakowiak will cease his service as Chief Financial Officer, Treasurer and principal financial officer of the Company. On May 6, 2024, the Board appointed Mr. Krakowiak as a member of the board of directors (the “Board”) of the Company, and as Vice Chair of the Board, in each case effective as of the CFO Transition Date, for a term ending at the Company's 2024 Annual Meeting of Stockholders (the "Annual Meeting"), where the Board has nominated him for re-election by our stockholders. On the CFO Transition Date, the Company's Senior Vice President and principal accounting officer, Agnieszka Zakowicz, will succeed Mr. Krakowiak as the Company's Chief Financial Officer, Treasurer and principal financial officer and will retain her role as principal accounting officer. Also effective on the CFO Transition Date, C. Denise Stott will step down as the Company's Chief People &amp; Culture Officer. Our future performance will depend, in part, on the successful transition of these positions and any other key management positions that may experience turnover in the future. We heavily rely on the continued service and performance of our senior management team, which provides leadership, contributes to the core areas of our business and helps us to efficiently execute our business, including with respect to strategic initiatives such as our Value Maximization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174" w:lineRule="exact"/>
        <w:rPr>
          <w:sz w:val="20"/>
          <w:szCs w:val="20"/>
          <w:color w:val="auto"/>
        </w:rPr>
      </w:pPr>
    </w:p>
    <w:p>
      <w:pPr>
        <w:ind w:right="40" w:firstLine="749"/>
        <w:spacing w:after="0" w:line="236" w:lineRule="auto"/>
        <w:rPr>
          <w:sz w:val="20"/>
          <w:szCs w:val="20"/>
          <w:color w:val="auto"/>
        </w:rPr>
      </w:pPr>
      <w:r>
        <w:rPr>
          <w:rFonts w:ascii="Arial" w:cs="Arial" w:eastAsia="Arial" w:hAnsi="Arial"/>
          <w:sz w:val="18"/>
          <w:szCs w:val="18"/>
          <w:color w:val="auto"/>
        </w:rPr>
        <w:t>In addition, we issue equity awards to certain of our employees as part of our hiring and retention efforts, and job candidates and existing employees often consider the value of the equity awards they receive in connection with their employment. Our employees’ ability to sell their shares in the public market at times and/or at prices desired may lead to a larger than normal turnover rate. The market value of our common stock has declined significantly. If the actual or perceived value of our common stock does not recover, or if our common stock is delisted from the Nasdaq Global Select Market, it may adversely affect our ability to hire or retain employees. See “Risk Factors —We may be unable to satisfy a continued listing rule from the Nasdaq” in our Annual Report on Form 10-K for the year ended December 31, 2023. In addition, we may periodically change our equity compensation practices, which may include reducing the number of employees eligible for equity awards or reducing the size or value of equity awards granted per employee or undertaking other efforts that may prove to be an unsuccessful retention mechanism. For instance, on April 27, 2024, our Board of Directors adopted, subject to stockholder approval at the Annual Meeting, an amendment to the Company’s 2020 Incentive Award Plan (the “2020 Plan”) to (i) increase the number of shares of our common stock authorized for issuance under the 2020 Plan by 350,000 shares and (ii) correspondingly increase by 350,000 shares the limit on the number of shares that can be issued under the 2020 Plan pursuant to the exercise of “incentive stock options.” The purpose of the proposed amendment is to ensure the Company has a sufficient reserve of shares available to attract, retain and motivate selected employees, consultants and directors who are essential to the Company’s long-term growth while preserving cash, particularly in light of the goals of the Value Maximization Plan. If we are unable to make meaningful equity awards to our employees or directors, including if stockholders do not approve the proposed amendment to the 2020 Plan and we do not have sufficient shares of our common stock authorized for issuance to make equity awards, or otherwise fail to attract, integrate, or retain the qualified and highly skilled personnel required to fulfill our current or future needs, our business and future growth prospects could be harmed.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Furthermore, in light of the reduction in headcount as part of our Value Maximization Plan,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particularly in light of the discontinuance of our ecommerce business and wind-down of our used vehicle dealership business. If we do not succeed in retaining and motivating existing employees or attracting well-qualified employees in the future, our business, financial condition and results of operations could be materially and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ind w:left="760" w:right="5520" w:hanging="752"/>
        <w:spacing w:after="0" w:line="469" w:lineRule="auto"/>
        <w:tabs>
          <w:tab w:leader="none" w:pos="28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Disclosure in lieu of reporting on a Current Report on Form 8-K. </w:t>
      </w:r>
      <w:r>
        <w:rPr>
          <w:rFonts w:ascii="Arial" w:cs="Arial" w:eastAsia="Arial" w:hAnsi="Arial"/>
          <w:sz w:val="18"/>
          <w:szCs w:val="18"/>
          <w:color w:val="auto"/>
        </w:rPr>
        <w:t>None.</w:t>
      </w: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changes to the procedures by which security holders may recommend nominees to the board of directors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Insider Trading Arrangements and Policies</w:t>
      </w:r>
    </w:p>
    <w:p>
      <w:pPr>
        <w:spacing w:after="0" w:line="198" w:lineRule="exact"/>
        <w:rPr>
          <w:sz w:val="20"/>
          <w:szCs w:val="20"/>
          <w:color w:val="auto"/>
        </w:rPr>
      </w:pPr>
    </w:p>
    <w:p>
      <w:pPr>
        <w:ind w:right="40" w:firstLine="749"/>
        <w:spacing w:after="0" w:line="271" w:lineRule="auto"/>
        <w:rPr>
          <w:sz w:val="20"/>
          <w:szCs w:val="20"/>
          <w:color w:val="auto"/>
        </w:rPr>
      </w:pPr>
      <w:r>
        <w:rPr>
          <w:rFonts w:ascii="Arial" w:cs="Arial" w:eastAsia="Arial" w:hAnsi="Arial"/>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240" w:type="dxa"/>
            <w:vAlign w:val="bottom"/>
            <w:gridSpan w:val="13"/>
          </w:tcPr>
          <w:p>
            <w:pPr>
              <w:ind w:left="940"/>
              <w:spacing w:after="0"/>
              <w:rPr>
                <w:sz w:val="20"/>
                <w:szCs w:val="20"/>
                <w:color w:val="auto"/>
              </w:rPr>
            </w:pPr>
            <w:r>
              <w:rPr>
                <w:rFonts w:ascii="Arial" w:cs="Arial" w:eastAsia="Arial" w:hAnsi="Arial"/>
                <w:sz w:val="14"/>
                <w:szCs w:val="14"/>
                <w:b w:val="1"/>
                <w:bCs w:val="1"/>
                <w:color w:val="212529"/>
              </w:rPr>
              <w:t>Exhibit Description</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212529"/>
              </w:rPr>
              <w:t>Form</w:t>
            </w:r>
          </w:p>
        </w:tc>
        <w:tc>
          <w:tcPr>
            <w:tcW w:w="120" w:type="dxa"/>
            <w:vAlign w:val="bottom"/>
          </w:tcPr>
          <w:p>
            <w:pPr>
              <w:spacing w:after="0"/>
              <w:rPr>
                <w:sz w:val="14"/>
                <w:szCs w:val="14"/>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85"/>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3240" w:type="dxa"/>
            <w:vAlign w:val="bottom"/>
            <w:gridSpan w:val="13"/>
          </w:tcPr>
          <w:p>
            <w:pPr>
              <w:spacing w:after="0"/>
              <w:rPr>
                <w:rFonts w:ascii="Arial" w:cs="Arial" w:eastAsia="Arial" w:hAnsi="Arial"/>
                <w:sz w:val="18"/>
                <w:szCs w:val="18"/>
                <w:color w:val="0000FF"/>
              </w:rPr>
            </w:pPr>
            <w:hyperlink r:id="rId543">
              <w:r>
                <w:rPr>
                  <w:rFonts w:ascii="Arial" w:cs="Arial" w:eastAsia="Arial" w:hAnsi="Arial"/>
                  <w:sz w:val="18"/>
                  <w:szCs w:val="18"/>
                  <w:color w:val="0000FF"/>
                </w:rPr>
                <w:t>Agreement and Plan of Merger, dated</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8"/>
              </w:rPr>
            </w:pPr>
            <w:hyperlink r:id="rId543">
              <w:r>
                <w:rPr>
                  <w:rFonts w:ascii="Arial" w:cs="Arial" w:eastAsia="Arial" w:hAnsi="Arial"/>
                  <w:sz w:val="18"/>
                  <w:szCs w:val="18"/>
                  <w:color w:val="0000FF"/>
                  <w:w w:val="98"/>
                </w:rPr>
                <w:t>as of October 11, 2021, by and among</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gridSpan w:val="11"/>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Vroom, Inc., Vroom Finance</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tcBorders>
              <w:top w:val="single" w:sz="8" w:color="0000FF"/>
            </w:tcBorders>
            <w:gridSpan w:val="5"/>
          </w:tcPr>
          <w:p>
            <w:pPr>
              <w:spacing w:after="0" w:line="182" w:lineRule="exact"/>
              <w:rPr>
                <w:rFonts w:ascii="Arial" w:cs="Arial" w:eastAsia="Arial" w:hAnsi="Arial"/>
                <w:sz w:val="18"/>
                <w:szCs w:val="18"/>
                <w:color w:val="0000FF"/>
                <w:w w:val="97"/>
              </w:rPr>
            </w:pPr>
            <w:hyperlink r:id="rId543">
              <w:r>
                <w:rPr>
                  <w:rFonts w:ascii="Arial" w:cs="Arial" w:eastAsia="Arial" w:hAnsi="Arial"/>
                  <w:sz w:val="18"/>
                  <w:szCs w:val="18"/>
                  <w:color w:val="0000FF"/>
                  <w:w w:val="97"/>
                </w:rPr>
                <w:t>Corporation, Unitas Holdings</w:t>
              </w:r>
            </w:hyperlink>
          </w:p>
        </w:tc>
        <w:tc>
          <w:tcPr>
            <w:tcW w:w="980" w:type="dxa"/>
            <w:vAlign w:val="bottom"/>
            <w:gridSpan w:val="8"/>
          </w:tcPr>
          <w:p>
            <w:pPr>
              <w:ind w:left="80"/>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Corp. and</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Fortis Advisors LLC, solely in its</w:t>
              </w:r>
            </w:hyperlink>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capacity as the equityholders'</w:t>
              </w:r>
            </w:hyperlink>
          </w:p>
        </w:tc>
        <w:tc>
          <w:tcPr>
            <w:tcW w:w="4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543">
              <w:r>
                <w:rPr>
                  <w:rFonts w:ascii="Arial" w:cs="Arial" w:eastAsia="Arial" w:hAnsi="Arial"/>
                  <w:sz w:val="18"/>
                  <w:szCs w:val="18"/>
                  <w:color w:val="0000FF"/>
                </w:rPr>
                <w:t>representative</w:t>
              </w:r>
            </w:hyperlink>
          </w:p>
        </w:tc>
        <w:tc>
          <w:tcPr>
            <w:tcW w:w="6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3240" w:type="dxa"/>
            <w:vAlign w:val="bottom"/>
            <w:gridSpan w:val="13"/>
          </w:tcPr>
          <w:p>
            <w:pPr>
              <w:spacing w:after="0"/>
              <w:rPr>
                <w:rFonts w:ascii="Arial" w:cs="Arial" w:eastAsia="Arial" w:hAnsi="Arial"/>
                <w:sz w:val="18"/>
                <w:szCs w:val="18"/>
                <w:color w:val="0000FF"/>
              </w:rPr>
            </w:pPr>
            <w:hyperlink r:id="rId544">
              <w:r>
                <w:rPr>
                  <w:rFonts w:ascii="Arial" w:cs="Arial" w:eastAsia="Arial" w:hAnsi="Arial"/>
                  <w:sz w:val="18"/>
                  <w:szCs w:val="18"/>
                  <w:color w:val="0000FF"/>
                </w:rPr>
                <w:t>Amended and Restated Certificate of</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8"/>
          </w:tcPr>
          <w:p>
            <w:pPr>
              <w:spacing w:after="0" w:line="182" w:lineRule="exact"/>
              <w:rPr>
                <w:rFonts w:ascii="Arial" w:cs="Arial" w:eastAsia="Arial" w:hAnsi="Arial"/>
                <w:sz w:val="18"/>
                <w:szCs w:val="18"/>
                <w:color w:val="0000FF"/>
              </w:rPr>
            </w:pPr>
            <w:hyperlink r:id="rId544">
              <w:r>
                <w:rPr>
                  <w:rFonts w:ascii="Arial" w:cs="Arial" w:eastAsia="Arial" w:hAnsi="Arial"/>
                  <w:sz w:val="18"/>
                  <w:szCs w:val="18"/>
                  <w:color w:val="0000FF"/>
                </w:rPr>
                <w:t>Incorporation of Vroom, Inc.</w:t>
              </w:r>
            </w:hyperlink>
          </w:p>
        </w:tc>
        <w:tc>
          <w:tcPr>
            <w:tcW w:w="100" w:type="dxa"/>
            <w:vAlign w:val="bottom"/>
            <w:gridSpan w:val="2"/>
            <w:vMerge w:val="continue"/>
          </w:tcPr>
          <w:p>
            <w:pPr>
              <w:spacing w:after="0"/>
              <w:rPr>
                <w:sz w:val="15"/>
                <w:szCs w:val="15"/>
                <w:color w:val="auto"/>
              </w:rPr>
            </w:pPr>
          </w:p>
        </w:tc>
        <w:tc>
          <w:tcPr>
            <w:tcW w:w="1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180" w:type="dxa"/>
            <w:vAlign w:val="bottom"/>
            <w:tcBorders>
              <w:right w:val="single" w:sz="8" w:color="0000EE"/>
            </w:tcBorders>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360" w:type="dxa"/>
            <w:vAlign w:val="bottom"/>
            <w:gridSpan w:val="2"/>
            <w:vMerge w:val="restart"/>
          </w:tcPr>
          <w:p>
            <w:pPr>
              <w:jc w:val="center"/>
              <w:ind w:left="11"/>
              <w:spacing w:after="0"/>
              <w:rPr>
                <w:sz w:val="20"/>
                <w:szCs w:val="20"/>
                <w:color w:val="auto"/>
              </w:rPr>
            </w:pPr>
            <w:r>
              <w:rPr>
                <w:rFonts w:ascii="Arial" w:cs="Arial" w:eastAsia="Arial" w:hAnsi="Arial"/>
                <w:sz w:val="17"/>
                <w:szCs w:val="17"/>
                <w:color w:val="auto"/>
              </w:rPr>
              <w:t>001-39315</w:t>
            </w: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line="20" w:lineRule="exact"/>
              <w:rPr>
                <w:sz w:val="1"/>
                <w:szCs w:val="1"/>
                <w:color w:val="auto"/>
              </w:rPr>
            </w:pPr>
          </w:p>
        </w:tc>
        <w:tc>
          <w:tcPr>
            <w:tcW w:w="1720" w:type="dxa"/>
            <w:vAlign w:val="bottom"/>
            <w:vMerge w:val="restart"/>
          </w:tcPr>
          <w:p>
            <w:pPr>
              <w:jc w:val="center"/>
              <w:spacing w:after="0"/>
              <w:rPr>
                <w:sz w:val="20"/>
                <w:szCs w:val="20"/>
                <w:color w:val="auto"/>
              </w:rPr>
            </w:pPr>
            <w:r>
              <w:rPr>
                <w:rFonts w:ascii="Arial" w:cs="Arial" w:eastAsia="Arial" w:hAnsi="Arial"/>
                <w:sz w:val="17"/>
                <w:szCs w:val="17"/>
                <w:color w:val="auto"/>
              </w:rPr>
              <w:t>February 14, 2024</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13"/>
          </w:tcPr>
          <w:p>
            <w:pPr>
              <w:spacing w:after="0"/>
              <w:rPr>
                <w:rFonts w:ascii="Arial" w:cs="Arial" w:eastAsia="Arial" w:hAnsi="Arial"/>
                <w:sz w:val="18"/>
                <w:szCs w:val="18"/>
                <w:color w:val="0000FF"/>
              </w:rPr>
            </w:pPr>
            <w:hyperlink r:id="rId545">
              <w:r>
                <w:rPr>
                  <w:rFonts w:ascii="Arial" w:cs="Arial" w:eastAsia="Arial" w:hAnsi="Arial"/>
                  <w:sz w:val="18"/>
                  <w:szCs w:val="18"/>
                  <w:color w:val="0000FF"/>
                </w:rPr>
                <w:t>Certificate of Amendment of Amended</w:t>
              </w:r>
            </w:hyperlink>
          </w:p>
        </w:tc>
        <w:tc>
          <w:tcPr>
            <w:tcW w:w="2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7"/>
            <w:shd w:val="clear" w:color="auto" w:fill="0000FF"/>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10"/>
          </w:tcPr>
          <w:p>
            <w:pPr>
              <w:spacing w:after="0" w:line="182" w:lineRule="exact"/>
              <w:rPr>
                <w:rFonts w:ascii="Arial" w:cs="Arial" w:eastAsia="Arial" w:hAnsi="Arial"/>
                <w:sz w:val="18"/>
                <w:szCs w:val="18"/>
                <w:color w:val="0000FF"/>
              </w:rPr>
            </w:pPr>
            <w:hyperlink r:id="rId545">
              <w:r>
                <w:rPr>
                  <w:rFonts w:ascii="Arial" w:cs="Arial" w:eastAsia="Arial" w:hAnsi="Arial"/>
                  <w:sz w:val="18"/>
                  <w:szCs w:val="18"/>
                  <w:color w:val="0000FF"/>
                </w:rPr>
                <w:t>and Restated Certificate</w:t>
              </w:r>
            </w:hyperlink>
          </w:p>
        </w:tc>
        <w:tc>
          <w:tcPr>
            <w:tcW w:w="1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2"/>
          </w:tcPr>
          <w:p>
            <w:pPr>
              <w:jc w:val="right"/>
              <w:ind w:right="828"/>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91" w:lineRule="exact"/>
        <w:rPr>
          <w:sz w:val="20"/>
          <w:szCs w:val="20"/>
          <w:color w:val="auto"/>
        </w:rPr>
      </w:pPr>
    </w:p>
    <w:p>
      <w:pPr>
        <w:ind w:left="960"/>
        <w:spacing w:after="0"/>
        <w:rPr>
          <w:rFonts w:ascii="Arial" w:cs="Arial" w:eastAsia="Arial" w:hAnsi="Arial"/>
          <w:sz w:val="18"/>
          <w:szCs w:val="18"/>
          <w:u w:val="single" w:color="auto"/>
          <w:color w:val="0000FF"/>
        </w:rPr>
      </w:pPr>
      <w:hyperlink r:id="rId545">
        <w:r>
          <w:rPr>
            <w:rFonts w:ascii="Arial" w:cs="Arial" w:eastAsia="Arial" w:hAnsi="Arial"/>
            <w:sz w:val="18"/>
            <w:szCs w:val="18"/>
            <w:u w:val="single" w:color="auto"/>
            <w:color w:val="0000FF"/>
          </w:rPr>
          <w:t>of Incorporation of Vroom, Inc., dated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-7620</wp:posOffset>
            </wp:positionV>
            <wp:extent cx="19113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ind w:left="960"/>
        <w:spacing w:after="0"/>
        <w:rPr>
          <w:rFonts w:ascii="Arial" w:cs="Arial" w:eastAsia="Arial" w:hAnsi="Arial"/>
          <w:sz w:val="18"/>
          <w:szCs w:val="18"/>
          <w:u w:val="single" w:color="auto"/>
          <w:color w:val="0000FF"/>
        </w:rPr>
      </w:pPr>
      <w:hyperlink r:id="rId545">
        <w:r>
          <w:rPr>
            <w:rFonts w:ascii="Arial" w:cs="Arial" w:eastAsia="Arial" w:hAnsi="Arial"/>
            <w:sz w:val="18"/>
            <w:szCs w:val="18"/>
            <w:u w:val="single" w:color="auto"/>
            <w:color w:val="0000FF"/>
          </w:rPr>
          <w:t>February 13,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-19050</wp:posOffset>
            </wp:positionV>
            <wp:extent cx="96393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color w:val="auto"/>
              </w:rPr>
              <w:t>3.3</w:t>
            </w:r>
          </w:p>
        </w:tc>
        <w:tc>
          <w:tcPr>
            <w:tcW w:w="3240" w:type="dxa"/>
            <w:vAlign w:val="bottom"/>
            <w:gridSpan w:val="30"/>
          </w:tcPr>
          <w:p>
            <w:pPr>
              <w:spacing w:after="0"/>
              <w:rPr>
                <w:rFonts w:ascii="Arial" w:cs="Arial" w:eastAsia="Arial" w:hAnsi="Arial"/>
                <w:sz w:val="18"/>
                <w:szCs w:val="18"/>
                <w:color w:val="0000FF"/>
              </w:rPr>
            </w:pPr>
            <w:hyperlink r:id="rId551">
              <w:r>
                <w:rPr>
                  <w:rFonts w:ascii="Arial" w:cs="Arial" w:eastAsia="Arial" w:hAnsi="Arial"/>
                  <w:sz w:val="18"/>
                  <w:szCs w:val="18"/>
                  <w:color w:val="0000FF"/>
                </w:rPr>
                <w:t>Amended and Restated Bylaws of</w:t>
              </w:r>
            </w:hyperlink>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3640" w:type="dxa"/>
            <w:vAlign w:val="bottom"/>
          </w:tcPr>
          <w:p>
            <w:pPr>
              <w:ind w:left="340"/>
              <w:spacing w:after="0"/>
              <w:rPr>
                <w:sz w:val="20"/>
                <w:szCs w:val="20"/>
                <w:color w:val="auto"/>
              </w:rPr>
            </w:pPr>
            <w:r>
              <w:rPr>
                <w:rFonts w:ascii="Arial" w:cs="Arial" w:eastAsia="Arial" w:hAnsi="Arial"/>
                <w:sz w:val="18"/>
                <w:szCs w:val="18"/>
                <w:color w:val="auto"/>
              </w:rPr>
              <w:t>August 13, 2020</w:t>
            </w:r>
          </w:p>
        </w:tc>
      </w:tr>
      <w:tr>
        <w:trPr>
          <w:trHeight w:val="182"/>
        </w:trPr>
        <w:tc>
          <w:tcPr>
            <w:tcW w:w="98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5"/>
              </w:rPr>
            </w:pPr>
            <w:hyperlink r:id="rId551">
              <w:r>
                <w:rPr>
                  <w:rFonts w:ascii="Arial" w:cs="Arial" w:eastAsia="Arial" w:hAnsi="Arial"/>
                  <w:sz w:val="18"/>
                  <w:szCs w:val="18"/>
                  <w:color w:val="0000FF"/>
                  <w:w w:val="95"/>
                </w:rPr>
                <w:t>Vroom, Inc.</w:t>
              </w:r>
            </w:hyperlink>
          </w:p>
        </w:tc>
        <w:tc>
          <w:tcPr>
            <w:tcW w:w="20" w:type="dxa"/>
            <w:vAlign w:val="bottom"/>
            <w:tcBorders>
              <w:top w:val="single" w:sz="8" w:color="0000FF"/>
              <w:bottom w:val="single" w:sz="8" w:color="0000EE"/>
            </w:tcBorders>
          </w:tcPr>
          <w:p>
            <w:pPr>
              <w:spacing w:after="0"/>
              <w:rPr>
                <w:sz w:val="15"/>
                <w:szCs w:val="15"/>
                <w:color w:val="auto"/>
              </w:rPr>
            </w:pPr>
          </w:p>
        </w:tc>
        <w:tc>
          <w:tcPr>
            <w:tcW w:w="1840" w:type="dxa"/>
            <w:vAlign w:val="bottom"/>
            <w:tcBorders>
              <w:top w:val="single" w:sz="8" w:color="0000FF"/>
            </w:tcBorders>
            <w:gridSpan w:val="8"/>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4.1</w:t>
            </w:r>
          </w:p>
        </w:tc>
        <w:tc>
          <w:tcPr>
            <w:tcW w:w="3240" w:type="dxa"/>
            <w:vAlign w:val="bottom"/>
            <w:gridSpan w:val="30"/>
          </w:tcPr>
          <w:p>
            <w:pPr>
              <w:spacing w:after="0"/>
              <w:rPr>
                <w:rFonts w:ascii="Arial" w:cs="Arial" w:eastAsia="Arial" w:hAnsi="Arial"/>
                <w:sz w:val="18"/>
                <w:szCs w:val="18"/>
                <w:color w:val="0000FF"/>
              </w:rPr>
            </w:pPr>
            <w:hyperlink r:id="rId552">
              <w:r>
                <w:rPr>
                  <w:rFonts w:ascii="Arial" w:cs="Arial" w:eastAsia="Arial" w:hAnsi="Arial"/>
                  <w:sz w:val="18"/>
                  <w:szCs w:val="18"/>
                  <w:color w:val="0000FF"/>
                </w:rPr>
                <w:t>Specimen Stock Certificate evidencing</w:t>
              </w:r>
            </w:hyperlink>
          </w:p>
        </w:tc>
        <w:tc>
          <w:tcPr>
            <w:tcW w:w="1080" w:type="dxa"/>
            <w:vAlign w:val="bottom"/>
          </w:tcPr>
          <w:p>
            <w:pPr>
              <w:jc w:val="center"/>
              <w:ind w:left="90"/>
              <w:spacing w:after="0"/>
              <w:rPr>
                <w:sz w:val="20"/>
                <w:szCs w:val="20"/>
                <w:color w:val="auto"/>
              </w:rPr>
            </w:pPr>
            <w:r>
              <w:rPr>
                <w:rFonts w:ascii="Arial" w:cs="Arial" w:eastAsia="Arial" w:hAnsi="Arial"/>
                <w:sz w:val="18"/>
                <w:szCs w:val="18"/>
                <w:color w:val="auto"/>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r>
      <w:tr>
        <w:trPr>
          <w:trHeight w:val="182"/>
        </w:trPr>
        <w:tc>
          <w:tcPr>
            <w:tcW w:w="98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552">
              <w:r>
                <w:rPr>
                  <w:rFonts w:ascii="Arial" w:cs="Arial" w:eastAsia="Arial" w:hAnsi="Arial"/>
                  <w:sz w:val="18"/>
                  <w:szCs w:val="18"/>
                  <w:color w:val="0000FF"/>
                  <w:w w:val="98"/>
                </w:rPr>
                <w:t>the shares of common stock</w:t>
              </w:r>
            </w:hyperlink>
          </w:p>
        </w:tc>
        <w:tc>
          <w:tcPr>
            <w:tcW w:w="88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452"/>
        </w:trPr>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3240" w:type="dxa"/>
            <w:vAlign w:val="bottom"/>
            <w:gridSpan w:val="30"/>
          </w:tcPr>
          <w:p>
            <w:pPr>
              <w:spacing w:after="0"/>
              <w:rPr>
                <w:rFonts w:ascii="Arial" w:cs="Arial" w:eastAsia="Arial" w:hAnsi="Arial"/>
                <w:sz w:val="18"/>
                <w:szCs w:val="18"/>
                <w:color w:val="0000FF"/>
              </w:rPr>
            </w:pPr>
            <w:hyperlink r:id="rId553">
              <w:r>
                <w:rPr>
                  <w:rFonts w:ascii="Arial" w:cs="Arial" w:eastAsia="Arial" w:hAnsi="Arial"/>
                  <w:sz w:val="18"/>
                  <w:szCs w:val="18"/>
                  <w:color w:val="0000FF"/>
                </w:rPr>
                <w:t>Indenture, dated as of June 18, 2021,</w:t>
              </w:r>
            </w:hyperlink>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3640" w:type="dxa"/>
            <w:vAlign w:val="bottom"/>
          </w:tcPr>
          <w:p>
            <w:pPr>
              <w:jc w:val="center"/>
              <w:ind w:right="1650"/>
              <w:spacing w:after="0"/>
              <w:rPr>
                <w:sz w:val="20"/>
                <w:szCs w:val="20"/>
                <w:color w:val="auto"/>
              </w:rPr>
            </w:pPr>
            <w:r>
              <w:rPr>
                <w:rFonts w:ascii="Arial" w:cs="Arial" w:eastAsia="Arial" w:hAnsi="Arial"/>
                <w:sz w:val="18"/>
                <w:szCs w:val="18"/>
                <w:color w:val="auto"/>
                <w:w w:val="99"/>
              </w:rPr>
              <w:t>June 21, 2021</w:t>
            </w:r>
          </w:p>
        </w:tc>
      </w:tr>
      <w:tr>
        <w:trPr>
          <w:trHeight w:val="182"/>
        </w:trPr>
        <w:tc>
          <w:tcPr>
            <w:tcW w:w="980" w:type="dxa"/>
            <w:vAlign w:val="bottom"/>
          </w:tcPr>
          <w:p>
            <w:pPr>
              <w:spacing w:after="0"/>
              <w:rPr>
                <w:sz w:val="15"/>
                <w:szCs w:val="15"/>
                <w:color w:val="auto"/>
              </w:rPr>
            </w:pPr>
          </w:p>
        </w:tc>
        <w:tc>
          <w:tcPr>
            <w:tcW w:w="302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553">
              <w:r>
                <w:rPr>
                  <w:rFonts w:ascii="Arial" w:cs="Arial" w:eastAsia="Arial" w:hAnsi="Arial"/>
                  <w:sz w:val="18"/>
                  <w:szCs w:val="18"/>
                  <w:color w:val="0000FF"/>
                </w:rPr>
                <w:t>between Vroom, Inc. and U.S. 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90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53">
              <w:r>
                <w:rPr>
                  <w:rFonts w:ascii="Arial" w:cs="Arial" w:eastAsia="Arial" w:hAnsi="Arial"/>
                  <w:sz w:val="18"/>
                  <w:szCs w:val="18"/>
                  <w:color w:val="0000FF"/>
                </w:rPr>
                <w:t>National Association, as trustee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4.3</w:t>
            </w:r>
          </w:p>
        </w:tc>
        <w:tc>
          <w:tcPr>
            <w:tcW w:w="3240" w:type="dxa"/>
            <w:vAlign w:val="bottom"/>
            <w:gridSpan w:val="30"/>
          </w:tcPr>
          <w:p>
            <w:pPr>
              <w:spacing w:after="0"/>
              <w:rPr>
                <w:rFonts w:ascii="Arial" w:cs="Arial" w:eastAsia="Arial" w:hAnsi="Arial"/>
                <w:sz w:val="18"/>
                <w:szCs w:val="18"/>
                <w:color w:val="0000FF"/>
              </w:rPr>
            </w:pPr>
            <w:hyperlink r:id="rId553">
              <w:r>
                <w:rPr>
                  <w:rFonts w:ascii="Arial" w:cs="Arial" w:eastAsia="Arial" w:hAnsi="Arial"/>
                  <w:sz w:val="18"/>
                  <w:szCs w:val="18"/>
                  <w:color w:val="0000FF"/>
                </w:rPr>
                <w:t>Form of Global Note representing the</w:t>
              </w:r>
            </w:hyperlink>
          </w:p>
        </w:tc>
        <w:tc>
          <w:tcPr>
            <w:tcW w:w="10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3640" w:type="dxa"/>
            <w:vAlign w:val="bottom"/>
          </w:tcPr>
          <w:p>
            <w:pPr>
              <w:jc w:val="center"/>
              <w:ind w:right="1650"/>
              <w:spacing w:after="0"/>
              <w:rPr>
                <w:sz w:val="20"/>
                <w:szCs w:val="20"/>
                <w:color w:val="auto"/>
              </w:rPr>
            </w:pPr>
            <w:r>
              <w:rPr>
                <w:rFonts w:ascii="Arial" w:cs="Arial" w:eastAsia="Arial" w:hAnsi="Arial"/>
                <w:sz w:val="18"/>
                <w:szCs w:val="18"/>
                <w:color w:val="auto"/>
                <w:w w:val="99"/>
              </w:rPr>
              <w:t>June 21, 2021</w:t>
            </w:r>
          </w:p>
        </w:tc>
      </w:tr>
      <w:tr>
        <w:trPr>
          <w:trHeight w:val="182"/>
        </w:trPr>
        <w:tc>
          <w:tcPr>
            <w:tcW w:w="98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8"/>
              </w:rPr>
            </w:pPr>
            <w:hyperlink r:id="rId553">
              <w:r>
                <w:rPr>
                  <w:rFonts w:ascii="Arial" w:cs="Arial" w:eastAsia="Arial" w:hAnsi="Arial"/>
                  <w:sz w:val="18"/>
                  <w:szCs w:val="18"/>
                  <w:color w:val="0000FF"/>
                  <w:w w:val="98"/>
                </w:rPr>
                <w:t>0.</w:t>
              </w:r>
              <w:r>
                <w:rPr>
                  <w:rFonts w:ascii="Arial" w:cs="Arial" w:eastAsia="Arial" w:hAnsi="Arial"/>
                  <w:sz w:val="18"/>
                  <w:szCs w:val="18"/>
                  <w:u w:val="single" w:color="auto"/>
                  <w:color w:val="0000FF"/>
                  <w:w w:val="98"/>
                </w:rPr>
                <w:t>750%</w:t>
              </w:r>
              <w:r>
                <w:rPr>
                  <w:rFonts w:ascii="Arial" w:cs="Arial" w:eastAsia="Arial" w:hAnsi="Arial"/>
                  <w:sz w:val="18"/>
                  <w:szCs w:val="18"/>
                  <w:color w:val="0000FF"/>
                  <w:w w:val="98"/>
                </w:rPr>
                <w:t xml:space="preserve"> Convertible Senior Notes due</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040" w:type="dxa"/>
            <w:vAlign w:val="bottom"/>
            <w:gridSpan w:val="20"/>
          </w:tcPr>
          <w:p>
            <w:pPr>
              <w:spacing w:after="0" w:line="182" w:lineRule="exact"/>
              <w:rPr>
                <w:rFonts w:ascii="Arial" w:cs="Arial" w:eastAsia="Arial" w:hAnsi="Arial"/>
                <w:sz w:val="18"/>
                <w:szCs w:val="18"/>
                <w:color w:val="0000FF"/>
              </w:rPr>
            </w:pPr>
            <w:hyperlink r:id="rId553">
              <w:r>
                <w:rPr>
                  <w:rFonts w:ascii="Arial" w:cs="Arial" w:eastAsia="Arial" w:hAnsi="Arial"/>
                  <w:sz w:val="18"/>
                  <w:szCs w:val="18"/>
                  <w:color w:val="0000FF"/>
                </w:rPr>
                <w:t>2026 (included in Exhibit 4.2)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52"/>
        </w:trPr>
        <w:tc>
          <w:tcPr>
            <w:tcW w:w="980" w:type="dxa"/>
            <w:vAlign w:val="bottom"/>
          </w:tcPr>
          <w:p>
            <w:pPr>
              <w:ind w:left="80"/>
              <w:spacing w:after="0"/>
              <w:rPr>
                <w:sz w:val="20"/>
                <w:szCs w:val="20"/>
                <w:color w:val="auto"/>
              </w:rPr>
            </w:pPr>
            <w:r>
              <w:rPr>
                <w:rFonts w:ascii="Arial" w:cs="Arial" w:eastAsia="Arial" w:hAnsi="Arial"/>
                <w:sz w:val="18"/>
                <w:szCs w:val="18"/>
                <w:color w:val="auto"/>
              </w:rPr>
              <w:t>4.4</w:t>
            </w:r>
          </w:p>
        </w:tc>
        <w:tc>
          <w:tcPr>
            <w:tcW w:w="3240" w:type="dxa"/>
            <w:vAlign w:val="bottom"/>
            <w:gridSpan w:val="30"/>
          </w:tcPr>
          <w:p>
            <w:pPr>
              <w:spacing w:after="0"/>
              <w:rPr>
                <w:rFonts w:ascii="Arial" w:cs="Arial" w:eastAsia="Arial" w:hAnsi="Arial"/>
                <w:sz w:val="18"/>
                <w:szCs w:val="18"/>
                <w:color w:val="0000FF"/>
              </w:rPr>
            </w:pPr>
            <w:hyperlink r:id="rId554">
              <w:r>
                <w:rPr>
                  <w:rFonts w:ascii="Arial" w:cs="Arial" w:eastAsia="Arial" w:hAnsi="Arial"/>
                  <w:sz w:val="18"/>
                  <w:szCs w:val="18"/>
                  <w:color w:val="0000FF"/>
                </w:rPr>
                <w:t>Eighth Amended and Restated</w:t>
              </w:r>
            </w:hyperlink>
          </w:p>
        </w:tc>
        <w:tc>
          <w:tcPr>
            <w:tcW w:w="1080" w:type="dxa"/>
            <w:vAlign w:val="bottom"/>
          </w:tcPr>
          <w:p>
            <w:pPr>
              <w:jc w:val="center"/>
              <w:ind w:left="90"/>
              <w:spacing w:after="0"/>
              <w:rPr>
                <w:sz w:val="20"/>
                <w:szCs w:val="20"/>
                <w:color w:val="auto"/>
              </w:rPr>
            </w:pPr>
            <w:r>
              <w:rPr>
                <w:rFonts w:ascii="Arial" w:cs="Arial" w:eastAsia="Arial" w:hAnsi="Arial"/>
                <w:sz w:val="18"/>
                <w:szCs w:val="18"/>
                <w:color w:val="auto"/>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18, 2020</w:t>
            </w:r>
          </w:p>
        </w:tc>
      </w:tr>
      <w:tr>
        <w:trPr>
          <w:trHeight w:val="20"/>
        </w:trPr>
        <w:tc>
          <w:tcPr>
            <w:tcW w:w="98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40" w:type="dxa"/>
            <w:vAlign w:val="bottom"/>
            <w:gridSpan w:val="30"/>
          </w:tcPr>
          <w:p>
            <w:pPr>
              <w:spacing w:after="0" w:line="182" w:lineRule="exact"/>
              <w:rPr>
                <w:rFonts w:ascii="Arial" w:cs="Arial" w:eastAsia="Arial" w:hAnsi="Arial"/>
                <w:sz w:val="18"/>
                <w:szCs w:val="18"/>
                <w:color w:val="0000FF"/>
              </w:rPr>
            </w:pPr>
            <w:hyperlink r:id="rId554">
              <w:r>
                <w:rPr>
                  <w:rFonts w:ascii="Arial" w:cs="Arial" w:eastAsia="Arial" w:hAnsi="Arial"/>
                  <w:sz w:val="18"/>
                  <w:szCs w:val="18"/>
                  <w:color w:val="0000FF"/>
                </w:rPr>
                <w:t>Investors’ Rights Agreement, dated as</w:t>
              </w:r>
            </w:hyperlink>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10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554">
              <w:r>
                <w:rPr>
                  <w:rFonts w:ascii="Arial" w:cs="Arial" w:eastAsia="Arial" w:hAnsi="Arial"/>
                  <w:sz w:val="18"/>
                  <w:szCs w:val="18"/>
                  <w:color w:val="0000FF"/>
                </w:rPr>
                <w:t>of November 21, 2019, by and among</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0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554">
              <w:r>
                <w:rPr>
                  <w:rFonts w:ascii="Arial" w:cs="Arial" w:eastAsia="Arial" w:hAnsi="Arial"/>
                  <w:sz w:val="18"/>
                  <w:szCs w:val="18"/>
                  <w:color w:val="0000FF"/>
                </w:rPr>
                <w:t>Vroom, Inc. and certain holders of its</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9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6"/>
              </w:rPr>
            </w:pPr>
            <w:hyperlink r:id="rId554">
              <w:r>
                <w:rPr>
                  <w:rFonts w:ascii="Arial" w:cs="Arial" w:eastAsia="Arial" w:hAnsi="Arial"/>
                  <w:sz w:val="18"/>
                  <w:szCs w:val="18"/>
                  <w:color w:val="0000FF"/>
                  <w:w w:val="96"/>
                </w:rPr>
                <w:t>capital stock</w:t>
              </w:r>
            </w:hyperlink>
          </w:p>
        </w:tc>
        <w:tc>
          <w:tcPr>
            <w:tcW w:w="20" w:type="dxa"/>
            <w:vAlign w:val="bottom"/>
            <w:tcBorders>
              <w:top w:val="single" w:sz="8" w:color="0000FF"/>
              <w:bottom w:val="single" w:sz="8" w:color="0000EE"/>
            </w:tcBorders>
          </w:tcPr>
          <w:p>
            <w:pPr>
              <w:spacing w:after="0"/>
              <w:rPr>
                <w:sz w:val="15"/>
                <w:szCs w:val="15"/>
                <w:color w:val="auto"/>
              </w:rPr>
            </w:pPr>
          </w:p>
        </w:tc>
        <w:tc>
          <w:tcPr>
            <w:tcW w:w="19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641"/>
        </w:trPr>
        <w:tc>
          <w:tcPr>
            <w:tcW w:w="980" w:type="dxa"/>
            <w:vAlign w:val="bottom"/>
          </w:tcPr>
          <w:p>
            <w:pPr>
              <w:ind w:left="80"/>
              <w:spacing w:after="0"/>
              <w:rPr>
                <w:sz w:val="20"/>
                <w:szCs w:val="20"/>
                <w:color w:val="auto"/>
              </w:rPr>
            </w:pPr>
            <w:r>
              <w:rPr>
                <w:rFonts w:ascii="Arial" w:cs="Arial" w:eastAsia="Arial" w:hAnsi="Arial"/>
                <w:sz w:val="18"/>
                <w:szCs w:val="18"/>
                <w:color w:val="auto"/>
              </w:rPr>
              <w:t>10.1#</w:t>
            </w:r>
          </w:p>
        </w:tc>
        <w:tc>
          <w:tcPr>
            <w:tcW w:w="3240" w:type="dxa"/>
            <w:vAlign w:val="bottom"/>
            <w:gridSpan w:val="30"/>
          </w:tcPr>
          <w:p>
            <w:pPr>
              <w:spacing w:after="0"/>
              <w:rPr>
                <w:sz w:val="20"/>
                <w:szCs w:val="20"/>
                <w:color w:val="auto"/>
              </w:rPr>
            </w:pPr>
            <w:r>
              <w:rPr>
                <w:rFonts w:ascii="Arial" w:cs="Arial" w:eastAsia="Arial" w:hAnsi="Arial"/>
                <w:sz w:val="18"/>
                <w:szCs w:val="18"/>
                <w:color w:val="0000FF"/>
              </w:rPr>
              <w:t>Warehouse Agreement, dated as of</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40" w:type="dxa"/>
            <w:vAlign w:val="bottom"/>
          </w:tcPr>
          <w:p>
            <w:pPr>
              <w:ind w:left="2240"/>
              <w:spacing w:after="0"/>
              <w:rPr>
                <w:sz w:val="20"/>
                <w:szCs w:val="20"/>
                <w:color w:val="auto"/>
              </w:rPr>
            </w:pPr>
            <w:r>
              <w:rPr>
                <w:rFonts w:ascii="Arial" w:cs="Arial" w:eastAsia="Arial" w:hAnsi="Arial"/>
                <w:sz w:val="18"/>
                <w:szCs w:val="18"/>
                <w:color w:val="auto"/>
              </w:rPr>
              <w:t>X</w:t>
            </w:r>
          </w:p>
        </w:tc>
      </w:tr>
      <w:tr>
        <w:trPr>
          <w:trHeight w:val="182"/>
        </w:trPr>
        <w:tc>
          <w:tcPr>
            <w:tcW w:w="980" w:type="dxa"/>
            <w:vAlign w:val="bottom"/>
          </w:tcPr>
          <w:p>
            <w:pPr>
              <w:spacing w:after="0"/>
              <w:rPr>
                <w:sz w:val="15"/>
                <w:szCs w:val="15"/>
                <w:color w:val="auto"/>
              </w:rPr>
            </w:pPr>
          </w:p>
        </w:tc>
        <w:tc>
          <w:tcPr>
            <w:tcW w:w="288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November 19, 2013, by and among</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86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UACC Auto Financing Trust IV, as</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74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borrower, United Auto Credit</w:t>
            </w:r>
          </w:p>
        </w:tc>
        <w:tc>
          <w:tcPr>
            <w:tcW w:w="1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32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Corporation, as servicer and</w:t>
            </w:r>
          </w:p>
        </w:tc>
        <w:tc>
          <w:tcPr>
            <w:tcW w:w="920" w:type="dxa"/>
            <w:vAlign w:val="bottom"/>
            <w:gridSpan w:val="24"/>
          </w:tcPr>
          <w:p>
            <w:pPr>
              <w:spacing w:after="0" w:line="182" w:lineRule="exact"/>
              <w:rPr>
                <w:sz w:val="20"/>
                <w:szCs w:val="20"/>
                <w:color w:val="auto"/>
              </w:rPr>
            </w:pPr>
            <w:r>
              <w:rPr>
                <w:rFonts w:ascii="Arial" w:cs="Arial" w:eastAsia="Arial" w:hAnsi="Arial"/>
                <w:sz w:val="18"/>
                <w:szCs w:val="18"/>
                <w:color w:val="0000FF"/>
              </w:rPr>
              <w:t>custodian,</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26"/>
          </w:tcPr>
          <w:p>
            <w:pPr>
              <w:spacing w:after="0" w:line="182" w:lineRule="exact"/>
              <w:rPr>
                <w:sz w:val="20"/>
                <w:szCs w:val="20"/>
                <w:color w:val="auto"/>
              </w:rPr>
            </w:pPr>
            <w:r>
              <w:rPr>
                <w:rFonts w:ascii="Arial" w:cs="Arial" w:eastAsia="Arial" w:hAnsi="Arial"/>
                <w:sz w:val="18"/>
                <w:szCs w:val="18"/>
                <w:color w:val="0000FF"/>
                <w:w w:val="97"/>
              </w:rPr>
              <w:t>a backup servicer and account bank,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40" w:type="dxa"/>
            <w:vAlign w:val="bottom"/>
            <w:gridSpan w:val="30"/>
          </w:tcPr>
          <w:p>
            <w:pPr>
              <w:spacing w:after="0" w:line="182" w:lineRule="exact"/>
              <w:rPr>
                <w:sz w:val="20"/>
                <w:szCs w:val="20"/>
                <w:color w:val="auto"/>
              </w:rPr>
            </w:pPr>
            <w:r>
              <w:rPr>
                <w:rFonts w:ascii="Arial" w:cs="Arial" w:eastAsia="Arial" w:hAnsi="Arial"/>
                <w:sz w:val="18"/>
                <w:szCs w:val="18"/>
                <w:color w:val="0000FF"/>
              </w:rPr>
              <w:t>lender parties thereto, the agent parties</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180" w:type="dxa"/>
            <w:vAlign w:val="bottom"/>
            <w:tcBorders>
              <w:top w:val="single" w:sz="8" w:color="0000FF"/>
            </w:tcBorders>
            <w:gridSpan w:val="27"/>
          </w:tcPr>
          <w:p>
            <w:pPr>
              <w:spacing w:after="0" w:line="182" w:lineRule="exact"/>
              <w:rPr>
                <w:sz w:val="20"/>
                <w:szCs w:val="20"/>
                <w:color w:val="auto"/>
              </w:rPr>
            </w:pPr>
            <w:r>
              <w:rPr>
                <w:rFonts w:ascii="Arial" w:cs="Arial" w:eastAsia="Arial" w:hAnsi="Arial"/>
                <w:sz w:val="18"/>
                <w:szCs w:val="18"/>
                <w:color w:val="0000FF"/>
              </w:rPr>
              <w:t>thereto, and JPMorgan Chase Bank,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94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N.A. as administrative agent, as</w:t>
            </w: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58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8"/>
              </w:rPr>
              <w:t>amended through December 15,</w:t>
            </w:r>
          </w:p>
        </w:tc>
        <w:tc>
          <w:tcPr>
            <w:tcW w:w="500" w:type="dxa"/>
            <w:vAlign w:val="bottom"/>
            <w:gridSpan w:val="14"/>
          </w:tcPr>
          <w:p>
            <w:pPr>
              <w:jc w:val="right"/>
              <w:ind w:right="60"/>
              <w:spacing w:after="0" w:line="182" w:lineRule="exact"/>
              <w:rPr>
                <w:sz w:val="20"/>
                <w:szCs w:val="20"/>
                <w:color w:val="auto"/>
              </w:rPr>
            </w:pPr>
            <w:r>
              <w:rPr>
                <w:rFonts w:ascii="Arial" w:cs="Arial" w:eastAsia="Arial" w:hAnsi="Arial"/>
                <w:sz w:val="18"/>
                <w:szCs w:val="18"/>
                <w:color w:val="0000FF"/>
              </w:rPr>
              <w:t>2023</w:t>
            </w: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gridSpan w:val="1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3240" w:type="dxa"/>
            <w:vAlign w:val="bottom"/>
            <w:gridSpan w:val="30"/>
          </w:tcPr>
          <w:p>
            <w:pPr>
              <w:spacing w:after="0"/>
              <w:rPr>
                <w:sz w:val="20"/>
                <w:szCs w:val="20"/>
                <w:color w:val="auto"/>
              </w:rPr>
            </w:pPr>
            <w:r>
              <w:rPr>
                <w:rFonts w:ascii="Arial" w:cs="Arial" w:eastAsia="Arial" w:hAnsi="Arial"/>
                <w:sz w:val="18"/>
                <w:szCs w:val="18"/>
                <w:color w:val="0000FF"/>
              </w:rPr>
              <w:t>Amended and Restated Warehouse</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4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gridSpan w:val="14"/>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40" w:type="dxa"/>
            <w:vAlign w:val="bottom"/>
            <w:gridSpan w:val="30"/>
          </w:tcPr>
          <w:p>
            <w:pPr>
              <w:spacing w:after="0" w:line="182" w:lineRule="exact"/>
              <w:rPr>
                <w:sz w:val="20"/>
                <w:szCs w:val="20"/>
                <w:color w:val="auto"/>
              </w:rPr>
            </w:pPr>
            <w:r>
              <w:rPr>
                <w:rFonts w:ascii="Arial" w:cs="Arial" w:eastAsia="Arial" w:hAnsi="Arial"/>
                <w:sz w:val="18"/>
                <w:szCs w:val="18"/>
                <w:color w:val="0000FF"/>
              </w:rPr>
              <w:t>Agreement, dated as of July 16, 2013,</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by and among UACC Auto Financing</w:t>
            </w:r>
          </w:p>
        </w:tc>
        <w:tc>
          <w:tcPr>
            <w:tcW w:w="100" w:type="dxa"/>
            <w:vAlign w:val="bottom"/>
            <w:tcBorders>
              <w:top w:val="single" w:sz="8" w:color="0000FF"/>
            </w:tcBorders>
            <w:gridSpan w:val="5"/>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40" w:type="dxa"/>
            <w:vAlign w:val="bottom"/>
            <w:tcBorders>
              <w:bottom w:val="single" w:sz="8" w:color="0000FF"/>
            </w:tcBorders>
            <w:gridSpan w:val="30"/>
          </w:tcPr>
          <w:p>
            <w:pPr>
              <w:spacing w:after="0" w:line="182" w:lineRule="exact"/>
              <w:rPr>
                <w:sz w:val="20"/>
                <w:szCs w:val="20"/>
                <w:color w:val="auto"/>
              </w:rPr>
            </w:pPr>
            <w:r>
              <w:rPr>
                <w:rFonts w:ascii="Arial" w:cs="Arial" w:eastAsia="Arial" w:hAnsi="Arial"/>
                <w:sz w:val="18"/>
                <w:szCs w:val="18"/>
                <w:color w:val="0000FF"/>
                <w:w w:val="99"/>
              </w:rPr>
              <w:t>Trust III, as borrower, United Auto Credit</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40" w:type="dxa"/>
            <w:vAlign w:val="bottom"/>
            <w:gridSpan w:val="30"/>
          </w:tcPr>
          <w:p>
            <w:pPr>
              <w:spacing w:after="0" w:line="182" w:lineRule="exact"/>
              <w:rPr>
                <w:sz w:val="20"/>
                <w:szCs w:val="20"/>
                <w:color w:val="auto"/>
              </w:rPr>
            </w:pPr>
            <w:r>
              <w:rPr>
                <w:rFonts w:ascii="Arial" w:cs="Arial" w:eastAsia="Arial" w:hAnsi="Arial"/>
                <w:sz w:val="18"/>
                <w:szCs w:val="18"/>
                <w:color w:val="0000FF"/>
              </w:rPr>
              <w:t>Corporation, as servicer and custodian,</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26"/>
          </w:tcPr>
          <w:p>
            <w:pPr>
              <w:spacing w:after="0" w:line="182" w:lineRule="exact"/>
              <w:rPr>
                <w:sz w:val="20"/>
                <w:szCs w:val="20"/>
                <w:color w:val="auto"/>
              </w:rPr>
            </w:pPr>
            <w:r>
              <w:rPr>
                <w:rFonts w:ascii="Arial" w:cs="Arial" w:eastAsia="Arial" w:hAnsi="Arial"/>
                <w:sz w:val="18"/>
                <w:szCs w:val="18"/>
                <w:color w:val="0000FF"/>
                <w:w w:val="97"/>
              </w:rPr>
              <w:t>a backup servicer and account bank, the</w:t>
            </w: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40" w:type="dxa"/>
            <w:vAlign w:val="bottom"/>
            <w:gridSpan w:val="30"/>
          </w:tcPr>
          <w:p>
            <w:pPr>
              <w:spacing w:after="0" w:line="182" w:lineRule="exact"/>
              <w:rPr>
                <w:sz w:val="20"/>
                <w:szCs w:val="20"/>
                <w:color w:val="auto"/>
              </w:rPr>
            </w:pPr>
            <w:r>
              <w:rPr>
                <w:rFonts w:ascii="Arial" w:cs="Arial" w:eastAsia="Arial" w:hAnsi="Arial"/>
                <w:sz w:val="18"/>
                <w:szCs w:val="18"/>
                <w:color w:val="0000FF"/>
              </w:rPr>
              <w:t>lender parties thereto, the agent parties</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27"/>
          </w:tcPr>
          <w:p>
            <w:pPr>
              <w:spacing w:after="0" w:line="182" w:lineRule="exact"/>
              <w:rPr>
                <w:sz w:val="20"/>
                <w:szCs w:val="20"/>
                <w:color w:val="auto"/>
              </w:rPr>
            </w:pPr>
            <w:r>
              <w:rPr>
                <w:rFonts w:ascii="Arial" w:cs="Arial" w:eastAsia="Arial" w:hAnsi="Arial"/>
                <w:sz w:val="18"/>
                <w:szCs w:val="18"/>
                <w:color w:val="0000FF"/>
                <w:w w:val="99"/>
              </w:rPr>
              <w:t>thereto, and Wells Fargo Bank, National</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20" w:type="dxa"/>
            <w:vAlign w:val="bottom"/>
            <w:gridSpan w:val="29"/>
          </w:tcPr>
          <w:p>
            <w:pPr>
              <w:spacing w:after="0" w:line="182" w:lineRule="exact"/>
              <w:rPr>
                <w:sz w:val="20"/>
                <w:szCs w:val="20"/>
                <w:color w:val="auto"/>
              </w:rPr>
            </w:pPr>
            <w:r>
              <w:rPr>
                <w:rFonts w:ascii="Arial" w:cs="Arial" w:eastAsia="Arial" w:hAnsi="Arial"/>
                <w:sz w:val="18"/>
                <w:szCs w:val="18"/>
                <w:color w:val="0000FF"/>
              </w:rPr>
              <w:t>Association as administrative agent, as</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14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amended through November 30, 2023</w:t>
            </w: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020" w:type="dxa"/>
            <w:vAlign w:val="bottom"/>
            <w:gridSpan w:val="19"/>
            <w:shd w:val="clear" w:color="auto" w:fill="0000FF"/>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10.3#</w:t>
            </w:r>
          </w:p>
        </w:tc>
        <w:tc>
          <w:tcPr>
            <w:tcW w:w="3240" w:type="dxa"/>
            <w:vAlign w:val="bottom"/>
            <w:gridSpan w:val="30"/>
          </w:tcPr>
          <w:p>
            <w:pPr>
              <w:spacing w:after="0"/>
              <w:rPr>
                <w:sz w:val="20"/>
                <w:szCs w:val="20"/>
                <w:color w:val="auto"/>
              </w:rPr>
            </w:pPr>
            <w:r>
              <w:rPr>
                <w:rFonts w:ascii="Arial" w:cs="Arial" w:eastAsia="Arial" w:hAnsi="Arial"/>
                <w:sz w:val="18"/>
                <w:szCs w:val="18"/>
                <w:color w:val="0000FF"/>
              </w:rPr>
              <w:t>Amended and Restated Warehouse</w:t>
            </w: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4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920" w:type="dxa"/>
            <w:vAlign w:val="bottom"/>
            <w:gridSpan w:val="14"/>
            <w:shd w:val="clear" w:color="auto" w:fill="0000FF"/>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40" w:type="dxa"/>
            <w:vAlign w:val="bottom"/>
            <w:gridSpan w:val="30"/>
          </w:tcPr>
          <w:p>
            <w:pPr>
              <w:spacing w:after="0" w:line="182" w:lineRule="exact"/>
              <w:rPr>
                <w:sz w:val="20"/>
                <w:szCs w:val="20"/>
                <w:color w:val="auto"/>
              </w:rPr>
            </w:pPr>
            <w:r>
              <w:rPr>
                <w:rFonts w:ascii="Arial" w:cs="Arial" w:eastAsia="Arial" w:hAnsi="Arial"/>
                <w:sz w:val="18"/>
                <w:szCs w:val="18"/>
                <w:color w:val="0000FF"/>
                <w:w w:val="99"/>
              </w:rPr>
              <w:t>Agreement, dated as of March 29, 2021,</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by and among UACC Auto Financing</w:t>
            </w:r>
          </w:p>
        </w:tc>
        <w:tc>
          <w:tcPr>
            <w:tcW w:w="260" w:type="dxa"/>
            <w:vAlign w:val="bottom"/>
            <w:tcBorders>
              <w:top w:val="single" w:sz="8" w:color="0000FF"/>
            </w:tcBorders>
            <w:gridSpan w:val="13"/>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40" w:type="dxa"/>
            <w:vAlign w:val="bottom"/>
            <w:gridSpan w:val="30"/>
          </w:tcPr>
          <w:p>
            <w:pPr>
              <w:spacing w:after="0" w:line="182" w:lineRule="exact"/>
              <w:rPr>
                <w:sz w:val="20"/>
                <w:szCs w:val="20"/>
                <w:color w:val="auto"/>
              </w:rPr>
            </w:pPr>
            <w:r>
              <w:rPr>
                <w:rFonts w:ascii="Arial" w:cs="Arial" w:eastAsia="Arial" w:hAnsi="Arial"/>
                <w:sz w:val="18"/>
                <w:szCs w:val="18"/>
                <w:color w:val="0000FF"/>
              </w:rPr>
              <w:t>Trust V, as borrower, United Auto Credit</w:t>
            </w: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443"/>
        </w:trPr>
        <w:tc>
          <w:tcPr>
            <w:tcW w:w="98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right"/>
              <w:ind w:right="930"/>
              <w:spacing w:after="0"/>
              <w:rPr>
                <w:sz w:val="20"/>
                <w:szCs w:val="20"/>
                <w:color w:val="auto"/>
              </w:rPr>
            </w:pPr>
            <w:r>
              <w:rPr>
                <w:rFonts w:ascii="Arial" w:cs="Arial" w:eastAsia="Arial" w:hAnsi="Arial"/>
                <w:sz w:val="18"/>
                <w:szCs w:val="18"/>
                <w:color w:val="auto"/>
              </w:rPr>
              <w:t>66</w:t>
            </w:r>
          </w:p>
        </w:tc>
        <w:tc>
          <w:tcPr>
            <w:tcW w:w="8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3240" w:type="dxa"/>
            <w:vAlign w:val="bottom"/>
            <w:gridSpan w:val="20"/>
          </w:tcPr>
          <w:p>
            <w:pPr>
              <w:spacing w:after="0"/>
              <w:rPr>
                <w:sz w:val="20"/>
                <w:szCs w:val="20"/>
                <w:color w:val="auto"/>
              </w:rPr>
            </w:pPr>
            <w:r>
              <w:rPr>
                <w:rFonts w:ascii="Arial" w:cs="Arial" w:eastAsia="Arial" w:hAnsi="Arial"/>
                <w:sz w:val="18"/>
                <w:szCs w:val="18"/>
                <w:color w:val="auto"/>
              </w:rPr>
              <w:t>Corporation, as servicer and custodian,</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3240" w:type="dxa"/>
            <w:vAlign w:val="bottom"/>
            <w:gridSpan w:val="20"/>
          </w:tcPr>
          <w:p>
            <w:pPr>
              <w:spacing w:after="0" w:line="202" w:lineRule="exact"/>
              <w:rPr>
                <w:sz w:val="20"/>
                <w:szCs w:val="20"/>
                <w:color w:val="auto"/>
              </w:rPr>
            </w:pPr>
            <w:r>
              <w:rPr>
                <w:rFonts w:ascii="Arial" w:cs="Arial" w:eastAsia="Arial" w:hAnsi="Arial"/>
                <w:sz w:val="18"/>
                <w:szCs w:val="18"/>
                <w:color w:val="auto"/>
                <w:w w:val="99"/>
              </w:rPr>
              <w:t>a backup servicer and account bank, the</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3240" w:type="dxa"/>
            <w:vAlign w:val="bottom"/>
            <w:gridSpan w:val="20"/>
          </w:tcPr>
          <w:p>
            <w:pPr>
              <w:spacing w:after="0" w:line="202" w:lineRule="exact"/>
              <w:rPr>
                <w:sz w:val="20"/>
                <w:szCs w:val="20"/>
                <w:color w:val="auto"/>
              </w:rPr>
            </w:pPr>
            <w:r>
              <w:rPr>
                <w:rFonts w:ascii="Arial" w:cs="Arial" w:eastAsia="Arial" w:hAnsi="Arial"/>
                <w:sz w:val="18"/>
                <w:szCs w:val="18"/>
                <w:color w:val="auto"/>
              </w:rPr>
              <w:t>lender parties thereto, and Capital One,</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3240" w:type="dxa"/>
            <w:vAlign w:val="bottom"/>
            <w:gridSpan w:val="20"/>
          </w:tcPr>
          <w:p>
            <w:pPr>
              <w:spacing w:after="0" w:line="202" w:lineRule="exact"/>
              <w:rPr>
                <w:sz w:val="20"/>
                <w:szCs w:val="20"/>
                <w:color w:val="auto"/>
              </w:rPr>
            </w:pPr>
            <w:r>
              <w:rPr>
                <w:rFonts w:ascii="Arial" w:cs="Arial" w:eastAsia="Arial" w:hAnsi="Arial"/>
                <w:sz w:val="18"/>
                <w:szCs w:val="18"/>
                <w:color w:val="auto"/>
              </w:rPr>
              <w:t>N.A. as administrative agent, as</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40" w:type="dxa"/>
            <w:vAlign w:val="bottom"/>
            <w:gridSpan w:val="20"/>
          </w:tcPr>
          <w:p>
            <w:pPr>
              <w:spacing w:after="0"/>
              <w:rPr>
                <w:sz w:val="20"/>
                <w:szCs w:val="20"/>
                <w:color w:val="auto"/>
              </w:rPr>
            </w:pPr>
            <w:r>
              <w:rPr>
                <w:rFonts w:ascii="Arial" w:cs="Arial" w:eastAsia="Arial" w:hAnsi="Arial"/>
                <w:sz w:val="18"/>
                <w:szCs w:val="18"/>
                <w:color w:val="auto"/>
              </w:rPr>
              <w:t>amended through August 31, 2023</w:t>
            </w:r>
          </w:p>
        </w:tc>
        <w:tc>
          <w:tcPr>
            <w:tcW w:w="0" w:type="dxa"/>
            <w:vAlign w:val="bottom"/>
          </w:tcPr>
          <w:p>
            <w:pPr>
              <w:spacing w:after="0"/>
              <w:rPr>
                <w:sz w:val="1"/>
                <w:szCs w:val="1"/>
                <w:color w:val="auto"/>
              </w:rPr>
            </w:pPr>
          </w:p>
        </w:tc>
      </w:tr>
      <w:tr>
        <w:trPr>
          <w:trHeight w:val="347"/>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3240" w:type="dxa"/>
            <w:vAlign w:val="bottom"/>
            <w:gridSpan w:val="20"/>
          </w:tcPr>
          <w:p>
            <w:pPr>
              <w:spacing w:after="0"/>
              <w:rPr>
                <w:sz w:val="20"/>
                <w:szCs w:val="20"/>
                <w:color w:val="auto"/>
              </w:rPr>
            </w:pPr>
            <w:r>
              <w:rPr>
                <w:rFonts w:ascii="Arial" w:cs="Arial" w:eastAsia="Arial" w:hAnsi="Arial"/>
                <w:sz w:val="18"/>
                <w:szCs w:val="18"/>
                <w:color w:val="0000FF"/>
              </w:rPr>
              <w:t>Warehouse Agreement, dated as of</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November 18, 2022, by and among</w:t>
            </w:r>
          </w:p>
        </w:tc>
        <w:tc>
          <w:tcPr>
            <w:tcW w:w="38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VFS</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40" w:type="dxa"/>
            <w:vAlign w:val="bottom"/>
            <w:gridSpan w:val="20"/>
          </w:tcPr>
          <w:p>
            <w:pPr>
              <w:spacing w:after="0" w:line="182" w:lineRule="exact"/>
              <w:rPr>
                <w:sz w:val="20"/>
                <w:szCs w:val="20"/>
                <w:color w:val="auto"/>
              </w:rPr>
            </w:pPr>
            <w:r>
              <w:rPr>
                <w:rFonts w:ascii="Arial" w:cs="Arial" w:eastAsia="Arial" w:hAnsi="Arial"/>
                <w:sz w:val="18"/>
                <w:szCs w:val="18"/>
                <w:color w:val="0000FF"/>
              </w:rPr>
              <w:t>Near Prime Trust I, as borrower, United</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7"/>
              </w:rPr>
              <w:t>Auto Credit Corporation, as servicer and</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40" w:type="dxa"/>
            <w:vAlign w:val="bottom"/>
            <w:gridSpan w:val="20"/>
          </w:tcPr>
          <w:p>
            <w:pPr>
              <w:spacing w:after="0" w:line="182" w:lineRule="exact"/>
              <w:rPr>
                <w:sz w:val="20"/>
                <w:szCs w:val="20"/>
                <w:color w:val="auto"/>
              </w:rPr>
            </w:pPr>
            <w:r>
              <w:rPr>
                <w:rFonts w:ascii="Arial" w:cs="Arial" w:eastAsia="Arial" w:hAnsi="Arial"/>
                <w:sz w:val="18"/>
                <w:szCs w:val="18"/>
                <w:color w:val="0000FF"/>
              </w:rPr>
              <w:t>custodian, a paying agent, the lender</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98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parties thereto, and Fifth Third Bank,</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96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5"/>
              </w:rPr>
              <w:t>National Association, as administrative</w:t>
            </w:r>
          </w:p>
        </w:tc>
        <w:tc>
          <w:tcPr>
            <w:tcW w:w="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120" w:type="dxa"/>
            <w:vAlign w:val="bottom"/>
            <w:tcBorders>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7"/>
              </w:rPr>
              <w:t>agent, as amended through October 20,</w:t>
            </w:r>
          </w:p>
        </w:tc>
        <w:tc>
          <w:tcPr>
            <w:tcW w:w="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8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89"/>
              </w:rPr>
              <w:t>2023</w:t>
            </w:r>
          </w:p>
        </w:tc>
        <w:tc>
          <w:tcPr>
            <w:tcW w:w="20" w:type="dxa"/>
            <w:vAlign w:val="bottom"/>
            <w:tcBorders>
              <w:bottom w:val="single" w:sz="8" w:color="0000EE"/>
            </w:tcBorders>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3240" w:type="dxa"/>
            <w:vAlign w:val="bottom"/>
            <w:gridSpan w:val="20"/>
          </w:tcPr>
          <w:p>
            <w:pPr>
              <w:spacing w:after="0"/>
              <w:rPr>
                <w:sz w:val="20"/>
                <w:szCs w:val="20"/>
                <w:color w:val="auto"/>
              </w:rPr>
            </w:pPr>
            <w:r>
              <w:rPr>
                <w:rFonts w:ascii="Arial" w:cs="Arial" w:eastAsia="Arial" w:hAnsi="Arial"/>
                <w:sz w:val="18"/>
                <w:szCs w:val="18"/>
                <w:color w:val="0000FF"/>
              </w:rPr>
              <w:t>Certification of Principal Executive</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76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6"/>
              </w:rPr>
              <w:t>Officer Pursuant to Rules 13a-14(a)</w:t>
            </w:r>
          </w:p>
        </w:tc>
        <w:tc>
          <w:tcPr>
            <w:tcW w:w="40" w:type="dxa"/>
            <w:vAlign w:val="bottom"/>
          </w:tcPr>
          <w:p>
            <w:pPr>
              <w:spacing w:after="0"/>
              <w:rPr>
                <w:sz w:val="15"/>
                <w:szCs w:val="15"/>
                <w:color w:val="auto"/>
              </w:rPr>
            </w:pPr>
          </w:p>
        </w:tc>
        <w:tc>
          <w:tcPr>
            <w:tcW w:w="440" w:type="dxa"/>
            <w:vAlign w:val="bottom"/>
            <w:gridSpan w:val="13"/>
          </w:tcPr>
          <w:p>
            <w:pPr>
              <w:ind w:left="60"/>
              <w:spacing w:after="0" w:line="182" w:lineRule="exact"/>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15d-14(a) under the Securities</w:t>
            </w:r>
          </w:p>
        </w:tc>
        <w:tc>
          <w:tcPr>
            <w:tcW w:w="74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40" w:type="dxa"/>
            <w:vAlign w:val="bottom"/>
            <w:gridSpan w:val="20"/>
          </w:tcPr>
          <w:p>
            <w:pPr>
              <w:spacing w:after="0" w:line="182" w:lineRule="exact"/>
              <w:rPr>
                <w:sz w:val="20"/>
                <w:szCs w:val="20"/>
                <w:color w:val="auto"/>
              </w:rPr>
            </w:pPr>
            <w:r>
              <w:rPr>
                <w:rFonts w:ascii="Arial" w:cs="Arial" w:eastAsia="Arial" w:hAnsi="Arial"/>
                <w:sz w:val="18"/>
                <w:szCs w:val="18"/>
                <w:color w:val="0000FF"/>
              </w:rPr>
              <w:t>Exchange Act of 1934, as Adopted</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Pursuant to Section 302 of the</w:t>
            </w:r>
          </w:p>
        </w:tc>
        <w:tc>
          <w:tcPr>
            <w:tcW w:w="340" w:type="dxa"/>
            <w:vAlign w:val="bottom"/>
            <w:tcBorders>
              <w:top w:val="single" w:sz="8" w:color="0000FF"/>
            </w:tcBorders>
            <w:gridSpan w:val="3"/>
          </w:tcPr>
          <w:p>
            <w:pPr>
              <w:spacing w:after="0"/>
              <w:rPr>
                <w:sz w:val="15"/>
                <w:szCs w:val="15"/>
                <w:color w:val="auto"/>
              </w:rPr>
            </w:pP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460" w:type="dxa"/>
            <w:vAlign w:val="bottom"/>
            <w:gridSpan w:val="4"/>
          </w:tcPr>
          <w:p>
            <w:pPr>
              <w:spacing w:after="0" w:line="182" w:lineRule="exact"/>
              <w:rPr>
                <w:sz w:val="20"/>
                <w:szCs w:val="20"/>
                <w:color w:val="auto"/>
              </w:rPr>
            </w:pPr>
            <w:r>
              <w:rPr>
                <w:rFonts w:ascii="Arial" w:cs="Arial" w:eastAsia="Arial" w:hAnsi="Arial"/>
                <w:sz w:val="18"/>
                <w:szCs w:val="18"/>
                <w:color w:val="0000FF"/>
              </w:rPr>
              <w:t>Sarbanes-Oxley Act of 2002</w:t>
            </w:r>
          </w:p>
        </w:tc>
        <w:tc>
          <w:tcPr>
            <w:tcW w:w="5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3240" w:type="dxa"/>
            <w:vAlign w:val="bottom"/>
            <w:gridSpan w:val="20"/>
          </w:tcPr>
          <w:p>
            <w:pPr>
              <w:spacing w:after="0"/>
              <w:rPr>
                <w:sz w:val="20"/>
                <w:szCs w:val="20"/>
                <w:color w:val="auto"/>
              </w:rPr>
            </w:pPr>
            <w:r>
              <w:rPr>
                <w:rFonts w:ascii="Arial" w:cs="Arial" w:eastAsia="Arial" w:hAnsi="Arial"/>
                <w:sz w:val="18"/>
                <w:szCs w:val="18"/>
                <w:color w:val="0000FF"/>
                <w:w w:val="99"/>
              </w:rPr>
              <w:t>Certification of Principal Financial Officer</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4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Pursuant to Rules 13a-14(a) and 15d-</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020" w:type="dxa"/>
            <w:vAlign w:val="bottom"/>
            <w:tcBorders>
              <w:right w:val="single" w:sz="8" w:color="0000EE"/>
            </w:tcBorders>
            <w:gridSpan w:val="11"/>
            <w:shd w:val="clear" w:color="auto" w:fill="0000FF"/>
          </w:tcPr>
          <w:p>
            <w:pPr>
              <w:spacing w:after="0" w:line="20" w:lineRule="exact"/>
              <w:rPr>
                <w:sz w:val="1"/>
                <w:szCs w:val="1"/>
                <w:color w:val="auto"/>
              </w:rPr>
            </w:pPr>
          </w:p>
        </w:tc>
        <w:tc>
          <w:tcPr>
            <w:tcW w:w="220" w:type="dxa"/>
            <w:vAlign w:val="bottom"/>
            <w:gridSpan w:val="9"/>
            <w:vMerge w:val="restart"/>
          </w:tcPr>
          <w:p>
            <w:pPr>
              <w:spacing w:after="0" w:line="202" w:lineRule="exact"/>
              <w:rPr>
                <w:sz w:val="20"/>
                <w:szCs w:val="20"/>
                <w:color w:val="auto"/>
              </w:rPr>
            </w:pPr>
            <w:r>
              <w:rPr>
                <w:rFonts w:ascii="Arial" w:cs="Arial" w:eastAsia="Arial" w:hAnsi="Arial"/>
                <w:sz w:val="18"/>
                <w:szCs w:val="18"/>
                <w:color w:val="0000FF"/>
                <w:w w:val="76"/>
              </w:rPr>
              <w:t>Act</w:t>
            </w:r>
          </w:p>
        </w:tc>
        <w:tc>
          <w:tcPr>
            <w:tcW w:w="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020" w:type="dxa"/>
            <w:vAlign w:val="bottom"/>
            <w:gridSpan w:val="11"/>
          </w:tcPr>
          <w:p>
            <w:pPr>
              <w:spacing w:after="0" w:line="182" w:lineRule="exact"/>
              <w:rPr>
                <w:sz w:val="20"/>
                <w:szCs w:val="20"/>
                <w:color w:val="auto"/>
              </w:rPr>
            </w:pPr>
            <w:r>
              <w:rPr>
                <w:rFonts w:ascii="Arial" w:cs="Arial" w:eastAsia="Arial" w:hAnsi="Arial"/>
                <w:sz w:val="18"/>
                <w:szCs w:val="18"/>
                <w:color w:val="0000FF"/>
              </w:rPr>
              <w:t>14(a) under the Securities Exchange</w:t>
            </w:r>
          </w:p>
        </w:tc>
        <w:tc>
          <w:tcPr>
            <w:tcW w:w="2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20"/>
          </w:tcPr>
          <w:p>
            <w:pPr>
              <w:spacing w:after="0" w:line="182" w:lineRule="exact"/>
              <w:rPr>
                <w:sz w:val="20"/>
                <w:szCs w:val="20"/>
                <w:color w:val="auto"/>
              </w:rPr>
            </w:pPr>
            <w:r>
              <w:rPr>
                <w:rFonts w:ascii="Arial" w:cs="Arial" w:eastAsia="Arial" w:hAnsi="Arial"/>
                <w:sz w:val="18"/>
                <w:szCs w:val="18"/>
                <w:color w:val="0000FF"/>
                <w:w w:val="99"/>
              </w:rPr>
              <w:t>of 1934, as Adopted Pursuant to Section</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40" w:type="dxa"/>
            <w:vAlign w:val="bottom"/>
            <w:gridSpan w:val="20"/>
          </w:tcPr>
          <w:p>
            <w:pPr>
              <w:spacing w:after="0" w:line="182" w:lineRule="exact"/>
              <w:rPr>
                <w:sz w:val="20"/>
                <w:szCs w:val="20"/>
                <w:color w:val="auto"/>
              </w:rPr>
            </w:pPr>
            <w:r>
              <w:rPr>
                <w:rFonts w:ascii="Arial" w:cs="Arial" w:eastAsia="Arial" w:hAnsi="Arial"/>
                <w:sz w:val="18"/>
                <w:szCs w:val="18"/>
                <w:color w:val="0000FF"/>
              </w:rPr>
              <w:t>302 of the Sarbanes-Oxley Act of 2002</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040" w:type="dxa"/>
            <w:vAlign w:val="bottom"/>
            <w:gridSpan w:val="1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3240" w:type="dxa"/>
            <w:vAlign w:val="bottom"/>
            <w:gridSpan w:val="20"/>
          </w:tcPr>
          <w:p>
            <w:pPr>
              <w:spacing w:after="0"/>
              <w:rPr>
                <w:sz w:val="20"/>
                <w:szCs w:val="20"/>
                <w:color w:val="auto"/>
              </w:rPr>
            </w:pPr>
            <w:r>
              <w:rPr>
                <w:rFonts w:ascii="Arial" w:cs="Arial" w:eastAsia="Arial" w:hAnsi="Arial"/>
                <w:sz w:val="18"/>
                <w:szCs w:val="18"/>
                <w:color w:val="0000FF"/>
              </w:rPr>
              <w:t>Certification of Principal Executive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gridSpan w:val="6"/>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304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Officer Pursuant to 18 U.S.C. Section</w:t>
            </w:r>
          </w:p>
        </w:tc>
        <w:tc>
          <w:tcPr>
            <w:tcW w:w="2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040" w:type="dxa"/>
            <w:vAlign w:val="bottom"/>
            <w:gridSpan w:val="12"/>
          </w:tcPr>
          <w:p>
            <w:pPr>
              <w:spacing w:after="0" w:line="182" w:lineRule="exact"/>
              <w:rPr>
                <w:sz w:val="20"/>
                <w:szCs w:val="20"/>
                <w:color w:val="auto"/>
              </w:rPr>
            </w:pPr>
            <w:r>
              <w:rPr>
                <w:rFonts w:ascii="Arial" w:cs="Arial" w:eastAsia="Arial" w:hAnsi="Arial"/>
                <w:sz w:val="18"/>
                <w:szCs w:val="18"/>
                <w:color w:val="0000FF"/>
                <w:w w:val="99"/>
              </w:rPr>
              <w:t>1350, as Adopted Pursuant to Section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7"/>
              </w:rPr>
              <w:t>906 of the Sarbanes-Oxley Act of 2002</w:t>
            </w:r>
          </w:p>
        </w:tc>
        <w:tc>
          <w:tcPr>
            <w:tcW w:w="20" w:type="dxa"/>
            <w:vAlign w:val="bottom"/>
            <w:tcBorders>
              <w:bottom w:val="single" w:sz="8" w:color="0000EE"/>
            </w:tcBorders>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3240" w:type="dxa"/>
            <w:vAlign w:val="bottom"/>
            <w:gridSpan w:val="20"/>
          </w:tcPr>
          <w:p>
            <w:pPr>
              <w:spacing w:after="0"/>
              <w:rPr>
                <w:sz w:val="20"/>
                <w:szCs w:val="20"/>
                <w:color w:val="auto"/>
              </w:rPr>
            </w:pPr>
            <w:r>
              <w:rPr>
                <w:rFonts w:ascii="Arial" w:cs="Arial" w:eastAsia="Arial" w:hAnsi="Arial"/>
                <w:sz w:val="18"/>
                <w:szCs w:val="18"/>
                <w:color w:val="0000FF"/>
                <w:w w:val="99"/>
              </w:rPr>
              <w:t>Certification of Principal Financial Officer</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24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Pursuant to 18 U.S.C. Section 1350, as</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Adopted Pursuant to Section 906 of the</w:t>
            </w: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26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940" w:type="dxa"/>
            <w:vAlign w:val="bottom"/>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240" w:type="dxa"/>
            <w:vAlign w:val="bottom"/>
            <w:gridSpan w:val="20"/>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1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240" w:type="dxa"/>
            <w:vAlign w:val="bottom"/>
            <w:gridSpan w:val="20"/>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40" w:type="dxa"/>
            <w:vAlign w:val="bottom"/>
            <w:gridSpan w:val="20"/>
          </w:tcPr>
          <w:p>
            <w:pPr>
              <w:spacing w:after="0"/>
              <w:rPr>
                <w:sz w:val="20"/>
                <w:szCs w:val="20"/>
                <w:color w:val="auto"/>
              </w:rPr>
            </w:pPr>
            <w:r>
              <w:rPr>
                <w:rFonts w:ascii="Arial" w:cs="Arial" w:eastAsia="Arial" w:hAnsi="Arial"/>
                <w:sz w:val="18"/>
                <w:szCs w:val="18"/>
                <w:color w:val="auto"/>
              </w:rPr>
              <w:t>Schema Document</w:t>
            </w:r>
          </w:p>
        </w:tc>
        <w:tc>
          <w:tcPr>
            <w:tcW w:w="0" w:type="dxa"/>
            <w:vAlign w:val="bottom"/>
          </w:tcPr>
          <w:p>
            <w:pPr>
              <w:spacing w:after="0"/>
              <w:rPr>
                <w:sz w:val="1"/>
                <w:szCs w:val="1"/>
                <w:color w:val="auto"/>
              </w:rPr>
            </w:pPr>
          </w:p>
        </w:tc>
      </w:tr>
      <w:tr>
        <w:trPr>
          <w:trHeight w:val="31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240" w:type="dxa"/>
            <w:vAlign w:val="bottom"/>
            <w:gridSpan w:val="20"/>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40" w:type="dxa"/>
            <w:vAlign w:val="bottom"/>
            <w:gridSpan w:val="20"/>
          </w:tcPr>
          <w:p>
            <w:pPr>
              <w:spacing w:after="0"/>
              <w:rPr>
                <w:sz w:val="20"/>
                <w:szCs w:val="20"/>
                <w:color w:val="auto"/>
              </w:rPr>
            </w:pPr>
            <w:r>
              <w:rPr>
                <w:rFonts w:ascii="Arial" w:cs="Arial" w:eastAsia="Arial" w:hAnsi="Arial"/>
                <w:sz w:val="18"/>
                <w:szCs w:val="18"/>
                <w:color w:val="auto"/>
              </w:rPr>
              <w:t>Calculation Linkbase Document</w:t>
            </w:r>
          </w:p>
        </w:tc>
        <w:tc>
          <w:tcPr>
            <w:tcW w:w="0" w:type="dxa"/>
            <w:vAlign w:val="bottom"/>
          </w:tcPr>
          <w:p>
            <w:pPr>
              <w:spacing w:after="0"/>
              <w:rPr>
                <w:sz w:val="1"/>
                <w:szCs w:val="1"/>
                <w:color w:val="auto"/>
              </w:rPr>
            </w:pPr>
          </w:p>
        </w:tc>
      </w:tr>
      <w:tr>
        <w:trPr>
          <w:trHeight w:val="31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240" w:type="dxa"/>
            <w:vAlign w:val="bottom"/>
            <w:gridSpan w:val="20"/>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40" w:type="dxa"/>
            <w:vAlign w:val="bottom"/>
            <w:gridSpan w:val="20"/>
          </w:tcPr>
          <w:p>
            <w:pPr>
              <w:spacing w:after="0"/>
              <w:rPr>
                <w:sz w:val="20"/>
                <w:szCs w:val="20"/>
                <w:color w:val="auto"/>
              </w:rPr>
            </w:pPr>
            <w:r>
              <w:rPr>
                <w:rFonts w:ascii="Arial" w:cs="Arial" w:eastAsia="Arial" w:hAnsi="Arial"/>
                <w:sz w:val="18"/>
                <w:szCs w:val="18"/>
                <w:color w:val="auto"/>
              </w:rPr>
              <w:t>Definition Linkbase Document</w:t>
            </w:r>
          </w:p>
        </w:tc>
        <w:tc>
          <w:tcPr>
            <w:tcW w:w="0" w:type="dxa"/>
            <w:vAlign w:val="bottom"/>
          </w:tcPr>
          <w:p>
            <w:pPr>
              <w:spacing w:after="0"/>
              <w:rPr>
                <w:sz w:val="1"/>
                <w:szCs w:val="1"/>
                <w:color w:val="auto"/>
              </w:rPr>
            </w:pPr>
          </w:p>
        </w:tc>
      </w:tr>
      <w:tr>
        <w:trPr>
          <w:trHeight w:val="31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24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40" w:type="dxa"/>
            <w:vAlign w:val="bottom"/>
            <w:gridSpan w:val="20"/>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r>
        <w:trPr>
          <w:trHeight w:val="31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240" w:type="dxa"/>
            <w:vAlign w:val="bottom"/>
            <w:gridSpan w:val="20"/>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3240" w:type="dxa"/>
            <w:vAlign w:val="bottom"/>
            <w:gridSpan w:val="20"/>
          </w:tcPr>
          <w:p>
            <w:pPr>
              <w:spacing w:after="0"/>
              <w:rPr>
                <w:sz w:val="20"/>
                <w:szCs w:val="20"/>
                <w:color w:val="auto"/>
              </w:rPr>
            </w:pPr>
            <w:r>
              <w:rPr>
                <w:rFonts w:ascii="Arial" w:cs="Arial" w:eastAsia="Arial" w:hAnsi="Arial"/>
                <w:sz w:val="18"/>
                <w:szCs w:val="18"/>
                <w:color w:val="auto"/>
              </w:rPr>
              <w:t>Presentation Linkbase Document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right"/>
        <w:ind w:right="34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120" w:space="720"/>
            <w:col w:w="1000"/>
          </w:cols>
          <w:pgMar w:left="320" w:top="768" w:right="7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67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200" w:type="dxa"/>
            <w:vAlign w:val="bottom"/>
          </w:tcPr>
          <w:p>
            <w:pPr>
              <w:spacing w:after="0"/>
              <w:rPr>
                <w:sz w:val="17"/>
                <w:szCs w:val="17"/>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635"/>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6120" w:type="dxa"/>
            <w:vAlign w:val="bottom"/>
            <w:gridSpan w:val="2"/>
          </w:tcPr>
          <w:p>
            <w:pPr>
              <w:ind w:left="320"/>
              <w:spacing w:after="0"/>
              <w:rPr>
                <w:sz w:val="20"/>
                <w:szCs w:val="20"/>
                <w:color w:val="auto"/>
              </w:rPr>
            </w:pPr>
            <w:r>
              <w:rPr>
                <w:rFonts w:ascii="Arial" w:cs="Arial" w:eastAsia="Arial" w:hAnsi="Arial"/>
                <w:sz w:val="18"/>
                <w:szCs w:val="18"/>
                <w:color w:val="auto"/>
              </w:rPr>
              <w:t>Cover Page Interactive Data File</w:t>
            </w:r>
          </w:p>
        </w:tc>
        <w:tc>
          <w:tcPr>
            <w:tcW w:w="3200" w:type="dxa"/>
            <w:vAlign w:val="bottom"/>
          </w:tcPr>
          <w:p>
            <w:pPr>
              <w:ind w:left="3080"/>
              <w:spacing w:after="0"/>
              <w:rPr>
                <w:sz w:val="20"/>
                <w:szCs w:val="20"/>
                <w:color w:val="auto"/>
              </w:rPr>
            </w:pPr>
            <w:r>
              <w:rPr>
                <w:rFonts w:ascii="Arial" w:cs="Arial" w:eastAsia="Arial" w:hAnsi="Arial"/>
                <w:sz w:val="18"/>
                <w:szCs w:val="18"/>
                <w:color w:val="auto"/>
                <w:w w:val="82"/>
              </w:rPr>
              <w:t>X</w:t>
            </w:r>
          </w:p>
        </w:tc>
      </w:tr>
      <w:tr>
        <w:trPr>
          <w:trHeight w:val="202"/>
        </w:trPr>
        <w:tc>
          <w:tcPr>
            <w:tcW w:w="640" w:type="dxa"/>
            <w:vAlign w:val="bottom"/>
          </w:tcPr>
          <w:p>
            <w:pPr>
              <w:spacing w:after="0"/>
              <w:rPr>
                <w:sz w:val="17"/>
                <w:szCs w:val="17"/>
                <w:color w:val="auto"/>
              </w:rPr>
            </w:pPr>
          </w:p>
        </w:tc>
        <w:tc>
          <w:tcPr>
            <w:tcW w:w="61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(embedded within the Inline XBRL</w:t>
            </w:r>
          </w:p>
        </w:tc>
        <w:tc>
          <w:tcPr>
            <w:tcW w:w="3200" w:type="dxa"/>
            <w:vAlign w:val="bottom"/>
          </w:tcPr>
          <w:p>
            <w:pPr>
              <w:spacing w:after="0"/>
              <w:rPr>
                <w:sz w:val="17"/>
                <w:szCs w:val="17"/>
                <w:color w:val="auto"/>
              </w:rPr>
            </w:pPr>
          </w:p>
        </w:tc>
      </w:tr>
      <w:tr>
        <w:trPr>
          <w:trHeight w:val="236"/>
        </w:trPr>
        <w:tc>
          <w:tcPr>
            <w:tcW w:w="640" w:type="dxa"/>
            <w:vAlign w:val="bottom"/>
          </w:tcPr>
          <w:p>
            <w:pPr>
              <w:spacing w:after="0"/>
              <w:rPr>
                <w:sz w:val="20"/>
                <w:szCs w:val="20"/>
                <w:color w:val="auto"/>
              </w:rPr>
            </w:pPr>
          </w:p>
        </w:tc>
        <w:tc>
          <w:tcPr>
            <w:tcW w:w="6120" w:type="dxa"/>
            <w:vAlign w:val="bottom"/>
            <w:gridSpan w:val="2"/>
          </w:tcPr>
          <w:p>
            <w:pPr>
              <w:ind w:left="320"/>
              <w:spacing w:after="0"/>
              <w:rPr>
                <w:sz w:val="20"/>
                <w:szCs w:val="20"/>
                <w:color w:val="auto"/>
              </w:rPr>
            </w:pPr>
            <w:r>
              <w:rPr>
                <w:rFonts w:ascii="Arial" w:cs="Arial" w:eastAsia="Arial" w:hAnsi="Arial"/>
                <w:sz w:val="18"/>
                <w:szCs w:val="18"/>
                <w:color w:val="auto"/>
              </w:rPr>
              <w:t>document)</w:t>
            </w:r>
          </w:p>
        </w:tc>
        <w:tc>
          <w:tcPr>
            <w:tcW w:w="3200" w:type="dxa"/>
            <w:vAlign w:val="bottom"/>
          </w:tcPr>
          <w:p>
            <w:pPr>
              <w:spacing w:after="0"/>
              <w:rPr>
                <w:sz w:val="20"/>
                <w:szCs w:val="20"/>
                <w:color w:val="auto"/>
              </w:rPr>
            </w:pPr>
          </w:p>
        </w:tc>
      </w:tr>
    </w:tbl>
    <w:p>
      <w:pPr>
        <w:ind w:left="140" w:hanging="132"/>
        <w:spacing w:after="0"/>
        <w:tabs>
          <w:tab w:leader="none" w:pos="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portions of this exhibit (indicated by "[***]") have been omitted pursuant to Regulation S-K, Item (601)(b)(10).</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5" w:right="1440"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20" w:type="dxa"/>
            <w:vAlign w:val="bottom"/>
          </w:tcPr>
          <w:p>
            <w:pPr>
              <w:spacing w:after="0"/>
              <w:rPr>
                <w:sz w:val="20"/>
                <w:szCs w:val="20"/>
                <w:color w:val="auto"/>
              </w:rPr>
            </w:pPr>
          </w:p>
        </w:tc>
        <w:tc>
          <w:tcPr>
            <w:tcW w:w="3240" w:type="dxa"/>
            <w:vAlign w:val="bottom"/>
            <w:gridSpan w:val="2"/>
          </w:tcPr>
          <w:p>
            <w:pPr>
              <w:ind w:left="1540"/>
              <w:spacing w:after="0"/>
              <w:rPr>
                <w:sz w:val="20"/>
                <w:szCs w:val="20"/>
                <w:color w:val="auto"/>
              </w:rPr>
            </w:pPr>
            <w:r>
              <w:rPr>
                <w:rFonts w:ascii="Arial" w:cs="Arial" w:eastAsia="Arial" w:hAnsi="Arial"/>
                <w:sz w:val="18"/>
                <w:szCs w:val="18"/>
                <w:color w:val="auto"/>
              </w:rPr>
              <w:t>Vroom, Inc.</w:t>
            </w:r>
          </w:p>
        </w:tc>
        <w:tc>
          <w:tcPr>
            <w:tcW w:w="4880" w:type="dxa"/>
            <w:vAlign w:val="bottom"/>
          </w:tcPr>
          <w:p>
            <w:pPr>
              <w:spacing w:after="0"/>
              <w:rPr>
                <w:sz w:val="20"/>
                <w:szCs w:val="20"/>
                <w:color w:val="auto"/>
              </w:rPr>
            </w:pPr>
          </w:p>
        </w:tc>
      </w:tr>
      <w:tr>
        <w:trPr>
          <w:trHeight w:val="387"/>
        </w:trPr>
        <w:tc>
          <w:tcPr>
            <w:tcW w:w="3120" w:type="dxa"/>
            <w:vAlign w:val="bottom"/>
          </w:tcPr>
          <w:p>
            <w:pPr>
              <w:ind w:left="20"/>
              <w:spacing w:after="0"/>
              <w:rPr>
                <w:sz w:val="20"/>
                <w:szCs w:val="20"/>
                <w:color w:val="auto"/>
              </w:rPr>
            </w:pPr>
            <w:r>
              <w:rPr>
                <w:rFonts w:ascii="Arial" w:cs="Arial" w:eastAsia="Arial" w:hAnsi="Arial"/>
                <w:sz w:val="18"/>
                <w:szCs w:val="18"/>
                <w:color w:val="auto"/>
              </w:rPr>
              <w:t>Date: May 10, 2024</w:t>
            </w:r>
          </w:p>
        </w:tc>
        <w:tc>
          <w:tcPr>
            <w:tcW w:w="324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/s/ Thomas H. Shortt</w:t>
            </w:r>
          </w:p>
        </w:tc>
      </w:tr>
      <w:tr>
        <w:trPr>
          <w:trHeight w:val="240"/>
        </w:trPr>
        <w:tc>
          <w:tcPr>
            <w:tcW w:w="3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4880" w:type="dxa"/>
            <w:vAlign w:val="bottom"/>
            <w:tcBorders>
              <w:top w:val="single" w:sz="8" w:color="auto"/>
            </w:tcBorders>
          </w:tcPr>
          <w:p>
            <w:pPr>
              <w:jc w:val="center"/>
              <w:ind w:right="1330"/>
              <w:spacing w:after="0"/>
              <w:rPr>
                <w:sz w:val="20"/>
                <w:szCs w:val="20"/>
                <w:color w:val="auto"/>
              </w:rPr>
            </w:pPr>
            <w:r>
              <w:rPr>
                <w:rFonts w:ascii="Arial" w:cs="Arial" w:eastAsia="Arial" w:hAnsi="Arial"/>
                <w:sz w:val="18"/>
                <w:szCs w:val="18"/>
                <w:color w:val="auto"/>
              </w:rPr>
              <w:t>Thomas H. Shortt</w:t>
            </w:r>
          </w:p>
        </w:tc>
      </w:tr>
      <w:tr>
        <w:trPr>
          <w:trHeight w:val="243"/>
        </w:trPr>
        <w:tc>
          <w:tcPr>
            <w:tcW w:w="3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w w:val="99"/>
              </w:rPr>
              <w:t>Chief Executive Officer</w:t>
            </w:r>
          </w:p>
        </w:tc>
      </w:tr>
      <w:tr>
        <w:trPr>
          <w:trHeight w:val="243"/>
        </w:trPr>
        <w:tc>
          <w:tcPr>
            <w:tcW w:w="3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80" w:type="dxa"/>
            <w:vAlign w:val="bottom"/>
          </w:tcPr>
          <w:p>
            <w:pPr>
              <w:jc w:val="center"/>
              <w:ind w:right="137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630"/>
        </w:trPr>
        <w:tc>
          <w:tcPr>
            <w:tcW w:w="3120" w:type="dxa"/>
            <w:vAlign w:val="bottom"/>
          </w:tcPr>
          <w:p>
            <w:pPr>
              <w:ind w:left="20"/>
              <w:spacing w:after="0"/>
              <w:rPr>
                <w:sz w:val="20"/>
                <w:szCs w:val="20"/>
                <w:color w:val="auto"/>
              </w:rPr>
            </w:pPr>
            <w:r>
              <w:rPr>
                <w:rFonts w:ascii="Arial" w:cs="Arial" w:eastAsia="Arial" w:hAnsi="Arial"/>
                <w:sz w:val="18"/>
                <w:szCs w:val="18"/>
                <w:color w:val="auto"/>
              </w:rPr>
              <w:t>Date: May 10, 2024</w:t>
            </w:r>
          </w:p>
        </w:tc>
        <w:tc>
          <w:tcPr>
            <w:tcW w:w="324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/s/ Robert R. Krakowiak</w:t>
            </w:r>
          </w:p>
        </w:tc>
      </w:tr>
      <w:tr>
        <w:trPr>
          <w:trHeight w:val="240"/>
        </w:trPr>
        <w:tc>
          <w:tcPr>
            <w:tcW w:w="3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4880" w:type="dxa"/>
            <w:vAlign w:val="bottom"/>
            <w:tcBorders>
              <w:top w:val="single" w:sz="8" w:color="auto"/>
            </w:tcBorders>
          </w:tcPr>
          <w:p>
            <w:pPr>
              <w:jc w:val="center"/>
              <w:ind w:right="1330"/>
              <w:spacing w:after="0"/>
              <w:rPr>
                <w:sz w:val="20"/>
                <w:szCs w:val="20"/>
                <w:color w:val="auto"/>
              </w:rPr>
            </w:pPr>
            <w:r>
              <w:rPr>
                <w:rFonts w:ascii="Arial" w:cs="Arial" w:eastAsia="Arial" w:hAnsi="Arial"/>
                <w:sz w:val="18"/>
                <w:szCs w:val="18"/>
                <w:color w:val="auto"/>
              </w:rPr>
              <w:t>Robert R. Krakowiak</w:t>
            </w:r>
          </w:p>
        </w:tc>
      </w:tr>
      <w:tr>
        <w:trPr>
          <w:trHeight w:val="243"/>
        </w:trPr>
        <w:tc>
          <w:tcPr>
            <w:tcW w:w="3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80" w:type="dxa"/>
            <w:vAlign w:val="bottom"/>
          </w:tcPr>
          <w:p>
            <w:pPr>
              <w:jc w:val="center"/>
              <w:ind w:right="1330"/>
              <w:spacing w:after="0"/>
              <w:rPr>
                <w:sz w:val="20"/>
                <w:szCs w:val="20"/>
                <w:color w:val="auto"/>
              </w:rPr>
            </w:pPr>
            <w:r>
              <w:rPr>
                <w:rFonts w:ascii="Arial" w:cs="Arial" w:eastAsia="Arial" w:hAnsi="Arial"/>
                <w:sz w:val="18"/>
                <w:szCs w:val="18"/>
                <w:color w:val="auto"/>
              </w:rPr>
              <w:t>Chief Financial Officer</w:t>
            </w:r>
          </w:p>
        </w:tc>
      </w:tr>
      <w:tr>
        <w:trPr>
          <w:trHeight w:val="243"/>
        </w:trPr>
        <w:tc>
          <w:tcPr>
            <w:tcW w:w="3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80" w:type="dxa"/>
            <w:vAlign w:val="bottom"/>
          </w:tcPr>
          <w:p>
            <w:pPr>
              <w:jc w:val="center"/>
              <w:ind w:right="131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836"/>
        </w:trPr>
        <w:tc>
          <w:tcPr>
            <w:tcW w:w="3120" w:type="dxa"/>
            <w:vAlign w:val="bottom"/>
          </w:tcPr>
          <w:p>
            <w:pPr>
              <w:spacing w:after="0"/>
              <w:rPr>
                <w:sz w:val="24"/>
                <w:szCs w:val="24"/>
                <w:color w:val="auto"/>
              </w:rPr>
            </w:pPr>
          </w:p>
        </w:tc>
        <w:tc>
          <w:tcPr>
            <w:tcW w:w="3240" w:type="dxa"/>
            <w:vAlign w:val="bottom"/>
            <w:gridSpan w:val="2"/>
          </w:tcPr>
          <w:p>
            <w:pPr>
              <w:jc w:val="right"/>
              <w:ind w:right="640"/>
              <w:spacing w:after="0"/>
              <w:rPr>
                <w:sz w:val="20"/>
                <w:szCs w:val="20"/>
                <w:color w:val="auto"/>
              </w:rPr>
            </w:pPr>
            <w:r>
              <w:rPr>
                <w:rFonts w:ascii="Arial" w:cs="Arial" w:eastAsia="Arial" w:hAnsi="Arial"/>
                <w:sz w:val="18"/>
                <w:szCs w:val="18"/>
                <w:color w:val="auto"/>
              </w:rPr>
              <w:t>69</w:t>
            </w:r>
          </w:p>
        </w:tc>
        <w:tc>
          <w:tcPr>
            <w:tcW w:w="4880" w:type="dxa"/>
            <w:vAlign w:val="bottom"/>
          </w:tcPr>
          <w:p>
            <w:pPr>
              <w:spacing w:after="0"/>
              <w:rPr>
                <w:sz w:val="24"/>
                <w:szCs w:val="24"/>
                <w:color w:val="auto"/>
              </w:rPr>
            </w:pPr>
          </w:p>
        </w:tc>
      </w:tr>
      <w:tr>
        <w:trPr>
          <w:trHeight w:val="745"/>
        </w:trPr>
        <w:tc>
          <w:tcPr>
            <w:tcW w:w="3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4" w:lineRule="exact"/>
        <w:rPr>
          <w:sz w:val="20"/>
          <w:szCs w:val="20"/>
          <w:color w:val="auto"/>
        </w:rPr>
      </w:pPr>
    </w:p>
    <w:p>
      <w:pPr>
        <w:ind w:right="340" w:firstLine="8"/>
        <w:spacing w:after="0" w:line="281" w:lineRule="auto"/>
        <w:tabs>
          <w:tab w:leader="none" w:pos="4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both (i) not material and (ii) the type that the Registrant treats as private or confidential.</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CONFORMED COPY</w:t>
      </w:r>
    </w:p>
    <w:p>
      <w:pPr>
        <w:sectPr>
          <w:pgSz w:w="11900" w:h="16838" w:orient="portrait"/>
          <w:cols w:equalWidth="0" w:num="1">
            <w:col w:w="11240"/>
          </w:cols>
          <w:pgMar w:left="320" w:top="764" w:right="339" w:bottom="1440" w:gutter="0" w:footer="0" w:header="0"/>
        </w:sectPr>
      </w:pPr>
    </w:p>
    <w:p>
      <w:pPr>
        <w:spacing w:after="0" w:line="12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3"/>
          <w:szCs w:val="13"/>
          <w:i w:val="1"/>
          <w:iCs w:val="1"/>
          <w:color w:val="auto"/>
        </w:rPr>
        <w:t>Amendment No. 1 dated as of May 16, 2014</w:t>
      </w:r>
    </w:p>
    <w:p>
      <w:pPr>
        <w:ind w:left="3220"/>
        <w:spacing w:after="0" w:line="236" w:lineRule="auto"/>
        <w:rPr>
          <w:sz w:val="20"/>
          <w:szCs w:val="20"/>
          <w:color w:val="auto"/>
        </w:rPr>
      </w:pPr>
      <w:r>
        <w:rPr>
          <w:rFonts w:ascii="Times New Roman" w:cs="Times New Roman" w:eastAsia="Times New Roman" w:hAnsi="Times New Roman"/>
          <w:sz w:val="12"/>
          <w:szCs w:val="12"/>
          <w:i w:val="1"/>
          <w:iCs w:val="1"/>
          <w:color w:val="auto"/>
        </w:rPr>
        <w:t>Amendment No. 2 dated as of November 20, 2014</w:t>
      </w:r>
    </w:p>
    <w:p>
      <w:pPr>
        <w:ind w:left="322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3 dated as of February 2, 2015</w:t>
      </w:r>
    </w:p>
    <w:p>
      <w:pPr>
        <w:ind w:left="3220"/>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4 dated as of June 5, 2015</w:t>
      </w:r>
    </w:p>
    <w:p>
      <w:pPr>
        <w:ind w:left="3220"/>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5 dated as of December 15, 2015</w:t>
      </w:r>
    </w:p>
    <w:p>
      <w:pPr>
        <w:ind w:left="3220"/>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6 dated as of June 13, 2016</w:t>
      </w:r>
    </w:p>
    <w:p>
      <w:pPr>
        <w:ind w:left="322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7 dated as of January 9, 2017</w:t>
      </w:r>
    </w:p>
    <w:p>
      <w:pPr>
        <w:ind w:left="3220"/>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8 dated as of May 11, 2017</w:t>
      </w:r>
    </w:p>
    <w:p>
      <w:pPr>
        <w:ind w:left="3220"/>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9 dated as of September 29, 2017</w:t>
      </w:r>
    </w:p>
    <w:p>
      <w:pPr>
        <w:ind w:left="3220"/>
        <w:spacing w:after="0" w:line="234" w:lineRule="auto"/>
        <w:rPr>
          <w:sz w:val="20"/>
          <w:szCs w:val="20"/>
          <w:color w:val="auto"/>
        </w:rPr>
      </w:pPr>
      <w:r>
        <w:rPr>
          <w:rFonts w:ascii="Times New Roman" w:cs="Times New Roman" w:eastAsia="Times New Roman" w:hAnsi="Times New Roman"/>
          <w:sz w:val="12"/>
          <w:szCs w:val="12"/>
          <w:i w:val="1"/>
          <w:iCs w:val="1"/>
          <w:color w:val="auto"/>
        </w:rPr>
        <w:t>Amendment No. 10 dated as of October 26, 2017</w:t>
      </w:r>
    </w:p>
    <w:p>
      <w:pPr>
        <w:ind w:left="3220"/>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11 dated as of April 17, 2018</w:t>
      </w:r>
    </w:p>
    <w:p>
      <w:pPr>
        <w:ind w:left="3220"/>
        <w:spacing w:after="0"/>
        <w:rPr>
          <w:sz w:val="20"/>
          <w:szCs w:val="20"/>
          <w:color w:val="auto"/>
        </w:rPr>
      </w:pPr>
      <w:r>
        <w:rPr>
          <w:rFonts w:ascii="Times New Roman" w:cs="Times New Roman" w:eastAsia="Times New Roman" w:hAnsi="Times New Roman"/>
          <w:sz w:val="13"/>
          <w:szCs w:val="13"/>
          <w:i w:val="1"/>
          <w:iCs w:val="1"/>
          <w:color w:val="auto"/>
        </w:rPr>
        <w:t>Amendment No. 12 dated as of June 12, 2018</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Amendment No. 13 dated as of October 30, 2018</w:t>
      </w:r>
    </w:p>
    <w:p>
      <w:pPr>
        <w:spacing w:after="0" w:line="236" w:lineRule="auto"/>
        <w:rPr>
          <w:sz w:val="20"/>
          <w:szCs w:val="20"/>
          <w:color w:val="auto"/>
        </w:rPr>
      </w:pPr>
      <w:r>
        <w:rPr>
          <w:rFonts w:ascii="Times New Roman" w:cs="Times New Roman" w:eastAsia="Times New Roman" w:hAnsi="Times New Roman"/>
          <w:sz w:val="12"/>
          <w:szCs w:val="12"/>
          <w:i w:val="1"/>
          <w:iCs w:val="1"/>
          <w:color w:val="auto"/>
        </w:rPr>
        <w:t>Amendment No. 14 dated as of December 19, 2018</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15 dated as of May 3, 2019</w:t>
      </w:r>
    </w:p>
    <w:p>
      <w:pPr>
        <w:spacing w:after="0" w:line="234" w:lineRule="auto"/>
        <w:rPr>
          <w:sz w:val="20"/>
          <w:szCs w:val="20"/>
          <w:color w:val="auto"/>
        </w:rPr>
      </w:pPr>
      <w:r>
        <w:rPr>
          <w:rFonts w:ascii="Times New Roman" w:cs="Times New Roman" w:eastAsia="Times New Roman" w:hAnsi="Times New Roman"/>
          <w:sz w:val="12"/>
          <w:szCs w:val="12"/>
          <w:i w:val="1"/>
          <w:iCs w:val="1"/>
          <w:color w:val="auto"/>
        </w:rPr>
        <w:t>Amendment No. 16 dated as of December 20, 2019</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17 dated as of May 11, 2020</w:t>
      </w:r>
    </w:p>
    <w:p>
      <w:pPr>
        <w:spacing w:after="0" w:line="234" w:lineRule="auto"/>
        <w:rPr>
          <w:sz w:val="20"/>
          <w:szCs w:val="20"/>
          <w:color w:val="auto"/>
        </w:rPr>
      </w:pPr>
      <w:r>
        <w:rPr>
          <w:rFonts w:ascii="Times New Roman" w:cs="Times New Roman" w:eastAsia="Times New Roman" w:hAnsi="Times New Roman"/>
          <w:sz w:val="12"/>
          <w:szCs w:val="12"/>
          <w:i w:val="1"/>
          <w:iCs w:val="1"/>
          <w:color w:val="auto"/>
        </w:rPr>
        <w:t>Amendment No. 18 dated as of September 28, 2020</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19 dated as of May 19, 2021</w:t>
      </w:r>
    </w:p>
    <w:p>
      <w:pPr>
        <w:spacing w:after="0" w:line="234" w:lineRule="auto"/>
        <w:rPr>
          <w:sz w:val="20"/>
          <w:szCs w:val="20"/>
          <w:color w:val="auto"/>
        </w:rPr>
      </w:pPr>
      <w:r>
        <w:rPr>
          <w:rFonts w:ascii="Times New Roman" w:cs="Times New Roman" w:eastAsia="Times New Roman" w:hAnsi="Times New Roman"/>
          <w:sz w:val="12"/>
          <w:szCs w:val="12"/>
          <w:i w:val="1"/>
          <w:iCs w:val="1"/>
          <w:color w:val="auto"/>
        </w:rPr>
        <w:t>Amendment No. 20 dated as of December 10, 2021</w:t>
      </w:r>
    </w:p>
    <w:p>
      <w:pPr>
        <w:spacing w:after="0" w:line="235" w:lineRule="auto"/>
        <w:rPr>
          <w:sz w:val="20"/>
          <w:szCs w:val="20"/>
          <w:color w:val="auto"/>
        </w:rPr>
      </w:pPr>
      <w:r>
        <w:rPr>
          <w:rFonts w:ascii="Times New Roman" w:cs="Times New Roman" w:eastAsia="Times New Roman" w:hAnsi="Times New Roman"/>
          <w:sz w:val="12"/>
          <w:szCs w:val="12"/>
          <w:i w:val="1"/>
          <w:iCs w:val="1"/>
          <w:color w:val="auto"/>
        </w:rPr>
        <w:t>Amendment No. 21 dated as of September 29, 2022</w:t>
      </w:r>
    </w:p>
    <w:p>
      <w:pPr>
        <w:spacing w:after="0" w:line="234" w:lineRule="auto"/>
        <w:rPr>
          <w:sz w:val="20"/>
          <w:szCs w:val="20"/>
          <w:color w:val="auto"/>
        </w:rPr>
      </w:pPr>
      <w:r>
        <w:rPr>
          <w:rFonts w:ascii="Times New Roman" w:cs="Times New Roman" w:eastAsia="Times New Roman" w:hAnsi="Times New Roman"/>
          <w:sz w:val="12"/>
          <w:szCs w:val="12"/>
          <w:i w:val="1"/>
          <w:iCs w:val="1"/>
          <w:color w:val="auto"/>
        </w:rPr>
        <w:t>Amendment No. 22 dated as of December 16, 2022</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23 dated as of March 15, 2023</w:t>
      </w:r>
    </w:p>
    <w:p>
      <w:pPr>
        <w:spacing w:after="0" w:line="216" w:lineRule="auto"/>
        <w:rPr>
          <w:sz w:val="20"/>
          <w:szCs w:val="20"/>
          <w:color w:val="auto"/>
        </w:rPr>
      </w:pPr>
      <w:r>
        <w:rPr>
          <w:rFonts w:ascii="Times New Roman" w:cs="Times New Roman" w:eastAsia="Times New Roman" w:hAnsi="Times New Roman"/>
          <w:sz w:val="13"/>
          <w:szCs w:val="13"/>
          <w:i w:val="1"/>
          <w:iCs w:val="1"/>
          <w:color w:val="auto"/>
        </w:rPr>
        <w:t>Amendment No. 24 dated as of June 2, 2023</w:t>
      </w:r>
    </w:p>
    <w:p>
      <w:pPr>
        <w:spacing w:after="0" w:line="217" w:lineRule="auto"/>
        <w:rPr>
          <w:sz w:val="20"/>
          <w:szCs w:val="20"/>
          <w:color w:val="auto"/>
        </w:rPr>
      </w:pPr>
      <w:r>
        <w:rPr>
          <w:rFonts w:ascii="Times New Roman" w:cs="Times New Roman" w:eastAsia="Times New Roman" w:hAnsi="Times New Roman"/>
          <w:sz w:val="13"/>
          <w:szCs w:val="13"/>
          <w:i w:val="1"/>
          <w:iCs w:val="1"/>
          <w:color w:val="auto"/>
        </w:rPr>
        <w:t>Amendment No. 25 dated as of October 26, 2023</w:t>
      </w:r>
    </w:p>
    <w:p>
      <w:pPr>
        <w:spacing w:after="0"/>
        <w:rPr>
          <w:sz w:val="20"/>
          <w:szCs w:val="20"/>
          <w:color w:val="auto"/>
        </w:rPr>
      </w:pPr>
      <w:r>
        <w:rPr>
          <w:rFonts w:ascii="Times New Roman" w:cs="Times New Roman" w:eastAsia="Times New Roman" w:hAnsi="Times New Roman"/>
          <w:sz w:val="12"/>
          <w:szCs w:val="12"/>
          <w:i w:val="1"/>
          <w:iCs w:val="1"/>
          <w:color w:val="auto"/>
        </w:rPr>
        <w:t>Amendment No. 26 dated as of December 15, 2023</w:t>
      </w:r>
    </w:p>
    <w:p>
      <w:pPr>
        <w:spacing w:after="0" w:line="200" w:lineRule="exact"/>
        <w:rPr>
          <w:sz w:val="20"/>
          <w:szCs w:val="20"/>
          <w:color w:val="auto"/>
        </w:rPr>
      </w:pPr>
    </w:p>
    <w:p>
      <w:pPr>
        <w:sectPr>
          <w:pgSz w:w="11900" w:h="16838" w:orient="portrait"/>
          <w:cols w:equalWidth="0" w:num="2">
            <w:col w:w="6480" w:space="720"/>
            <w:col w:w="4040"/>
          </w:cols>
          <w:pgMar w:left="320" w:top="7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Borrower,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UNITED AUTO CREDIT CORPORATION,</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Servicer and Custodian,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Backup Servicer and Account Bank,</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LENDERS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AGENTS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201295</wp:posOffset>
            </wp:positionV>
            <wp:extent cx="242316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Dated as of November 19,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156210</wp:posOffset>
            </wp:positionV>
            <wp:extent cx="24231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1470660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70" w:name="page71"/>
    <w:bookmarkEnd w:id="70"/>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860" w:type="dxa"/>
            <w:vAlign w:val="bottom"/>
            <w:gridSpan w:val="2"/>
          </w:tcPr>
          <w:p>
            <w:pPr>
              <w:ind w:left="444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91"/>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ARTICLE ONE</w:t>
            </w:r>
          </w:p>
        </w:tc>
        <w:tc>
          <w:tcPr>
            <w:tcW w:w="478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DEFINITIONS; CONSTRUCTION</w:t>
            </w:r>
          </w:p>
        </w:tc>
        <w:tc>
          <w:tcPr>
            <w:tcW w:w="44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1.01.</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1.02.</w:t>
            </w:r>
          </w:p>
        </w:tc>
        <w:tc>
          <w:tcPr>
            <w:tcW w:w="42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Accounting Terms and Determinations 43</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1.03.</w:t>
            </w: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6"/>
              </w:rPr>
              <w:t>Computation of Time Periods</w:t>
            </w:r>
          </w:p>
        </w:tc>
        <w:tc>
          <w:tcPr>
            <w:tcW w:w="162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rPr>
              <w:t>43</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1.04.</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Interpretation</w:t>
            </w:r>
          </w:p>
        </w:tc>
        <w:tc>
          <w:tcPr>
            <w:tcW w:w="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44</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1.05.</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Interest Rates</w:t>
            </w:r>
          </w:p>
        </w:tc>
        <w:tc>
          <w:tcPr>
            <w:tcW w:w="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44</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1.06.</w:t>
            </w:r>
          </w:p>
        </w:tc>
        <w:tc>
          <w:tcPr>
            <w:tcW w:w="914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Acknowledgement Regarding Any Supported QFCs  45</w:t>
            </w:r>
          </w:p>
        </w:tc>
      </w:tr>
      <w:tr>
        <w:trPr>
          <w:trHeight w:val="351"/>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ARTICLE TWO</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LOANS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2.01.</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Loans</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47</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2.02.</w:t>
            </w:r>
          </w:p>
        </w:tc>
        <w:tc>
          <w:tcPr>
            <w:tcW w:w="21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Funding Mechanics</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w:t>
            </w: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2.03.</w:t>
            </w: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Reductions of Commitments</w:t>
            </w:r>
          </w:p>
        </w:tc>
        <w:tc>
          <w:tcPr>
            <w:tcW w:w="16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9"/>
              </w:rPr>
              <w:t>50</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2.04.</w:t>
            </w: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Extensions of Commitments</w:t>
            </w:r>
          </w:p>
        </w:tc>
        <w:tc>
          <w:tcPr>
            <w:tcW w:w="16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9"/>
              </w:rPr>
              <w:t>51</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2.05.</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The Notes</w:t>
            </w:r>
          </w:p>
        </w:tc>
        <w:tc>
          <w:tcPr>
            <w:tcW w:w="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52</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2.06.</w:t>
            </w:r>
          </w:p>
        </w:tc>
        <w:tc>
          <w:tcPr>
            <w:tcW w:w="42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Optional Principal Repayments; Interpayments</w:t>
            </w:r>
          </w:p>
        </w:tc>
        <w:tc>
          <w:tcPr>
            <w:tcW w:w="4440" w:type="dxa"/>
            <w:vAlign w:val="bottom"/>
          </w:tcPr>
          <w:p>
            <w:pPr>
              <w:jc w:val="right"/>
              <w:ind w:right="3992"/>
              <w:spacing w:after="0"/>
              <w:rPr>
                <w:sz w:val="20"/>
                <w:szCs w:val="20"/>
                <w:color w:val="auto"/>
              </w:rPr>
            </w:pPr>
            <w:r>
              <w:rPr>
                <w:rFonts w:ascii="Times New Roman" w:cs="Times New Roman" w:eastAsia="Times New Roman" w:hAnsi="Times New Roman"/>
                <w:sz w:val="22"/>
                <w:szCs w:val="22"/>
                <w:color w:val="auto"/>
              </w:rPr>
              <w:t>52</w:t>
            </w: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2.07.</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5"/>
              </w:rPr>
              <w:t>Payments</w:t>
            </w:r>
          </w:p>
        </w:tc>
        <w:tc>
          <w:tcPr>
            <w:tcW w:w="38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53</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2.08.</w:t>
            </w:r>
          </w:p>
        </w:tc>
        <w:tc>
          <w:tcPr>
            <w:tcW w:w="21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Settlement Procedures</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55</w:t>
            </w: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2.09.</w:t>
            </w:r>
          </w:p>
        </w:tc>
        <w:tc>
          <w:tcPr>
            <w:tcW w:w="21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Mandatory Payments</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w:t>
            </w: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6380" w:type="dxa"/>
            <w:vAlign w:val="bottom"/>
            <w:gridSpan w:val="7"/>
          </w:tcPr>
          <w:p>
            <w:pPr>
              <w:ind w:left="900"/>
              <w:spacing w:after="0"/>
              <w:rPr>
                <w:sz w:val="20"/>
                <w:szCs w:val="20"/>
                <w:color w:val="auto"/>
              </w:rPr>
            </w:pPr>
            <w:r>
              <w:rPr>
                <w:rFonts w:ascii="Times New Roman" w:cs="Times New Roman" w:eastAsia="Times New Roman" w:hAnsi="Times New Roman"/>
                <w:sz w:val="22"/>
                <w:szCs w:val="22"/>
                <w:color w:val="auto"/>
              </w:rPr>
              <w:t>Section 2.10.  Payments, Computations, Etc 57</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11240" w:type="dxa"/>
            <w:vAlign w:val="bottom"/>
            <w:gridSpan w:val="9"/>
          </w:tcPr>
          <w:p>
            <w:pPr>
              <w:ind w:left="900"/>
              <w:spacing w:after="0"/>
              <w:rPr>
                <w:sz w:val="20"/>
                <w:szCs w:val="20"/>
                <w:color w:val="auto"/>
              </w:rPr>
            </w:pPr>
            <w:r>
              <w:rPr>
                <w:rFonts w:ascii="Times New Roman" w:cs="Times New Roman" w:eastAsia="Times New Roman" w:hAnsi="Times New Roman"/>
                <w:sz w:val="22"/>
                <w:szCs w:val="22"/>
                <w:color w:val="auto"/>
              </w:rPr>
              <w:t>Section 2.11.  Collections and Allocations; Investment of Funds 58</w:t>
            </w: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2.12.</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Fees 59</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2.13.</w:t>
            </w:r>
          </w:p>
        </w:tc>
        <w:tc>
          <w:tcPr>
            <w:tcW w:w="42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Increased Costs; Capital Adequacy; Illegality</w:t>
            </w:r>
          </w:p>
        </w:tc>
        <w:tc>
          <w:tcPr>
            <w:tcW w:w="4440" w:type="dxa"/>
            <w:vAlign w:val="bottom"/>
          </w:tcPr>
          <w:p>
            <w:pPr>
              <w:jc w:val="right"/>
              <w:ind w:right="3992"/>
              <w:spacing w:after="0"/>
              <w:rPr>
                <w:sz w:val="20"/>
                <w:szCs w:val="20"/>
                <w:color w:val="auto"/>
              </w:rPr>
            </w:pPr>
            <w:r>
              <w:rPr>
                <w:rFonts w:ascii="Times New Roman" w:cs="Times New Roman" w:eastAsia="Times New Roman" w:hAnsi="Times New Roman"/>
                <w:sz w:val="22"/>
                <w:szCs w:val="22"/>
                <w:color w:val="auto"/>
              </w:rPr>
              <w:t>59</w:t>
            </w: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2.14.</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61</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2.15.</w:t>
            </w: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Sharing of Payments, Etc</w:t>
            </w:r>
          </w:p>
        </w:tc>
        <w:tc>
          <w:tcPr>
            <w:tcW w:w="16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9"/>
              </w:rPr>
              <w:t>63</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2.16.</w:t>
            </w:r>
          </w:p>
        </w:tc>
        <w:tc>
          <w:tcPr>
            <w:tcW w:w="21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The Account Bank 64</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2.17.</w:t>
            </w: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Alternate Rate of Interest</w:t>
            </w:r>
          </w:p>
        </w:tc>
        <w:tc>
          <w:tcPr>
            <w:tcW w:w="16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9"/>
              </w:rPr>
              <w:t>67</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3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THREE SECURITY</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3.01.</w:t>
            </w:r>
          </w:p>
        </w:tc>
        <w:tc>
          <w:tcPr>
            <w:tcW w:w="9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4"/>
              </w:rPr>
              <w:t>Collateral</w:t>
            </w:r>
          </w:p>
        </w:tc>
        <w:tc>
          <w:tcPr>
            <w:tcW w:w="38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70</w:t>
            </w: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3.02.</w:t>
            </w:r>
          </w:p>
        </w:tc>
        <w:tc>
          <w:tcPr>
            <w:tcW w:w="42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Release of Collateral; No Legal Title   72</w:t>
            </w:r>
          </w:p>
        </w:tc>
        <w:tc>
          <w:tcPr>
            <w:tcW w:w="4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3.03.</w:t>
            </w:r>
          </w:p>
        </w:tc>
        <w:tc>
          <w:tcPr>
            <w:tcW w:w="914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Protection of Security Interest; Administrative Agent, as Attorney-in-Fact 72</w:t>
            </w: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3.04.</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Assignment of the Purchase Agreement</w:t>
            </w:r>
          </w:p>
        </w:tc>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73</w:t>
            </w: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3.05.</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Waiver of Certain Laws 73</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ARTICLE FOUR</w:t>
            </w:r>
          </w:p>
        </w:tc>
        <w:tc>
          <w:tcPr>
            <w:tcW w:w="48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CONDITIONS OF CLOSING AND LOANS</w:t>
            </w: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4.01.</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Conditions to Closing and Initial Loan</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c>
          <w:tcPr>
            <w:tcW w:w="3780" w:type="dxa"/>
            <w:vAlign w:val="bottom"/>
          </w:tcPr>
          <w:p>
            <w:pPr>
              <w:spacing w:after="0"/>
              <w:rPr>
                <w:sz w:val="24"/>
                <w:szCs w:val="24"/>
                <w:color w:val="auto"/>
              </w:rPr>
            </w:pPr>
          </w:p>
        </w:tc>
      </w:tr>
      <w:tr>
        <w:trPr>
          <w:trHeight w:val="351"/>
        </w:trPr>
        <w:tc>
          <w:tcPr>
            <w:tcW w:w="5640" w:type="dxa"/>
            <w:vAlign w:val="bottom"/>
            <w:gridSpan w:val="4"/>
          </w:tcPr>
          <w:p>
            <w:pPr>
              <w:ind w:left="900"/>
              <w:spacing w:after="0"/>
              <w:rPr>
                <w:sz w:val="20"/>
                <w:szCs w:val="20"/>
                <w:color w:val="auto"/>
              </w:rPr>
            </w:pPr>
            <w:r>
              <w:rPr>
                <w:rFonts w:ascii="Times New Roman" w:cs="Times New Roman" w:eastAsia="Times New Roman" w:hAnsi="Times New Roman"/>
                <w:sz w:val="22"/>
                <w:szCs w:val="22"/>
                <w:color w:val="auto"/>
              </w:rPr>
              <w:t>Section 4.02.  Conditions Precedent to All Loans 76</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ARTICLE FIVE</w:t>
            </w:r>
          </w:p>
        </w:tc>
        <w:tc>
          <w:tcPr>
            <w:tcW w:w="48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5.01.</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Representations and Warranties of the Borrower</w:t>
            </w:r>
          </w:p>
        </w:tc>
        <w:tc>
          <w:tcPr>
            <w:tcW w:w="3780" w:type="dxa"/>
            <w:vAlign w:val="bottom"/>
          </w:tcPr>
          <w:p>
            <w:pPr>
              <w:jc w:val="right"/>
              <w:ind w:right="3452"/>
              <w:spacing w:after="0"/>
              <w:rPr>
                <w:sz w:val="20"/>
                <w:szCs w:val="20"/>
                <w:color w:val="auto"/>
              </w:rPr>
            </w:pPr>
            <w:r>
              <w:rPr>
                <w:rFonts w:ascii="Times New Roman" w:cs="Times New Roman" w:eastAsia="Times New Roman" w:hAnsi="Times New Roman"/>
                <w:sz w:val="22"/>
                <w:szCs w:val="22"/>
                <w:color w:val="auto"/>
                <w:w w:val="90"/>
              </w:rPr>
              <w:t>78</w:t>
            </w:r>
          </w:p>
        </w:tc>
      </w:tr>
      <w:tr>
        <w:trPr>
          <w:trHeight w:val="311"/>
        </w:trPr>
        <w:tc>
          <w:tcPr>
            <w:tcW w:w="10280" w:type="dxa"/>
            <w:vAlign w:val="bottom"/>
            <w:gridSpan w:val="6"/>
          </w:tcPr>
          <w:p>
            <w:pPr>
              <w:ind w:left="900"/>
              <w:spacing w:after="0"/>
              <w:rPr>
                <w:sz w:val="20"/>
                <w:szCs w:val="20"/>
                <w:color w:val="auto"/>
              </w:rPr>
            </w:pPr>
            <w:r>
              <w:rPr>
                <w:rFonts w:ascii="Times New Roman" w:cs="Times New Roman" w:eastAsia="Times New Roman" w:hAnsi="Times New Roman"/>
                <w:sz w:val="22"/>
                <w:szCs w:val="22"/>
                <w:color w:val="auto"/>
              </w:rPr>
              <w:t>Section 5.02.  Representations and Warranties of the Borrower Relating to this Agreement and the</w:t>
            </w:r>
          </w:p>
        </w:tc>
      </w:tr>
      <w:tr>
        <w:trPr>
          <w:trHeight w:val="282"/>
        </w:trPr>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Receivables  82</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5.03.</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Representations and Warranties of the Servicer</w:t>
            </w:r>
          </w:p>
        </w:tc>
        <w:tc>
          <w:tcPr>
            <w:tcW w:w="3780" w:type="dxa"/>
            <w:vAlign w:val="bottom"/>
          </w:tcPr>
          <w:p>
            <w:pPr>
              <w:jc w:val="right"/>
              <w:ind w:right="3452"/>
              <w:spacing w:after="0"/>
              <w:rPr>
                <w:sz w:val="20"/>
                <w:szCs w:val="20"/>
                <w:color w:val="auto"/>
              </w:rPr>
            </w:pPr>
            <w:r>
              <w:rPr>
                <w:rFonts w:ascii="Times New Roman" w:cs="Times New Roman" w:eastAsia="Times New Roman" w:hAnsi="Times New Roman"/>
                <w:sz w:val="22"/>
                <w:szCs w:val="22"/>
                <w:color w:val="auto"/>
                <w:w w:val="90"/>
              </w:rPr>
              <w:t>83</w:t>
            </w: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5.04.</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Retransfer of Certain Receivables 85</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ARTICLE SIX</w:t>
            </w: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COVENANTS</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6500" w:type="dxa"/>
            <w:vAlign w:val="bottom"/>
            <w:gridSpan w:val="5"/>
          </w:tcPr>
          <w:p>
            <w:pPr>
              <w:ind w:left="900"/>
              <w:spacing w:after="0"/>
              <w:rPr>
                <w:sz w:val="20"/>
                <w:szCs w:val="20"/>
                <w:color w:val="auto"/>
              </w:rPr>
            </w:pPr>
            <w:r>
              <w:rPr>
                <w:rFonts w:ascii="Times New Roman" w:cs="Times New Roman" w:eastAsia="Times New Roman" w:hAnsi="Times New Roman"/>
                <w:sz w:val="22"/>
                <w:szCs w:val="22"/>
                <w:color w:val="auto"/>
              </w:rPr>
              <w:t>Section 6.01.  Affirmative Covenants of the Borrower 87</w:t>
            </w: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6.02.</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Negative Covenants of the Borrower</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90</w:t>
            </w: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6.03.</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Covenant of the Borrower Relating to Hedging</w:t>
            </w:r>
          </w:p>
        </w:tc>
        <w:tc>
          <w:tcPr>
            <w:tcW w:w="3780" w:type="dxa"/>
            <w:vAlign w:val="bottom"/>
          </w:tcPr>
          <w:p>
            <w:pPr>
              <w:jc w:val="right"/>
              <w:ind w:right="3452"/>
              <w:spacing w:after="0"/>
              <w:rPr>
                <w:sz w:val="20"/>
                <w:szCs w:val="20"/>
                <w:color w:val="auto"/>
              </w:rPr>
            </w:pPr>
            <w:r>
              <w:rPr>
                <w:rFonts w:ascii="Times New Roman" w:cs="Times New Roman" w:eastAsia="Times New Roman" w:hAnsi="Times New Roman"/>
                <w:sz w:val="22"/>
                <w:szCs w:val="22"/>
                <w:color w:val="auto"/>
                <w:w w:val="90"/>
              </w:rPr>
              <w:t>95</w:t>
            </w: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6.04.</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Affirmative Covenants of the Servicer</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97</w:t>
            </w: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6.05.</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Negative Covenants of the Servicer</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99</w:t>
            </w:r>
          </w:p>
        </w:tc>
        <w:tc>
          <w:tcPr>
            <w:tcW w:w="3780" w:type="dxa"/>
            <w:vAlign w:val="bottom"/>
          </w:tcPr>
          <w:p>
            <w:pPr>
              <w:spacing w:after="0"/>
              <w:rPr>
                <w:sz w:val="24"/>
                <w:szCs w:val="24"/>
                <w:color w:val="auto"/>
              </w:rPr>
            </w:pPr>
          </w:p>
        </w:tc>
      </w:tr>
      <w:tr>
        <w:trPr>
          <w:trHeight w:val="351"/>
        </w:trPr>
        <w:tc>
          <w:tcPr>
            <w:tcW w:w="102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SEVEN ADMINISTRATION AND SERVICING OF RECEIVABLES</w:t>
            </w: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7.01.</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6"/>
              </w:rPr>
              <w:t>Designation of Servicing</w:t>
            </w:r>
          </w:p>
        </w:tc>
        <w:tc>
          <w:tcPr>
            <w:tcW w:w="130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103</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5640" w:type="dxa"/>
            <w:vAlign w:val="bottom"/>
            <w:gridSpan w:val="4"/>
          </w:tcPr>
          <w:p>
            <w:pPr>
              <w:ind w:left="900"/>
              <w:spacing w:after="0"/>
              <w:rPr>
                <w:sz w:val="20"/>
                <w:szCs w:val="20"/>
                <w:color w:val="auto"/>
              </w:rPr>
            </w:pPr>
            <w:r>
              <w:rPr>
                <w:rFonts w:ascii="Times New Roman" w:cs="Times New Roman" w:eastAsia="Times New Roman" w:hAnsi="Times New Roman"/>
                <w:sz w:val="22"/>
                <w:szCs w:val="22"/>
                <w:color w:val="auto"/>
              </w:rPr>
              <w:t>Section 7.02.  Servicing Compensation 103</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7.03.</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Duties of the Servicer</w:t>
            </w:r>
          </w:p>
        </w:tc>
        <w:tc>
          <w:tcPr>
            <w:tcW w:w="130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w w:val="96"/>
              </w:rPr>
              <w:t>103</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7.04.</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Collection of Payments</w:t>
            </w:r>
          </w:p>
        </w:tc>
        <w:tc>
          <w:tcPr>
            <w:tcW w:w="130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w w:val="96"/>
              </w:rPr>
              <w:t>106</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7.05.</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Payment of Certain Expenses by Servicer   107</w:t>
            </w: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7.06.</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Reports  107</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4340" w:type="dxa"/>
            <w:vAlign w:val="bottom"/>
            <w:gridSpan w:val="3"/>
          </w:tcPr>
          <w:p>
            <w:pPr>
              <w:ind w:left="900"/>
              <w:spacing w:after="0"/>
              <w:rPr>
                <w:sz w:val="20"/>
                <w:szCs w:val="20"/>
                <w:color w:val="auto"/>
              </w:rPr>
            </w:pPr>
            <w:r>
              <w:rPr>
                <w:rFonts w:ascii="Times New Roman" w:cs="Times New Roman" w:eastAsia="Times New Roman" w:hAnsi="Times New Roman"/>
                <w:sz w:val="22"/>
                <w:szCs w:val="22"/>
                <w:color w:val="auto"/>
              </w:rPr>
              <w:t>Section 7.07.  Due Diligence 107</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7.08.</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Annual Statement as to Compliance</w:t>
            </w:r>
          </w:p>
        </w:tc>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108</w:t>
            </w:r>
          </w:p>
        </w:tc>
        <w:tc>
          <w:tcPr>
            <w:tcW w:w="3780" w:type="dxa"/>
            <w:vAlign w:val="bottom"/>
          </w:tcPr>
          <w:p>
            <w:pPr>
              <w:spacing w:after="0"/>
              <w:rPr>
                <w:sz w:val="24"/>
                <w:szCs w:val="24"/>
                <w:color w:val="auto"/>
              </w:rPr>
            </w:pPr>
          </w:p>
        </w:tc>
      </w:tr>
      <w:tr>
        <w:trPr>
          <w:trHeight w:val="351"/>
        </w:trPr>
        <w:tc>
          <w:tcPr>
            <w:tcW w:w="10280" w:type="dxa"/>
            <w:vAlign w:val="bottom"/>
            <w:gridSpan w:val="6"/>
          </w:tcPr>
          <w:p>
            <w:pPr>
              <w:ind w:left="900"/>
              <w:spacing w:after="0"/>
              <w:rPr>
                <w:sz w:val="20"/>
                <w:szCs w:val="20"/>
                <w:color w:val="auto"/>
              </w:rPr>
            </w:pPr>
            <w:r>
              <w:rPr>
                <w:rFonts w:ascii="Times New Roman" w:cs="Times New Roman" w:eastAsia="Times New Roman" w:hAnsi="Times New Roman"/>
                <w:sz w:val="22"/>
                <w:szCs w:val="22"/>
                <w:color w:val="auto"/>
              </w:rPr>
              <w:t>Section 7.09.  Annual Independent Public Accountant’s Reports 109</w:t>
            </w:r>
          </w:p>
        </w:tc>
      </w:tr>
      <w:tr>
        <w:trPr>
          <w:trHeight w:val="311"/>
        </w:trPr>
        <w:tc>
          <w:tcPr>
            <w:tcW w:w="10280" w:type="dxa"/>
            <w:vAlign w:val="bottom"/>
            <w:gridSpan w:val="6"/>
          </w:tcPr>
          <w:p>
            <w:pPr>
              <w:ind w:left="900"/>
              <w:spacing w:after="0"/>
              <w:rPr>
                <w:sz w:val="20"/>
                <w:szCs w:val="20"/>
                <w:color w:val="auto"/>
              </w:rPr>
            </w:pPr>
            <w:r>
              <w:rPr>
                <w:rFonts w:ascii="Times New Roman" w:cs="Times New Roman" w:eastAsia="Times New Roman" w:hAnsi="Times New Roman"/>
                <w:sz w:val="22"/>
                <w:szCs w:val="22"/>
                <w:color w:val="auto"/>
              </w:rPr>
              <w:t>Section 7.10.  Rights Prior to Assumption of Duties by the Backup Servicer or Designation of Successor</w:t>
            </w:r>
          </w:p>
        </w:tc>
      </w:tr>
      <w:tr>
        <w:trPr>
          <w:trHeight w:val="282"/>
        </w:trPr>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Servicer  110</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11"/>
        </w:trPr>
        <w:tc>
          <w:tcPr>
            <w:tcW w:w="10280" w:type="dxa"/>
            <w:vAlign w:val="bottom"/>
            <w:gridSpan w:val="6"/>
          </w:tcPr>
          <w:p>
            <w:pPr>
              <w:ind w:left="900"/>
              <w:spacing w:after="0"/>
              <w:rPr>
                <w:sz w:val="20"/>
                <w:szCs w:val="20"/>
                <w:color w:val="auto"/>
              </w:rPr>
            </w:pPr>
            <w:r>
              <w:rPr>
                <w:rFonts w:ascii="Times New Roman" w:cs="Times New Roman" w:eastAsia="Times New Roman" w:hAnsi="Times New Roman"/>
                <w:sz w:val="22"/>
                <w:szCs w:val="22"/>
                <w:color w:val="auto"/>
                <w:w w:val="98"/>
              </w:rPr>
              <w:t>Section 7.11.  Rights After Assumption of Duties by Backup Servicer or Designation of Successor Servicer;</w:t>
            </w:r>
          </w:p>
        </w:tc>
      </w:tr>
      <w:tr>
        <w:trPr>
          <w:trHeight w:val="282"/>
        </w:trPr>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Liability 111</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7.12.</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7"/>
              </w:rPr>
              <w:t>Limitation on Liability of the Servicer and Others</w:t>
            </w:r>
          </w:p>
        </w:tc>
        <w:tc>
          <w:tcPr>
            <w:tcW w:w="3780" w:type="dxa"/>
            <w:vAlign w:val="bottom"/>
          </w:tcPr>
          <w:p>
            <w:pPr>
              <w:jc w:val="right"/>
              <w:ind w:right="2912"/>
              <w:spacing w:after="0"/>
              <w:rPr>
                <w:sz w:val="20"/>
                <w:szCs w:val="20"/>
                <w:color w:val="auto"/>
              </w:rPr>
            </w:pPr>
            <w:r>
              <w:rPr>
                <w:rFonts w:ascii="Times New Roman" w:cs="Times New Roman" w:eastAsia="Times New Roman" w:hAnsi="Times New Roman"/>
                <w:sz w:val="22"/>
                <w:szCs w:val="22"/>
                <w:color w:val="auto"/>
              </w:rPr>
              <w:t>112</w:t>
            </w:r>
          </w:p>
        </w:tc>
      </w:tr>
      <w:tr>
        <w:trPr>
          <w:trHeight w:val="351"/>
        </w:trPr>
        <w:tc>
          <w:tcPr>
            <w:tcW w:w="21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7.13.</w:t>
            </w:r>
          </w:p>
        </w:tc>
        <w:tc>
          <w:tcPr>
            <w:tcW w:w="3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The Servicer Not to Resign  112</w:t>
            </w:r>
          </w:p>
        </w:tc>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7.14.</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Servicer Termination Events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113</w:t>
            </w: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7.15.</w:t>
            </w:r>
          </w:p>
        </w:tc>
        <w:tc>
          <w:tcPr>
            <w:tcW w:w="34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Appointment of Successor Servicer</w:t>
            </w:r>
          </w:p>
        </w:tc>
        <w:tc>
          <w:tcPr>
            <w:tcW w:w="4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114</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7.16.</w:t>
            </w:r>
          </w:p>
        </w:tc>
        <w:tc>
          <w:tcPr>
            <w:tcW w:w="77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8"/>
              </w:rPr>
              <w:t>Merger or Consolidation, Assumption of Obligations or Resignation of the Servicer 115</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7.17.</w:t>
            </w: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Responsibilities of the Borrower</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116</w:t>
            </w: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7.18.</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Custody of Receivable Files</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117</w:t>
            </w: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7.19.</w:t>
            </w:r>
          </w:p>
        </w:tc>
        <w:tc>
          <w:tcPr>
            <w:tcW w:w="17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Duties of Custodian</w:t>
            </w:r>
          </w:p>
        </w:tc>
        <w:tc>
          <w:tcPr>
            <w:tcW w:w="38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117</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43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ARTICLE EIGHT THE BACKUP SERVICER</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8.01.</w:t>
            </w:r>
          </w:p>
        </w:tc>
        <w:tc>
          <w:tcPr>
            <w:tcW w:w="34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Designation of the Backup Servicer</w:t>
            </w:r>
          </w:p>
        </w:tc>
        <w:tc>
          <w:tcPr>
            <w:tcW w:w="4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8.02.</w:t>
            </w: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Duties of the Backup Servicer</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w:t>
            </w: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8.03.</w:t>
            </w: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Backup Servicing Compensation</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w:t>
            </w: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8.04.</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Backup Servicer Removal</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w:t>
            </w: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8.05.</w:t>
            </w: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Backup Servicer Not to Resign</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120</w:t>
            </w: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8.06.</w:t>
            </w:r>
          </w:p>
        </w:tc>
        <w:tc>
          <w:tcPr>
            <w:tcW w:w="34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Monthly Backup Servicer Certificate</w:t>
            </w:r>
          </w:p>
        </w:tc>
        <w:tc>
          <w:tcPr>
            <w:tcW w:w="4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121</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8.07.</w:t>
            </w:r>
          </w:p>
        </w:tc>
        <w:tc>
          <w:tcPr>
            <w:tcW w:w="34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9"/>
              </w:rPr>
              <w:t>Covenants of the Backup Servicer 121</w:t>
            </w:r>
          </w:p>
        </w:tc>
        <w:tc>
          <w:tcPr>
            <w:tcW w:w="4260" w:type="dxa"/>
            <w:vAlign w:val="bottom"/>
          </w:tcPr>
          <w:p>
            <w:pPr>
              <w:spacing w:after="0"/>
              <w:rPr>
                <w:sz w:val="24"/>
                <w:szCs w:val="24"/>
                <w:color w:val="auto"/>
              </w:rPr>
            </w:pPr>
          </w:p>
        </w:tc>
      </w:tr>
      <w:tr>
        <w:trPr>
          <w:trHeight w:val="351"/>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ARTICLE NINE</w:t>
            </w:r>
          </w:p>
        </w:tc>
        <w:tc>
          <w:tcPr>
            <w:tcW w:w="27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TERMINATION EVENTS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9.01.</w:t>
            </w: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Termination Events 122</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9.02.</w:t>
            </w:r>
          </w:p>
        </w:tc>
        <w:tc>
          <w:tcPr>
            <w:tcW w:w="77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Actions Upon Occurrence of the Termination Date    124</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9.03.</w:t>
            </w: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Exercise of Remedies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125</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9.04.</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Waiver of Certain Laws 126</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Section 9.05.</w:t>
            </w:r>
          </w:p>
        </w:tc>
        <w:tc>
          <w:tcPr>
            <w:tcW w:w="1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 of Attorney</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126</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ARTICLE TEN</w:t>
            </w:r>
          </w:p>
        </w:tc>
        <w:tc>
          <w:tcPr>
            <w:tcW w:w="23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INDEMNIFICATION</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9840" w:type="dxa"/>
            <w:vAlign w:val="bottom"/>
            <w:gridSpan w:val="8"/>
          </w:tcPr>
          <w:p>
            <w:pPr>
              <w:ind w:left="900"/>
              <w:spacing w:after="0"/>
              <w:rPr>
                <w:sz w:val="20"/>
                <w:szCs w:val="20"/>
                <w:color w:val="auto"/>
              </w:rPr>
            </w:pPr>
            <w:r>
              <w:rPr>
                <w:rFonts w:ascii="Times New Roman" w:cs="Times New Roman" w:eastAsia="Times New Roman" w:hAnsi="Times New Roman"/>
                <w:sz w:val="22"/>
                <w:szCs w:val="22"/>
                <w:color w:val="auto"/>
              </w:rPr>
              <w:t>Section 10.01. Indemnities by the Borrower and UACC    127</w:t>
            </w:r>
          </w:p>
        </w:tc>
      </w:tr>
      <w:tr>
        <w:trPr>
          <w:trHeight w:val="351"/>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ELEVEN</w:t>
            </w:r>
          </w:p>
        </w:tc>
        <w:tc>
          <w:tcPr>
            <w:tcW w:w="770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THE ADMINISTRATIVE AGENT AND THE AGENTS</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11.01.</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Authorization and Action</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132</w:t>
            </w: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11.02.</w:t>
            </w: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Delegation of Duties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11.03.</w:t>
            </w: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Exculpatory Provisions</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132</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11.04.</w:t>
            </w:r>
          </w:p>
        </w:tc>
        <w:tc>
          <w:tcPr>
            <w:tcW w:w="1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Reliance 133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11.05.</w:t>
            </w:r>
          </w:p>
        </w:tc>
        <w:tc>
          <w:tcPr>
            <w:tcW w:w="77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Non-Reliance on Agents and Other Lenders 134</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11.06.</w:t>
            </w:r>
          </w:p>
        </w:tc>
        <w:tc>
          <w:tcPr>
            <w:tcW w:w="1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Indemnification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134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11.07.</w:t>
            </w:r>
          </w:p>
        </w:tc>
        <w:tc>
          <w:tcPr>
            <w:tcW w:w="34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Agents in their Individual Capacity</w:t>
            </w:r>
          </w:p>
        </w:tc>
        <w:tc>
          <w:tcPr>
            <w:tcW w:w="42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135</w:t>
            </w:r>
          </w:p>
        </w:tc>
      </w:tr>
      <w:tr>
        <w:trPr>
          <w:trHeight w:val="351"/>
        </w:trPr>
        <w:tc>
          <w:tcPr>
            <w:tcW w:w="214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w w:val="96"/>
              </w:rPr>
              <w:t>Section 11.08.</w:t>
            </w:r>
          </w:p>
        </w:tc>
        <w:tc>
          <w:tcPr>
            <w:tcW w:w="17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Successor Agents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135</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51"/>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TWELVE</w:t>
            </w:r>
          </w:p>
        </w:tc>
        <w:tc>
          <w:tcPr>
            <w:tcW w:w="344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w w:val="98"/>
              </w:rPr>
              <w:t>ASSIGNMENTS; PARTICIPATIONS</w:t>
            </w:r>
          </w:p>
        </w:tc>
        <w:tc>
          <w:tcPr>
            <w:tcW w:w="4260" w:type="dxa"/>
            <w:vAlign w:val="bottom"/>
          </w:tcPr>
          <w:p>
            <w:pPr>
              <w:spacing w:after="0"/>
              <w:rPr>
                <w:sz w:val="24"/>
                <w:szCs w:val="24"/>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79" w:lineRule="exact"/>
        <w:rPr>
          <w:sz w:val="20"/>
          <w:szCs w:val="20"/>
          <w:color w:val="auto"/>
        </w:rPr>
      </w:pPr>
    </w:p>
    <w:p>
      <w:pPr>
        <w:ind w:left="900"/>
        <w:spacing w:after="0"/>
        <w:tabs>
          <w:tab w:leader="none" w:pos="5200" w:val="left"/>
        </w:tabs>
        <w:rPr>
          <w:sz w:val="20"/>
          <w:szCs w:val="20"/>
          <w:color w:val="auto"/>
        </w:rPr>
      </w:pPr>
      <w:r>
        <w:rPr>
          <w:rFonts w:ascii="Times New Roman" w:cs="Times New Roman" w:eastAsia="Times New Roman" w:hAnsi="Times New Roman"/>
          <w:sz w:val="22"/>
          <w:szCs w:val="22"/>
          <w:color w:val="auto"/>
        </w:rPr>
        <w:t>Section 12.01. Assignments and Participations</w:t>
      </w:r>
      <w:r>
        <w:rPr>
          <w:sz w:val="20"/>
          <w:szCs w:val="20"/>
          <w:color w:val="auto"/>
        </w:rPr>
        <w:tab/>
      </w:r>
      <w:r>
        <w:rPr>
          <w:rFonts w:ascii="Times New Roman" w:cs="Times New Roman" w:eastAsia="Times New Roman" w:hAnsi="Times New Roman"/>
          <w:sz w:val="20"/>
          <w:szCs w:val="20"/>
          <w:color w:val="auto"/>
        </w:rPr>
        <w:t>137</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THIRTEEN  MUTUAL COVENANTS REGARDING CONFIDENTIALITY</w:t>
      </w:r>
    </w:p>
    <w:p>
      <w:pPr>
        <w:spacing w:after="0" w:line="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Section 13.01. Covenants of the Borrower, the Servicer, the Backup Servicer, the Account Bank and the</w:t>
      </w:r>
    </w:p>
    <w:p>
      <w:pPr>
        <w:spacing w:after="0" w:line="14" w:lineRule="exact"/>
        <w:rPr>
          <w:sz w:val="20"/>
          <w:szCs w:val="20"/>
          <w:color w:val="auto"/>
        </w:rPr>
      </w:pPr>
    </w:p>
    <w:tbl>
      <w:tblPr>
        <w:tblLayout w:type="fixed"/>
        <w:tblInd w:w="2400" w:type="dxa"/>
        <w:tblCellMar>
          <w:top w:w="0" w:type="dxa"/>
          <w:left w:w="0" w:type="dxa"/>
          <w:bottom w:w="0" w:type="dxa"/>
          <w:right w:w="0" w:type="dxa"/>
        </w:tblCellMar>
      </w:tblP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Custodian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w:t>
            </w:r>
          </w:p>
        </w:tc>
      </w:tr>
    </w:tbl>
    <w:p>
      <w:pPr>
        <w:spacing w:after="0" w:line="44" w:lineRule="exact"/>
        <w:rPr>
          <w:sz w:val="20"/>
          <w:szCs w:val="20"/>
          <w:color w:val="auto"/>
        </w:rPr>
      </w:pPr>
    </w:p>
    <w:p>
      <w:pPr>
        <w:sectPr>
          <w:pgSz w:w="11900" w:h="16838" w:orient="portrait"/>
          <w:cols w:equalWidth="0" w:num="1">
            <w:col w:w="11240"/>
          </w:cols>
          <w:pgMar w:left="320" w:top="975" w:right="339" w:bottom="1440" w:gutter="0" w:footer="0" w:header="0"/>
        </w:sectPr>
      </w:pPr>
    </w:p>
    <w:p>
      <w:pPr>
        <w:ind w:left="900"/>
        <w:spacing w:after="0"/>
        <w:rPr>
          <w:sz w:val="20"/>
          <w:szCs w:val="20"/>
          <w:color w:val="auto"/>
        </w:rPr>
      </w:pPr>
      <w:r>
        <w:rPr>
          <w:rFonts w:ascii="Times New Roman" w:cs="Times New Roman" w:eastAsia="Times New Roman" w:hAnsi="Times New Roman"/>
          <w:sz w:val="20"/>
          <w:szCs w:val="20"/>
          <w:color w:val="auto"/>
        </w:rPr>
        <w:t>Section 13.02. Covenants of the Administrative Agent, the Agents and the Lenders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140</w:t>
      </w:r>
    </w:p>
    <w:p>
      <w:pPr>
        <w:spacing w:after="0" w:line="121" w:lineRule="exact"/>
        <w:rPr>
          <w:sz w:val="20"/>
          <w:szCs w:val="20"/>
          <w:color w:val="auto"/>
        </w:rPr>
      </w:pPr>
    </w:p>
    <w:p>
      <w:pPr>
        <w:sectPr>
          <w:pgSz w:w="11900" w:h="16838" w:orient="portrait"/>
          <w:cols w:equalWidth="0" w:num="2">
            <w:col w:w="8060" w:space="180"/>
            <w:col w:w="3000"/>
          </w:cols>
          <w:pgMar w:left="320" w:top="975"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20"/>
          <w:szCs w:val="20"/>
          <w:color w:val="auto"/>
        </w:rPr>
        <w:t>Section 13.03. Non-Confidentiality of Tax Treatment and Tax Structure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142</w:t>
      </w:r>
    </w:p>
    <w:p>
      <w:pPr>
        <w:spacing w:after="0" w:line="98" w:lineRule="exact"/>
        <w:rPr>
          <w:sz w:val="20"/>
          <w:szCs w:val="20"/>
          <w:color w:val="auto"/>
        </w:rPr>
      </w:pPr>
    </w:p>
    <w:p>
      <w:pPr>
        <w:sectPr>
          <w:pgSz w:w="11900" w:h="16838" w:orient="portrait"/>
          <w:cols w:equalWidth="0" w:num="2">
            <w:col w:w="7060" w:space="300"/>
            <w:col w:w="3880"/>
          </w:cols>
          <w:pgMar w:left="320" w:top="97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ARTICLE FOURTEEN MISCELLANEOUS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720" w:type="dxa"/>
            <w:vAlign w:val="bottom"/>
            <w:gridSpan w:val="5"/>
          </w:tcPr>
          <w:p>
            <w:pPr>
              <w:ind w:left="900"/>
              <w:spacing w:after="0"/>
              <w:rPr>
                <w:sz w:val="20"/>
                <w:szCs w:val="20"/>
                <w:color w:val="auto"/>
              </w:rPr>
            </w:pPr>
            <w:r>
              <w:rPr>
                <w:rFonts w:ascii="Times New Roman" w:cs="Times New Roman" w:eastAsia="Times New Roman" w:hAnsi="Times New Roman"/>
                <w:sz w:val="22"/>
                <w:szCs w:val="22"/>
                <w:color w:val="auto"/>
              </w:rPr>
              <w:t>Section 14.01. Amendments and Waivers</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143</w:t>
            </w:r>
          </w:p>
        </w:tc>
        <w:tc>
          <w:tcPr>
            <w:tcW w:w="4660" w:type="dxa"/>
            <w:vAlign w:val="bottom"/>
          </w:tcPr>
          <w:p>
            <w:pPr>
              <w:spacing w:after="0"/>
              <w:rPr>
                <w:sz w:val="24"/>
                <w:szCs w:val="24"/>
                <w:color w:val="auto"/>
              </w:rPr>
            </w:pPr>
          </w:p>
        </w:tc>
      </w:tr>
      <w:tr>
        <w:trPr>
          <w:trHeight w:val="351"/>
        </w:trPr>
        <w:tc>
          <w:tcPr>
            <w:tcW w:w="3880" w:type="dxa"/>
            <w:vAlign w:val="bottom"/>
            <w:gridSpan w:val="3"/>
          </w:tcPr>
          <w:p>
            <w:pPr>
              <w:ind w:left="900"/>
              <w:spacing w:after="0"/>
              <w:rPr>
                <w:sz w:val="20"/>
                <w:szCs w:val="20"/>
                <w:color w:val="auto"/>
              </w:rPr>
            </w:pPr>
            <w:r>
              <w:rPr>
                <w:rFonts w:ascii="Times New Roman" w:cs="Times New Roman" w:eastAsia="Times New Roman" w:hAnsi="Times New Roman"/>
                <w:sz w:val="22"/>
                <w:szCs w:val="22"/>
                <w:color w:val="auto"/>
              </w:rPr>
              <w:t>Section 14.02. Notices, Etc  143</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51"/>
        </w:trPr>
        <w:tc>
          <w:tcPr>
            <w:tcW w:w="5140" w:type="dxa"/>
            <w:vAlign w:val="bottom"/>
            <w:gridSpan w:val="6"/>
          </w:tcPr>
          <w:p>
            <w:pPr>
              <w:ind w:left="900"/>
              <w:spacing w:after="0"/>
              <w:rPr>
                <w:sz w:val="20"/>
                <w:szCs w:val="20"/>
                <w:color w:val="auto"/>
              </w:rPr>
            </w:pPr>
            <w:r>
              <w:rPr>
                <w:rFonts w:ascii="Times New Roman" w:cs="Times New Roman" w:eastAsia="Times New Roman" w:hAnsi="Times New Roman"/>
                <w:sz w:val="22"/>
                <w:szCs w:val="22"/>
                <w:color w:val="auto"/>
                <w:w w:val="98"/>
              </w:rPr>
              <w:t>Section 14.03. No Waiver, Rights and Remedies</w:t>
            </w:r>
          </w:p>
        </w:tc>
        <w:tc>
          <w:tcPr>
            <w:tcW w:w="4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144</w:t>
            </w:r>
          </w:p>
        </w:tc>
      </w:tr>
      <w:tr>
        <w:trPr>
          <w:trHeight w:val="351"/>
        </w:trPr>
        <w:tc>
          <w:tcPr>
            <w:tcW w:w="3880" w:type="dxa"/>
            <w:vAlign w:val="bottom"/>
            <w:gridSpan w:val="3"/>
          </w:tcPr>
          <w:p>
            <w:pPr>
              <w:ind w:left="900"/>
              <w:spacing w:after="0"/>
              <w:rPr>
                <w:sz w:val="20"/>
                <w:szCs w:val="20"/>
                <w:color w:val="auto"/>
              </w:rPr>
            </w:pPr>
            <w:r>
              <w:rPr>
                <w:rFonts w:ascii="Times New Roman" w:cs="Times New Roman" w:eastAsia="Times New Roman" w:hAnsi="Times New Roman"/>
                <w:sz w:val="22"/>
                <w:szCs w:val="22"/>
                <w:color w:val="auto"/>
              </w:rPr>
              <w:t>Section 14.04. Binding Effect</w:t>
            </w:r>
          </w:p>
        </w:tc>
        <w:tc>
          <w:tcPr>
            <w:tcW w:w="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51"/>
        </w:trPr>
        <w:tc>
          <w:tcPr>
            <w:tcW w:w="4720" w:type="dxa"/>
            <w:vAlign w:val="bottom"/>
            <w:gridSpan w:val="5"/>
          </w:tcPr>
          <w:p>
            <w:pPr>
              <w:ind w:left="900"/>
              <w:spacing w:after="0"/>
              <w:rPr>
                <w:sz w:val="20"/>
                <w:szCs w:val="20"/>
                <w:color w:val="auto"/>
              </w:rPr>
            </w:pPr>
            <w:r>
              <w:rPr>
                <w:rFonts w:ascii="Times New Roman" w:cs="Times New Roman" w:eastAsia="Times New Roman" w:hAnsi="Times New Roman"/>
                <w:sz w:val="22"/>
                <w:szCs w:val="22"/>
                <w:color w:val="auto"/>
                <w:w w:val="99"/>
              </w:rPr>
              <w:t>Section 14.05. Term of this Agreement 144</w:t>
            </w: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11"/>
        </w:trPr>
        <w:tc>
          <w:tcPr>
            <w:tcW w:w="9800" w:type="dxa"/>
            <w:vAlign w:val="bottom"/>
            <w:gridSpan w:val="7"/>
          </w:tcPr>
          <w:p>
            <w:pPr>
              <w:ind w:left="900"/>
              <w:spacing w:after="0"/>
              <w:rPr>
                <w:sz w:val="20"/>
                <w:szCs w:val="20"/>
                <w:color w:val="auto"/>
              </w:rPr>
            </w:pPr>
            <w:r>
              <w:rPr>
                <w:rFonts w:ascii="Times New Roman" w:cs="Times New Roman" w:eastAsia="Times New Roman" w:hAnsi="Times New Roman"/>
                <w:sz w:val="22"/>
                <w:szCs w:val="22"/>
                <w:color w:val="auto"/>
                <w:w w:val="97"/>
              </w:rPr>
              <w:t>Section 14.06. GOVERNING LAW; CONSENT TO JURISDICTION; WAIVER OF OBJECTION TO</w:t>
            </w:r>
          </w:p>
        </w:tc>
      </w:tr>
      <w:tr>
        <w:trPr>
          <w:trHeight w:val="282"/>
        </w:trPr>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VENUE 144</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51"/>
        </w:trPr>
        <w:tc>
          <w:tcPr>
            <w:tcW w:w="4720" w:type="dxa"/>
            <w:vAlign w:val="bottom"/>
            <w:gridSpan w:val="5"/>
          </w:tcPr>
          <w:p>
            <w:pPr>
              <w:ind w:left="900"/>
              <w:spacing w:after="0"/>
              <w:rPr>
                <w:sz w:val="20"/>
                <w:szCs w:val="20"/>
                <w:color w:val="auto"/>
              </w:rPr>
            </w:pPr>
            <w:r>
              <w:rPr>
                <w:rFonts w:ascii="Times New Roman" w:cs="Times New Roman" w:eastAsia="Times New Roman" w:hAnsi="Times New Roman"/>
                <w:sz w:val="22"/>
                <w:szCs w:val="22"/>
                <w:color w:val="auto"/>
                <w:w w:val="98"/>
              </w:rPr>
              <w:t>Section 14.07. WAIVER OF JURY TRIAL</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144</w:t>
            </w:r>
          </w:p>
        </w:tc>
        <w:tc>
          <w:tcPr>
            <w:tcW w:w="4660" w:type="dxa"/>
            <w:vAlign w:val="bottom"/>
          </w:tcPr>
          <w:p>
            <w:pPr>
              <w:spacing w:after="0"/>
              <w:rPr>
                <w:sz w:val="24"/>
                <w:szCs w:val="24"/>
                <w:color w:val="auto"/>
              </w:rPr>
            </w:pPr>
          </w:p>
        </w:tc>
      </w:tr>
      <w:tr>
        <w:trPr>
          <w:trHeight w:val="351"/>
        </w:trPr>
        <w:tc>
          <w:tcPr>
            <w:tcW w:w="4720" w:type="dxa"/>
            <w:vAlign w:val="bottom"/>
            <w:gridSpan w:val="5"/>
          </w:tcPr>
          <w:p>
            <w:pPr>
              <w:ind w:left="900"/>
              <w:spacing w:after="0"/>
              <w:rPr>
                <w:sz w:val="20"/>
                <w:szCs w:val="20"/>
                <w:color w:val="auto"/>
              </w:rPr>
            </w:pPr>
            <w:r>
              <w:rPr>
                <w:rFonts w:ascii="Times New Roman" w:cs="Times New Roman" w:eastAsia="Times New Roman" w:hAnsi="Times New Roman"/>
                <w:sz w:val="22"/>
                <w:szCs w:val="22"/>
                <w:color w:val="auto"/>
              </w:rPr>
              <w:t>Section 14.08. Costs, Expenses and Taxes</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145</w:t>
            </w:r>
          </w:p>
        </w:tc>
        <w:tc>
          <w:tcPr>
            <w:tcW w:w="4660" w:type="dxa"/>
            <w:vAlign w:val="bottom"/>
          </w:tcPr>
          <w:p>
            <w:pPr>
              <w:spacing w:after="0"/>
              <w:rPr>
                <w:sz w:val="24"/>
                <w:szCs w:val="24"/>
                <w:color w:val="auto"/>
              </w:rPr>
            </w:pPr>
          </w:p>
        </w:tc>
      </w:tr>
      <w:tr>
        <w:trPr>
          <w:trHeight w:val="351"/>
        </w:trPr>
        <w:tc>
          <w:tcPr>
            <w:tcW w:w="4720" w:type="dxa"/>
            <w:vAlign w:val="bottom"/>
            <w:gridSpan w:val="5"/>
          </w:tcPr>
          <w:p>
            <w:pPr>
              <w:ind w:left="900"/>
              <w:spacing w:after="0"/>
              <w:rPr>
                <w:sz w:val="20"/>
                <w:szCs w:val="20"/>
                <w:color w:val="auto"/>
              </w:rPr>
            </w:pPr>
            <w:r>
              <w:rPr>
                <w:rFonts w:ascii="Times New Roman" w:cs="Times New Roman" w:eastAsia="Times New Roman" w:hAnsi="Times New Roman"/>
                <w:sz w:val="22"/>
                <w:szCs w:val="22"/>
                <w:color w:val="auto"/>
              </w:rPr>
              <w:t>Section 14.09. No Insolvency Proceedings</w:t>
            </w:r>
          </w:p>
        </w:tc>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145</w:t>
            </w:r>
          </w:p>
        </w:tc>
        <w:tc>
          <w:tcPr>
            <w:tcW w:w="4660" w:type="dxa"/>
            <w:vAlign w:val="bottom"/>
          </w:tcPr>
          <w:p>
            <w:pPr>
              <w:spacing w:after="0"/>
              <w:rPr>
                <w:sz w:val="24"/>
                <w:szCs w:val="24"/>
                <w:color w:val="auto"/>
              </w:rPr>
            </w:pPr>
          </w:p>
        </w:tc>
      </w:tr>
      <w:tr>
        <w:trPr>
          <w:trHeight w:val="351"/>
        </w:trPr>
        <w:tc>
          <w:tcPr>
            <w:tcW w:w="5140" w:type="dxa"/>
            <w:vAlign w:val="bottom"/>
            <w:gridSpan w:val="6"/>
          </w:tcPr>
          <w:p>
            <w:pPr>
              <w:ind w:left="900"/>
              <w:spacing w:after="0"/>
              <w:rPr>
                <w:sz w:val="20"/>
                <w:szCs w:val="20"/>
                <w:color w:val="auto"/>
              </w:rPr>
            </w:pPr>
            <w:r>
              <w:rPr>
                <w:rFonts w:ascii="Times New Roman" w:cs="Times New Roman" w:eastAsia="Times New Roman" w:hAnsi="Times New Roman"/>
                <w:sz w:val="22"/>
                <w:szCs w:val="22"/>
                <w:color w:val="auto"/>
                <w:w w:val="99"/>
              </w:rPr>
              <w:t>Section 14.10. Recourse Against Certain Parties</w:t>
            </w:r>
          </w:p>
        </w:tc>
        <w:tc>
          <w:tcPr>
            <w:tcW w:w="46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145</w:t>
            </w:r>
          </w:p>
        </w:tc>
      </w:tr>
      <w:tr>
        <w:trPr>
          <w:trHeight w:val="351"/>
        </w:trPr>
        <w:tc>
          <w:tcPr>
            <w:tcW w:w="9800" w:type="dxa"/>
            <w:vAlign w:val="bottom"/>
            <w:gridSpan w:val="7"/>
          </w:tcPr>
          <w:p>
            <w:pPr>
              <w:ind w:left="900"/>
              <w:spacing w:after="0"/>
              <w:rPr>
                <w:sz w:val="20"/>
                <w:szCs w:val="20"/>
                <w:color w:val="auto"/>
              </w:rPr>
            </w:pPr>
            <w:r>
              <w:rPr>
                <w:rFonts w:ascii="Times New Roman" w:cs="Times New Roman" w:eastAsia="Times New Roman" w:hAnsi="Times New Roman"/>
                <w:sz w:val="22"/>
                <w:szCs w:val="22"/>
                <w:color w:val="auto"/>
              </w:rPr>
              <w:t>Section 14.11. Limitations on Consequential, Indirect and Certain Other Damages  146</w:t>
            </w:r>
          </w:p>
        </w:tc>
      </w:tr>
      <w:tr>
        <w:trPr>
          <w:trHeight w:val="351"/>
        </w:trPr>
        <w:tc>
          <w:tcPr>
            <w:tcW w:w="4320" w:type="dxa"/>
            <w:vAlign w:val="bottom"/>
            <w:gridSpan w:val="4"/>
          </w:tcPr>
          <w:p>
            <w:pPr>
              <w:ind w:left="900"/>
              <w:spacing w:after="0"/>
              <w:rPr>
                <w:sz w:val="20"/>
                <w:szCs w:val="20"/>
                <w:color w:val="auto"/>
              </w:rPr>
            </w:pPr>
            <w:r>
              <w:rPr>
                <w:rFonts w:ascii="Times New Roman" w:cs="Times New Roman" w:eastAsia="Times New Roman" w:hAnsi="Times New Roman"/>
                <w:sz w:val="22"/>
                <w:szCs w:val="22"/>
                <w:color w:val="auto"/>
              </w:rPr>
              <w:t>Section 14.12. Patriot Act Compliance</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146</w:t>
            </w: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51"/>
        </w:trPr>
        <w:tc>
          <w:tcPr>
            <w:tcW w:w="9800" w:type="dxa"/>
            <w:vAlign w:val="bottom"/>
            <w:gridSpan w:val="7"/>
          </w:tcPr>
          <w:p>
            <w:pPr>
              <w:ind w:left="900"/>
              <w:spacing w:after="0"/>
              <w:rPr>
                <w:sz w:val="20"/>
                <w:szCs w:val="20"/>
                <w:color w:val="auto"/>
              </w:rPr>
            </w:pPr>
            <w:r>
              <w:rPr>
                <w:rFonts w:ascii="Times New Roman" w:cs="Times New Roman" w:eastAsia="Times New Roman" w:hAnsi="Times New Roman"/>
                <w:sz w:val="22"/>
                <w:szCs w:val="22"/>
                <w:color w:val="auto"/>
              </w:rPr>
              <w:t>Section 14.13. Execution in Counterparts; Severability; Integration   147</w:t>
            </w:r>
          </w:p>
        </w:tc>
      </w:tr>
      <w:tr>
        <w:trPr>
          <w:trHeight w:val="351"/>
        </w:trPr>
        <w:tc>
          <w:tcPr>
            <w:tcW w:w="9800" w:type="dxa"/>
            <w:vAlign w:val="bottom"/>
            <w:gridSpan w:val="7"/>
          </w:tcPr>
          <w:p>
            <w:pPr>
              <w:ind w:left="900"/>
              <w:spacing w:after="0"/>
              <w:rPr>
                <w:sz w:val="20"/>
                <w:szCs w:val="20"/>
                <w:color w:val="auto"/>
              </w:rPr>
            </w:pPr>
            <w:r>
              <w:rPr>
                <w:rFonts w:ascii="Times New Roman" w:cs="Times New Roman" w:eastAsia="Times New Roman" w:hAnsi="Times New Roman"/>
                <w:sz w:val="22"/>
                <w:szCs w:val="22"/>
                <w:color w:val="auto"/>
              </w:rPr>
              <w:t>Section 14.14. Limitation of Liability of Owner Trustee    147</w:t>
            </w:r>
          </w:p>
        </w:tc>
      </w:tr>
      <w:tr>
        <w:trPr>
          <w:trHeight w:val="351"/>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w w:val="99"/>
              </w:rPr>
              <w:t>SCHEDULES</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23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Conduit Supplement</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SA-1</w:t>
            </w:r>
          </w:p>
        </w:tc>
        <w:tc>
          <w:tcPr>
            <w:tcW w:w="4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B</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Eligible Receivable Criteria</w:t>
            </w:r>
          </w:p>
        </w:tc>
        <w:tc>
          <w:tcPr>
            <w:tcW w:w="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SB-1</w:t>
            </w:r>
          </w:p>
        </w:tc>
        <w:tc>
          <w:tcPr>
            <w:tcW w:w="46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C</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3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7"/>
              </w:rPr>
              <w:t>Schedule of Receivables</w:t>
            </w:r>
          </w:p>
        </w:tc>
        <w:tc>
          <w:tcPr>
            <w:tcW w:w="440" w:type="dxa"/>
            <w:vAlign w:val="bottom"/>
          </w:tcPr>
          <w:p>
            <w:pPr>
              <w:spacing w:after="0"/>
              <w:rPr>
                <w:sz w:val="21"/>
                <w:szCs w:val="21"/>
                <w:color w:val="auto"/>
              </w:rPr>
            </w:pPr>
          </w:p>
        </w:tc>
        <w:tc>
          <w:tcPr>
            <w:tcW w:w="8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SC-1</w:t>
            </w:r>
          </w:p>
        </w:tc>
        <w:tc>
          <w:tcPr>
            <w:tcW w:w="46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D</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Location of Receivable Files SD-1</w:t>
            </w:r>
          </w:p>
        </w:tc>
        <w:tc>
          <w:tcPr>
            <w:tcW w:w="46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E</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w w:val="98"/>
              </w:rPr>
              <w:t>Schedule of Documents SE-1</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43"/>
        </w:trPr>
        <w:tc>
          <w:tcPr>
            <w:tcW w:w="1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F</w:t>
            </w:r>
          </w:p>
        </w:tc>
        <w:tc>
          <w:tcPr>
            <w:tcW w:w="3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56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Eligible Commercial Vehicle Criteria</w:t>
            </w:r>
          </w:p>
        </w:tc>
        <w:tc>
          <w:tcPr>
            <w:tcW w:w="46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SF-1</w:t>
            </w: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Schedule G</w:t>
            </w:r>
          </w:p>
        </w:tc>
        <w:tc>
          <w:tcPr>
            <w:tcW w:w="3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Portfolio Purchase Receivables</w:t>
            </w:r>
          </w:p>
        </w:tc>
        <w:tc>
          <w:tcPr>
            <w:tcW w:w="5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SG-1</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Form of Funding Request</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A-1</w:t>
            </w:r>
          </w:p>
        </w:tc>
        <w:tc>
          <w:tcPr>
            <w:tcW w:w="38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 –</w:t>
            </w:r>
          </w:p>
        </w:tc>
        <w:tc>
          <w:tcPr>
            <w:tcW w:w="14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Note</w:t>
            </w:r>
          </w:p>
        </w:tc>
        <w:tc>
          <w:tcPr>
            <w:tcW w:w="1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B-1</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 –</w:t>
            </w:r>
          </w:p>
        </w:tc>
        <w:tc>
          <w:tcPr>
            <w:tcW w:w="3560" w:type="dxa"/>
            <w:vAlign w:val="bottom"/>
            <w:gridSpan w:val="6"/>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Assignment and Acceptance</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0"/>
              </w:rPr>
              <w:t>C-1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D-1</w:t>
            </w: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 –</w:t>
            </w:r>
          </w:p>
        </w:tc>
        <w:tc>
          <w:tcPr>
            <w:tcW w:w="266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Power of Attorney</w:t>
            </w:r>
          </w:p>
        </w:tc>
        <w:tc>
          <w:tcPr>
            <w:tcW w:w="4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E-1</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 –</w:t>
            </w:r>
          </w:p>
        </w:tc>
        <w:tc>
          <w:tcPr>
            <w:tcW w:w="82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F-1</w:t>
            </w: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20" w:type="dxa"/>
            <w:vAlign w:val="bottom"/>
            <w:gridSpan w:val="5"/>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Release of Documents</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87"/>
              </w:rPr>
              <w:t>G-1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Receivable Receipt</w:t>
            </w:r>
          </w:p>
        </w:tc>
        <w:tc>
          <w:tcPr>
            <w:tcW w:w="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H-1</w:t>
            </w:r>
          </w:p>
        </w:tc>
        <w:tc>
          <w:tcPr>
            <w:tcW w:w="380" w:type="dxa"/>
            <w:vAlign w:val="bottom"/>
          </w:tcPr>
          <w:p>
            <w:pPr>
              <w:spacing w:after="0"/>
              <w:rPr>
                <w:sz w:val="21"/>
                <w:szCs w:val="2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I –</w:t>
            </w:r>
          </w:p>
        </w:tc>
        <w:tc>
          <w:tcPr>
            <w:tcW w:w="26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Authorized Representatives</w:t>
            </w: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H-1</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Warehouse Agreement, dated as of November 19, 2013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among UACC Auto Financing Trust IV, a Delaware statutory trust, as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Auto Credit Corporation, a California corporation (“</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as servicer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and as custodian (in such capacity, the “</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 as backup servicer (in such capacity, the “</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and account bank (in such capacity, the “</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the Lenders from time to time parties 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the Agents for the Lender Groups (as defined herein) from time to time parties hereto (the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and JPMorgan Chase Bank, N.A., a national banking association, as administrative agent for the Lenders and the Agents and as agent for the Secured Parties (as defined herein)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was formed for the purpose of taking assignments of, and holding, various assets, including motor vehicle finance contracts, amounts received on or in respect of such finance contracts and proceeds of the foregoing;</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has requested that the Lenders make loans to the Borrower from time to time, the proceeds of which will be used to finance the purchase price of motor vehicle retail installment contracts as described herein;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Lenders agree to make such loans to the Borrower and [***] agrees to act as Backup Servicer and Account Bank, in each case upon the terms and subject to the conditions set forth therein;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hereto agree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CONSTRUCTION</w:t>
      </w:r>
    </w:p>
    <w:p>
      <w:pPr>
        <w:spacing w:after="0" w:line="20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Whenever used herein, unless the context otherwise requires, the following words and phrases shall have the following meanings:</w:t>
      </w:r>
    </w:p>
    <w:p>
      <w:pPr>
        <w:spacing w:after="0" w:line="15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2022 Receivable</w:t>
      </w:r>
      <w:r>
        <w:rPr>
          <w:rFonts w:ascii="Times New Roman" w:cs="Times New Roman" w:eastAsia="Times New Roman" w:hAnsi="Times New Roman"/>
          <w:sz w:val="22"/>
          <w:szCs w:val="22"/>
          <w:color w:val="auto"/>
        </w:rPr>
        <w:t xml:space="preserve">” means any Receivable which was originated in the year 2022,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any such Receivable which was included in the Schedule of Receivables in connection with a Funding Request delivered prior to the date of the Twenty-Sixth Amendment Effective Date shall not be a 2022 Receivable.</w:t>
      </w:r>
    </w:p>
    <w:p>
      <w:pPr>
        <w:spacing w:after="0" w:line="17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ABS Rate</w:t>
      </w:r>
      <w:r>
        <w:rPr>
          <w:rFonts w:ascii="Times New Roman" w:cs="Times New Roman" w:eastAsia="Times New Roman" w:hAnsi="Times New Roman"/>
          <w:sz w:val="22"/>
          <w:szCs w:val="22"/>
          <w:color w:val="auto"/>
        </w:rPr>
        <w:t>” shall mean, as of any date, the assumed rate of prepayment on the Receivables for each Collection Period based upon the “Absolute Prepayment Model”, applied in accordance with then-current market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6" w:name="page77"/>
    <w:bookmarkEnd w:id="7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means each of the Collection Account, the Hedge Reserve Account and the Local Bank Account.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 Fee</w:t>
      </w:r>
      <w:r>
        <w:rPr>
          <w:rFonts w:ascii="Times New Roman" w:cs="Times New Roman" w:eastAsia="Times New Roman" w:hAnsi="Times New Roman"/>
          <w:sz w:val="22"/>
          <w:szCs w:val="22"/>
          <w:color w:val="auto"/>
        </w:rPr>
        <w:t>” means $[***] per month.</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Collateral</w:t>
      </w:r>
      <w:r>
        <w:rPr>
          <w:rFonts w:ascii="Times New Roman" w:cs="Times New Roman" w:eastAsia="Times New Roman" w:hAnsi="Times New Roman"/>
          <w:sz w:val="22"/>
          <w:szCs w:val="22"/>
          <w:color w:val="auto"/>
        </w:rPr>
        <w:t>” means, with respect to each Account, such Account, together with all cash, securities, financial assets (as defined in Section 8-102(a)(9) of the UCC) and investments and other property from time to time deposited or credited to such Account and all proceeds thereof.</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the Controlled Accounts Control Agreement relating to the Collection Account and the Hedge Reserve Account, dated as of the Closing Date, among the Borrower, the Servicer, the Administrative Agent and the Account Bank.</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Amount</w:t>
      </w:r>
      <w:r>
        <w:rPr>
          <w:rFonts w:ascii="Times New Roman" w:cs="Times New Roman" w:eastAsia="Times New Roman" w:hAnsi="Times New Roman"/>
          <w:sz w:val="22"/>
          <w:szCs w:val="22"/>
          <w:color w:val="auto"/>
        </w:rPr>
        <w:t>” has the meaning given to such term in Section 2.14(a).</w:t>
      </w:r>
    </w:p>
    <w:p>
      <w:pPr>
        <w:spacing w:after="0" w:line="20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Daily Simple SOFR</w:t>
      </w:r>
      <w:r>
        <w:rPr>
          <w:rFonts w:ascii="Times New Roman" w:cs="Times New Roman" w:eastAsia="Times New Roman" w:hAnsi="Times New Roman"/>
          <w:sz w:val="22"/>
          <w:szCs w:val="22"/>
          <w:color w:val="auto"/>
        </w:rPr>
        <w:t xml:space="preserve">” means an interest rate per annum equal to (a) the Daily Simple SOFR,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 </w:t>
      </w:r>
      <w:r>
        <w:rPr>
          <w:rFonts w:ascii="Times New Roman" w:cs="Times New Roman" w:eastAsia="Times New Roman" w:hAnsi="Times New Roman"/>
          <w:sz w:val="22"/>
          <w:szCs w:val="22"/>
          <w:i w:val="1"/>
          <w:iCs w:val="1"/>
          <w:color w:val="auto"/>
        </w:rPr>
        <w:t xml:space="preserve">provided that </w:t>
      </w:r>
      <w:r>
        <w:rPr>
          <w:rFonts w:ascii="Times New Roman" w:cs="Times New Roman" w:eastAsia="Times New Roman" w:hAnsi="Times New Roman"/>
          <w:sz w:val="22"/>
          <w:szCs w:val="22"/>
          <w:color w:val="auto"/>
        </w:rPr>
        <w:t>if Adjusted Daily Simple SOFR as so determined would be less than 0%, such rate shall be deemed to be 0%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purposes of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Tangible Net Worth Threshold</w:t>
      </w:r>
      <w:r>
        <w:rPr>
          <w:rFonts w:ascii="Times New Roman" w:cs="Times New Roman" w:eastAsia="Times New Roman" w:hAnsi="Times New Roman"/>
          <w:sz w:val="22"/>
          <w:szCs w:val="22"/>
          <w:color w:val="auto"/>
        </w:rPr>
        <w:t>” means the product of (a) $[***]and (b)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 Reduction Percentage</w:t>
      </w:r>
      <w:r>
        <w:rPr>
          <w:rFonts w:ascii="Times New Roman" w:cs="Times New Roman" w:eastAsia="Times New Roman" w:hAnsi="Times New Roman"/>
          <w:sz w:val="22"/>
          <w:szCs w:val="22"/>
          <w:color w:val="auto"/>
        </w:rPr>
        <w:t>” means, on any date of determination (a)(i) if a Level I Overcollateralization Increase Event has occurred and is continuing on such date, [***] %; (ii) if a Level II Overcollateralization Increase Event has occurred and is continuing on such date, [***] %; or (iii) if a Level III Overcollateralization Increase Event has occurred and is continuing on such date, [***] %, plus (b) if a SOFR Step-Up Event has occurred and is continuing on such date, [***] %.</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means accountants, attorneys, consultants, advisors, credit enhancers, liquidity providers and Persons similar to the foregoing and the respective directors, officers, employees and managers of each of the foregoing.</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Party</w:t>
      </w:r>
      <w:r>
        <w:rPr>
          <w:rFonts w:ascii="Times New Roman" w:cs="Times New Roman" w:eastAsia="Times New Roman" w:hAnsi="Times New Roman"/>
          <w:sz w:val="22"/>
          <w:szCs w:val="22"/>
          <w:color w:val="auto"/>
        </w:rPr>
        <w:t>” has the meaning given to such term in Section 2.13(a).</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the agent for a particular Lender Group and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all agents for all Lender Groups.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77" w:name="page78"/>
    <w:bookmarkEnd w:id="7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means, as of any day, the sum of the Commitments of each Lender.</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Net Principal Balance</w:t>
      </w:r>
      <w:r>
        <w:rPr>
          <w:rFonts w:ascii="Times New Roman" w:cs="Times New Roman" w:eastAsia="Times New Roman" w:hAnsi="Times New Roman"/>
          <w:sz w:val="22"/>
          <w:szCs w:val="22"/>
          <w:color w:val="auto"/>
        </w:rPr>
        <w:t>” means, as of any day, (i) the aggregate Net Principal Balance of all Eligible Receivables minus (ii) the Excess Concentration Amount.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Unpaids</w:t>
      </w:r>
      <w:r>
        <w:rPr>
          <w:rFonts w:ascii="Times New Roman" w:cs="Times New Roman" w:eastAsia="Times New Roman" w:hAnsi="Times New Roman"/>
          <w:sz w:val="22"/>
          <w:szCs w:val="22"/>
          <w:color w:val="auto"/>
        </w:rPr>
        <w:t>” means, as of any day, an amount equal to the sum of (i) the Loans Outstanding, (ii) all accrued but unpaid Interest and (iii) all Unused Fees and other Obligations owed (whether due or accrued) by the Borrower to the Secured Parties, the Backup Servicer, the Account Bank and the Custodian (if other than UACC) under this Agreement and the other Basic Documents.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 means, for any day, a rate per annum equal to the greatest of (a) the Prime Rate in effect on such day, (b) the Federal Funds Effective Rate in effect on such day plus [***]% and (c) Adjusted Daily Simple SOFR plus [***]%. Any change in the Alternate Base Rate due to a change in the Prime Rate, the Federal Funds Effective Rate or Adjusted Daily Simple SOFR shall be effective from and including the effective date of such change in the Prime Rate, the Federal Funds Effective Rate or Adjusted Daily Simple SOFR, respectively. If the Alternate Base Rate is being used as an alternate rate of</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interest pursuant to Section‎ 2.17 (for the avoidance of doubt, only until the Benchmark Replacement has been determined pursuant to ‎Section 2.17(b)), then the Alternate Base Rate shall be the greater of clauses (a) and (b) above and shall be determined without reference to clause (c) above. For the avoidance of doubt, if the Alternate Base Rate as determined pursuant to the foregoing would be less than 0%, such rate shall be deemed to be 0% for purposes of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means the period commencing on the earlier to occur of (i) the Commitment Termination Date and (ii) the Termination Date, and ending on the date on which the Loans Outstanding have been reduced to zero and all other Aggregate Unpaids have been paid in full.</w:t>
      </w:r>
    </w:p>
    <w:p>
      <w:pPr>
        <w:spacing w:after="0" w:line="172"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Amount Financed</w:t>
      </w:r>
      <w:r>
        <w:rPr>
          <w:rFonts w:ascii="Times New Roman" w:cs="Times New Roman" w:eastAsia="Times New Roman" w:hAnsi="Times New Roman"/>
          <w:sz w:val="20"/>
          <w:szCs w:val="20"/>
          <w:color w:val="auto"/>
        </w:rPr>
        <w:t>” 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spacing w:after="0" w:line="13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Percentage Rate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“Annual Percentage Rate” or “APR” shall refer to such reduced rate.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Annualized Net Loss Ratio</w:t>
      </w:r>
      <w:r>
        <w:rPr>
          <w:rFonts w:ascii="Times New Roman" w:cs="Times New Roman" w:eastAsia="Times New Roman" w:hAnsi="Times New Roman"/>
          <w:sz w:val="20"/>
          <w:szCs w:val="20"/>
          <w:color w:val="auto"/>
        </w:rPr>
        <w:t>” means, with respect to any Payment Date and the related Collection Period, the product of</w:t>
      </w:r>
    </w:p>
    <w:p>
      <w:pPr>
        <w:spacing w:after="0" w:line="37" w:lineRule="exact"/>
        <w:rPr>
          <w:sz w:val="20"/>
          <w:szCs w:val="20"/>
          <w:color w:val="auto"/>
        </w:rPr>
      </w:pPr>
    </w:p>
    <w:p>
      <w:pPr>
        <w:ind w:right="520" w:firstLine="8"/>
        <w:spacing w:after="0" w:line="237" w:lineRule="auto"/>
        <w:tabs>
          <w:tab w:leader="none" w:pos="25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the percentage equivalent of a fraction, (a) the numerator of which equals the aggregate Net Losses for such Collection Period (excluding Net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8" w:name="page79"/>
    <w:bookmarkEnd w:id="78"/>
    <w:p>
      <w:pPr>
        <w:ind w:right="420"/>
        <w:spacing w:after="0" w:line="258" w:lineRule="auto"/>
        <w:rPr>
          <w:sz w:val="20"/>
          <w:szCs w:val="20"/>
          <w:color w:val="auto"/>
        </w:rPr>
      </w:pPr>
      <w:r>
        <w:rPr>
          <w:rFonts w:ascii="Times New Roman" w:cs="Times New Roman" w:eastAsia="Times New Roman" w:hAnsi="Times New Roman"/>
          <w:sz w:val="22"/>
          <w:szCs w:val="22"/>
          <w:color w:val="auto"/>
        </w:rPr>
        <w:t>Losses on any 2022 Receivables) and (b) the denominator of which equals the aggregate Principal Balance of all Receivables (excluding any 2022 Receivables) as of the related Determination Date.</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and the Exchange Act), and applicable judgments, decrees, injunctions, writs, orders or line actions of any court, arbitrator or other administrative, judicial or quasi-judicial tribunal or agency of competent jurisdiction.</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means an assignment and acceptance agreement between a Lender and an Eligible Assignee, in substantially the form of Exhibit C hereto.</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with respect to any Person other than a natural person, any officer of such Person, including any president, vice president, executive vice president, assistant vice president, treasurer, assistant treasurer, secretary or assistant secretary or any other officer performing functions similar to those performed by such officers.</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Representative</w:t>
      </w:r>
      <w:r>
        <w:rPr>
          <w:rFonts w:ascii="Times New Roman" w:cs="Times New Roman" w:eastAsia="Times New Roman" w:hAnsi="Times New Roman"/>
          <w:sz w:val="22"/>
          <w:szCs w:val="22"/>
          <w:color w:val="auto"/>
        </w:rPr>
        <w:t>” means, with respect to the Borrower, (i) any president or any executive vice president of UACC and (ii) any officer, employee or director of UACC listed as an Authorized Representative in Exhibit I hereto (which shall remain in effect until UACC or the Borrower notifies the Administrative Agent of any change by delivery of an updated form), in each case, as attorney-in-fact for the Borrower.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as of any day, the positive amount, if any, by which the Facility Amount exceeds the sum of</w:t>
      </w:r>
    </w:p>
    <w:p>
      <w:pPr>
        <w:spacing w:after="0" w:line="37" w:lineRule="exact"/>
        <w:rPr>
          <w:sz w:val="20"/>
          <w:szCs w:val="20"/>
          <w:color w:val="auto"/>
        </w:rPr>
      </w:pPr>
    </w:p>
    <w:p>
      <w:pPr>
        <w:jc w:val="both"/>
        <w:ind w:firstLine="8"/>
        <w:spacing w:after="0" w:line="235" w:lineRule="auto"/>
        <w:tabs>
          <w:tab w:leader="none" w:pos="26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Outstanding on such day and (ii) the outstanding principal amount of all Indebtedness owed by any Special Purpose Affiliate to JPMorgan or its Affiliates pursuant to any amortizing conduit warehouse facility provided by JPMorgan or its Affiliates secured by receivables similar to the Receivables.</w:t>
      </w:r>
    </w:p>
    <w:p>
      <w:pPr>
        <w:spacing w:after="0" w:line="17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Funds</w:t>
      </w:r>
      <w:r>
        <w:rPr>
          <w:rFonts w:ascii="Times New Roman" w:cs="Times New Roman" w:eastAsia="Times New Roman" w:hAnsi="Times New Roman"/>
          <w:sz w:val="20"/>
          <w:szCs w:val="20"/>
          <w:color w:val="auto"/>
        </w:rPr>
        <w:t>” means, for any Payment Date and the related Collection Period, the sum of (i) Collections on deposit in the Collection Account, to the extent received during or in respect of the related Collection Period, (ii) any Monthly Accrued Interest Payment Amount made by UACC pursuant to Section 6.04(o) and (iii) all interest and other investment earnings (net of losses and investment expenses) on funds on deposit in the Hedge Reserve Account received prior to such Payment Date.</w:t>
      </w:r>
    </w:p>
    <w:p>
      <w:pPr>
        <w:spacing w:after="0" w:line="14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Funds Shortfall</w:t>
      </w:r>
      <w:r>
        <w:rPr>
          <w:rFonts w:ascii="Times New Roman" w:cs="Times New Roman" w:eastAsia="Times New Roman" w:hAnsi="Times New Roman"/>
          <w:sz w:val="22"/>
          <w:szCs w:val="22"/>
          <w:color w:val="auto"/>
        </w:rPr>
        <w:t>” means, for any Payment Date and the related Collection Period, the positive excess, if any, of (i) the amount necessary to make all distributions required to be made pursuant to clauses (i) through (v) of Section 2.08 over (ii) Available Funds.</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9" w:name="page80"/>
    <w:bookmarkEnd w:id="79"/>
    <w:p>
      <w:pPr>
        <w:jc w:val="both"/>
        <w:spacing w:after="0" w:line="244" w:lineRule="auto"/>
        <w:rPr>
          <w:sz w:val="20"/>
          <w:szCs w:val="20"/>
          <w:color w:val="auto"/>
        </w:rPr>
      </w:pPr>
      <w:r>
        <w:rPr>
          <w:rFonts w:ascii="Times New Roman" w:cs="Times New Roman" w:eastAsia="Times New Roman" w:hAnsi="Times New Roman"/>
          <w:sz w:val="22"/>
          <w:szCs w:val="22"/>
          <w:color w:val="auto"/>
        </w:rPr>
        <w:t>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2.17.</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 End Loan-to-Value Ratio</w:t>
      </w:r>
      <w:r>
        <w:rPr>
          <w:rFonts w:ascii="Times New Roman" w:cs="Times New Roman" w:eastAsia="Times New Roman" w:hAnsi="Times New Roman"/>
          <w:sz w:val="22"/>
          <w:szCs w:val="22"/>
          <w:color w:val="auto"/>
        </w:rPr>
        <w:t>” 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 Termination Notice</w:t>
      </w:r>
      <w:r>
        <w:rPr>
          <w:rFonts w:ascii="Times New Roman" w:cs="Times New Roman" w:eastAsia="Times New Roman" w:hAnsi="Times New Roman"/>
          <w:sz w:val="22"/>
          <w:szCs w:val="22"/>
          <w:color w:val="auto"/>
        </w:rPr>
        <w:t>” has the meaning given to such term in Section 8.04.</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Servicing Fee</w:t>
      </w:r>
      <w:r>
        <w:rPr>
          <w:rFonts w:ascii="Times New Roman" w:cs="Times New Roman" w:eastAsia="Times New Roman" w:hAnsi="Times New Roman"/>
          <w:sz w:val="22"/>
          <w:szCs w:val="22"/>
          <w:color w:val="auto"/>
        </w:rPr>
        <w:t>” means the fee payable to the Backup Servicer on each Payment Date in accordance with Section 2.12(b) in an amount equal to $[***] per month.</w:t>
      </w:r>
    </w:p>
    <w:p>
      <w:pPr>
        <w:spacing w:after="0" w:line="157"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Band 1 Advance Rate Reduction Percentage</w:t>
      </w:r>
      <w:r>
        <w:rPr>
          <w:rFonts w:ascii="Times New Roman" w:cs="Times New Roman" w:eastAsia="Times New Roman" w:hAnsi="Times New Roman"/>
          <w:sz w:val="22"/>
          <w:szCs w:val="22"/>
          <w:color w:val="auto"/>
        </w:rPr>
        <w:t>” means, on any date of determination, (i) if a Level II Band 1 Overcollateralization Increase Event has occurred and is continuing on such date, [***] % or (ii) if a Level III Band 1 Overcollateralization Increase Event has occurred and is continuing on such date, [***] %.</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1 Receivable</w:t>
      </w:r>
      <w:r>
        <w:rPr>
          <w:rFonts w:ascii="Times New Roman" w:cs="Times New Roman" w:eastAsia="Times New Roman" w:hAnsi="Times New Roman"/>
          <w:sz w:val="22"/>
          <w:szCs w:val="22"/>
          <w:color w:val="auto"/>
        </w:rPr>
        <w:t>” means a Receivable or Serviced Portfolio Receivable with a [***] greater than or equal to [***].</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1 Receivables Advance Rate</w:t>
      </w:r>
      <w:r>
        <w:rPr>
          <w:rFonts w:ascii="Times New Roman" w:cs="Times New Roman" w:eastAsia="Times New Roman" w:hAnsi="Times New Roman"/>
          <w:sz w:val="22"/>
          <w:szCs w:val="22"/>
          <w:color w:val="auto"/>
        </w:rPr>
        <w:t>” means, on any date of determination, (i) [***]%, minus (ii) the applicable Advance Rate Reduction Percentage (if any) on such date and, solely if no Level II Overcollateralization Increase Event or Level III Overcollateralization Increase Event has occurred and is continuing, minus (iii) the applicable Band 1 Advance Rate Reduction Percentage (if any) on such date.</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Band 1 Serviced Portfolio Receivables Annualized Net Loss Ratio</w:t>
      </w:r>
      <w:r>
        <w:rPr>
          <w:rFonts w:ascii="Times New Roman" w:cs="Times New Roman" w:eastAsia="Times New Roman" w:hAnsi="Times New Roman"/>
          <w:sz w:val="20"/>
          <w:szCs w:val="20"/>
          <w:color w:val="auto"/>
        </w:rPr>
        <w:t>” means, with respect to any Collection Period, the product of (i) [***] and (ii) the percentage equivalent of a fraction, (i) (a) the numerator of which equals the aggregate Principal Balance of all Serviced Portfolio Receivables (excluding any Serviced Portfolio Receivables that are Portfolio Purchase Receivables or 2022 Receivables) that are Band 1 Receivables that became Serviced Portfolio Defaulted Receivables during such Collection Period, minus (b) the aggregate Serviced Portfolio Recoveries received in respect of all Serviced Portfolio Receivables (excluding any Serviced Portfolio Receivables that are Portfolio Purchase Receivables or 2022 Receivables) that are Band 1 Receivables and Serviced Portfolio Defaulted Receivables during such Collection Period, and (ii) the denominator of which equals the aggregate Principal Balance of all Serviced Portfolio Receivables (excluding any Serviced Portfolio Receivables that are Portfolio Purchase Receivables or 2022 Receivables) that are Band 1 Receivables as of the related Determination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0" w:name="page81"/>
    <w:bookmarkEnd w:id="80"/>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2 Advance Rate Reduction Percentage</w:t>
      </w:r>
      <w:r>
        <w:rPr>
          <w:rFonts w:ascii="Times New Roman" w:cs="Times New Roman" w:eastAsia="Times New Roman" w:hAnsi="Times New Roman"/>
          <w:sz w:val="22"/>
          <w:szCs w:val="22"/>
          <w:color w:val="auto"/>
        </w:rPr>
        <w:t>” means, on any date of determination, (i) if a Level II Band 2 Overcollateralization Increase Event has occurred and is continuing on such date, [***]% or (ii) if a Level III Band 2 Overcollateralization Increase Event has occurred and is continuing on such date, [***]%.</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2 Receivable</w:t>
      </w:r>
      <w:r>
        <w:rPr>
          <w:rFonts w:ascii="Times New Roman" w:cs="Times New Roman" w:eastAsia="Times New Roman" w:hAnsi="Times New Roman"/>
          <w:sz w:val="22"/>
          <w:szCs w:val="22"/>
          <w:color w:val="auto"/>
        </w:rPr>
        <w:t>” means a Receivable or Serviced Portfolio Receivable with a [***] greater than or equal to [***]but less than [***].</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2 Receivables Advance Rate</w:t>
      </w:r>
      <w:r>
        <w:rPr>
          <w:rFonts w:ascii="Times New Roman" w:cs="Times New Roman" w:eastAsia="Times New Roman" w:hAnsi="Times New Roman"/>
          <w:sz w:val="22"/>
          <w:szCs w:val="22"/>
          <w:color w:val="auto"/>
        </w:rPr>
        <w:t>” means, on any date of determination, (i) [***]%, minus (ii) the applicable Advance Rate Reduction Percentage (if any) on such date and, solely if no Level II Overcollateralization Increase Event or Level III Overcollateralization Increase Event has occurred and is continuing, minus (iii) the applicable Band 2 Advance Rate Reduction Percentage (if any) on such date.</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Band 2 Serviced Portfolio Receivables Annualized Net Loss Ratio</w:t>
      </w:r>
      <w:r>
        <w:rPr>
          <w:rFonts w:ascii="Times New Roman" w:cs="Times New Roman" w:eastAsia="Times New Roman" w:hAnsi="Times New Roman"/>
          <w:sz w:val="20"/>
          <w:szCs w:val="20"/>
          <w:color w:val="auto"/>
        </w:rPr>
        <w:t>” means, with respect to any Collection Period, the product of (i) [***] and (ii) the percentage equivalent of a fraction (i) (a) the numerator of which equals the aggregate Principal Balance of all Serviced Portfolio Receivables (excluding any Serviced Portfolio Receivables that are Portfolio Purchase Receivables or 2022 Receivables) that are Band 2 Receivables that became Serviced Portfolio Defaulted Receivables during such Collection Period, minus (b) the aggregate Serviced Portfolio Recoveries received in respect of all Serviced Portfolio Receivables (excluding any Serviced Portfolio Receivables that are Portfolio Purchase Receivables or 2022 Receivables) that are Band 2 Receivables and Serviced Portfolio Defaulted Receivables during such Collection Period, and (ii) the denominator of which equals the aggregate Principal Balance of all Serviced Portfolio Receivables (excluding any Serviced Portfolio Receivables that are Portfolio Purchase Receivables or 2022 Receivables) that are Band 2 Receivables as of the related Determination Date.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3 Advance Rate Reduction Percentage</w:t>
      </w:r>
      <w:r>
        <w:rPr>
          <w:rFonts w:ascii="Times New Roman" w:cs="Times New Roman" w:eastAsia="Times New Roman" w:hAnsi="Times New Roman"/>
          <w:sz w:val="22"/>
          <w:szCs w:val="22"/>
          <w:color w:val="auto"/>
        </w:rPr>
        <w:t>” means, on any date of determination, (i) if a Level II Band 3 Overcollateralization Increase Event has occurred and is continuing on such date, [***]%; or (ii) if a Level III Band 3 Overcollateralization Increase Event has occurred and is continuing on such date, [***]%.</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3 Receivable</w:t>
      </w:r>
      <w:r>
        <w:rPr>
          <w:rFonts w:ascii="Times New Roman" w:cs="Times New Roman" w:eastAsia="Times New Roman" w:hAnsi="Times New Roman"/>
          <w:sz w:val="22"/>
          <w:szCs w:val="22"/>
          <w:color w:val="auto"/>
        </w:rPr>
        <w:t>” means a Receivable or Serviced Portfolio Receivable with a [***] greater than or equal to [***] but less than [***].</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3 Receivables Advance Rate</w:t>
      </w:r>
      <w:r>
        <w:rPr>
          <w:rFonts w:ascii="Times New Roman" w:cs="Times New Roman" w:eastAsia="Times New Roman" w:hAnsi="Times New Roman"/>
          <w:sz w:val="22"/>
          <w:szCs w:val="22"/>
          <w:color w:val="auto"/>
        </w:rPr>
        <w:t>” means, on any date of determination, (i) [***]%, minus (ii) the applicable Advance Rate Reduction Percentage (if any) on such date and, solely if no Level II Overcollateralization Increase Event or Level III Overcollateralization Increase Event has occurred and is continuing, minus (iii) the applicable Band 3 Advance Rate Reduction Percentage (if any) on such date.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3 Serviced Portfolio Receivables Annualized Net Loss Ratio</w:t>
      </w:r>
      <w:r>
        <w:rPr>
          <w:rFonts w:ascii="Times New Roman" w:cs="Times New Roman" w:eastAsia="Times New Roman" w:hAnsi="Times New Roman"/>
          <w:sz w:val="22"/>
          <w:szCs w:val="22"/>
          <w:color w:val="auto"/>
        </w:rPr>
        <w:t>” means, with respect to any Collection Period, the product of (i) [***] and (ii) the percentage equivalent of a fraction (i) (a) the numerator of which equals the aggregate Principal Balance of all Serviced Portfolio Receivables (excluding any Serviced Portfolio Receivables that are Portfolio Purchase Receivables or 2022 Receivables) that are Band 3 Receivables that became Serviced Portfolio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1" w:name="page82"/>
    <w:bookmarkEnd w:id="81"/>
    <w:p>
      <w:pPr>
        <w:jc w:val="both"/>
        <w:spacing w:after="0" w:line="261" w:lineRule="auto"/>
        <w:rPr>
          <w:sz w:val="20"/>
          <w:szCs w:val="20"/>
          <w:color w:val="auto"/>
        </w:rPr>
      </w:pPr>
      <w:r>
        <w:rPr>
          <w:rFonts w:ascii="Times New Roman" w:cs="Times New Roman" w:eastAsia="Times New Roman" w:hAnsi="Times New Roman"/>
          <w:sz w:val="20"/>
          <w:szCs w:val="20"/>
          <w:color w:val="auto"/>
        </w:rPr>
        <w:t>Defaulted Receivables during such Collection Period, minus (b) the aggregate Serviced Portfolio Recoveries received in respect of all Serviced Portfolio Receivables (excluding any Serviced Portfolio Receivables that are Portfolio Purchase Receivables or 2022 Receivables) that are Band 3 Receivables and Serviced Portfolio Defaulted Receivables during such Collection Period, and</w:t>
      </w:r>
    </w:p>
    <w:p>
      <w:pPr>
        <w:spacing w:after="0" w:line="2" w:lineRule="exact"/>
        <w:rPr>
          <w:sz w:val="20"/>
          <w:szCs w:val="20"/>
          <w:color w:val="auto"/>
        </w:rPr>
      </w:pPr>
    </w:p>
    <w:p>
      <w:pPr>
        <w:jc w:val="both"/>
        <w:ind w:firstLine="8"/>
        <w:spacing w:after="0" w:line="235" w:lineRule="auto"/>
        <w:tabs>
          <w:tab w:leader="none" w:pos="36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of which equals the aggregate Principal Balance of all Serviced Portfolio Receivables (excluding any Serviced Portfolio Receivables that are Portfolio Purchase Receivables or 2022 Receivables) that are Band 3 Receivables as of the related Determination Date.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4 Advance Rate Reduction Percentage</w:t>
      </w:r>
      <w:r>
        <w:rPr>
          <w:rFonts w:ascii="Times New Roman" w:cs="Times New Roman" w:eastAsia="Times New Roman" w:hAnsi="Times New Roman"/>
          <w:sz w:val="22"/>
          <w:szCs w:val="22"/>
          <w:color w:val="auto"/>
        </w:rPr>
        <w:t>” means, on any date of determination, (i) if a Level II Band 4 Overcollateralization Increase Event has occurred and is continuing on such date, [***]% or (ii) if a Level III Band 4 Overcollateralization Increase Event has occurred and is continuing on such date, [***]%.</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4 Receivable</w:t>
      </w:r>
      <w:r>
        <w:rPr>
          <w:rFonts w:ascii="Times New Roman" w:cs="Times New Roman" w:eastAsia="Times New Roman" w:hAnsi="Times New Roman"/>
          <w:sz w:val="22"/>
          <w:szCs w:val="22"/>
          <w:color w:val="auto"/>
        </w:rPr>
        <w:t>” means a Receivable or Serviced Portfolio Receivable with a [***] less than [***].</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Band 4 Receivables Advance Rate</w:t>
      </w:r>
      <w:r>
        <w:rPr>
          <w:rFonts w:ascii="Times New Roman" w:cs="Times New Roman" w:eastAsia="Times New Roman" w:hAnsi="Times New Roman"/>
          <w:sz w:val="22"/>
          <w:szCs w:val="22"/>
          <w:color w:val="auto"/>
        </w:rPr>
        <w:t>” means, on any date of determination, (i) [***]%, minus (ii) the applicable Advance Rate Reduction Percentage (if any) on such date and, solely if no Level II Overcollateralization Increase Event or Level III Overcollateralization Increase Event has occurred and is continuing, minus (iii) the applicable Band 4 Advance Rate Reduction Percentage (if any) on such date.</w:t>
      </w:r>
    </w:p>
    <w:p>
      <w:pPr>
        <w:spacing w:after="0" w:line="1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Band 4 Serviced Portfolio Receivables Annualized Net Loss Ratio</w:t>
      </w:r>
      <w:r>
        <w:rPr>
          <w:rFonts w:ascii="Times New Roman" w:cs="Times New Roman" w:eastAsia="Times New Roman" w:hAnsi="Times New Roman"/>
          <w:sz w:val="20"/>
          <w:szCs w:val="20"/>
          <w:color w:val="auto"/>
        </w:rPr>
        <w:t>” means, with respect to any Collection Period, the product of (i) [***] and (ii) the percentage equivalent of a fraction (i) (a) the numerator of which equals the aggregate Principal Balance of all Serviced Portfolio Receivables (excluding any Serviced Portfolio Receivables that are Portfolio Purchase Receivables or 2022 Receivables) that are Band 4 Receivables that became Serviced Portfolio Defaulted Receivables during such Collection Period, minus (b) the aggregate Serviced Portfolio Recoveries received in respect of all Serviced Portfolio Receivables (excluding any Serviced Portfolio Receivables that are Portfolio Purchase Receivables or 2022 Receivables) that are Band 4 Receivables and Serviced Portfolio Defaulted Receivables during such Collection Period, and (ii) the denominator of which equals the aggregate Principal Balance of all Serviced Portfolio Receivables (excluding any Serviced Portfolio Receivables that are Portfolio Purchase Receivables or 2022 Receivables) that are Band 4 Receivables as of the related Determination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Code (Title 11 of the United States Code).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w:t>
      </w:r>
      <w:r>
        <w:rPr>
          <w:rFonts w:ascii="Times New Roman" w:cs="Times New Roman" w:eastAsia="Times New Roman" w:hAnsi="Times New Roman"/>
          <w:sz w:val="22"/>
          <w:szCs w:val="22"/>
          <w:color w:val="auto"/>
        </w:rPr>
        <w:t>” means the second Basel Accord issued by the Basel Committee on Banking Supervision.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III</w:t>
      </w:r>
      <w:r>
        <w:rPr>
          <w:rFonts w:ascii="Times New Roman" w:cs="Times New Roman" w:eastAsia="Times New Roman" w:hAnsi="Times New Roman"/>
          <w:sz w:val="22"/>
          <w:szCs w:val="22"/>
          <w:color w:val="auto"/>
        </w:rPr>
        <w:t>” means the third Basel Accord issued by the Basel Committee on Banking Supervision.</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Basic Documents</w:t>
      </w:r>
      <w:r>
        <w:rPr>
          <w:rFonts w:ascii="Times New Roman" w:cs="Times New Roman" w:eastAsia="Times New Roman" w:hAnsi="Times New Roman"/>
          <w:sz w:val="22"/>
          <w:szCs w:val="22"/>
          <w:color w:val="auto"/>
        </w:rPr>
        <w:t>” means this Agreement, each Note, the Purchase Agreement, each Transfer Agreement, the Fee Letter, the Intercreditor Agreement, the Intercreditor Party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2" w:name="page83"/>
    <w:bookmarkEnd w:id="82"/>
    <w:p>
      <w:pPr>
        <w:jc w:val="both"/>
        <w:spacing w:after="0" w:line="244" w:lineRule="auto"/>
        <w:rPr>
          <w:sz w:val="20"/>
          <w:szCs w:val="20"/>
          <w:color w:val="auto"/>
        </w:rPr>
      </w:pPr>
      <w:r>
        <w:rPr>
          <w:rFonts w:ascii="Times New Roman" w:cs="Times New Roman" w:eastAsia="Times New Roman" w:hAnsi="Times New Roman"/>
          <w:sz w:val="22"/>
          <w:szCs w:val="22"/>
          <w:color w:val="auto"/>
        </w:rPr>
        <w:t>Supplement, the Trust Agreement, the Account Control Agreement, the ICA Account Control Agreement, all Hedging Agreements and any other document, certificate, opinion, agreement or writing the execution of which is necessary or incidental to carrying out the transactions contemplated by this Agreement or any of the other foregoing documents.</w:t>
      </w:r>
    </w:p>
    <w:p>
      <w:pPr>
        <w:spacing w:after="0" w:line="168"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Loan, Daily Simple SOFR;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Daily Simple SOFR or the then-current Benchmark, then “Benchmark” means the applicable Benchmark Replacement to the extent that such Benchmark Replacement has replaced such prior benchmark rate pursuant to clause (b) of ‎Section 2.17.</w:t>
      </w:r>
    </w:p>
    <w:p>
      <w:pPr>
        <w:spacing w:after="0" w:line="17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for any Loan, the sum of (a) the alternate benchmark rate that has been selected by the Administrative Agent and the Borrower as the replacement for the then-current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the above would be less than the Floor, the Benchmark Replacement will be deemed to be the Floor for the purposes of this Agreement and the other Basic Documents. The Owner Trustee shall be under no obligation (i) to monitor, determine or verify the unavailability or cessation of the applicable Benchmark, or whether or when there has occurred, or to give notice to any other transaction party of the occurrence of, any Benchmark Transition Event or Benchmark Replacement Date, (ii) to select, determine or designate any Benchmark Replacement, or other successor or replacement benchmark index, or whether any conditions to the designation of such a rate have been satisfied, or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even if the Administrative Agent, the Borrower or other responsible party does not take these actions.</w:t>
      </w:r>
    </w:p>
    <w:p>
      <w:pPr>
        <w:spacing w:after="0" w:line="18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setting of such Unadjusted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any technical, administrative or operational changes (including changes to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83" w:name="page84"/>
    <w:bookmarkEnd w:id="83"/>
    <w:p>
      <w:pPr>
        <w:jc w:val="both"/>
        <w:spacing w:after="0" w:line="234" w:lineRule="auto"/>
        <w:rPr>
          <w:sz w:val="20"/>
          <w:szCs w:val="20"/>
          <w:color w:val="auto"/>
        </w:rPr>
      </w:pPr>
      <w:r>
        <w:rPr>
          <w:rFonts w:ascii="Times New Roman" w:cs="Times New Roman" w:eastAsia="Times New Roman" w:hAnsi="Times New Roman"/>
          <w:sz w:val="22"/>
          <w:szCs w:val="22"/>
          <w:color w:val="auto"/>
        </w:rPr>
        <w:t>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Basic Documents).</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such then-current Benchmark:</w:t>
      </w:r>
    </w:p>
    <w:p>
      <w:pPr>
        <w:spacing w:after="0" w:line="184" w:lineRule="exact"/>
        <w:rPr>
          <w:sz w:val="20"/>
          <w:szCs w:val="20"/>
          <w:color w:val="auto"/>
        </w:rPr>
      </w:pPr>
    </w:p>
    <w:p>
      <w:pPr>
        <w:jc w:val="both"/>
        <w:ind w:left="760" w:hanging="3"/>
        <w:spacing w:after="0" w:line="239" w:lineRule="auto"/>
        <w:tabs>
          <w:tab w:leader="none" w:pos="11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8" w:lineRule="exact"/>
        <w:rPr>
          <w:rFonts w:ascii="Times New Roman" w:cs="Times New Roman" w:eastAsia="Times New Roman" w:hAnsi="Times New Roman"/>
          <w:sz w:val="22"/>
          <w:szCs w:val="22"/>
          <w:color w:val="auto"/>
        </w:rPr>
      </w:pPr>
    </w:p>
    <w:p>
      <w:pPr>
        <w:jc w:val="both"/>
        <w:ind w:left="760" w:hanging="3"/>
        <w:spacing w:after="0" w:line="236" w:lineRule="auto"/>
        <w:tabs>
          <w:tab w:leader="none" w:pos="11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84" w:lineRule="exact"/>
        <w:rPr>
          <w:sz w:val="20"/>
          <w:szCs w:val="20"/>
          <w:color w:val="auto"/>
        </w:rPr>
      </w:pPr>
    </w:p>
    <w:p>
      <w:pPr>
        <w:jc w:val="both"/>
        <w:ind w:left="760" w:hanging="3"/>
        <w:spacing w:after="0" w:line="239" w:lineRule="auto"/>
        <w:tabs>
          <w:tab w:leader="none" w:pos="10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4" w:name="page85"/>
    <w:bookmarkEnd w:id="84"/>
    <w:p>
      <w:pPr>
        <w:ind w:left="760"/>
        <w:spacing w:after="0" w:line="258" w:lineRule="auto"/>
        <w:rPr>
          <w:sz w:val="20"/>
          <w:szCs w:val="20"/>
          <w:color w:val="auto"/>
        </w:rPr>
      </w:pPr>
      <w:r>
        <w:rPr>
          <w:rFonts w:ascii="Times New Roman" w:cs="Times New Roman" w:eastAsia="Times New Roman" w:hAnsi="Times New Roman"/>
          <w:sz w:val="22"/>
          <w:szCs w:val="22"/>
          <w:color w:val="auto"/>
        </w:rPr>
        <w:t>time of such statement or publication, there is no successor administrator that will continue to provide any Available Tenor of such Benchmark (or such component thereof);</w:t>
      </w:r>
    </w:p>
    <w:p>
      <w:pPr>
        <w:spacing w:after="0" w:line="184" w:lineRule="exact"/>
        <w:rPr>
          <w:sz w:val="20"/>
          <w:szCs w:val="20"/>
          <w:color w:val="auto"/>
        </w:rPr>
      </w:pPr>
    </w:p>
    <w:p>
      <w:pPr>
        <w:jc w:val="both"/>
        <w:ind w:left="760" w:hanging="3"/>
        <w:spacing w:after="0" w:line="234" w:lineRule="auto"/>
        <w:tabs>
          <w:tab w:leader="none" w:pos="106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22"/>
          <w:szCs w:val="22"/>
          <w:color w:val="auto"/>
        </w:rPr>
      </w:pPr>
    </w:p>
    <w:p>
      <w:pPr>
        <w:jc w:val="both"/>
        <w:ind w:left="760" w:hanging="3"/>
        <w:spacing w:after="0" w:line="280" w:lineRule="auto"/>
        <w:tabs>
          <w:tab w:leader="none" w:pos="106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Basic Document in accordance with ‎Section 2.17 and (y) ending at the time that a Benchmark Replacement has replaced such then-current Benchmark for all purposes hereunder and under any Basic Document in accordance with Section‎ 2.17.</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(i) employee benefit plans (as defined in Section 3(3) of ERISA) that are subject to Title I of ERISA, (ii) plans described in Section 4975(e)(1) of the Code, including individual retirement accounts or Keogh Plans that are not exempt under Section 4975(g) of the Code and (iii) any entities whose underlying assets include plan assets by reason of a plan’s investment in such entities.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given to such term in the Preamble.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85" w:name="page86"/>
    <w:bookmarkEnd w:id="8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Basic Documents</w:t>
      </w:r>
      <w:r>
        <w:rPr>
          <w:rFonts w:ascii="Times New Roman" w:cs="Times New Roman" w:eastAsia="Times New Roman" w:hAnsi="Times New Roman"/>
          <w:sz w:val="22"/>
          <w:szCs w:val="22"/>
          <w:color w:val="auto"/>
        </w:rPr>
        <w:t>” means all Basic Documents to which the Borrower is a party or by which it is bound.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Amounts</w:t>
      </w:r>
      <w:r>
        <w:rPr>
          <w:rFonts w:ascii="Times New Roman" w:cs="Times New Roman" w:eastAsia="Times New Roman" w:hAnsi="Times New Roman"/>
          <w:sz w:val="22"/>
          <w:szCs w:val="22"/>
          <w:color w:val="auto"/>
        </w:rPr>
        <w:t>” has the meaning given to such term in Section 10.01(a).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Party</w:t>
      </w:r>
      <w:r>
        <w:rPr>
          <w:rFonts w:ascii="Times New Roman" w:cs="Times New Roman" w:eastAsia="Times New Roman" w:hAnsi="Times New Roman"/>
          <w:sz w:val="22"/>
          <w:szCs w:val="22"/>
          <w:color w:val="auto"/>
        </w:rPr>
        <w:t>” has the meaning given to such term in Section 10.01(a).</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means the bank account of the Borrower, as notified to the Administrative Agent from time to time in writing by the Borrower, into which all Principal Amounts shall be deposited, which account, as of the Closing Date, is in the name UACC Auto Financing Trust IV, at the Local Bank.</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as of any date of determination, an amount equal to the lesser of (i) the product of the Weighted Average Advance Rate on such date and the Aggregate Net Principal Balance on such date and (ii) the Aggregate Commitment.</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means such amount or amounts as shall compensate any Lender for any loss, cost or expense (but excluding lost profits) incurred by such Lender (as reasonably determined by such Lender) as a result of any prepayment of a Loan (and interest thereon).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a Sunday) on which banks are open for business in New York, New York, Minneapolis, Minnesota or Chicago, Illinois; provided that, in relation to any Loan bearing interest by reference to Daily Simple SOFR (a “SOFR Loan”), and any interest rate settings, fundings, disbursements, settlements or payments of any such SOFR Loan, or any other dealings of such SOFR Loan, any such day that is only an U.S. Government Securities Business Day.</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C-Score</w:t>
      </w:r>
      <w:r>
        <w:rPr>
          <w:rFonts w:ascii="Times New Roman" w:cs="Times New Roman" w:eastAsia="Times New Roman" w:hAnsi="Times New Roman"/>
          <w:sz w:val="22"/>
          <w:szCs w:val="22"/>
          <w:color w:val="auto"/>
        </w:rPr>
        <w:t>” means, with respect to a Receivable or a Serviced Portfolio Receivable, a numeric internal credit score for such Receivable calculated by UACC in accordance with the Credit and Collection Policy.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w:t>
      </w:r>
      <w:r>
        <w:rPr>
          <w:rFonts w:ascii="Times New Roman" w:cs="Times New Roman" w:eastAsia="Times New Roman" w:hAnsi="Times New Roman"/>
          <w:sz w:val="22"/>
          <w:szCs w:val="22"/>
          <w:color w:val="auto"/>
        </w:rPr>
        <w:t>” means a Hedging Transaction in the form of an interest rate cap.</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on any date of determination, Dollars immediately available on such date.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205" w:lineRule="exact"/>
        <w:rPr>
          <w:sz w:val="20"/>
          <w:szCs w:val="20"/>
          <w:color w:val="auto"/>
        </w:rPr>
      </w:pPr>
    </w:p>
    <w:p>
      <w:pPr>
        <w:jc w:val="both"/>
        <w:ind w:firstLine="757"/>
        <w:spacing w:after="0" w:line="244" w:lineRule="auto"/>
        <w:tabs>
          <w:tab w:leader="none" w:pos="11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in marketable debt obligations issued or fully guaranteed or insured by the government of the United States or by an instrumentality or agency of the United States having an equivalent credit rating, maturing within ninety (90) days of the date of acquisition and not convertible or exchangeable to any other security;</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maturing within ninety (90) days of the date of acquisition;</w:t>
      </w:r>
    </w:p>
    <w:p>
      <w:pPr>
        <w:spacing w:after="0" w:line="20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not convertible or exchangeable to any other security (i) for which a recognized trading market exists, (ii) issued by an issuer incorporated in the United States, and (iii) which matures within ninety (90) days of the date of acquisition;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86" w:name="page87"/>
    <w:bookmarkEnd w:id="86"/>
    <w:p>
      <w:pPr>
        <w:ind w:right="20" w:firstLine="757"/>
        <w:spacing w:after="0" w:line="258" w:lineRule="auto"/>
        <w:tabs>
          <w:tab w:leader="none" w:pos="11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money market mutual or similar funds which invest exclusively in assets satisfying the requirements of clauses (a) through (c) of this definition which can be turned into cash on not more than 60 days’ notice; or</w:t>
      </w:r>
    </w:p>
    <w:p>
      <w:pPr>
        <w:spacing w:after="0" w:line="15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debt security approved by the Administrative Agent and each Agent,</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each case, (i) which are denominated in Dollars, (ii) which have a credit rating of either A-1 or higher by S&amp;P or F1 or higher by Fitch or P-1 or higher by Moody’s or R-1 (middle) or higher by DBRS, and (iii) to which VFH or any of its consolidated Subsidiaries is beneficially entitled at that time and which is not issued or guaranteed by VFH or any Affiliate or Subsidiary thereof.</w:t>
      </w:r>
    </w:p>
    <w:p>
      <w:pPr>
        <w:spacing w:after="0" w:line="17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 of Title</w:t>
      </w:r>
      <w:r>
        <w:rPr>
          <w:rFonts w:ascii="Times New Roman" w:cs="Times New Roman" w:eastAsia="Times New Roman" w:hAnsi="Times New Roman"/>
          <w:sz w:val="20"/>
          <w:szCs w:val="20"/>
          <w:color w:val="auto"/>
        </w:rPr>
        <w:t>” 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failure of (i) Vroom, Inc. to own, directly or indirectly, at least 51% of the outstanding voting interests of VFH; (ii) VFH to own, directly or indirectly, at least 51% of the outstanding voting interests of UACC or (iii) UACC to own, directly or indirectly, all of the outstanding beneficial interests of the Borrower.</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any Receivable or Serviced Portfolio Receivable required to be charged off in accordance with the Credit and Collection Policy.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November 19, 2013.</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given to such term in Section 3.01(a).</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Coverage Ratio</w:t>
      </w:r>
      <w:r>
        <w:rPr>
          <w:rFonts w:ascii="Times New Roman" w:cs="Times New Roman" w:eastAsia="Times New Roman" w:hAnsi="Times New Roman"/>
          <w:sz w:val="22"/>
          <w:szCs w:val="22"/>
          <w:color w:val="auto"/>
        </w:rPr>
        <w:t>” means, as of any day, with respect to all or a specified portion of the Receivables, as indicated by the context, a percentage equivalent of a fraction, (i) the numerator of which equals all Loans Outstanding as of such day and (ii) the denominator of which equals the Aggregate Net Principal Balance as of the most recent Determination Date (or as of the related Cutoff Date in the case of Receivables added to the Collateral following such Determination Date) immediately preceding the Collection Period during which such day occurs.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Coverage Ratio Failure</w:t>
      </w:r>
      <w:r>
        <w:rPr>
          <w:rFonts w:ascii="Times New Roman" w:cs="Times New Roman" w:eastAsia="Times New Roman" w:hAnsi="Times New Roman"/>
          <w:sz w:val="22"/>
          <w:szCs w:val="22"/>
          <w:color w:val="auto"/>
        </w:rPr>
        <w:t>” means, as of any date of determination, that the Collateral Coverage Ratio as of such date exceeds the Weighted Average Advance Rate as of such date.</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means a segregated trust account established by the Servicer with the Account Bank, in the name of the Borrower, for the benefit of the Secured Parties, into which all Collections shall be deposited.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7" w:name="page88"/>
    <w:bookmarkEnd w:id="87"/>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means, with respect to any Payment Date, the immediately preceding calendar month, except for the first Payment Date, in which case such term means the period beginning on the date of this Agreement to and including the last day of November 2013.</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with respect to any Collection Period and the related Payment Date, (i) all cash collections or other cash proceeds of any Receivable received by the Borrower, the Servicer and the Backup Servicer in its capacity as Successor Servicer (including from the Originator) from or on behalf of any Obligor in payment of any amounts owed in respect of such Receivable, including all Release Amounts or Release Price amounts deposited in the Collection Account pursuant to Section 5.04,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and (iii) all payments received by or on behalf of the Borrower pursuant to any Hedging Agreement or Hedge Transaction.</w:t>
      </w:r>
    </w:p>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Paper Notes</w:t>
      </w:r>
      <w:r>
        <w:rPr>
          <w:rFonts w:ascii="Times New Roman" w:cs="Times New Roman" w:eastAsia="Times New Roman" w:hAnsi="Times New Roman"/>
          <w:sz w:val="22"/>
          <w:szCs w:val="22"/>
          <w:color w:val="auto"/>
        </w:rPr>
        <w:t>” means any short-term promissory notes issued by a Conduit Lender with respect to financing any Loan hereunder.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w:t>
      </w:r>
      <w:r>
        <w:rPr>
          <w:rFonts w:ascii="Times New Roman" w:cs="Times New Roman" w:eastAsia="Times New Roman" w:hAnsi="Times New Roman"/>
          <w:sz w:val="22"/>
          <w:szCs w:val="22"/>
          <w:color w:val="auto"/>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June 2, 2025, or such later date to which the Commitment Termination Date may be extended in accordance with Section 2.04(a).</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Lender</w:t>
      </w:r>
      <w:r>
        <w:rPr>
          <w:rFonts w:ascii="Times New Roman" w:cs="Times New Roman" w:eastAsia="Times New Roman" w:hAnsi="Times New Roman"/>
          <w:sz w:val="22"/>
          <w:szCs w:val="22"/>
          <w:color w:val="auto"/>
        </w:rPr>
        <w:t>” means any Lender that is designated as a Committed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Lender</w:t>
      </w:r>
      <w:r>
        <w:rPr>
          <w:rFonts w:ascii="Times New Roman" w:cs="Times New Roman" w:eastAsia="Times New Roman" w:hAnsi="Times New Roman"/>
          <w:sz w:val="22"/>
          <w:szCs w:val="22"/>
          <w:color w:val="auto"/>
        </w:rPr>
        <w:t>” means any Lender that is designated as a Conduit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Supplement</w:t>
      </w:r>
      <w:r>
        <w:rPr>
          <w:rFonts w:ascii="Times New Roman" w:cs="Times New Roman" w:eastAsia="Times New Roman" w:hAnsi="Times New Roman"/>
          <w:sz w:val="22"/>
          <w:szCs w:val="22"/>
          <w:color w:val="auto"/>
        </w:rPr>
        <w:t xml:space="preserve">” means, for each Lender Group, the information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to this Agreement for such Lender Group, as it may be amended or otherwise modified from time to time by such Lender Group, with, in the case of changes to the Facility Amount, Commitment and the definition of Cost of Funds Rate, the consent of the Borrower.</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information with respect to the Borrower or UACC, their respective businesses or financial condition, the Receivables or Serviced Portfolio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8" w:name="page89"/>
    <w:bookmarkEnd w:id="88"/>
    <w:p>
      <w:pPr>
        <w:jc w:val="both"/>
        <w:spacing w:after="0" w:line="236" w:lineRule="auto"/>
        <w:rPr>
          <w:sz w:val="20"/>
          <w:szCs w:val="20"/>
          <w:color w:val="auto"/>
        </w:rPr>
      </w:pPr>
      <w:r>
        <w:rPr>
          <w:rFonts w:ascii="Times New Roman" w:cs="Times New Roman" w:eastAsia="Times New Roman" w:hAnsi="Times New Roman"/>
          <w:sz w:val="22"/>
          <w:szCs w:val="22"/>
          <w:color w:val="auto"/>
        </w:rPr>
        <w:t>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developed independently by such Person or (d) is or was lawfully and independently provided to such Person from a third party who is not known by such Person to be subject to an obligation of confidentiality or otherwise prohibited from transmitting such information.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Continued Errors</w:t>
      </w:r>
      <w:r>
        <w:rPr>
          <w:rFonts w:ascii="Times New Roman" w:cs="Times New Roman" w:eastAsia="Times New Roman" w:hAnsi="Times New Roman"/>
          <w:sz w:val="22"/>
          <w:szCs w:val="22"/>
          <w:color w:val="auto"/>
        </w:rPr>
        <w:t>” has the meaning given to such term in Section 7.10(e).</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retail installment sale contract executed by an Obligor for a Financed Vehicle under which an extension of credit by the Originator is made in the ordinary course of business to such Obligor and which is secured by the related Financed Vehicle which the Borrower acquires all right, title or interest to from UACC pursuant to the Purchase Agreement or a related Transfer Agreement.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Cost of Funds Rate</w:t>
      </w:r>
      <w:r>
        <w:rPr>
          <w:rFonts w:ascii="Times New Roman" w:cs="Times New Roman" w:eastAsia="Times New Roman" w:hAnsi="Times New Roman"/>
          <w:sz w:val="22"/>
          <w:szCs w:val="22"/>
          <w:color w:val="auto"/>
        </w:rPr>
        <w:t>” means, with respect to a Conduit Lender, the rate identified as its “Cost of Funds Rate” in the Conduit Supplement for the related Lender Group.</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Cram Down Loss</w:t>
      </w:r>
      <w:r>
        <w:rPr>
          <w:rFonts w:ascii="Times New Roman" w:cs="Times New Roman" w:eastAsia="Times New Roman" w:hAnsi="Times New Roman"/>
          <w:sz w:val="22"/>
          <w:szCs w:val="22"/>
          <w:color w:val="auto"/>
        </w:rPr>
        <w:t>” 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lower of the contract rate or the rate of interest specified by the court in such order) of the Scheduled Payments as so modified or restructured. A “Cram Down Loss” shall be deemed to have occurred on the date such order is entered.</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means, with respect to the initial Servicer, the credit and collection policies of the Servicer or, with respect to any Successor Servicer, the customary credit and collection policies of such Successor Servicer. [***].</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Enhancement Percentage</w:t>
      </w:r>
      <w:r>
        <w:rPr>
          <w:rFonts w:ascii="Times New Roman" w:cs="Times New Roman" w:eastAsia="Times New Roman" w:hAnsi="Times New Roman"/>
          <w:sz w:val="22"/>
          <w:szCs w:val="22"/>
          <w:color w:val="auto"/>
        </w:rPr>
        <w:t>” means, with respect to a Collection Period, a fraction (expressed as a percentage) the numerator of which is an amount equal to the Aggregate Net Principal Balance minus the Loans Outstanding, in each case, as of the close of business on the last day of such Collection Period and the denominator of which is an amount equal to the Aggregate Net Principal Balance as of the close of business on the last day of such Collection Period.</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Facility</w:t>
      </w:r>
      <w:r>
        <w:rPr>
          <w:rFonts w:ascii="Times New Roman" w:cs="Times New Roman" w:eastAsia="Times New Roman" w:hAnsi="Times New Roman"/>
          <w:sz w:val="22"/>
          <w:szCs w:val="22"/>
          <w:color w:val="auto"/>
        </w:rPr>
        <w:t>” means any of the committed loan facilities, lines of credit, letters of credit and other forms of credit enhancement available to the Conduit Lenders that are not Liquidity Facilities.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89" w:name="page90"/>
    <w:bookmarkEnd w:id="8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Provider</w:t>
      </w:r>
      <w:r>
        <w:rPr>
          <w:rFonts w:ascii="Times New Roman" w:cs="Times New Roman" w:eastAsia="Times New Roman" w:hAnsi="Times New Roman"/>
          <w:sz w:val="22"/>
          <w:szCs w:val="22"/>
          <w:color w:val="auto"/>
        </w:rPr>
        <w:t>” means any provider of a Credit Facility or a Liquidity Facility.</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means, (i) so long as no Custodian Termination Event has occurred, UACC, acting directly as Custodian and/or [***] as an agent of UACC, and (ii) following the occurrence of a Custodian Termination Event, [***] or a different successor custodian appointed pursuant to Section 7.19(g).</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Fee</w:t>
      </w:r>
      <w:r>
        <w:rPr>
          <w:rFonts w:ascii="Times New Roman" w:cs="Times New Roman" w:eastAsia="Times New Roman" w:hAnsi="Times New Roman"/>
          <w:sz w:val="22"/>
          <w:szCs w:val="22"/>
          <w:color w:val="auto"/>
        </w:rPr>
        <w:t>” means the fee payable to the Custodian on each Payment Date in accordance with Section 2.12(b), in an amount equal to, if the Custodian is (i) UACC, $0 (as the Servicing Fee covers the compensation of UACC as Custodian), and (ii) any entity other than UACC, the amount agreed upon by such Custodian, the Borrower and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Termination Event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Cutoff Date</w:t>
      </w:r>
      <w:r>
        <w:rPr>
          <w:rFonts w:ascii="Times New Roman" w:cs="Times New Roman" w:eastAsia="Times New Roman" w:hAnsi="Times New Roman"/>
          <w:sz w:val="22"/>
          <w:szCs w:val="22"/>
          <w:color w:val="auto"/>
        </w:rPr>
        <w:t>” means, with respect to Receivables transferred to the Borrower on each Funding Date, the last day of the most recently ended Collection Period.</w:t>
      </w:r>
    </w:p>
    <w:p>
      <w:pPr>
        <w:spacing w:after="0" w:line="15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xml:space="preserve"> ”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a rate per annum equal to SOFR for the day (such day “</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w:t>
      </w:r>
      <w:r>
        <w:rPr>
          <w:rFonts w:ascii="Times New Roman" w:cs="Times New Roman" w:eastAsia="Times New Roman" w:hAnsi="Times New Roman"/>
          <w:sz w:val="22"/>
          <w:szCs w:val="22"/>
          <w:color w:val="auto"/>
        </w:rPr>
        <w:t>” 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 Agreement</w:t>
      </w:r>
      <w:r>
        <w:rPr>
          <w:rFonts w:ascii="Times New Roman" w:cs="Times New Roman" w:eastAsia="Times New Roman" w:hAnsi="Times New Roman"/>
          <w:sz w:val="22"/>
          <w:szCs w:val="22"/>
          <w:color w:val="auto"/>
        </w:rPr>
        <w:t>” 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related Receivables sold by such Dealer, including that such Dealer has all applicable licenses and approvals to originate Receivables that are Eligible Receivables, and (ii) the agreement of such Dealer to repurchase Contracts and any related Receivable with respect to which one or more of such representations and warranties has been breached.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means, on any day, the Alternate Base Rate on such day plus [***]%.</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as of any Determination Date, any Receivable (i) with respect to which more than 10% of any Scheduled Payment remains unpaid for more than 120 days after the related due date and for which the related Financed Vehicle has not been repossessed,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0" w:name="page91"/>
    <w:bookmarkEnd w:id="90"/>
    <w:p>
      <w:pPr>
        <w:ind w:right="20" w:firstLine="8"/>
        <w:spacing w:after="0" w:line="258" w:lineRule="auto"/>
        <w:tabs>
          <w:tab w:leader="none" w:pos="3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90 days have elapsed since the related Financed Vehicle was repossessed and any applicable redemption period has expired or (iii) that is a Charged-off Receivable.</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aggregate Principal Balance of all Eligible Receivables as of such Determination Date.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any Receivable, other than a Defaulted Receivable, with respect to which more than 10% of any Scheduled Payment remains unpaid for more than 60 days after the related due date as of any Determination Date and for which the related Financed Vehicle has not been repossessed.</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Persons</w:t>
      </w:r>
      <w:r>
        <w:rPr>
          <w:rFonts w:ascii="Times New Roman" w:cs="Times New Roman" w:eastAsia="Times New Roman" w:hAnsi="Times New Roman"/>
          <w:sz w:val="22"/>
          <w:szCs w:val="22"/>
          <w:color w:val="auto"/>
        </w:rPr>
        <w:t>” means a person or entity: (i) listed in the annex to, or otherwise the subject of the provisions of, any Executive Order; (ii) named as a “Specially Designated National and Blocked Person” (“</w:t>
      </w:r>
      <w:r>
        <w:rPr>
          <w:rFonts w:ascii="Times New Roman" w:cs="Times New Roman" w:eastAsia="Times New Roman" w:hAnsi="Times New Roman"/>
          <w:sz w:val="22"/>
          <w:szCs w:val="22"/>
          <w:u w:val="single" w:color="auto"/>
          <w:color w:val="auto"/>
        </w:rPr>
        <w:t>SDN</w:t>
      </w:r>
      <w:r>
        <w:rPr>
          <w:rFonts w:ascii="Times New Roman" w:cs="Times New Roman" w:eastAsia="Times New Roman" w:hAnsi="Times New Roman"/>
          <w:sz w:val="22"/>
          <w:szCs w:val="22"/>
          <w:color w:val="auto"/>
        </w:rPr>
        <w:t>”) on the most current list published by OFAC at its official website or any replacement website or other replacement official publication of such list (“</w:t>
      </w:r>
      <w:r>
        <w:rPr>
          <w:rFonts w:ascii="Times New Roman" w:cs="Times New Roman" w:eastAsia="Times New Roman" w:hAnsi="Times New Roman"/>
          <w:sz w:val="22"/>
          <w:szCs w:val="22"/>
          <w:u w:val="single" w:color="auto"/>
          <w:color w:val="auto"/>
        </w:rPr>
        <w:t>SDN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List</w:t>
      </w:r>
      <w:r>
        <w:rPr>
          <w:rFonts w:ascii="Times New Roman" w:cs="Times New Roman" w:eastAsia="Times New Roman" w:hAnsi="Times New Roman"/>
          <w:sz w:val="22"/>
          <w:szCs w:val="22"/>
          <w:color w:val="auto"/>
        </w:rPr>
        <w:t>”) or is otherwise the subject of any Sanctions Laws and Regulations; or (iii) in which an entity or person on the SDN List has 50% or greater ownership interest or that is otherwise controlled by an SDN.</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means, with respect to any Payment Date and the related Collection Period, the last day of such Collection Period.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Dissenting Lender</w:t>
      </w:r>
      <w:r>
        <w:rPr>
          <w:rFonts w:ascii="Times New Roman" w:cs="Times New Roman" w:eastAsia="Times New Roman" w:hAnsi="Times New Roman"/>
          <w:sz w:val="20"/>
          <w:szCs w:val="20"/>
          <w:color w:val="auto"/>
        </w:rPr>
        <w:t>” means a Non-Extending Lender from the date of its refusal notice or the end of the Election Period.</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Drawn Liquidity Rate</w:t>
      </w:r>
      <w:r>
        <w:rPr>
          <w:rFonts w:ascii="Times New Roman" w:cs="Times New Roman" w:eastAsia="Times New Roman" w:hAnsi="Times New Roman"/>
          <w:sz w:val="22"/>
          <w:szCs w:val="22"/>
          <w:color w:val="auto"/>
        </w:rPr>
        <w:t>” means, on any day, the sum of the Adjusted Daily Simple SOFR for such day and [***]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Amortization Event</w:t>
      </w:r>
      <w:r>
        <w:rPr>
          <w:rFonts w:ascii="Times New Roman" w:cs="Times New Roman" w:eastAsia="Times New Roman" w:hAnsi="Times New Roman"/>
          <w:sz w:val="22"/>
          <w:szCs w:val="22"/>
          <w:color w:val="auto"/>
        </w:rPr>
        <w:t>” means, [***].</w:t>
      </w:r>
    </w:p>
    <w:p>
      <w:pPr>
        <w:spacing w:after="0" w:line="171" w:lineRule="exact"/>
        <w:rPr>
          <w:sz w:val="20"/>
          <w:szCs w:val="20"/>
          <w:color w:val="auto"/>
        </w:rPr>
      </w:pPr>
    </w:p>
    <w:p>
      <w:pPr>
        <w:ind w:left="7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Election Period</w:t>
      </w:r>
      <w:r>
        <w:rPr>
          <w:rFonts w:ascii="Times New Roman" w:cs="Times New Roman" w:eastAsia="Times New Roman" w:hAnsi="Times New Roman"/>
          <w:sz w:val="20"/>
          <w:szCs w:val="20"/>
          <w:color w:val="auto"/>
        </w:rPr>
        <w:t>” means the 60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period following the date of a request for an extension pursuant to Section 2.04(a).</w:t>
      </w:r>
    </w:p>
    <w:p>
      <w:pPr>
        <w:spacing w:after="0" w:line="242" w:lineRule="exact"/>
        <w:rPr>
          <w:sz w:val="20"/>
          <w:szCs w:val="20"/>
          <w:color w:val="auto"/>
        </w:rPr>
      </w:pPr>
    </w:p>
    <w:p>
      <w:pPr>
        <w:jc w:val="both"/>
        <w:ind w:firstLine="749"/>
        <w:spacing w:after="0" w:line="26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Person (i) whose short-term rating is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whose obligations under this Agreement are guaranteed by a Person whose short-term rating is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(ii) who is either a multi-seller commercial paper conduit or an Affiliate of a Lender, an Agent or the Administrative Agent or (iii) who is acceptable to the Administrative Agent; provided that, so long as no Early Amortization Event, Termination Event or Servicer Termination Event has occurred and is continuing, such Person, if not an Affiliate of the Lender, an Agent or the Administrative Agent, shall be acceptable to the Borrower.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Commercial Vehicle</w:t>
      </w:r>
      <w:r>
        <w:rPr>
          <w:rFonts w:ascii="Times New Roman" w:cs="Times New Roman" w:eastAsia="Times New Roman" w:hAnsi="Times New Roman"/>
          <w:sz w:val="22"/>
          <w:szCs w:val="22"/>
          <w:color w:val="auto"/>
        </w:rPr>
        <w:t>” means a truck that satisfies the criteria specified on Schedule F hereto.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1" w:name="page92"/>
    <w:bookmarkEnd w:id="91"/>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Counterparty</w:t>
      </w:r>
      <w:r>
        <w:rPr>
          <w:rFonts w:ascii="Times New Roman" w:cs="Times New Roman" w:eastAsia="Times New Roman" w:hAnsi="Times New Roman"/>
          <w:sz w:val="22"/>
          <w:szCs w:val="22"/>
          <w:color w:val="auto"/>
        </w:rPr>
        <w:t>” means (a) JPMorgan or (b) any entity that, on the date of entering into any Hedge Transaction (i) is an interest rate swap dealer that has been approved in writing by the Administrative Agent (which approval shall not be unreasonably withheld) and (ii) has each of the Long-Term Rating Requirement and the Short-Term Rating Requirement on such date.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means, on any day, any Receivable (i) for which the related Receivable File is in the possession of the Servicer or the Custodian, (ii) which is identified on the Schedule of Receivables delivered by the Borrower to the Administrative Agent as part of a Funding Request, (iii) which is not a 2022 Receivable and (iv) which satisfies each of the eligibility requirements set forth on Schedule B hereto.</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and the regulations promulgated and rulings issued thereunder.</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(i) any corporation which is a member of the same controlled group of corporations (within the meaning of Section 414(b) of the Code) as the Borrower, (ii) a trade or business (whether or not incorporated) under common control (within the meaning of Section 414(c) of the Code) with the Borrower or (iii) a member of the same affiliated service group (within the meaning of Section 414(m) of the Code) as the Borrower, any corporation described in clause (i) above or any trade or business described in clause (ii) above.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Errors</w:t>
      </w:r>
      <w:r>
        <w:rPr>
          <w:rFonts w:ascii="Times New Roman" w:cs="Times New Roman" w:eastAsia="Times New Roman" w:hAnsi="Times New Roman"/>
          <w:sz w:val="22"/>
          <w:szCs w:val="22"/>
          <w:color w:val="auto"/>
        </w:rPr>
        <w:t>” has the meaning given to such term in Section 7.10(e).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Eurodollars</w:t>
      </w:r>
      <w:r>
        <w:rPr>
          <w:rFonts w:ascii="Times New Roman" w:cs="Times New Roman" w:eastAsia="Times New Roman" w:hAnsi="Times New Roman"/>
          <w:sz w:val="22"/>
          <w:szCs w:val="22"/>
          <w:color w:val="auto"/>
        </w:rPr>
        <w:t>” means deposits in Dollars held in financial institutions outside of the United States.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Concentration Amount</w:t>
      </w:r>
      <w:r>
        <w:rPr>
          <w:rFonts w:ascii="Times New Roman" w:cs="Times New Roman" w:eastAsia="Times New Roman" w:hAnsi="Times New Roman"/>
          <w:sz w:val="20"/>
          <w:szCs w:val="20"/>
          <w:color w:val="auto"/>
        </w:rPr>
        <w:t>” means, with respect to any day, without duplication, the sum of the following amounts:</w:t>
      </w:r>
    </w:p>
    <w:p>
      <w:pPr>
        <w:spacing w:after="0" w:line="228" w:lineRule="exact"/>
        <w:rPr>
          <w:sz w:val="20"/>
          <w:szCs w:val="20"/>
          <w:color w:val="auto"/>
        </w:rPr>
      </w:pPr>
    </w:p>
    <w:p>
      <w:pPr>
        <w:jc w:val="both"/>
        <w:ind w:left="760" w:firstLine="1123"/>
        <w:spacing w:after="0" w:line="239" w:lineRule="auto"/>
        <w:rPr>
          <w:sz w:val="20"/>
          <w:szCs w:val="20"/>
          <w:color w:val="auto"/>
        </w:rPr>
      </w:pPr>
      <w:r>
        <w:rPr>
          <w:rFonts w:ascii="Times New Roman" w:cs="Times New Roman" w:eastAsia="Times New Roman" w:hAnsi="Times New Roman"/>
          <w:sz w:val="22"/>
          <w:szCs w:val="22"/>
          <w:color w:val="auto"/>
        </w:rPr>
        <w:t>(i)the aggregate amount, with respect to each State, by which the aggregate Net Principal Balance of the Receivables (excluding any Receivables that are Portfolio Purchase Receivables) owing from Obligors with billing addresses at origination in such State (other than any High Concentration State) exceeds [***]% of the aggregate Net Principal Balance on such day;</w:t>
      </w:r>
    </w:p>
    <w:p>
      <w:pPr>
        <w:spacing w:after="0" w:line="179" w:lineRule="exact"/>
        <w:rPr>
          <w:sz w:val="20"/>
          <w:szCs w:val="20"/>
          <w:color w:val="auto"/>
        </w:rPr>
      </w:pPr>
    </w:p>
    <w:p>
      <w:pPr>
        <w:jc w:val="both"/>
        <w:ind w:left="760" w:firstLine="1123"/>
        <w:spacing w:after="0" w:line="244" w:lineRule="auto"/>
        <w:rPr>
          <w:sz w:val="20"/>
          <w:szCs w:val="20"/>
          <w:color w:val="auto"/>
        </w:rPr>
      </w:pPr>
      <w:r>
        <w:rPr>
          <w:rFonts w:ascii="Times New Roman" w:cs="Times New Roman" w:eastAsia="Times New Roman" w:hAnsi="Times New Roman"/>
          <w:sz w:val="22"/>
          <w:szCs w:val="22"/>
          <w:color w:val="auto"/>
        </w:rPr>
        <w:t>(ii)the aggregate amount by which the aggregate Net Principal Balance of the Receivables (excluding any Receivables that are Portfolio Purchase Receivables) owing from Obligors with billing addresses at origination in any individual High Concentration State exceeds [***]% of the aggregate Net Principal Balance on such day;</w:t>
      </w:r>
    </w:p>
    <w:p>
      <w:pPr>
        <w:spacing w:after="0" w:line="172" w:lineRule="exact"/>
        <w:rPr>
          <w:sz w:val="20"/>
          <w:szCs w:val="20"/>
          <w:color w:val="auto"/>
        </w:rPr>
      </w:pPr>
    </w:p>
    <w:p>
      <w:pPr>
        <w:jc w:val="both"/>
        <w:ind w:left="760" w:firstLine="1123"/>
        <w:spacing w:after="0" w:line="280" w:lineRule="auto"/>
        <w:rPr>
          <w:sz w:val="20"/>
          <w:szCs w:val="20"/>
          <w:color w:val="auto"/>
        </w:rPr>
      </w:pPr>
      <w:r>
        <w:rPr>
          <w:rFonts w:ascii="Times New Roman" w:cs="Times New Roman" w:eastAsia="Times New Roman" w:hAnsi="Times New Roman"/>
          <w:sz w:val="20"/>
          <w:szCs w:val="20"/>
          <w:color w:val="auto"/>
        </w:rPr>
        <w:t>(iii)the aggregate amount by which the aggregate Net Principal Balance of the Receivables (excluding any Receivables that are Portfolio Purchase Receivables) owing from Obligors that had no credit bureau score at origination or a credit bureau score at origination equal to zero exceeds [***]% of the aggregate Net Principal Balance on such day;</w:t>
      </w:r>
    </w:p>
    <w:p>
      <w:pPr>
        <w:spacing w:after="0" w:line="139" w:lineRule="exact"/>
        <w:rPr>
          <w:sz w:val="20"/>
          <w:szCs w:val="20"/>
          <w:color w:val="auto"/>
        </w:rPr>
      </w:pPr>
    </w:p>
    <w:p>
      <w:pPr>
        <w:jc w:val="both"/>
        <w:ind w:left="760" w:right="20" w:firstLine="1123"/>
        <w:spacing w:after="0" w:line="258" w:lineRule="auto"/>
        <w:rPr>
          <w:sz w:val="20"/>
          <w:szCs w:val="20"/>
          <w:color w:val="auto"/>
        </w:rPr>
      </w:pPr>
      <w:r>
        <w:rPr>
          <w:rFonts w:ascii="Times New Roman" w:cs="Times New Roman" w:eastAsia="Times New Roman" w:hAnsi="Times New Roman"/>
          <w:sz w:val="22"/>
          <w:szCs w:val="22"/>
          <w:color w:val="auto"/>
        </w:rPr>
        <w:t>(iv)the aggregate Net Principal Balance of the Eligible Receivables (excluding any Receivables that are Portfolio Purchase Receivables) on such day with original terms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92" w:name="page93"/>
    <w:bookmarkEnd w:id="92"/>
    <w:p>
      <w:pPr>
        <w:jc w:val="both"/>
        <w:spacing w:after="0" w:line="244" w:lineRule="auto"/>
        <w:rPr>
          <w:sz w:val="20"/>
          <w:szCs w:val="20"/>
          <w:color w:val="auto"/>
        </w:rPr>
      </w:pPr>
      <w:r>
        <w:rPr>
          <w:rFonts w:ascii="Times New Roman" w:cs="Times New Roman" w:eastAsia="Times New Roman" w:hAnsi="Times New Roman"/>
          <w:sz w:val="22"/>
          <w:szCs w:val="22"/>
          <w:color w:val="auto"/>
        </w:rPr>
        <w:t>to maturity at origination greater than [***] months that would need to be excluded from the aggregate Net Principal Balance of all Eligible Receivables in order to cause the weighted average original term to maturity at origination of all remaining Eligible Receivables to be equal to or less than [***] months;</w:t>
      </w:r>
    </w:p>
    <w:p>
      <w:pPr>
        <w:spacing w:after="0" w:line="172" w:lineRule="exact"/>
        <w:rPr>
          <w:sz w:val="20"/>
          <w:szCs w:val="20"/>
          <w:color w:val="auto"/>
        </w:rPr>
      </w:pPr>
    </w:p>
    <w:p>
      <w:pPr>
        <w:jc w:val="both"/>
        <w:ind w:firstLine="1123"/>
        <w:spacing w:after="0" w:line="244" w:lineRule="auto"/>
        <w:rPr>
          <w:sz w:val="20"/>
          <w:szCs w:val="20"/>
          <w:color w:val="auto"/>
        </w:rPr>
      </w:pPr>
      <w:r>
        <w:rPr>
          <w:rFonts w:ascii="Times New Roman" w:cs="Times New Roman" w:eastAsia="Times New Roman" w:hAnsi="Times New Roman"/>
          <w:sz w:val="22"/>
          <w:szCs w:val="22"/>
          <w:color w:val="auto"/>
        </w:rPr>
        <w:t>(v)the aggregate amount by which the aggregate Net Principal Balance of the Receivables (excluding any Receivables that are Portfolio Purchase Receivables) related to Financed Vehicles with mileages at origination greater than [***] miles exceeds [***]% of the aggregate Net Principal Balance on such day;</w:t>
      </w:r>
    </w:p>
    <w:p>
      <w:pPr>
        <w:spacing w:after="0" w:line="172" w:lineRule="exact"/>
        <w:rPr>
          <w:sz w:val="20"/>
          <w:szCs w:val="20"/>
          <w:color w:val="auto"/>
        </w:rPr>
      </w:pPr>
    </w:p>
    <w:p>
      <w:pPr>
        <w:jc w:val="both"/>
        <w:ind w:firstLine="1123"/>
        <w:spacing w:after="0" w:line="271" w:lineRule="auto"/>
        <w:rPr>
          <w:sz w:val="20"/>
          <w:szCs w:val="20"/>
          <w:color w:val="auto"/>
        </w:rPr>
      </w:pPr>
      <w:r>
        <w:rPr>
          <w:rFonts w:ascii="Times New Roman" w:cs="Times New Roman" w:eastAsia="Times New Roman" w:hAnsi="Times New Roman"/>
          <w:sz w:val="20"/>
          <w:szCs w:val="20"/>
          <w:color w:val="auto"/>
        </w:rPr>
        <w:t>(vi)the aggregate Net Principal Balance of the Eligible Receivables (excluding any Receivables that are Portfolio Purchase Receivables) on such day with discount percentages at origination greater than [***]% that would need to be excluded from the aggregate Net Principal Balance of all Eligible Receivables in order to cause the weighted average discount percentage at origination of all remaining Eligible Receivables to be equal to or less than [***]%;</w:t>
      </w:r>
    </w:p>
    <w:p>
      <w:pPr>
        <w:spacing w:after="0" w:line="148" w:lineRule="exact"/>
        <w:rPr>
          <w:sz w:val="20"/>
          <w:szCs w:val="20"/>
          <w:color w:val="auto"/>
        </w:rPr>
      </w:pPr>
    </w:p>
    <w:p>
      <w:pPr>
        <w:jc w:val="both"/>
        <w:ind w:firstLine="1123"/>
        <w:spacing w:after="0" w:line="244" w:lineRule="auto"/>
        <w:rPr>
          <w:sz w:val="20"/>
          <w:szCs w:val="20"/>
          <w:color w:val="auto"/>
        </w:rPr>
      </w:pPr>
      <w:r>
        <w:rPr>
          <w:rFonts w:ascii="Times New Roman" w:cs="Times New Roman" w:eastAsia="Times New Roman" w:hAnsi="Times New Roman"/>
          <w:sz w:val="22"/>
          <w:szCs w:val="22"/>
          <w:color w:val="auto"/>
        </w:rPr>
        <w:t>(vii)the aggregate amount by which the aggregate Net Principal Balance of the Receivables (excluding any Receivables that are Portfolio Purchase Receivables) that are secured by Eligible Commercial Vehicles exceeds [***]% of the aggregate Net Principal Balance on such day;</w:t>
      </w:r>
    </w:p>
    <w:p>
      <w:pPr>
        <w:spacing w:after="0" w:line="172" w:lineRule="exact"/>
        <w:rPr>
          <w:sz w:val="20"/>
          <w:szCs w:val="20"/>
          <w:color w:val="auto"/>
        </w:rPr>
      </w:pPr>
    </w:p>
    <w:p>
      <w:pPr>
        <w:jc w:val="both"/>
        <w:ind w:firstLine="1123"/>
        <w:spacing w:after="0" w:line="239" w:lineRule="auto"/>
        <w:rPr>
          <w:sz w:val="20"/>
          <w:szCs w:val="20"/>
          <w:color w:val="auto"/>
        </w:rPr>
      </w:pPr>
      <w:r>
        <w:rPr>
          <w:rFonts w:ascii="Times New Roman" w:cs="Times New Roman" w:eastAsia="Times New Roman" w:hAnsi="Times New Roman"/>
          <w:sz w:val="22"/>
          <w:szCs w:val="22"/>
          <w:color w:val="auto"/>
        </w:rPr>
        <w:t>(viii)the aggregate Net Principal Balance of the Eligible Receivables (excluding any Receivables that are Portfolio Purchase Receivables) that are secured by Eligible Commercial Vehicles that would need to be excluded from the aggregate Net Principal Balance of all Eligible Receivables in order to cause the weighted average PTI Ratio of the Eligible Receivables that are secured by Eligible Commercial Vehicles to be [***]% or lower;</w:t>
      </w:r>
    </w:p>
    <w:p>
      <w:pPr>
        <w:spacing w:after="0" w:line="179" w:lineRule="exact"/>
        <w:rPr>
          <w:sz w:val="20"/>
          <w:szCs w:val="20"/>
          <w:color w:val="auto"/>
        </w:rPr>
      </w:pPr>
    </w:p>
    <w:p>
      <w:pPr>
        <w:jc w:val="both"/>
        <w:ind w:firstLine="1123"/>
        <w:spacing w:after="0" w:line="237" w:lineRule="auto"/>
        <w:rPr>
          <w:sz w:val="20"/>
          <w:szCs w:val="20"/>
          <w:color w:val="auto"/>
        </w:rPr>
      </w:pPr>
      <w:r>
        <w:rPr>
          <w:rFonts w:ascii="Times New Roman" w:cs="Times New Roman" w:eastAsia="Times New Roman" w:hAnsi="Times New Roman"/>
          <w:sz w:val="22"/>
          <w:szCs w:val="22"/>
          <w:color w:val="auto"/>
        </w:rPr>
        <w:t>(ix)the aggregate Net Principal Balance of the Eligible Receivables (excluding any Receivables that are Portfolio Purchase Receivables) that are secured by Eligible Commercial Vehicles that would need to be excluded from the aggregate Net Principal Balance of all Eligible Receivables in order to cause the weighted average combined monthly gross income from all sources of the Obligors with respect to the Eligible Receivables that are secured by Eligible Commercial Vehicles to be greater than or equal to $[***];</w:t>
      </w:r>
    </w:p>
    <w:p>
      <w:pPr>
        <w:spacing w:after="0" w:line="180" w:lineRule="exact"/>
        <w:rPr>
          <w:sz w:val="20"/>
          <w:szCs w:val="20"/>
          <w:color w:val="auto"/>
        </w:rPr>
      </w:pPr>
    </w:p>
    <w:p>
      <w:pPr>
        <w:jc w:val="both"/>
        <w:ind w:firstLine="1123"/>
        <w:spacing w:after="0" w:line="244" w:lineRule="auto"/>
        <w:rPr>
          <w:sz w:val="20"/>
          <w:szCs w:val="20"/>
          <w:color w:val="auto"/>
        </w:rPr>
      </w:pPr>
      <w:r>
        <w:rPr>
          <w:rFonts w:ascii="Times New Roman" w:cs="Times New Roman" w:eastAsia="Times New Roman" w:hAnsi="Times New Roman"/>
          <w:sz w:val="22"/>
          <w:szCs w:val="22"/>
          <w:color w:val="auto"/>
        </w:rPr>
        <w:t>(x)the aggregate amount by which the aggregate Net Principal Balance of the Receivables (excluding any Receivables that are Portfolio Purchase Receivables) with Back End Loan-to-Value Ratios greater than [***]% exceeds [***]% of the aggregate Net Principal Balance on such day;</w:t>
      </w:r>
    </w:p>
    <w:p>
      <w:pPr>
        <w:spacing w:after="0" w:line="172" w:lineRule="exact"/>
        <w:rPr>
          <w:sz w:val="20"/>
          <w:szCs w:val="20"/>
          <w:color w:val="auto"/>
        </w:rPr>
      </w:pPr>
    </w:p>
    <w:p>
      <w:pPr>
        <w:jc w:val="both"/>
        <w:ind w:firstLine="1123"/>
        <w:spacing w:after="0" w:line="244" w:lineRule="auto"/>
        <w:rPr>
          <w:sz w:val="20"/>
          <w:szCs w:val="20"/>
          <w:color w:val="auto"/>
        </w:rPr>
      </w:pPr>
      <w:r>
        <w:rPr>
          <w:rFonts w:ascii="Times New Roman" w:cs="Times New Roman" w:eastAsia="Times New Roman" w:hAnsi="Times New Roman"/>
          <w:sz w:val="22"/>
          <w:szCs w:val="22"/>
          <w:color w:val="auto"/>
        </w:rPr>
        <w:t>(xi)the aggregate amount by which the aggregate Net Principal Balance of the Band 4 Receivables (excluding any Band 4 Receivables that are Portfolio Purchase Receivables) exceeds [***]% of the aggregate Net Principal Balance on such day;</w:t>
      </w:r>
    </w:p>
    <w:p>
      <w:pPr>
        <w:spacing w:after="0" w:line="172" w:lineRule="exact"/>
        <w:rPr>
          <w:sz w:val="20"/>
          <w:szCs w:val="20"/>
          <w:color w:val="auto"/>
        </w:rPr>
      </w:pPr>
    </w:p>
    <w:p>
      <w:pPr>
        <w:jc w:val="both"/>
        <w:ind w:firstLine="1123"/>
        <w:spacing w:after="0" w:line="258" w:lineRule="auto"/>
        <w:rPr>
          <w:sz w:val="20"/>
          <w:szCs w:val="20"/>
          <w:color w:val="auto"/>
        </w:rPr>
      </w:pPr>
      <w:r>
        <w:rPr>
          <w:rFonts w:ascii="Times New Roman" w:cs="Times New Roman" w:eastAsia="Times New Roman" w:hAnsi="Times New Roman"/>
          <w:sz w:val="22"/>
          <w:szCs w:val="22"/>
          <w:color w:val="auto"/>
        </w:rPr>
        <w:t>(xii)the aggregate Net Principal Balance of the Eligible Receivables (excluding any Receivables that are Portfolio Purchase Receivables) that are not Band 1 Receivables</w:t>
      </w:r>
    </w:p>
    <w:p>
      <w:pPr>
        <w:spacing w:after="0" w:line="200" w:lineRule="exact"/>
        <w:rPr>
          <w:sz w:val="20"/>
          <w:szCs w:val="20"/>
          <w:color w:val="auto"/>
        </w:rPr>
      </w:pPr>
    </w:p>
    <w:p>
      <w:pPr>
        <w:spacing w:after="0" w:line="3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93" w:name="page94"/>
    <w:bookmarkEnd w:id="9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or Band 2 Receivables that would need to be excluded from the aggregate Net Principal Balance of all Eligible Receivables in order to cause the aggregate Principal Balance of all remaining Band 1 Receivables and Band 2 Receivables that are Eligible Receivables to be at least [***]% of the aggregate Net Principal Balance on such date;</w:t>
      </w:r>
    </w:p>
    <w:p>
      <w:pPr>
        <w:spacing w:after="0" w:line="172" w:lineRule="exact"/>
        <w:rPr>
          <w:sz w:val="20"/>
          <w:szCs w:val="20"/>
          <w:color w:val="auto"/>
        </w:rPr>
      </w:pPr>
    </w:p>
    <w:p>
      <w:pPr>
        <w:jc w:val="both"/>
        <w:ind w:left="760" w:firstLine="1123"/>
        <w:spacing w:after="0" w:line="271" w:lineRule="auto"/>
        <w:rPr>
          <w:sz w:val="20"/>
          <w:szCs w:val="20"/>
          <w:color w:val="auto"/>
        </w:rPr>
      </w:pPr>
      <w:r>
        <w:rPr>
          <w:rFonts w:ascii="Times New Roman" w:cs="Times New Roman" w:eastAsia="Times New Roman" w:hAnsi="Times New Roman"/>
          <w:sz w:val="20"/>
          <w:szCs w:val="20"/>
          <w:color w:val="auto"/>
        </w:rPr>
        <w:t>(xiii)the aggregate Net Principal Balance of the Eligible Receivables (excluding any Receivables that are Portfolio Purchase Receivables) that are not Band 1 Receivables that would need to be excluded from the aggregate Net Principal Balance of all Eligible Receivables in order to cause the aggregate Principal Balance of all remaining Band 1 Receivables that are Eligible Receivables to be at least [***]% of the aggregate Net Principal Balance on such date; and</w:t>
      </w:r>
    </w:p>
    <w:p>
      <w:pPr>
        <w:spacing w:after="0" w:line="148" w:lineRule="exact"/>
        <w:rPr>
          <w:sz w:val="20"/>
          <w:szCs w:val="20"/>
          <w:color w:val="auto"/>
        </w:rPr>
      </w:pPr>
    </w:p>
    <w:p>
      <w:pPr>
        <w:jc w:val="both"/>
        <w:ind w:left="760" w:firstLine="1123"/>
        <w:spacing w:after="0" w:line="236" w:lineRule="auto"/>
        <w:rPr>
          <w:sz w:val="20"/>
          <w:szCs w:val="20"/>
          <w:color w:val="auto"/>
        </w:rPr>
      </w:pPr>
      <w:r>
        <w:rPr>
          <w:rFonts w:ascii="Times New Roman" w:cs="Times New Roman" w:eastAsia="Times New Roman" w:hAnsi="Times New Roman"/>
          <w:sz w:val="22"/>
          <w:szCs w:val="22"/>
          <w:color w:val="auto"/>
        </w:rPr>
        <w:t>(xiv)the aggregate Net Principal Balance on such day of the Vroom Receivables that are Eligible Receivables (excluding any Vroom Receivables that are Portfolio Purchase Receivables) as to which the combined monthly gross income of the related Obligors at origination was less than $[***] that would need to be excluded from the aggregate Net Principal Balance of all Vroom Receivables that are Eligible Receivables in order to cause the weighted average combined monthly gross income of the related Obligors at origination of all remaining Vroom Receivables that are Eligible Receivables to be equal to or greater than $[***].</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(i) net income Taxes, franchise Taxes (imposed in lieu of net income Taxes) and branch profits Taxes, in each case imposed on any Lender or the Administrative Agent as a result of a present or former connection between such Lender (including any applicable lending office) or the Administrative Agent and the jurisdiction of the Governmental Authority imposing such Tax or any political subdivision or taxing authority thereof or therein (other than any such connection arising solely from such Lender’s or the Administrative Agent’s having executed, delivered, or performed its obligations or received a payment under, or enforced, this Agreement), (ii) any Taxes that result from a Lender’s failure to comply with the requirements of Section 2.14(d), (iii) in the case of any Non-U.S. Lender, any withholding Taxes that are imposed on amounts payable to such Non-U.S. Lender at the time such Non-U.S. Lender becomes a party to this Agreement or changes the applicable lending office with respect to this Agreement and (iv) any Taxes under FATCA.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Receivables</w:t>
      </w:r>
      <w:r>
        <w:rPr>
          <w:rFonts w:ascii="Times New Roman" w:cs="Times New Roman" w:eastAsia="Times New Roman" w:hAnsi="Times New Roman"/>
          <w:sz w:val="22"/>
          <w:szCs w:val="22"/>
          <w:color w:val="auto"/>
        </w:rPr>
        <w:t>” means the Receivables that become a part of the Collateral in connection with the Initial Loan.</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Amount</w:t>
      </w:r>
      <w:r>
        <w:rPr>
          <w:rFonts w:ascii="Times New Roman" w:cs="Times New Roman" w:eastAsia="Times New Roman" w:hAnsi="Times New Roman"/>
          <w:sz w:val="22"/>
          <w:szCs w:val="22"/>
          <w:color w:val="auto"/>
        </w:rPr>
        <w:t>” means (i) prior to the Termination Date, the lesser of the Aggregate Commitment on such day and $200,000,000, and (ii) on and after the Termination Date, the Loans Outstanding.</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date following the Termination Date on which the Aggregate Unpaids have been indefeasibly paid in full.</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in effect on the date of this Agreement (or any amended or successor version that is substantively comparable and not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4" w:name="page95"/>
    <w:bookmarkEnd w:id="94"/>
    <w:p>
      <w:pPr>
        <w:jc w:val="both"/>
        <w:spacing w:after="0" w:line="244" w:lineRule="auto"/>
        <w:rPr>
          <w:sz w:val="20"/>
          <w:szCs w:val="20"/>
          <w:color w:val="auto"/>
        </w:rPr>
      </w:pPr>
      <w:r>
        <w:rPr>
          <w:rFonts w:ascii="Times New Roman" w:cs="Times New Roman" w:eastAsia="Times New Roman" w:hAnsi="Times New Roman"/>
          <w:sz w:val="22"/>
          <w:szCs w:val="22"/>
          <w:color w:val="auto"/>
        </w:rPr>
        <w:t>materially more onerous to comply with) and any regulations or official interpretations thereof (including any revenue ruling, revenue procedure, notice or similar guidance issued by the IRS thereunder as a precondition to relief or exemption from Taxes under such provisions).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FCA</w:t>
      </w:r>
      <w:r>
        <w:rPr>
          <w:rFonts w:ascii="Times New Roman" w:cs="Times New Roman" w:eastAsia="Times New Roman" w:hAnsi="Times New Roman"/>
          <w:sz w:val="22"/>
          <w:szCs w:val="22"/>
          <w:color w:val="auto"/>
        </w:rPr>
        <w:t>” has the meaning assigned to such term in Section 1.05.</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“Federal Funds Effective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further that if the Federal Funds Effective Rate as so determined would be less than 0%, such rate shall be deemed to be 0% for the purposes of this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dated as of the Closing Date, among the Borrower, the Servicer and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Financed Vehicle</w:t>
      </w:r>
      <w:r>
        <w:rPr>
          <w:rFonts w:ascii="Times New Roman" w:cs="Times New Roman" w:eastAsia="Times New Roman" w:hAnsi="Times New Roman"/>
          <w:sz w:val="22"/>
          <w:szCs w:val="22"/>
          <w:color w:val="auto"/>
        </w:rPr>
        <w:t>” means, with respect to a Receivable or a Serviced Portfolio Receivable, any new or used automobile, light-duty or medium-duty truck, minivan, sport utility vehicle or other passenger vehicle or Eligible Commercial Vehicle, together with all accessions thereto, securing the related Obligor’s Indebtedness thereunder.</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the Cost of Funds Rate or the Adjusted Daily Simple SOFR, as applicable. For the avoidance of doubt the initial Floor for each of the Cost of Funds Rate or the Adjusted Daily Simple SOFR shall be 0%.</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Event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Formation Documents</w:t>
      </w:r>
      <w:r>
        <w:rPr>
          <w:rFonts w:ascii="Times New Roman" w:cs="Times New Roman" w:eastAsia="Times New Roman" w:hAnsi="Times New Roman"/>
          <w:sz w:val="22"/>
          <w:szCs w:val="22"/>
          <w:color w:val="auto"/>
        </w:rPr>
        <w:t>” means, with respect to (i) the Borrower, the Trust Agreement and certificate of trust and (ii) UACC, its articles of incorporation and bylaws.</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 End Loan-to-Value Ratio</w:t>
      </w:r>
      <w:r>
        <w:rPr>
          <w:rFonts w:ascii="Times New Roman" w:cs="Times New Roman" w:eastAsia="Times New Roman" w:hAnsi="Times New Roman"/>
          <w:sz w:val="22"/>
          <w:szCs w:val="22"/>
          <w:color w:val="auto"/>
        </w:rPr>
        <w:t>” means, with respect to any Receivable, the percentage equivalent of a fraction, (i) the numerator of which is (A) the original Principal Balance of such Receivable, minus (B) the cost of any ancillary products included in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Fully Hedged</w:t>
      </w:r>
      <w:r>
        <w:rPr>
          <w:rFonts w:ascii="Times New Roman" w:cs="Times New Roman" w:eastAsia="Times New Roman" w:hAnsi="Times New Roman"/>
          <w:sz w:val="22"/>
          <w:szCs w:val="22"/>
          <w:color w:val="auto"/>
        </w:rPr>
        <w:t>” means, as of any date of determination, that the Borrower is party to one or more effective Hedge Transactions with one or more Eligible Hedge Counterparties on such date that satisfy the following conditions: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95" w:name="page96"/>
    <w:bookmarkEnd w:id="95"/>
    <w:p>
      <w:pPr>
        <w:jc w:val="both"/>
        <w:ind w:left="760" w:firstLine="1123"/>
        <w:spacing w:after="0" w:line="239" w:lineRule="auto"/>
        <w:rPr>
          <w:sz w:val="20"/>
          <w:szCs w:val="20"/>
          <w:color w:val="auto"/>
        </w:rPr>
      </w:pPr>
      <w:r>
        <w:rPr>
          <w:rFonts w:ascii="Times New Roman" w:cs="Times New Roman" w:eastAsia="Times New Roman" w:hAnsi="Times New Roman"/>
          <w:sz w:val="22"/>
          <w:szCs w:val="22"/>
          <w:color w:val="auto"/>
        </w:rPr>
        <w:t>(xv)the effective strike rate for each such Hedge Transaction is not greater than [***] % based on USD-SOFR-Compound (as defined in the ISDA Definitions) for each Collection Period and provides for the payment on each Payment Date to the Borrower of an amount equal to the positive difference (if any) between USD-SOFR-Compound for each Collection Period and the strike rate set out in the applicable Hedging Agreement;</w:t>
      </w:r>
    </w:p>
    <w:p>
      <w:pPr>
        <w:spacing w:after="0" w:line="179" w:lineRule="exact"/>
        <w:rPr>
          <w:sz w:val="20"/>
          <w:szCs w:val="20"/>
          <w:color w:val="auto"/>
        </w:rPr>
      </w:pPr>
    </w:p>
    <w:p>
      <w:pPr>
        <w:jc w:val="both"/>
        <w:ind w:left="760" w:firstLine="1123"/>
        <w:spacing w:after="0" w:line="244" w:lineRule="auto"/>
        <w:rPr>
          <w:sz w:val="20"/>
          <w:szCs w:val="20"/>
          <w:color w:val="auto"/>
        </w:rPr>
      </w:pPr>
      <w:r>
        <w:rPr>
          <w:rFonts w:ascii="Times New Roman" w:cs="Times New Roman" w:eastAsia="Times New Roman" w:hAnsi="Times New Roman"/>
          <w:sz w:val="22"/>
          <w:szCs w:val="22"/>
          <w:color w:val="auto"/>
        </w:rPr>
        <w:t>(xvi)the notional amount of which, when aggregated with the notional amount of all other Hedge Transactions then in effect, is not less than the Loans Outstanding as of such date and amortizes monthly in accordance with a set schedule therefore based on an ABS Rate of less than or equal to [***] %;</w:t>
      </w:r>
    </w:p>
    <w:p>
      <w:pPr>
        <w:spacing w:after="0" w:line="172"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(xvii)the final maturity date for such Hedge Transactions shall be a date reasonably acceptable to the Administrative Agent; and</w:t>
      </w:r>
    </w:p>
    <w:p>
      <w:pPr>
        <w:spacing w:after="0" w:line="157" w:lineRule="exact"/>
        <w:rPr>
          <w:sz w:val="20"/>
          <w:szCs w:val="20"/>
          <w:color w:val="auto"/>
        </w:rPr>
      </w:pPr>
    </w:p>
    <w:p>
      <w:pPr>
        <w:jc w:val="both"/>
        <w:ind w:left="760" w:firstLine="749"/>
        <w:spacing w:after="0" w:line="258" w:lineRule="auto"/>
        <w:rPr>
          <w:sz w:val="20"/>
          <w:szCs w:val="20"/>
          <w:color w:val="auto"/>
        </w:rPr>
      </w:pPr>
      <w:r>
        <w:rPr>
          <w:rFonts w:ascii="Times New Roman" w:cs="Times New Roman" w:eastAsia="Times New Roman" w:hAnsi="Times New Roman"/>
          <w:sz w:val="22"/>
          <w:szCs w:val="22"/>
          <w:color w:val="auto"/>
        </w:rPr>
        <w:t>(xviii)the related Hedge Agreements are in form and substance reasonably acceptable to the Required Agents and copies of which have been delivered to the Required Agents (which delivery may be made by electronic mail).</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each Business Day on which a Loan is made in accordance with this Agreement.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Request</w:t>
      </w:r>
      <w:r>
        <w:rPr>
          <w:rFonts w:ascii="Times New Roman" w:cs="Times New Roman" w:eastAsia="Times New Roman" w:hAnsi="Times New Roman"/>
          <w:sz w:val="22"/>
          <w:szCs w:val="22"/>
          <w:color w:val="auto"/>
        </w:rPr>
        <w:t>” means a written notice from the Borrower requesting a Loan and including the items required by Section 2.01(b), substantially in the form of Exhibit A 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with respect to any Person, any nation or government, any State or other political subdivision thereof, any entity exercising executive, legislative, judicial, regulatory or administrative functions of or pertaining to government and any court or arbitrator having jurisdiction over such Person.</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w:t>
      </w:r>
      <w:r>
        <w:rPr>
          <w:rFonts w:ascii="Times New Roman" w:cs="Times New Roman" w:eastAsia="Times New Roman" w:hAnsi="Times New Roman"/>
          <w:sz w:val="22"/>
          <w:szCs w:val="22"/>
          <w:color w:val="auto"/>
        </w:rPr>
        <w:t>” means all of the rights of the Borrower, whether now existing or hereafter acquired, in and to all Hedging Agreements, all Hedge Transactions, all Hedge Collateral Account Property, the Hedge Reserve Account and all present and future amounts payable by all Hedge Counterparties to the Borrower under or in connection with such Hedging Agreements and Hedge Transactions with such Hedge Counterparties.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Collateral Account</w:t>
      </w:r>
      <w:r>
        <w:rPr>
          <w:rFonts w:ascii="Times New Roman" w:cs="Times New Roman" w:eastAsia="Times New Roman" w:hAnsi="Times New Roman"/>
          <w:sz w:val="20"/>
          <w:szCs w:val="20"/>
          <w:color w:val="auto"/>
        </w:rPr>
        <w:t>” means each hedge collateral account established and maintained pursuant to Section 6.03(c).</w:t>
      </w:r>
    </w:p>
    <w:p>
      <w:pPr>
        <w:spacing w:after="0" w:line="22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 Account Property</w:t>
      </w:r>
      <w:r>
        <w:rPr>
          <w:rFonts w:ascii="Times New Roman" w:cs="Times New Roman" w:eastAsia="Times New Roman" w:hAnsi="Times New Roman"/>
          <w:sz w:val="22"/>
          <w:szCs w:val="22"/>
          <w:color w:val="auto"/>
        </w:rPr>
        <w:t>” means (a) each Hedge Collateral Account, (b) all property (including all cash, financial assets, investment property and security entitlements) from time to time deposited in, carried in or credited to, or required to be deposited in, carried in or credit to, a Hedge Collateral Account, (c) all funds from time to time deposited in or credited to, or required to be deposited in or credited to, a Hedge Collateral Account, (d) all credit balances related to a Hedge Collateral Account, (e) all rights, claims and causes of action of the Borrower with respect to a Hedge Collateral Account, and (f) all proceeds of the foregoing.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Counterparty</w:t>
      </w:r>
      <w:r>
        <w:rPr>
          <w:rFonts w:ascii="Times New Roman" w:cs="Times New Roman" w:eastAsia="Times New Roman" w:hAnsi="Times New Roman"/>
          <w:sz w:val="22"/>
          <w:szCs w:val="22"/>
          <w:color w:val="auto"/>
        </w:rPr>
        <w:t>” means, with respect to any Hedging Agreement, the counterparty to such Hedging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6.03(e)</w:t>
      </w:r>
      <w:r>
        <w:rPr>
          <w:rFonts w:ascii="Times New Roman" w:cs="Times New Roman" w:eastAsia="Times New Roman" w:hAnsi="Times New Roman"/>
          <w:sz w:val="22"/>
          <w:szCs w:val="22"/>
          <w:color w:val="auto"/>
        </w:rPr>
        <w:t xml:space="preserve"> of this Agreement.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 Amount</w:t>
      </w:r>
      <w:r>
        <w:rPr>
          <w:rFonts w:ascii="Times New Roman" w:cs="Times New Roman" w:eastAsia="Times New Roman" w:hAnsi="Times New Roman"/>
          <w:sz w:val="22"/>
          <w:szCs w:val="22"/>
          <w:color w:val="auto"/>
        </w:rPr>
        <w:t>” means, as of any date of determination, the amount of funds then on deposit in the Hedge Reserve Account.</w:t>
      </w:r>
    </w:p>
    <w:p>
      <w:pPr>
        <w:spacing w:after="0" w:line="15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 Required Amount</w:t>
      </w:r>
      <w:r>
        <w:rPr>
          <w:rFonts w:ascii="Times New Roman" w:cs="Times New Roman" w:eastAsia="Times New Roman" w:hAnsi="Times New Roman"/>
          <w:sz w:val="22"/>
          <w:szCs w:val="22"/>
          <w:color w:val="auto"/>
        </w:rPr>
        <w:t>” means, as of any date of determination on which (a) the Loans Outstanding are zero or the Borrower is Fully Hedged, zero or (b) the Loans Outstanding are greater than zero or the Borrower is not Fully Hedged, the greater of (i) $[***] and (ii) the quoted purchase price from any Lender or Agent (or an Affiliate thereof) most recently received by the Borrower (or the Servicer on behalf of the Borrower) pursuant to Section 6.03(b) hereof (which quote shall, for purpose of this definition, continue in effect until the next succeeding date on which such a quote is received pursuant to Section 6.03(b) hereof), for an interest rate cap with a strike rate of [***] % and a notional amount equal to the excess of (x) the Loans Outstanding on such date (after giving effect to any Loan or reduction of the Loans Outstanding on such date) over (y) the aggregate notional amount of all other Hedge Transactions to which the Borrower is then a party, that amortizes using an ABS Rate of not greater than [***] %.</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Transaction</w:t>
      </w:r>
      <w:r>
        <w:rPr>
          <w:rFonts w:ascii="Times New Roman" w:cs="Times New Roman" w:eastAsia="Times New Roman" w:hAnsi="Times New Roman"/>
          <w:sz w:val="22"/>
          <w:szCs w:val="22"/>
          <w:color w:val="auto"/>
        </w:rPr>
        <w:t>” means any Cap between the Borrower and a Hedge Counterparty entered into pursuant to Section 6.03(a) and governed by a Hedging Agreement.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xml:space="preserve">” means, collectively, a “Master Agreement” in a form published by the International Swaps and Derivatives Association, Inc., together with a “Schedule” and a Credit Support Annex thereto, each of which shall be in form and substance satisfactory to the Administrative Agent and shall govern each Hedge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any Hedging Agreement with JPMorgan shall not require a Credit Support Annex.</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High Concentration State</w:t>
      </w:r>
      <w:r>
        <w:rPr>
          <w:rFonts w:ascii="Times New Roman" w:cs="Times New Roman" w:eastAsia="Times New Roman" w:hAnsi="Times New Roman"/>
          <w:sz w:val="22"/>
          <w:szCs w:val="22"/>
          <w:color w:val="auto"/>
        </w:rPr>
        <w:t>” means each of the State of Texas and the State of Florida.</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ICA Account Control Agreement</w:t>
      </w:r>
      <w:r>
        <w:rPr>
          <w:rFonts w:ascii="Times New Roman" w:cs="Times New Roman" w:eastAsia="Times New Roman" w:hAnsi="Times New Roman"/>
          <w:sz w:val="22"/>
          <w:szCs w:val="22"/>
          <w:color w:val="auto"/>
        </w:rPr>
        <w:t>” means the Deposit Account Control Agreement relating to the Collateral Account (as defined therein, and subject to the Intercreditor Agreement), dated as of February 2, 2011, among UACC Auto Financing Trust, UACC and [***].</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and any day, all indebtedness for borrowed money for which such Person is primarily liable or liable as a guarantor or co-signor.</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means all Borrower Indemnified Amounts, UACC Indemnified Amounts and Seller Indemnified Amounts.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means the Borrower Indemnified Parties, UACC Indemnified Parties and the Seller Indemnified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Receivable</w:t>
      </w:r>
      <w:r>
        <w:rPr>
          <w:rFonts w:ascii="Times New Roman" w:cs="Times New Roman" w:eastAsia="Times New Roman" w:hAnsi="Times New Roman"/>
          <w:sz w:val="22"/>
          <w:szCs w:val="22"/>
          <w:color w:val="auto"/>
        </w:rPr>
        <w:t>” means a Receivable that is not an Eligible Receivable.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means the first Loan made on or after the Closing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7" w:name="page98"/>
    <w:bookmarkEnd w:id="97"/>
    <w:p>
      <w:pPr>
        <w:jc w:val="both"/>
        <w:ind w:firstLine="749"/>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Event</w:t>
      </w:r>
      <w:r>
        <w:rPr>
          <w:rFonts w:ascii="Times New Roman" w:cs="Times New Roman" w:eastAsia="Times New Roman" w:hAnsi="Times New Roman"/>
          <w:sz w:val="20"/>
          <w:szCs w:val="20"/>
          <w:color w:val="auto"/>
        </w:rPr>
        <w:t>” means, with respect to any Person, (i) 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the Bankruptcy Code or any other law relating to bankruptcy, insolvency, reorganization, winding up or composition or adjustment of debts, and (A) such case or proceeding shall continue undismissed, or unstayed and in effect, for a period of sixty</w:t>
      </w:r>
    </w:p>
    <w:p>
      <w:pPr>
        <w:spacing w:after="0" w:line="3" w:lineRule="exact"/>
        <w:rPr>
          <w:sz w:val="20"/>
          <w:szCs w:val="20"/>
          <w:color w:val="auto"/>
        </w:rPr>
      </w:pPr>
    </w:p>
    <w:p>
      <w:pPr>
        <w:jc w:val="both"/>
        <w:ind w:firstLine="8"/>
        <w:spacing w:after="0" w:line="232" w:lineRule="auto"/>
        <w:tabs>
          <w:tab w:leader="none" w:pos="41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days or (B) an order for relief in respect of such Person shall be entered in such case or proceeding or a decree or order granting such other requested relief shall be entered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Laws</w:t>
      </w:r>
      <w:r>
        <w:rPr>
          <w:rFonts w:ascii="Times New Roman" w:cs="Times New Roman" w:eastAsia="Times New Roman" w:hAnsi="Times New Roman"/>
          <w:sz w:val="22"/>
          <w:szCs w:val="22"/>
          <w:color w:val="auto"/>
        </w:rPr>
        <w:t>” 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means any “instrument” (as defined in Article 9 of the UCC), other than an instrument that constitutes part of chattel paper.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Policy</w:t>
      </w:r>
      <w:r>
        <w:rPr>
          <w:rFonts w:ascii="Times New Roman" w:cs="Times New Roman" w:eastAsia="Times New Roman" w:hAnsi="Times New Roman"/>
          <w:sz w:val="22"/>
          <w:szCs w:val="22"/>
          <w:color w:val="auto"/>
        </w:rPr>
        <w:t>” 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means any amounts payable or any payments made under any Insurance Policy.</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 Definitions</w:t>
      </w:r>
      <w:r>
        <w:rPr>
          <w:rFonts w:ascii="Times New Roman" w:cs="Times New Roman" w:eastAsia="Times New Roman" w:hAnsi="Times New Roman"/>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that certain Intercreditor Agreement, dated as of February 2, 2011, among [***], UACC, UACC Auto Financing Trust and each of the intercreditor parties thereto.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8" w:name="page99"/>
    <w:bookmarkEnd w:id="98"/>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Party Supplement</w:t>
      </w:r>
      <w:r>
        <w:rPr>
          <w:rFonts w:ascii="Times New Roman" w:cs="Times New Roman" w:eastAsia="Times New Roman" w:hAnsi="Times New Roman"/>
          <w:sz w:val="22"/>
          <w:szCs w:val="22"/>
          <w:color w:val="auto"/>
        </w:rPr>
        <w:t>” means the Intercreditor Party Supplement, dated as of the Closing Date, among the Borrower, the Administrative Agent and the parties to the Intercreditor Agreement.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means Collections on deposit in the Collection Account that are used to repay at least $[***] in principal amount of Loans Outstanding pursuant to Section 2.06(d).</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means, for any Interest Period and each Loan outstanding during such Interest Period, interest on the outstanding Principal Amount of such Loan computed pursuant to Section 2.07;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a Collection Period; provided, however, that any Interest Period that commences before the Facility Termination Date that would otherwise end after the Facility Termination Date shall end on the Facility Termination Date.</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Invested Percentage</w:t>
      </w:r>
      <w:r>
        <w:rPr>
          <w:rFonts w:ascii="Times New Roman" w:cs="Times New Roman" w:eastAsia="Times New Roman" w:hAnsi="Times New Roman"/>
          <w:sz w:val="22"/>
          <w:szCs w:val="22"/>
          <w:color w:val="auto"/>
        </w:rPr>
        <w:t>” means, for a Lender on any day, the percentage equivalent of (i) the sum of (a) the portion of the Loans Outstanding (if any) funded by such Lender on or prior to such day, plus (b) any portion of the Loans Outstanding acquired by such Lender on or prior to such day as an assignee from another Lender pursuant to an Assignment and Acceptance, minus (c) any portion of the Loans Outstanding assigned by such Lender to an assignee on or prior to such day pursuant to an Assignment and Acceptance, divided by (ii) the Loans Outstanding on such day.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JPMorgan</w:t>
      </w:r>
      <w:r>
        <w:rPr>
          <w:rFonts w:ascii="Times New Roman" w:cs="Times New Roman" w:eastAsia="Times New Roman" w:hAnsi="Times New Roman"/>
          <w:sz w:val="22"/>
          <w:szCs w:val="22"/>
          <w:color w:val="auto"/>
        </w:rPr>
        <w:t>” means JPMorgan Chase Bank, N.A., a national banking association, in its individual capacity, and its permitted successors and assigns.</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as applicable, a Conduit Lender or a Committed Lender,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all of the foregoing Persons.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Advance</w:t>
      </w:r>
      <w:r>
        <w:rPr>
          <w:rFonts w:ascii="Times New Roman" w:cs="Times New Roman" w:eastAsia="Times New Roman" w:hAnsi="Times New Roman"/>
          <w:sz w:val="22"/>
          <w:szCs w:val="22"/>
          <w:color w:val="auto"/>
        </w:rPr>
        <w:t>” means, with respect to a Conduit Lender or Committed Lender, such Lender’s Lender Percentage of the Principal Amount of a particular Loan to be made to the Borrower on a Funding Date.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w:t>
      </w:r>
      <w:r>
        <w:rPr>
          <w:rFonts w:ascii="Times New Roman" w:cs="Times New Roman" w:eastAsia="Times New Roman" w:hAnsi="Times New Roman"/>
          <w:sz w:val="22"/>
          <w:szCs w:val="22"/>
          <w:color w:val="auto"/>
        </w:rPr>
        <w:t xml:space="preserve"> ” means each group of Lenders consisting of (i) a Conduit Lender, (ii) an Agent, (iii) the Liquidity Providers, if applicable, with respect to such Conduit Lender, and/or (iv) if applicable, any Committed Lenders, whether directly or as assignees of such Conduit Lender or any such Liquidity Providers.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9" w:name="page100"/>
    <w:bookmarkEnd w:id="99"/>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Percentage</w:t>
      </w:r>
      <w:r>
        <w:rPr>
          <w:rFonts w:ascii="Times New Roman" w:cs="Times New Roman" w:eastAsia="Times New Roman" w:hAnsi="Times New Roman"/>
          <w:sz w:val="22"/>
          <w:szCs w:val="22"/>
          <w:color w:val="auto"/>
        </w:rPr>
        <w:t>” means, with respect to a Committed Lender or Conduit Lender, its Commitment or Maximum Loan Amount, as the case may be, as a percentage of the Aggregate Commitment.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Register</w:t>
      </w:r>
      <w:r>
        <w:rPr>
          <w:rFonts w:ascii="Times New Roman" w:cs="Times New Roman" w:eastAsia="Times New Roman" w:hAnsi="Times New Roman"/>
          <w:sz w:val="22"/>
          <w:szCs w:val="22"/>
          <w:color w:val="auto"/>
        </w:rPr>
        <w:t>” has the meaning given to such term in Section 12.01(d).</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Termination Date</w:t>
      </w:r>
      <w:r>
        <w:rPr>
          <w:rFonts w:ascii="Times New Roman" w:cs="Times New Roman" w:eastAsia="Times New Roman" w:hAnsi="Times New Roman"/>
          <w:sz w:val="22"/>
          <w:szCs w:val="22"/>
          <w:color w:val="auto"/>
        </w:rPr>
        <w:t>” means, for a Lender who is (i) a Committed Lender or a Liquidity Provider, the Commitment Termination Date for such Lender, or (ii) a Conduit Lender that is not a Committed Lender, the latest Commitment Termination Date for any of its Liquidity Providers.</w:t>
      </w:r>
    </w:p>
    <w:p>
      <w:pPr>
        <w:spacing w:after="0" w:line="172" w:lineRule="exact"/>
        <w:rPr>
          <w:sz w:val="20"/>
          <w:szCs w:val="20"/>
          <w:color w:val="auto"/>
        </w:rPr>
      </w:pPr>
    </w:p>
    <w:p>
      <w:pPr>
        <w:jc w:val="both"/>
        <w:ind w:firstLine="101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 Overcollateralization Increase Event</w:t>
      </w:r>
      <w:r>
        <w:rPr>
          <w:rFonts w:ascii="Times New Roman" w:cs="Times New Roman" w:eastAsia="Times New Roman" w:hAnsi="Times New Roman"/>
          <w:sz w:val="22"/>
          <w:szCs w:val="22"/>
          <w:color w:val="auto"/>
        </w:rPr>
        <w:t>” means that, as of any Payment Date, the arithmetic mean of the Serviced Portfolio Extension Ratio for the related Collection Period and the two previous Collection Periods exceeds [***]%. Notwithstanding the foregoing, a Level I Overcollateralization Increase Event may be cured and deemed not to exist and be continuing if for three consecutive Payment Dates following a Payment Date on which such Level I Overcollateralization Increase Event occurred, such Overcollateralization Increase Event did not exist.</w:t>
      </w:r>
    </w:p>
    <w:p>
      <w:pPr>
        <w:spacing w:after="0" w:line="180" w:lineRule="exact"/>
        <w:rPr>
          <w:sz w:val="20"/>
          <w:szCs w:val="20"/>
          <w:color w:val="auto"/>
        </w:rPr>
      </w:pPr>
    </w:p>
    <w:p>
      <w:pPr>
        <w:jc w:val="both"/>
        <w:ind w:firstLine="101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Level II Band 1 Overcollateralization Increase Event</w:t>
      </w:r>
      <w:r>
        <w:rPr>
          <w:rFonts w:ascii="Times New Roman" w:cs="Times New Roman" w:eastAsia="Times New Roman" w:hAnsi="Times New Roman"/>
          <w:sz w:val="20"/>
          <w:szCs w:val="20"/>
          <w:color w:val="auto"/>
        </w:rPr>
        <w:t>” means that, as of any Payment Date, the arithmetic mean of the Band 1 Serviced Portfolio Receivables Annualized Net Loss Ratio for the related Collection Period and the two previous Collection Periods exceeds (a) for the Collection Periods of March through (and including) September of any calendar year, [***]</w:t>
      </w:r>
    </w:p>
    <w:p>
      <w:pPr>
        <w:spacing w:after="0" w:line="2" w:lineRule="exact"/>
        <w:rPr>
          <w:sz w:val="20"/>
          <w:szCs w:val="20"/>
          <w:color w:val="auto"/>
        </w:rPr>
      </w:pPr>
    </w:p>
    <w:p>
      <w:pPr>
        <w:jc w:val="both"/>
        <w:ind w:firstLine="8"/>
        <w:spacing w:after="0" w:line="233" w:lineRule="auto"/>
        <w:tabs>
          <w:tab w:leader="none" w:pos="24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for the Collection Periods of October through (and including) February of any calendar year, [***] %. Notwithstanding the foregoing, any Level II Band 1 Overcollateralization Increase Event may be cured and deemed not to exist and be continuing if for three consecutive Payment Dates following a Payment Date on which such Level II Band 1 Overcollateralization Increase Event occurred, (i) such Level II Band 1 Overcollateralization Increase Event did not exist and (ii) no other Level II Band 1 Overcollateralization Increase Event shall have occurred.</w:t>
      </w:r>
    </w:p>
    <w:p>
      <w:pPr>
        <w:spacing w:after="0" w:line="177" w:lineRule="exact"/>
        <w:rPr>
          <w:sz w:val="20"/>
          <w:szCs w:val="20"/>
          <w:color w:val="auto"/>
        </w:rPr>
      </w:pPr>
    </w:p>
    <w:p>
      <w:pPr>
        <w:jc w:val="both"/>
        <w:ind w:firstLine="101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 Band 2 Overcollateralization Increase Event</w:t>
      </w:r>
      <w:r>
        <w:rPr>
          <w:rFonts w:ascii="Times New Roman" w:cs="Times New Roman" w:eastAsia="Times New Roman" w:hAnsi="Times New Roman"/>
          <w:sz w:val="22"/>
          <w:szCs w:val="22"/>
          <w:color w:val="auto"/>
        </w:rPr>
        <w:t>” means that, as of any Payment Date, the arithmetic mean of the Band 2 Serviced Portfolio Receivables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 Notwithstanding the foregoing, any Level II Band 2 Overcollateralization Increase Event may be cured and deemed not to exist and be continuing if for three consecutive Payment Dates following a Payment Date on which such Level II Band 2 Overcollateralization Increase Event occurred, (i) such Level II Band 2 Overcollateralization Increase Event did not exist and (ii) no other Level II Band 2 Overcollateralization Increase Event shall have occurred.</w:t>
      </w:r>
    </w:p>
    <w:p>
      <w:pPr>
        <w:spacing w:after="0" w:line="184" w:lineRule="exact"/>
        <w:rPr>
          <w:sz w:val="20"/>
          <w:szCs w:val="20"/>
          <w:color w:val="auto"/>
        </w:rPr>
      </w:pPr>
    </w:p>
    <w:p>
      <w:pPr>
        <w:jc w:val="both"/>
        <w:ind w:firstLine="101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 Band 3 Overcollateralization Increase Event</w:t>
      </w:r>
      <w:r>
        <w:rPr>
          <w:rFonts w:ascii="Times New Roman" w:cs="Times New Roman" w:eastAsia="Times New Roman" w:hAnsi="Times New Roman"/>
          <w:sz w:val="22"/>
          <w:szCs w:val="22"/>
          <w:color w:val="auto"/>
        </w:rPr>
        <w:t>” means that, as of any Payment Date, the arithmetic mean of the Band 3 Serviced Portfolio Receivables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 Notwithstanding the foregoing, any Level II Band 3 Overcollateralization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0" w:name="page101"/>
    <w:bookmarkEnd w:id="100"/>
    <w:p>
      <w:pPr>
        <w:jc w:val="both"/>
        <w:spacing w:after="0" w:line="239" w:lineRule="auto"/>
        <w:rPr>
          <w:sz w:val="20"/>
          <w:szCs w:val="20"/>
          <w:color w:val="auto"/>
        </w:rPr>
      </w:pPr>
      <w:r>
        <w:rPr>
          <w:rFonts w:ascii="Times New Roman" w:cs="Times New Roman" w:eastAsia="Times New Roman" w:hAnsi="Times New Roman"/>
          <w:sz w:val="22"/>
          <w:szCs w:val="22"/>
          <w:color w:val="auto"/>
        </w:rPr>
        <w:t>Increase Event may be cured and deemed not to exist and be continuing if for three consecutive Payment Dates following a Payment Date on which such Level II Band 3 Overcollateralization Increase Event occurred, (i) such Level II Band 3 Overcollateralization Increase Event did not exist and (ii) no other Level II Band 3 Overcollateralization Increase Event shall have occurred.</w:t>
      </w:r>
    </w:p>
    <w:p>
      <w:pPr>
        <w:spacing w:after="0" w:line="179" w:lineRule="exact"/>
        <w:rPr>
          <w:sz w:val="20"/>
          <w:szCs w:val="20"/>
          <w:color w:val="auto"/>
        </w:rPr>
      </w:pPr>
    </w:p>
    <w:p>
      <w:pPr>
        <w:jc w:val="both"/>
        <w:ind w:firstLine="101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 Band 4 Overcollateralization Increase Event</w:t>
      </w:r>
      <w:r>
        <w:rPr>
          <w:rFonts w:ascii="Times New Roman" w:cs="Times New Roman" w:eastAsia="Times New Roman" w:hAnsi="Times New Roman"/>
          <w:sz w:val="22"/>
          <w:szCs w:val="22"/>
          <w:color w:val="auto"/>
        </w:rPr>
        <w:t>” means that, as of any Payment Date, the arithmetic mean of the Band 4 Serviced Portfolio Receivables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 %. Notwithstanding the foregoing, any Level II Band 4 Overcollateralization Increase Event may be cured and deemed not to exist and be continuing if for three consecutive Payment Dates following a Payment Date on which such Level II Band 4 Overcollateralization Increase Event occurred, (i) such Level II Band 4 Overcollateralization Increase Event did not exist and (ii) no other Level II Band 4 Overcollateralization Increase Event shall have occurred.</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 Overcollateralization Increase Event</w:t>
      </w:r>
      <w:r>
        <w:rPr>
          <w:rFonts w:ascii="Times New Roman" w:cs="Times New Roman" w:eastAsia="Times New Roman" w:hAnsi="Times New Roman"/>
          <w:sz w:val="22"/>
          <w:szCs w:val="22"/>
          <w:color w:val="auto"/>
        </w:rPr>
        <w:t>” means that, as of any Payment Date, any of the following events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occurs:</w:t>
      </w:r>
    </w:p>
    <w:p>
      <w:pPr>
        <w:spacing w:after="0" w:line="181" w:lineRule="exact"/>
        <w:rPr>
          <w:sz w:val="20"/>
          <w:szCs w:val="20"/>
          <w:color w:val="auto"/>
        </w:rPr>
      </w:pPr>
    </w:p>
    <w:p>
      <w:pPr>
        <w:ind w:left="760" w:right="20" w:firstLine="1284"/>
        <w:spacing w:after="0" w:line="258" w:lineRule="auto"/>
        <w:tabs>
          <w:tab w:leader="none" w:pos="23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Delinquency Ratio for the related Collection Period and the two previous Collection Periods exceeds [***] %; or</w:t>
      </w:r>
    </w:p>
    <w:p>
      <w:pPr>
        <w:spacing w:after="0" w:line="157" w:lineRule="exact"/>
        <w:rPr>
          <w:rFonts w:ascii="Times New Roman" w:cs="Times New Roman" w:eastAsia="Times New Roman" w:hAnsi="Times New Roman"/>
          <w:sz w:val="22"/>
          <w:szCs w:val="22"/>
          <w:color w:val="auto"/>
        </w:rPr>
      </w:pPr>
    </w:p>
    <w:p>
      <w:pPr>
        <w:jc w:val="both"/>
        <w:ind w:left="760" w:right="20" w:firstLine="1284"/>
        <w:spacing w:after="0" w:line="239" w:lineRule="auto"/>
        <w:tabs>
          <w:tab w:leader="none" w:pos="237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w:t>
      </w:r>
    </w:p>
    <w:p>
      <w:pPr>
        <w:spacing w:after="0" w:line="179" w:lineRule="exact"/>
        <w:rPr>
          <w:sz w:val="20"/>
          <w:szCs w:val="20"/>
          <w:color w:val="auto"/>
        </w:rPr>
      </w:pPr>
    </w:p>
    <w:p>
      <w:pPr>
        <w:jc w:val="both"/>
        <w:ind w:firstLine="1018"/>
        <w:spacing w:after="0" w:line="239" w:lineRule="auto"/>
        <w:rPr>
          <w:sz w:val="20"/>
          <w:szCs w:val="20"/>
          <w:color w:val="auto"/>
        </w:rPr>
      </w:pPr>
      <w:r>
        <w:rPr>
          <w:rFonts w:ascii="Times New Roman" w:cs="Times New Roman" w:eastAsia="Times New Roman" w:hAnsi="Times New Roman"/>
          <w:sz w:val="22"/>
          <w:szCs w:val="22"/>
          <w:color w:val="auto"/>
        </w:rPr>
        <w:t>Notwithstanding the foregoing, any Level II Overcollateralization Increase Event may be cured and deemed not to exist and be continuing if for three consecutive Payment Dates following a Payment Date on which such Level II Overcollateralization Increase Event occurred, (i) such Level II Overcollateralization Increase Event did not exist and (ii) no other Level II Overcollateralization Increase Event shall have occurred.</w:t>
      </w:r>
    </w:p>
    <w:p>
      <w:pPr>
        <w:spacing w:after="0" w:line="179" w:lineRule="exact"/>
        <w:rPr>
          <w:sz w:val="20"/>
          <w:szCs w:val="20"/>
          <w:color w:val="auto"/>
        </w:rPr>
      </w:pPr>
    </w:p>
    <w:p>
      <w:pPr>
        <w:jc w:val="both"/>
        <w:ind w:firstLine="101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III Band 1 Overcollateralization Increase Event</w:t>
      </w:r>
      <w:r>
        <w:rPr>
          <w:rFonts w:ascii="Times New Roman" w:cs="Times New Roman" w:eastAsia="Times New Roman" w:hAnsi="Times New Roman"/>
          <w:sz w:val="22"/>
          <w:szCs w:val="22"/>
          <w:color w:val="auto"/>
        </w:rPr>
        <w:t>” means that, as of any Payment Date, the arithmetic mean of the Band 1 Serviced Portfolio Receivables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 Notwithstanding the foregoing, any Level III Band 1 Overcollateralization Increase Event may be cured and deemed not to exist and be continuing if for three consecutive Payment Dates following a Payment Date on which such Level III Band 1 Overcollateralization Increase Event occurred, (i) such Level III Band 1 Overcollateralization Increase Event did not exist and (ii) no other Level III Band 1 Overcollateralization Increase Event shall have occurred.</w:t>
      </w:r>
    </w:p>
    <w:p>
      <w:pPr>
        <w:spacing w:after="0" w:line="184" w:lineRule="exact"/>
        <w:rPr>
          <w:sz w:val="20"/>
          <w:szCs w:val="20"/>
          <w:color w:val="auto"/>
        </w:rPr>
      </w:pPr>
    </w:p>
    <w:p>
      <w:pPr>
        <w:jc w:val="both"/>
        <w:ind w:firstLine="101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III Band 2 Overcollateralization Increase Event</w:t>
      </w:r>
      <w:r>
        <w:rPr>
          <w:rFonts w:ascii="Times New Roman" w:cs="Times New Roman" w:eastAsia="Times New Roman" w:hAnsi="Times New Roman"/>
          <w:sz w:val="22"/>
          <w:szCs w:val="22"/>
          <w:color w:val="auto"/>
        </w:rPr>
        <w:t>” means that, as of any Payment Date, the arithmetic mean of the Band 2 Serviced Portfolio Receivables Annualized Net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1" w:name="page102"/>
    <w:bookmarkEnd w:id="101"/>
    <w:p>
      <w:pPr>
        <w:jc w:val="both"/>
        <w:spacing w:after="0" w:line="235" w:lineRule="auto"/>
        <w:rPr>
          <w:sz w:val="20"/>
          <w:szCs w:val="20"/>
          <w:color w:val="auto"/>
        </w:rPr>
      </w:pPr>
      <w:r>
        <w:rPr>
          <w:rFonts w:ascii="Times New Roman" w:cs="Times New Roman" w:eastAsia="Times New Roman" w:hAnsi="Times New Roman"/>
          <w:sz w:val="22"/>
          <w:szCs w:val="22"/>
          <w:color w:val="auto"/>
        </w:rPr>
        <w:t>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 Notwithstanding the foregoing, any Level III Band 2 Overcollateralization Increase Event may be cured and deemed not to exist and be continuing if for three consecutive Payment Dates following a Payment Date on which such Level III Band 2 Overcollateralization Increase Event occurred, (i) such Level III Band 2 Overcollateralization Increase Event did not exist and (ii) no other Level III Band 2 Overcollateralization Increase Event shall have occurred.</w:t>
      </w:r>
    </w:p>
    <w:p>
      <w:pPr>
        <w:spacing w:after="0" w:line="181" w:lineRule="exact"/>
        <w:rPr>
          <w:sz w:val="20"/>
          <w:szCs w:val="20"/>
          <w:color w:val="auto"/>
        </w:rPr>
      </w:pPr>
    </w:p>
    <w:p>
      <w:pPr>
        <w:jc w:val="both"/>
        <w:ind w:firstLine="101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III Band 3 Overcollateralization Increase Event</w:t>
      </w:r>
      <w:r>
        <w:rPr>
          <w:rFonts w:ascii="Times New Roman" w:cs="Times New Roman" w:eastAsia="Times New Roman" w:hAnsi="Times New Roman"/>
          <w:sz w:val="22"/>
          <w:szCs w:val="22"/>
          <w:color w:val="auto"/>
        </w:rPr>
        <w:t>” means that, as of any Payment Date, the arithmetic mean of the Band 3 Serviced Portfolio Receivables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 Notwithstanding the foregoing, any Level III Band 3 Overcollateralization Increase Event may be cured and deemed not to exist and be continuing if for three consecutive Payment Dates following a Payment Date on which such Level III Band 3 Overcollateralization Increase Event occurred, (i) such Level III Band 3 Overcollateralization Increase Event did not exist and (ii) no other Level III Band 3 Overcollateralization Increase Event shall have occurred.</w:t>
      </w:r>
    </w:p>
    <w:p>
      <w:pPr>
        <w:spacing w:after="0" w:line="184" w:lineRule="exact"/>
        <w:rPr>
          <w:sz w:val="20"/>
          <w:szCs w:val="20"/>
          <w:color w:val="auto"/>
        </w:rPr>
      </w:pPr>
    </w:p>
    <w:p>
      <w:pPr>
        <w:jc w:val="both"/>
        <w:ind w:firstLine="101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III Band 4 Overcollateralization Increase Event</w:t>
      </w:r>
      <w:r>
        <w:rPr>
          <w:rFonts w:ascii="Times New Roman" w:cs="Times New Roman" w:eastAsia="Times New Roman" w:hAnsi="Times New Roman"/>
          <w:sz w:val="22"/>
          <w:szCs w:val="22"/>
          <w:color w:val="auto"/>
        </w:rPr>
        <w:t>” means that, as of any Payment Date, the arithmetic mean of the Band 4 Serviced Portfolio Receivables Annualized Net Loss Ratio for the related Collection Period and the two previous Collection Periods exceeds (a) for the Collection Periods of March through (and including) September of any calendar year, [***]% or (b) for the Collection Periods of October through (and including) February of any calendar year, [***]%. Notwithstanding the foregoing, any Level III Band 4 Overcollateralization Increase Event may be cured and deemed not to exist and be continuing if for three consecutive Payment Dates following a Payment Date on which such Level III Band 4 Overcollateralization Increase Event occurred, (i) such Level III Band 4 Overcollateralization Increase Event did not exist and (ii) no other Level III Band 4 Overcollateralization Increase Event shall have occurred.</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Level III Overcollateralization Increase Event</w:t>
      </w:r>
      <w:r>
        <w:rPr>
          <w:rFonts w:ascii="Times New Roman" w:cs="Times New Roman" w:eastAsia="Times New Roman" w:hAnsi="Times New Roman"/>
          <w:sz w:val="22"/>
          <w:szCs w:val="22"/>
          <w:color w:val="auto"/>
        </w:rPr>
        <w:t>” means that, as of any Payment Date, any of the following events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occurs:</w:t>
      </w:r>
    </w:p>
    <w:p>
      <w:pPr>
        <w:spacing w:after="0" w:line="181" w:lineRule="exact"/>
        <w:rPr>
          <w:sz w:val="20"/>
          <w:szCs w:val="20"/>
          <w:color w:val="auto"/>
        </w:rPr>
      </w:pPr>
    </w:p>
    <w:p>
      <w:pPr>
        <w:jc w:val="both"/>
        <w:ind w:left="760" w:firstLine="1284"/>
        <w:spacing w:after="0" w:line="239" w:lineRule="auto"/>
        <w:tabs>
          <w:tab w:leader="none" w:pos="237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Annualized Net Loss Ratio for the related Collection Period and the two previous Collection Periods exceeds (i) for the Collection Periods of March through (and including) September of any calendar year, [***]% and (ii) for the Collection Periods of October through (and including) February of any calendar year, [***]%;</w:t>
      </w:r>
    </w:p>
    <w:p>
      <w:pPr>
        <w:spacing w:after="0" w:line="178" w:lineRule="exact"/>
        <w:rPr>
          <w:rFonts w:ascii="Times New Roman" w:cs="Times New Roman" w:eastAsia="Times New Roman" w:hAnsi="Times New Roman"/>
          <w:sz w:val="22"/>
          <w:szCs w:val="22"/>
          <w:color w:val="auto"/>
        </w:rPr>
      </w:pPr>
    </w:p>
    <w:p>
      <w:pPr>
        <w:jc w:val="both"/>
        <w:ind w:left="760" w:firstLine="1284"/>
        <w:spacing w:after="0" w:line="239" w:lineRule="auto"/>
        <w:tabs>
          <w:tab w:leader="none" w:pos="237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Annualized Net Loss Ratio for the related Collection Period and the two previous Collection Periods exceeds (i) for the Collection Periods of March through (and including) September of any calendar year, [***]% and (ii) for the Collection Periods of October through (and including) February of any calendar year, [***]%; or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02" w:name="page103"/>
    <w:bookmarkEnd w:id="102"/>
    <w:p>
      <w:pPr>
        <w:ind w:left="760" w:firstLine="1284"/>
        <w:spacing w:after="0" w:line="258" w:lineRule="auto"/>
        <w:tabs>
          <w:tab w:leader="none" w:pos="280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Serviced Portfolio Delinquency Ratio for the related Collection Period and the two previous Collection Periods exceeds [***]%.</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any Level III Overcollateralization Increase Event may be cured and deemed not to exist and be continuing if for three consecutive Payment Dates following a Payment Date on which such Level III Overcollateralization Increase Event occurred, (i) such Level III Overcollateralization Increase Event did not exist and (ii) no other Level III Overcollateralization Increase Event shall have occurred.</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means, with respect to any Person and its consolidated Subsidiaries as of any date of determination, the ratio of such Person’s and its consolidated Subsidiaries’ total Indebtedness (less the sum of such Person’s (i) Unrestricted Cash on hand in excess of $[***], if any, (ii) restricted Cash used for any prefunding of Securitizations and (iii) the aggregate amount of Cash then on deposit in the Collection Account, any collection account subject to a Securitization and any collection account subject to any Other Warehouse Agreement as to which any collateral financed thereunder was sold or contributed to a Securitization) to its Tangible Net Worth (less the amount of any deferred tax asset included therein), in each case, as of the last day of the immediately preceding calendar quarter.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charge, claim, security interest or encumbrance of any kind.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means, with respect to a Person and its consolidated Subsidiaries as of any date of determination, the sum of</w:t>
      </w:r>
    </w:p>
    <w:p>
      <w:pPr>
        <w:spacing w:after="0" w:line="37" w:lineRule="exact"/>
        <w:rPr>
          <w:sz w:val="20"/>
          <w:szCs w:val="20"/>
          <w:color w:val="auto"/>
        </w:rPr>
      </w:pPr>
    </w:p>
    <w:p>
      <w:pPr>
        <w:jc w:val="both"/>
        <w:ind w:firstLine="8"/>
        <w:spacing w:after="0" w:line="233" w:lineRule="auto"/>
        <w:tabs>
          <w:tab w:leader="none" w:pos="30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available to be drawn on such date under the committed credit facilities of such Person and its consolidated Subsidiaries, so long as such Person or such Subsidiary, as applicable, can satisfy all conditions precedent to borrowing such amounts (including availability of sufficient unencumbered collateral) and (ii) the amount of all Unrestricted Cash and Cash Equivalents of such Person and its consolidated Subsidiaries on such date.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Facilities</w:t>
      </w:r>
      <w:r>
        <w:rPr>
          <w:rFonts w:ascii="Times New Roman" w:cs="Times New Roman" w:eastAsia="Times New Roman" w:hAnsi="Times New Roman"/>
          <w:sz w:val="22"/>
          <w:szCs w:val="22"/>
          <w:color w:val="auto"/>
        </w:rPr>
        <w:t>” means each of the committed loan facilities, lines of credit and other financial accommodations available to a Conduit Lender to support the liquidity of such Conduit Lender’s Commercial Paper Notes.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Provider</w:t>
      </w:r>
      <w:r>
        <w:rPr>
          <w:rFonts w:ascii="Times New Roman" w:cs="Times New Roman" w:eastAsia="Times New Roman" w:hAnsi="Times New Roman"/>
          <w:sz w:val="22"/>
          <w:szCs w:val="22"/>
          <w:color w:val="auto"/>
        </w:rPr>
        <w:t>” means each Lender identified as a Liquidity Provider for a Conduit Lender in the Conduit Supplement or in the Assignment and Acceptance pursuant to which such Conduit Lender became a party 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has the meaning given to such term in Section 2.01(a).</w:t>
      </w:r>
    </w:p>
    <w:p>
      <w:pPr>
        <w:spacing w:after="0" w:line="205"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 Outstanding</w:t>
      </w:r>
      <w:r>
        <w:rPr>
          <w:rFonts w:ascii="Times New Roman" w:cs="Times New Roman" w:eastAsia="Times New Roman" w:hAnsi="Times New Roman"/>
          <w:sz w:val="20"/>
          <w:szCs w:val="20"/>
          <w:color w:val="auto"/>
        </w:rPr>
        <w:t>” means, on any day, the aggregate Principal Amount of Loans made on or prior to such day, reduced from time to time by payments and distributions in respect of principal of such Loans in accordance with the terms hereof.</w:t>
      </w:r>
    </w:p>
    <w:p>
      <w:pPr>
        <w:spacing w:after="0" w:line="11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w:t>
      </w:r>
      <w:r>
        <w:rPr>
          <w:rFonts w:ascii="Times New Roman" w:cs="Times New Roman" w:eastAsia="Times New Roman" w:hAnsi="Times New Roman"/>
          <w:sz w:val="22"/>
          <w:szCs w:val="22"/>
          <w:color w:val="auto"/>
        </w:rPr>
        <w:t>” means [***] or, so long as no Termination Event or Servicer Termination Event shall have occurred and is continuing, any other bank selected by the Servicer (and consented to by the Administrative Agent, such consent not to be unreasonably withheld, conditioned or delayed) that is a Qualified Institution.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3" w:name="page104"/>
    <w:bookmarkEnd w:id="103"/>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 Account</w:t>
      </w:r>
      <w:r>
        <w:rPr>
          <w:rFonts w:ascii="Times New Roman" w:cs="Times New Roman" w:eastAsia="Times New Roman" w:hAnsi="Times New Roman"/>
          <w:sz w:val="22"/>
          <w:szCs w:val="22"/>
          <w:color w:val="auto"/>
        </w:rPr>
        <w:t>” means a bank account established and maintained by the Servicer at the Local Bank for the benefit of the Secured Parties pursuant to the Intercreditor Agreement and the Intercreditor Party Supplement.</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Rating Requirement</w:t>
      </w:r>
      <w:r>
        <w:rPr>
          <w:rFonts w:ascii="Times New Roman" w:cs="Times New Roman" w:eastAsia="Times New Roman" w:hAnsi="Times New Roman"/>
          <w:sz w:val="22"/>
          <w:szCs w:val="22"/>
          <w:color w:val="auto"/>
        </w:rPr>
        <w:t>” means, with respect to any Person, that such Person has a long-term unsecured debt rating of not less than A by Standard &amp; Poor’s and not less than A2 by Moody’s.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w:t>
      </w:r>
    </w:p>
    <w:p>
      <w:pPr>
        <w:spacing w:after="0" w:line="1" w:lineRule="exact"/>
        <w:rPr>
          <w:sz w:val="20"/>
          <w:szCs w:val="20"/>
          <w:color w:val="auto"/>
        </w:rPr>
      </w:pPr>
    </w:p>
    <w:p>
      <w:pPr>
        <w:jc w:val="both"/>
        <w:ind w:firstLine="8"/>
        <w:spacing w:after="0" w:line="235" w:lineRule="auto"/>
        <w:tabs>
          <w:tab w:leader="none" w:pos="37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the Payment Date occurring in the sixty-sixth (66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month after the end of the Revolving Period.</w:t>
      </w:r>
    </w:p>
    <w:p>
      <w:pPr>
        <w:spacing w:after="0" w:line="14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Borrowing Base</w:t>
      </w:r>
      <w:r>
        <w:rPr>
          <w:rFonts w:ascii="Times New Roman" w:cs="Times New Roman" w:eastAsia="Times New Roman" w:hAnsi="Times New Roman"/>
          <w:sz w:val="22"/>
          <w:szCs w:val="22"/>
          <w:color w:val="auto"/>
        </w:rPr>
        <w:t>” means, as of any day, (i) if no Overcollateralization Increase Event or SOFR Step-Up Event has occurred and is continuing, the Borrowing Base and (ii) on and after an Overcollateralization Increase Event or SOFR Step-Up Event, the greater of (a) the Borrowing Base and (b) the lesser of (A) the Loans Outstanding as of the immediately preceding Determination Date minus the amount distributed pursuant to Section 2.08(v) on the most recent Payment Date (or on such day if such date is a Payment Date), and (B) the Aggregate Commitment.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Lawful Rate</w:t>
      </w:r>
      <w:r>
        <w:rPr>
          <w:rFonts w:ascii="Times New Roman" w:cs="Times New Roman" w:eastAsia="Times New Roman" w:hAnsi="Times New Roman"/>
          <w:sz w:val="22"/>
          <w:szCs w:val="22"/>
          <w:color w:val="auto"/>
        </w:rPr>
        <w:t>” means the highest rate of interest permissible under Applicable Law.</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Loan Amount</w:t>
      </w:r>
      <w:r>
        <w:rPr>
          <w:rFonts w:ascii="Times New Roman" w:cs="Times New Roman" w:eastAsia="Times New Roman" w:hAnsi="Times New Roman"/>
          <w:sz w:val="22"/>
          <w:szCs w:val="22"/>
          <w:color w:val="auto"/>
        </w:rPr>
        <w:t>” means, for any Conduit Lender, the aggregate Commitments of its Liquidity Providers.</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Accrued Interest Payment Amount</w:t>
      </w:r>
      <w:r>
        <w:rPr>
          <w:rFonts w:ascii="Times New Roman" w:cs="Times New Roman" w:eastAsia="Times New Roman" w:hAnsi="Times New Roman"/>
          <w:sz w:val="22"/>
          <w:szCs w:val="22"/>
          <w:color w:val="auto"/>
        </w:rPr>
        <w:t>” means, with respect to any Payment Date and the related Collection Period during which an Interpayment is made, an amount equal to the sum of, without duplication, (i) the amount, if any, by which Collections for such Collection Period are not sufficient to make the payments described in clause (iv) of Section 2.08 on such Payment Date and (ii) an amount equal to Interest on the Loans repaid by such Interpayment through the end of the related Interest Period.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Backup Servicer Certificate</w:t>
      </w:r>
      <w:r>
        <w:rPr>
          <w:rFonts w:ascii="Times New Roman" w:cs="Times New Roman" w:eastAsia="Times New Roman" w:hAnsi="Times New Roman"/>
          <w:sz w:val="22"/>
          <w:szCs w:val="22"/>
          <w:color w:val="auto"/>
        </w:rPr>
        <w:t>” means a monthly report of the Backup Servicer in the form agreed upon among the Backup Servicer, the Borrower and the Administrative Agent.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 Payment Amount</w:t>
      </w:r>
      <w:r>
        <w:rPr>
          <w:rFonts w:ascii="Times New Roman" w:cs="Times New Roman" w:eastAsia="Times New Roman" w:hAnsi="Times New Roman"/>
          <w:sz w:val="22"/>
          <w:szCs w:val="22"/>
          <w:color w:val="auto"/>
        </w:rPr>
        <w:t>” means, with respect to any Payment Date and the related Collection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4" w:name="page105"/>
    <w:bookmarkEnd w:id="104"/>
    <w:p>
      <w:pPr>
        <w:jc w:val="both"/>
        <w:ind w:left="760" w:firstLine="745"/>
        <w:spacing w:after="0" w:line="280" w:lineRule="auto"/>
        <w:tabs>
          <w:tab w:leader="none" w:pos="19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occurrence of a Turbo Event, an amount equal to the lesser of (i) the amount of Available Funds available to be applied on such Payment Date pursuant to Section 2.08(v) and (ii) the amount, if any, necessary to reduce the Loans Outstanding, such that the Collateral Coverage Ratio is equal to the Weighted Average Advance Rate; or</w:t>
      </w:r>
    </w:p>
    <w:p>
      <w:pPr>
        <w:spacing w:after="0" w:line="138" w:lineRule="exact"/>
        <w:rPr>
          <w:rFonts w:ascii="Times New Roman" w:cs="Times New Roman" w:eastAsia="Times New Roman" w:hAnsi="Times New Roman"/>
          <w:sz w:val="20"/>
          <w:szCs w:val="20"/>
          <w:color w:val="auto"/>
        </w:rPr>
      </w:pPr>
    </w:p>
    <w:p>
      <w:pPr>
        <w:jc w:val="both"/>
        <w:ind w:left="760" w:right="20" w:firstLine="745"/>
        <w:spacing w:after="0" w:line="244" w:lineRule="auto"/>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occurrence of a Turbo Event, an amount equal to the lesser of (i) the amount of Available Funds available to be applied on such Payment Date pursuant to Section 2.08(v) and (ii) the amount necessary to reduce the Loans Outstanding to zero.</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means a monthly statement of the Servicer delivered on each Reporting Date with respect to the immediately preceding Collection Period, [***], which may be modified from time to time as mutually agreed by the Servicer and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its permitted successors and assigns.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which is or was at any time during the current year or the immediately preceding five years contributed to by the Borrower or any ERISA Affiliate on behalf of its employees.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Receivables that first became Defaulted Receivables during such Collection Period minus (ii) all Recoveries received by the Servicer during such Collection Period.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Principal Balance</w:t>
      </w:r>
      <w:r>
        <w:rPr>
          <w:rFonts w:ascii="Times New Roman" w:cs="Times New Roman" w:eastAsia="Times New Roman" w:hAnsi="Times New Roman"/>
          <w:sz w:val="22"/>
          <w:szCs w:val="22"/>
          <w:color w:val="auto"/>
        </w:rPr>
        <w:t>” means on any day with respect to all of the Receivables or a specified portion of the Receivables, as indicated by the context, the aggregate Principal Balance of all such Receivables that are Eligible Receivables.</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Non-Delay Threshold</w:t>
      </w:r>
      <w:r>
        <w:rPr>
          <w:rFonts w:ascii="Times New Roman" w:cs="Times New Roman" w:eastAsia="Times New Roman" w:hAnsi="Times New Roman"/>
          <w:sz w:val="22"/>
          <w:szCs w:val="22"/>
          <w:color w:val="auto"/>
        </w:rPr>
        <w:t>” means, for any Funding Request with respect to which a Committed Lender has delivered a Funding Delay Notice in accordance with Section 2.02(e), an amount equal to the excess, if any, of (a) an amount equal to [***]% of the Commitment of such Committed Lender over (b) the sum of all Non-Delayed Funding Amounts related to any other Funding Delay Notices delivered by such Committed Lender during the ninety (90) day period ending on the date of the delivery of such Funding Request.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Non-Excluded Taxes</w:t>
      </w:r>
      <w:r>
        <w:rPr>
          <w:rFonts w:ascii="Times New Roman" w:cs="Times New Roman" w:eastAsia="Times New Roman" w:hAnsi="Times New Roman"/>
          <w:sz w:val="22"/>
          <w:szCs w:val="22"/>
          <w:color w:val="auto"/>
        </w:rPr>
        <w:t>” means (i) Taxes other than Excluded Taxes and (ii) Other Taxes.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means, after its respective Commitment Termination Date, each Committed Lender or Liquidity Provider that has declined to extend such Commitment Termination Date in accordance with Section 2.04, to the extent not replaced pursuant to Section 2.04(b).</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Lender</w:t>
      </w:r>
      <w:r>
        <w:rPr>
          <w:rFonts w:ascii="Times New Roman" w:cs="Times New Roman" w:eastAsia="Times New Roman" w:hAnsi="Times New Roman"/>
          <w:sz w:val="22"/>
          <w:szCs w:val="22"/>
          <w:color w:val="auto"/>
        </w:rPr>
        <w:t>” means a Lender that is not a “U.S. Person” as defined in Code Section 7701(a)(30).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05" w:name="page106"/>
    <w:bookmarkEnd w:id="105"/>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has the meaning given to such term in Section 2.05(a).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loans, advances, debts, liabilities, indemnities and obligations for monetary amounts owing by the Borrower to the Secured Parties, the Agents, the Backup Servicer, the Account Bank,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any Hedging Agreement or any other Basic Document, whether or not evidenced by any separate note, agreement or other instrument, including all principal, interest (including interest that accrues after the commencement against the Borrower of any action under the Bankruptcy Code), amounts payable pursuant to Section 2.13, Breakage Costs, Indemnified Amounts, fees, including any and all Usage Fees, Unused Fees, and any and all other fees, expenses, costs or other sums (including attorney fees and disbursements) chargeable to the Borrower under the Basic Documents.</w:t>
      </w:r>
    </w:p>
    <w:p>
      <w:pPr>
        <w:spacing w:after="0" w:line="17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each Person obligated to make payments pursuant to a Receivable or Serviced Portfolio Receivable, including any guarantor thereof.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by any officer of the Borrower, the Servicer, the Originator, the Backup Servicer or the Custodian, as the case may be, and delivered to the Administrative Agent.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with respect to any Person, a written opinion of counsel, who is reasonably acceptable to the Administrative Agent.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UACC.</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recording, stamp, documentary, excise, transfer, property or similar taxes, charges or levies arising from any payment made under this Agreement or from the execution, delivery or enforcement of, this Agreement.</w:t>
      </w:r>
    </w:p>
    <w:p>
      <w:pPr>
        <w:spacing w:after="0" w:line="172"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Warehouse Agreements</w:t>
      </w:r>
      <w:r>
        <w:rPr>
          <w:rFonts w:ascii="Times New Roman" w:cs="Times New Roman" w:eastAsia="Times New Roman" w:hAnsi="Times New Roman"/>
          <w:sz w:val="20"/>
          <w:szCs w:val="20"/>
          <w:color w:val="auto"/>
        </w:rPr>
        <w:t>” means all warehouse agreements, credit agreements, funding agreements or similar agreements of UACC and its Affiliates, other than this Agreement, that are secured or collateralized by motor vehicle receivables.</w:t>
      </w:r>
    </w:p>
    <w:p>
      <w:pPr>
        <w:spacing w:after="0" w:line="11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Overcollateralization Increase Event</w:t>
      </w:r>
      <w:r>
        <w:rPr>
          <w:rFonts w:ascii="Times New Roman" w:cs="Times New Roman" w:eastAsia="Times New Roman" w:hAnsi="Times New Roman"/>
          <w:sz w:val="22"/>
          <w:szCs w:val="22"/>
          <w:color w:val="auto"/>
        </w:rPr>
        <w:t>” means that, as of any Payment Date, any Level I Overcollateralization Increase Event, Level II Overcollateralization Event or Level III Overcollateralization Increase Event occurs. Notwithstanding the foregoing, any Overcollateralization Increase Event may be cured and deemed not to exist and be continuing if for three consecutive Payment Dates following a Payment Date on which such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6" w:name="page107"/>
    <w:bookmarkEnd w:id="10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Overcollateralization Increase Event occurred, (i) such Overcollateralization Increase Event shall not exist and (ii) no other Overcollateralization Increase Event shall have occurred.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Trustee</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w:t>
      </w:r>
      <w:r>
        <w:rPr>
          <w:rFonts w:ascii="Times New Roman" w:cs="Times New Roman" w:eastAsia="Times New Roman" w:hAnsi="Times New Roman"/>
          <w:sz w:val="22"/>
          <w:szCs w:val="22"/>
          <w:color w:val="auto"/>
        </w:rPr>
        <w:t>” means the Lenders that are owners of record of the Notes or, with respect to any Note held by an Agent hereunder as nominee on behalf of Lenders in the related Lender Group, the Lenders that are beneficial owners of such Note as reflected on the books of such Agent in accordance with this Agreement and the other Basic Documents.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w:t>
      </w:r>
      <w:r>
        <w:rPr>
          <w:rFonts w:ascii="Times New Roman" w:cs="Times New Roman" w:eastAsia="Times New Roman" w:hAnsi="Times New Roman"/>
          <w:sz w:val="22"/>
          <w:szCs w:val="22"/>
          <w:color w:val="auto"/>
        </w:rPr>
        <w:t>” means the occurrence of the election of one or more Non-Extending Lenders after the Commitment Termination Date to not extend its Commitment, unless such Non-Extending Lender is replaced pursuant to Section 2.04(b) or unless the Termination Date shall have occurred.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 Amount</w:t>
      </w:r>
      <w:r>
        <w:rPr>
          <w:rFonts w:ascii="Times New Roman" w:cs="Times New Roman" w:eastAsia="Times New Roman" w:hAnsi="Times New Roman"/>
          <w:sz w:val="22"/>
          <w:szCs w:val="22"/>
          <w:color w:val="auto"/>
        </w:rPr>
        <w:t>” means the portion of Loans Outstanding payable in connection with a Partial Expiration Event.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USA PATRIOT Act (Title III of Pub. L. 107-56 (signed into law October 26, 2001)).</w:t>
      </w:r>
    </w:p>
    <w:p>
      <w:pPr>
        <w:spacing w:after="0" w:line="219" w:lineRule="exact"/>
        <w:rPr>
          <w:sz w:val="20"/>
          <w:szCs w:val="20"/>
          <w:color w:val="auto"/>
        </w:rPr>
      </w:pPr>
    </w:p>
    <w:p>
      <w:pPr>
        <w:jc w:val="both"/>
        <w:ind w:firstLine="749"/>
        <w:spacing w:after="0" w:line="21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or, if any such day is not a Business Day, the next succeeding Business Day, commencing December 15, 2013.</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on behalf of its employees.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any of the following types of investments:</w:t>
      </w:r>
    </w:p>
    <w:p>
      <w:pPr>
        <w:spacing w:after="0" w:line="205"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(i)marketable obligations of the United States, the full and timely payment of which are backed by the full faith and credit of the United States and which have a maturity of not more than 270 days from the date of acquisition;</w:t>
      </w:r>
    </w:p>
    <w:p>
      <w:pPr>
        <w:spacing w:after="0" w:line="157" w:lineRule="exact"/>
        <w:rPr>
          <w:sz w:val="20"/>
          <w:szCs w:val="20"/>
          <w:color w:val="auto"/>
        </w:rPr>
      </w:pPr>
    </w:p>
    <w:p>
      <w:pPr>
        <w:jc w:val="both"/>
        <w:ind w:left="760" w:firstLine="1123"/>
        <w:spacing w:after="0" w:line="264" w:lineRule="exact"/>
        <w:rPr>
          <w:sz w:val="20"/>
          <w:szCs w:val="20"/>
          <w:color w:val="auto"/>
        </w:rPr>
      </w:pPr>
      <w:r>
        <w:rPr>
          <w:rFonts w:ascii="Times New Roman" w:cs="Times New Roman" w:eastAsia="Times New Roman" w:hAnsi="Times New Roman"/>
          <w:sz w:val="22"/>
          <w:szCs w:val="22"/>
          <w:color w:val="auto"/>
        </w:rPr>
        <w:t>(ii)bankers’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w:t>
      </w:r>
    </w:p>
    <w:p>
      <w:pPr>
        <w:spacing w:after="0" w:line="146" w:lineRule="exact"/>
        <w:rPr>
          <w:sz w:val="20"/>
          <w:szCs w:val="20"/>
          <w:color w:val="auto"/>
        </w:rPr>
      </w:pPr>
    </w:p>
    <w:p>
      <w:pPr>
        <w:jc w:val="both"/>
        <w:ind w:left="760" w:right="20" w:firstLine="1123"/>
        <w:spacing w:after="0" w:line="258" w:lineRule="auto"/>
        <w:rPr>
          <w:sz w:val="20"/>
          <w:szCs w:val="20"/>
          <w:color w:val="auto"/>
        </w:rPr>
      </w:pPr>
      <w:r>
        <w:rPr>
          <w:rFonts w:ascii="Times New Roman" w:cs="Times New Roman" w:eastAsia="Times New Roman" w:hAnsi="Times New Roman"/>
          <w:sz w:val="22"/>
          <w:szCs w:val="22"/>
          <w:color w:val="auto"/>
        </w:rPr>
        <w:t>(iii)repurchase obligations with a term of not more than ten days for underlying securities of the types described in clauses (i) and (ii) above entered into with any bank of the type described in clause (ii) above;</w:t>
      </w:r>
    </w:p>
    <w:p>
      <w:pPr>
        <w:spacing w:after="0" w:line="123" w:lineRule="exact"/>
        <w:rPr>
          <w:sz w:val="20"/>
          <w:szCs w:val="20"/>
          <w:color w:val="auto"/>
        </w:rPr>
      </w:pPr>
    </w:p>
    <w:p>
      <w:pPr>
        <w:jc w:val="center"/>
        <w:ind w:right="-119"/>
        <w:spacing w:after="0" w:line="253" w:lineRule="exact"/>
        <w:rPr>
          <w:sz w:val="20"/>
          <w:szCs w:val="20"/>
          <w:color w:val="auto"/>
        </w:rPr>
      </w:pPr>
      <w:r>
        <w:rPr>
          <w:rFonts w:ascii="Times New Roman" w:cs="Times New Roman" w:eastAsia="Times New Roman" w:hAnsi="Times New Roman"/>
          <w:sz w:val="22"/>
          <w:szCs w:val="22"/>
          <w:color w:val="auto"/>
        </w:rPr>
        <w:t>(iv)commercial paper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7" w:name="page108"/>
    <w:bookmarkEnd w:id="107"/>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(v)money market funds registered under the Investment Company Act having a rating, at the time of such investment, of not less than Aaa by Moody’s and AAAm by Standard &amp; Poor’s;</w:t>
      </w:r>
    </w:p>
    <w:p>
      <w:pPr>
        <w:spacing w:after="0" w:line="157" w:lineRule="exact"/>
        <w:rPr>
          <w:sz w:val="20"/>
          <w:szCs w:val="20"/>
          <w:color w:val="auto"/>
        </w:rPr>
      </w:pPr>
    </w:p>
    <w:p>
      <w:pPr>
        <w:jc w:val="both"/>
        <w:ind w:left="760" w:firstLine="1123"/>
        <w:spacing w:after="0" w:line="257" w:lineRule="exact"/>
        <w:rPr>
          <w:sz w:val="20"/>
          <w:szCs w:val="20"/>
          <w:color w:val="auto"/>
        </w:rPr>
      </w:pPr>
      <w:r>
        <w:rPr>
          <w:rFonts w:ascii="Times New Roman" w:cs="Times New Roman" w:eastAsia="Times New Roman" w:hAnsi="Times New Roman"/>
          <w:sz w:val="22"/>
          <w:szCs w:val="22"/>
          <w:color w:val="auto"/>
        </w:rPr>
        <w:t>(vi)demand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 and</w:t>
      </w:r>
    </w:p>
    <w:p>
      <w:pPr>
        <w:spacing w:after="0" w:line="14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(vii)any other investments approved in writing by the Administrative Agent;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provided, that each of the Permitted Investments may be purchased by the Account Bank or through an Affiliate of the Account Bank.</w:t>
      </w:r>
    </w:p>
    <w:p>
      <w:pPr>
        <w:spacing w:after="0" w:line="157"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(i) Liens in favor of any Agent or the Administrative Agent, as agent for the Secured Parties, created pursuant to this Agreement or any other Basic Document and (ii) Liens for taxes and assessments that are not yet due and payable or that are being contested in good faith, provided that they have been fully reserved for in accordance with GAAP.</w:t>
      </w:r>
    </w:p>
    <w:p>
      <w:pPr>
        <w:spacing w:after="0" w:line="1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w:t>
      </w:r>
      <w:r>
        <w:rPr>
          <w:rFonts w:ascii="Times New Roman" w:cs="Times New Roman" w:eastAsia="Times New Roman" w:hAnsi="Times New Roman"/>
          <w:sz w:val="22"/>
          <w:szCs w:val="22"/>
          <w:color w:val="auto"/>
        </w:rPr>
        <w:t>” means any Receivable identified on Schedule G hereto which was acquired by the Borrower on or after the Twenty-First Amendment Effective Date, and with respect to which the Servicer holds the Certificate of Title or the application for a Certificate of Title for the related Financed Vehicle on such date; provided that the acquisition of any such Portfolio Purchase Receivables after the Twenty-First Amendment Effective Date shall be subject to the sole consent of the Administrative Agent.</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Advance Rate</w:t>
      </w:r>
      <w:r>
        <w:rPr>
          <w:rFonts w:ascii="Times New Roman" w:cs="Times New Roman" w:eastAsia="Times New Roman" w:hAnsi="Times New Roman"/>
          <w:sz w:val="22"/>
          <w:szCs w:val="22"/>
          <w:color w:val="auto"/>
        </w:rPr>
        <w:t xml:space="preserve">” means, on any date of determination, (i) [***]%, minus (ii) the applicable Advance Rate Reduction Percentage (if any) on such date, minus (iii) if such date occurs during a Portfolio Purchase Receivables Step-up Period, [***]%;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from and after a Portfolio Purchase Receivables Turbo Event, the Portfolio Purchase Receivables Advance Rate shall be [***]%; provided further that the values referenced in clause (i) and clause (ii) of this definition applicable to any Portfolio Purchase Receivables acquired after the Twenty-First Amendment Effective Date, may be adjusted for any such Portfolio Purchase Receivables, on the date any such Portfolio Purchase Receivables are acquired, as determined by the Administrative Agent in its sole discretion. [***]</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Cumulative Net Loss Ratio</w:t>
      </w:r>
      <w:r>
        <w:rPr>
          <w:rFonts w:ascii="Times New Roman" w:cs="Times New Roman" w:eastAsia="Times New Roman" w:hAnsi="Times New Roman"/>
          <w:sz w:val="22"/>
          <w:szCs w:val="22"/>
          <w:color w:val="auto"/>
        </w:rPr>
        <w:t>” means, with respect to any Collection Period, the fraction, expressed as a percentage, (i) the numerator of which is the aggregate Principal Balance of all Portfolio Purchase Receivables that became Defaulted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8" w:name="page109"/>
    <w:bookmarkEnd w:id="108"/>
    <w:p>
      <w:pPr>
        <w:jc w:val="both"/>
        <w:spacing w:after="0" w:line="239" w:lineRule="auto"/>
        <w:rPr>
          <w:sz w:val="20"/>
          <w:szCs w:val="20"/>
          <w:color w:val="auto"/>
        </w:rPr>
      </w:pPr>
      <w:r>
        <w:rPr>
          <w:rFonts w:ascii="Times New Roman" w:cs="Times New Roman" w:eastAsia="Times New Roman" w:hAnsi="Times New Roman"/>
          <w:sz w:val="22"/>
          <w:szCs w:val="22"/>
          <w:color w:val="auto"/>
        </w:rPr>
        <w:t>Receivables during the period from the Twenty-First Amendment Effective Date through the last day of such Collection Period reduced by the amount of all Recoveries received with respect to such Portfolio Purchase Receivables during the period from the Twenty-First Amendment Effective Date through the last day of such Collection Period and (ii) the denominator of which is the aggregate Principal Balance of all Portfolio Purchase Receivables as of the Twenty-First Amendment Effective Date.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Step-up Period</w:t>
      </w:r>
      <w:r>
        <w:rPr>
          <w:rFonts w:ascii="Times New Roman" w:cs="Times New Roman" w:eastAsia="Times New Roman" w:hAnsi="Times New Roman"/>
          <w:sz w:val="22"/>
          <w:szCs w:val="22"/>
          <w:color w:val="auto"/>
        </w:rPr>
        <w:t>” means the period commencing on the date of a Securitization and ending on the first Business Day thereafter on which (i) the aggregate Principal Balance of all Portfolio Purchase Receivables, divided by (ii) the aggregate Principal Balance of all Receivables, is less than [***] %.</w:t>
      </w:r>
    </w:p>
    <w:p>
      <w:pPr>
        <w:spacing w:after="0" w:line="172" w:lineRule="exact"/>
        <w:rPr>
          <w:sz w:val="20"/>
          <w:szCs w:val="20"/>
          <w:color w:val="auto"/>
        </w:rPr>
      </w:pPr>
    </w:p>
    <w:p>
      <w:pPr>
        <w:jc w:val="both"/>
        <w:ind w:firstLine="83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Receivables Turbo Event</w:t>
      </w:r>
      <w:r>
        <w:rPr>
          <w:rFonts w:ascii="Times New Roman" w:cs="Times New Roman" w:eastAsia="Times New Roman" w:hAnsi="Times New Roman"/>
          <w:sz w:val="22"/>
          <w:szCs w:val="22"/>
          <w:color w:val="auto"/>
        </w:rPr>
        <w:t>” means, with respect to any Collection Period after the Twenty-Third Amendment Effective Date, that the Portfolio Purchase Receivables Cumulative Net Loss Ratio for such Collection Period is greater than the “CNL Trigger” for such Collection Period specified in the table below , or such other levels as may be mutually agreed by the Administrative Agent and UACC following the acquisition of any Portfolio Purchase Receivables after the Twenty-Third Amendment Effective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w:t>
      </w:r>
      <w:r>
        <w:rPr>
          <w:rFonts w:ascii="Times New Roman" w:cs="Times New Roman" w:eastAsia="Times New Roman" w:hAnsi="Times New Roman"/>
          <w:sz w:val="22"/>
          <w:szCs w:val="22"/>
          <w:color w:val="auto"/>
        </w:rPr>
        <w:t>” means one or more post office boxes established and maintained by the Servicer for the benefit of the Secured Parties pursuant to the Intercreditor Agreement and the Intercreditor Party Supplement.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 Processor</w:t>
      </w:r>
      <w:r>
        <w:rPr>
          <w:rFonts w:ascii="Times New Roman" w:cs="Times New Roman" w:eastAsia="Times New Roman" w:hAnsi="Times New Roman"/>
          <w:sz w:val="22"/>
          <w:szCs w:val="22"/>
          <w:color w:val="auto"/>
        </w:rPr>
        <w:t>” means [***] and any other Person that may from time to time perform lockbox services with respect to one or more Post Office Boxes.</w:t>
      </w:r>
    </w:p>
    <w:p>
      <w:pPr>
        <w:spacing w:after="0" w:line="15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 as the “Prime Rate” in the U.S. or, if [***] ceases to quote such rate, the highest per annum interest rate published by the Federal Reserve Board in Federal Reserve Statistical Release H.15</w:t>
      </w:r>
    </w:p>
    <w:p>
      <w:pPr>
        <w:spacing w:after="0" w:line="2" w:lineRule="exact"/>
        <w:rPr>
          <w:sz w:val="20"/>
          <w:szCs w:val="20"/>
          <w:color w:val="auto"/>
        </w:rPr>
      </w:pPr>
    </w:p>
    <w:p>
      <w:pPr>
        <w:jc w:val="both"/>
        <w:ind w:firstLine="8"/>
        <w:spacing w:after="0" w:line="233" w:lineRule="auto"/>
        <w:tabs>
          <w:tab w:leader="none" w:pos="53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means, with respect to any Loan, the aggregate amount advanced by the Lenders on the Funding Date in respect of such Loan.</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Balance</w:t>
      </w:r>
      <w:r>
        <w:rPr>
          <w:rFonts w:ascii="Times New Roman" w:cs="Times New Roman" w:eastAsia="Times New Roman" w:hAnsi="Times New Roman"/>
          <w:sz w:val="22"/>
          <w:szCs w:val="22"/>
          <w:color w:val="auto"/>
        </w:rPr>
        <w:t>” means, with respect to a Receivable or Serviced Portfolio Receivable, as of the close of business on a Determination Date, the Amount Financed of such Receivable or Serviced Portfolio Receivable minus the sum of the following related amounts, without duplication, (i) that portion of all Scheduled Payments actually received on or prior to such day allocable to principal using the Simple Interest Method, (ii) any payment of the Release Price or Release Amount with respect to a Receivable allocable to principal, (iii) any Cram Down Loss and (iv) any prepayment in full or any partial prepayment applied in reduction of principal.</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9" w:name="page110"/>
    <w:bookmarkEnd w:id="109"/>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PTI Ratio</w:t>
      </w:r>
      <w:r>
        <w:rPr>
          <w:rFonts w:ascii="Times New Roman" w:cs="Times New Roman" w:eastAsia="Times New Roman" w:hAnsi="Times New Roman"/>
          <w:sz w:val="22"/>
          <w:szCs w:val="22"/>
          <w:color w:val="auto"/>
        </w:rPr>
        <w:t>” means with respect to any Receivable, as of the related origination date, the ratio (expressed as a percentage) of (x) the scheduled monthly payment amount of such Receivable on the date such Receivable was originated, to (y) the combined monthly gross income from all sources of the Obligor(s) on the date such Receivable was originated.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the Purchase and Contribution Agreement, dated as of the Closing Date, between UACC and the Borrower, and each Transfer Agreement.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w:t>
      </w:r>
      <w:r>
        <w:rPr>
          <w:rFonts w:ascii="Times New Roman" w:cs="Times New Roman" w:eastAsia="Times New Roman" w:hAnsi="Times New Roman"/>
          <w:sz w:val="22"/>
          <w:szCs w:val="22"/>
          <w:color w:val="auto"/>
        </w:rPr>
        <w:t>” 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means a data tape, which shall include with respect to each Receivable (i) the related Contract identification number, (ii) the history of payments delinquent 30 days, 60 days and 90 days, (iii) the current number of days such Receivable is delinquent, (iv) the Back End Loan-to-Value Ratio, (v) the Amount Financed, (vi) the amount currently outstanding, (vii) the model year of the related Financed Vehicle, (viii) the remaining term to maturity, (ix) if any, the credit bureau score at origination, (x) whether or not the related Obligor is bankrupt or insolvent and (xi) such other information as the Administrative Agent may reasonably request from time to time to satisfy or fulfill regulatory requirements applicable to the Secured Parties, including capital treatment under Basel II or Basel III.</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any nationally recognized statistical ratings organization acceptable to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Reborrowing</w:t>
      </w:r>
      <w:r>
        <w:rPr>
          <w:rFonts w:ascii="Times New Roman" w:cs="Times New Roman" w:eastAsia="Times New Roman" w:hAnsi="Times New Roman"/>
          <w:sz w:val="22"/>
          <w:szCs w:val="22"/>
          <w:color w:val="auto"/>
        </w:rPr>
        <w:t>” means, to the extent that any portion of the Loans has been repaid in connection with a repayment pursuant to Section 2.06, the reborrowing by the Borrower of all or a portion of such repaid amounts otherwise subject to and in accordance with the terms hereof.</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refinancing or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File</w:t>
      </w:r>
      <w:r>
        <w:rPr>
          <w:rFonts w:ascii="Times New Roman" w:cs="Times New Roman" w:eastAsia="Times New Roman" w:hAnsi="Times New Roman"/>
          <w:sz w:val="22"/>
          <w:szCs w:val="22"/>
          <w:color w:val="auto"/>
        </w:rPr>
        <w:t>” means, with respect to each Receivable and the related Contract, the original Contract, all original copies or electronic copies of instruments modifying the terms and conditions of such Receivable or Contract and the original endorsements or assignments of such Contract.</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Receipt</w:t>
      </w:r>
      <w:r>
        <w:rPr>
          <w:rFonts w:ascii="Times New Roman" w:cs="Times New Roman" w:eastAsia="Times New Roman" w:hAnsi="Times New Roman"/>
          <w:sz w:val="22"/>
          <w:szCs w:val="22"/>
          <w:color w:val="auto"/>
        </w:rPr>
        <w:t>” means the receivable receipt substantially in the form attached hereto as Exhibit H executed by the Servicer on behalf of the Administrative Agent.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0" w:name="page111"/>
    <w:bookmarkEnd w:id="110"/>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with respect to any Contract, all documents, books, records and other information (including computer programs, tapes, disks, punch cards, data processing software and related property and rights) maintained with respect to any related item of Collateral and the related Obligor.</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Recoveries</w:t>
      </w:r>
      <w:r>
        <w:rPr>
          <w:rFonts w:ascii="Times New Roman" w:cs="Times New Roman" w:eastAsia="Times New Roman" w:hAnsi="Times New Roman"/>
          <w:sz w:val="22"/>
          <w:szCs w:val="22"/>
          <w:color w:val="auto"/>
        </w:rPr>
        <w:t>” means, with respect to any Defaulted Receivable and the related Collection Period, all monies collected from whatever source during such Collection Period in respect of such Defaulted Receivable, including in connection with the attempted realization of the full amount due or to become due under such Defaulted Receivable, whether from the sale or other disposition of the related Financed Vehicles, the proceeds of repossession or any collection effort, the proceeds of recourse or similar payments under the related Contract, including any Insurance Proceeds, net of any amounts required by Applicable Law to be remitted to the related Obligor and net of the Servicer’s expenses (other than overhead) incurred in connection with the liquidation of such Defaulted Receivable and the related Financed Vehicle, but excluding payment of the related Release Price or Release Amount.</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means (1) if the Benchmark is Daily Simple SOFR, then four Business Days prior to such setting or (2) if such Benchmark is not Daily Simple SOFR, the time determined by the Administrative Agent in its reasonable discretion.</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 of Titles</w:t>
      </w:r>
      <w:r>
        <w:rPr>
          <w:rFonts w:ascii="Times New Roman" w:cs="Times New Roman" w:eastAsia="Times New Roman" w:hAnsi="Times New Roman"/>
          <w:sz w:val="22"/>
          <w:szCs w:val="22"/>
          <w:color w:val="auto"/>
        </w:rPr>
        <w:t>” means, with respect to any State, the governmental agency or body responsible for the registration of, and the issuance of certificates of title relating to, motor vehicles and liens thereon.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AB</w:t>
      </w:r>
      <w:r>
        <w:rPr>
          <w:rFonts w:ascii="Times New Roman" w:cs="Times New Roman" w:eastAsia="Times New Roman" w:hAnsi="Times New Roman"/>
          <w:sz w:val="22"/>
          <w:szCs w:val="22"/>
          <w:color w:val="auto"/>
        </w:rPr>
        <w:t>” means Regulation AB under the Securities Act.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Amount</w:t>
      </w:r>
      <w:r>
        <w:rPr>
          <w:rFonts w:ascii="Times New Roman" w:cs="Times New Roman" w:eastAsia="Times New Roman" w:hAnsi="Times New Roman"/>
          <w:sz w:val="22"/>
          <w:szCs w:val="22"/>
          <w:color w:val="auto"/>
        </w:rPr>
        <w:t>” means, as of the related Release Date, the deposit amount for a retransfer of Receivables under Section 5.04(b), in an amount equal to (i) the related Aggregate Unpaids minus (ii) the related amount, if any, available in the Collection Account on such Payment Date.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means a Payment Date specified by the Borrower in connection with the retransfer of the Receivables under Section 5.04(b).</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Price</w:t>
      </w:r>
      <w:r>
        <w:rPr>
          <w:rFonts w:ascii="Times New Roman" w:cs="Times New Roman" w:eastAsia="Times New Roman" w:hAnsi="Times New Roman"/>
          <w:sz w:val="22"/>
          <w:szCs w:val="22"/>
          <w:color w:val="auto"/>
        </w:rPr>
        <w:t>” means an amount equal to the Principal Balance of each Receivable retransferred pursuant to Sections 5.04(a) and 5.04(c), plus accrued interest on such Receivable (at the related APR) through the date of such retransfer or repurchase, and all Breakage Costs, if any, arising out of or relating to such retransfer or repurchase.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and/or the NYFRB, as applicable, or a committee officially endorsed or convened by the Federal Reserve Board and/or the NYFRB or, in each case, any successor thereto.</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for which the 30-day notice provision has not been waived.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Date</w:t>
      </w:r>
      <w:r>
        <w:rPr>
          <w:rFonts w:ascii="Times New Roman" w:cs="Times New Roman" w:eastAsia="Times New Roman" w:hAnsi="Times New Roman"/>
          <w:sz w:val="22"/>
          <w:szCs w:val="22"/>
          <w:color w:val="auto"/>
        </w:rPr>
        <w:t>” means the date which is two Business Days prior to any Payment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1" w:name="page112"/>
    <w:bookmarkEnd w:id="111"/>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Agents</w:t>
      </w:r>
      <w:r>
        <w:rPr>
          <w:rFonts w:ascii="Times New Roman" w:cs="Times New Roman" w:eastAsia="Times New Roman" w:hAnsi="Times New Roman"/>
          <w:sz w:val="22"/>
          <w:szCs w:val="22"/>
          <w:color w:val="auto"/>
        </w:rPr>
        <w:t>” means, at any time, Agents for (i) the Lenders whose Commitments together exceed seventy-five percent (75%) of the Aggregate Commitments at such time, or, (ii) if the Commitments have been terminated, the Lenders that hold Loans that exceed seventy-five (75%) of the Loans Outstanding at such time.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Hedging Period</w:t>
      </w:r>
      <w:r>
        <w:rPr>
          <w:rFonts w:ascii="Times New Roman" w:cs="Times New Roman" w:eastAsia="Times New Roman" w:hAnsi="Times New Roman"/>
          <w:sz w:val="22"/>
          <w:szCs w:val="22"/>
          <w:color w:val="auto"/>
        </w:rPr>
        <w:t>” means any of the following periods: (a) the Amortization Period or (b) the period commencing on the date on which the Adjusted Daily Simple SOFR exceeds [***]% and ending on the date on which the Adjusted Daily Simple SOFR is less than or equal to [***]%.</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 upon such Person or to which such Person is subject, whether federal, State or local (including usury laws, the Federal Truth in Lending Act, Regulations U and T of the Federal Reserve Board and Regulations B, X and Z of the Consumer Financial Protection Bureau).</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when used with respect to (i) any Person other than the Borrower, any officer of such Person, including any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means the period commencing on the Closing Date and ending on the earlier to occur of (i) the Commitment Termination Date and (ii) the day immediately preceding the Termination Date.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 and Regulations</w:t>
      </w:r>
      <w:r>
        <w:rPr>
          <w:rFonts w:ascii="Times New Roman" w:cs="Times New Roman" w:eastAsia="Times New Roman" w:hAnsi="Times New Roman"/>
          <w:sz w:val="22"/>
          <w:szCs w:val="22"/>
          <w:color w:val="auto"/>
        </w:rPr>
        <w:t>” shall mean (i) any sanctions, prohibitions or requirements imposed by any executive order (an “</w:t>
      </w:r>
      <w:r>
        <w:rPr>
          <w:rFonts w:ascii="Times New Roman" w:cs="Times New Roman" w:eastAsia="Times New Roman" w:hAnsi="Times New Roman"/>
          <w:sz w:val="22"/>
          <w:szCs w:val="22"/>
          <w:u w:val="single" w:color="auto"/>
          <w:color w:val="auto"/>
        </w:rPr>
        <w:t>Executive Order</w:t>
      </w:r>
      <w:r>
        <w:rPr>
          <w:rFonts w:ascii="Times New Roman" w:cs="Times New Roman" w:eastAsia="Times New Roman" w:hAnsi="Times New Roman"/>
          <w:sz w:val="22"/>
          <w:szCs w:val="22"/>
          <w:color w:val="auto"/>
        </w:rPr>
        <w:t>”) or by any sanctions program administered by OFAC or the U.S. Department of State, and (ii) any sanctions measures imposed by the United Nations Security Council, European Union or the United Kingdom.</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Documents</w:t>
      </w:r>
      <w:r>
        <w:rPr>
          <w:rFonts w:ascii="Times New Roman" w:cs="Times New Roman" w:eastAsia="Times New Roman" w:hAnsi="Times New Roman"/>
          <w:sz w:val="22"/>
          <w:szCs w:val="22"/>
          <w:color w:val="auto"/>
        </w:rPr>
        <w:t>” means the schedule of documents attached hereto as Schedule 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Receivables</w:t>
      </w:r>
      <w:r>
        <w:rPr>
          <w:rFonts w:ascii="Times New Roman" w:cs="Times New Roman" w:eastAsia="Times New Roman" w:hAnsi="Times New Roman"/>
          <w:sz w:val="22"/>
          <w:szCs w:val="22"/>
          <w:color w:val="auto"/>
        </w:rPr>
        <w:t>” means the schedule of Receivables attached hereto as Schedule C, as updated from time to time in connection with each Funding Request.</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means regularly scheduled payments to be made by an Obligor pursuant to the terms of the related Contract.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means (i) the Administrative Agent and (ii) each Lender.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2" w:name="page113"/>
    <w:bookmarkEnd w:id="112"/>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means (i) any sale, lease or other transfer by the Borrower or a Special Purpose Affiliate of all or a portion of the Collateral or (ii) any other asset securitization, secured loan or similar transaction involving all or a portion of the Collateral, provided, that no adverse selection procedures were used by the Borrower or such Special Purpose Affiliate with respect to such Collateral.</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Amounts</w:t>
      </w:r>
      <w:r>
        <w:rPr>
          <w:rFonts w:ascii="Times New Roman" w:cs="Times New Roman" w:eastAsia="Times New Roman" w:hAnsi="Times New Roman"/>
          <w:sz w:val="22"/>
          <w:szCs w:val="22"/>
          <w:color w:val="auto"/>
        </w:rPr>
        <w:t>” has the meaning given to such term in Section 5.07 of the Purchase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has the meaning given to such term in Section 5.07 of the Purchase Agreement.</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Monthly Interest and Fees</w:t>
      </w:r>
      <w:r>
        <w:rPr>
          <w:rFonts w:ascii="Times New Roman" w:cs="Times New Roman" w:eastAsia="Times New Roman" w:hAnsi="Times New Roman"/>
          <w:sz w:val="20"/>
          <w:szCs w:val="20"/>
          <w:color w:val="auto"/>
        </w:rPr>
        <w:t xml:space="preserve"> ” means, with respect to any Payment Date, the sum of (i) Interest for such Payment Date and (ii) all accrued and unpaid Usage Fees and Unused Fees for such Payment Date, together with any accrued and unpaid Usage Fees and Unused Fees from prior Payment Dates, to the extent such sum does not exceed an amount equal to the sum of</w:t>
      </w:r>
    </w:p>
    <w:p>
      <w:pPr>
        <w:spacing w:after="0" w:line="2" w:lineRule="exact"/>
        <w:rPr>
          <w:sz w:val="20"/>
          <w:szCs w:val="20"/>
          <w:color w:val="auto"/>
        </w:rPr>
      </w:pPr>
    </w:p>
    <w:p>
      <w:pPr>
        <w:jc w:val="both"/>
        <w:ind w:firstLine="8"/>
        <w:spacing w:after="0" w:line="235" w:lineRule="auto"/>
        <w:tabs>
          <w:tab w:leader="none" w:pos="31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Interest that would have accrued on the Loan Balance during the immediately preceding Collection Period at a per annum rate equal to the sum of the Adjusted Daily Simple SOFR and the Usage Fee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Unused Fee for such Payment Date.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w:t>
      </w:r>
      <w:r>
        <w:rPr>
          <w:rFonts w:ascii="Times New Roman" w:cs="Times New Roman" w:eastAsia="Times New Roman" w:hAnsi="Times New Roman"/>
          <w:sz w:val="22"/>
          <w:szCs w:val="22"/>
          <w:color w:val="auto"/>
        </w:rPr>
        <w:t>” means all motor vehicle receivables that have been originated or purchased by UACC or an Affiliate thereof and are serviced by UACC or an Affiliate thereof, including motor vehicle receivables that have been securitized in a transaction for which UACC, the Borrower or any of their respective Affiliates is the sponsor.</w:t>
      </w:r>
    </w:p>
    <w:p>
      <w:pPr>
        <w:spacing w:after="0" w:line="1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Serviced Portfolio Annualized Net Loss Ratio</w:t>
      </w:r>
      <w:r>
        <w:rPr>
          <w:rFonts w:ascii="Times New Roman" w:cs="Times New Roman" w:eastAsia="Times New Roman" w:hAnsi="Times New Roman"/>
          <w:sz w:val="20"/>
          <w:szCs w:val="20"/>
          <w:color w:val="auto"/>
        </w:rPr>
        <w:t>” means, with respect to any Payment Date and the related Collection Period, the product of (i) [***]and (ii) the percentage equivalent of a fraction, (a) the numerator of which equals the aggregate Serviced Portfolio Net Losses for such Collection Period (excluding Serviced Portfolio Net Losses on any 2022 Receivables) and</w:t>
      </w:r>
    </w:p>
    <w:p>
      <w:pPr>
        <w:spacing w:after="0" w:line="2" w:lineRule="exact"/>
        <w:rPr>
          <w:sz w:val="20"/>
          <w:szCs w:val="20"/>
          <w:color w:val="auto"/>
        </w:rPr>
      </w:pPr>
    </w:p>
    <w:p>
      <w:pPr>
        <w:ind w:firstLine="8"/>
        <w:spacing w:after="0" w:line="237" w:lineRule="auto"/>
        <w:tabs>
          <w:tab w:leader="none" w:pos="35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denominator of which equals the aggregate Principal Balance of all Serviced Portfolio Receivables (excluding any Serviced Portfolio Receivables that are 2022 Receivables) as of the related Determination Date.</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Defaulted Receivable</w:t>
      </w:r>
      <w:r>
        <w:rPr>
          <w:rFonts w:ascii="Times New Roman" w:cs="Times New Roman" w:eastAsia="Times New Roman" w:hAnsi="Times New Roman"/>
          <w:sz w:val="22"/>
          <w:szCs w:val="22"/>
          <w:color w:val="auto"/>
        </w:rPr>
        <w:t>” means, as of any Determination Date, any Serviced Portfolio Receivable (i) with respect to which more than 10% of any Scheduled Payment remains unpaid for more than 120 days after the related due date and for which the related Financed Vehicle has not been repossessed, (ii) with respect to which 90 days have elapsed since the related Financed Vehicle was repossessed and any applicable redemption period has expired or (iii) that is a Charged-off Receivable.</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Serviced Portfolio Delinquency Ratio</w:t>
      </w:r>
      <w:r>
        <w:rPr>
          <w:rFonts w:ascii="Times New Roman" w:cs="Times New Roman" w:eastAsia="Times New Roman" w:hAnsi="Times New Roman"/>
          <w:sz w:val="20"/>
          <w:szCs w:val="20"/>
          <w:color w:val="auto"/>
        </w:rPr>
        <w:t>” means, with respect to any Payment Date and the related Collection Period, the percentage equivalent of a fraction, (i) the numerator of which equals the aggregate Principal Balance of all Serviced Portfolio Delinquent Receivables (excluding any Serviced Portfolio Delinquent Receivables that are Portfolio Purchase Receivables) as of the last day of such Collection Period and (ii) the denominator of which equals the aggregate Principal Balance of all Serviced Portfolio Receivables (excluding any Serviced Portfolio Receivables that are Portfolio Purchase Receivables) as of such last day.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3" w:name="page114"/>
    <w:bookmarkEnd w:id="113"/>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Delinquent Receivable</w:t>
      </w:r>
      <w:r>
        <w:rPr>
          <w:rFonts w:ascii="Times New Roman" w:cs="Times New Roman" w:eastAsia="Times New Roman" w:hAnsi="Times New Roman"/>
          <w:sz w:val="22"/>
          <w:szCs w:val="22"/>
          <w:color w:val="auto"/>
        </w:rPr>
        <w:t>” means any Serviced Portfolio Receivable, other than a Serviced Portfolio Defaulted Receivable, with respect to which more than 10% of any Scheduled Payment remains unpaid for more than 60 days after the related due date as of any Determination Date and for which the related Financed Vehicle has not been repossessed.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Extended Receivable</w:t>
      </w:r>
      <w:r>
        <w:rPr>
          <w:rFonts w:ascii="Times New Roman" w:cs="Times New Roman" w:eastAsia="Times New Roman" w:hAnsi="Times New Roman"/>
          <w:sz w:val="22"/>
          <w:szCs w:val="22"/>
          <w:color w:val="auto"/>
        </w:rPr>
        <w:t>” means any Serviced Portfolio Receivable for which an extension or payment deferment was made (or is in effect) pursuant to the Credit and Collection Policy.</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Extension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Serviced Portfolio Receivables (excluding any Serviced Portfolio Receivables that are Portfolio Purchase Receivables) that were Serviced Portfolio Extended Receivables during such Collection Period and (ii) the denominator of which equals the daily average aggregate Principal Balance of all Serviced Portfolio Receivables (excluding any Serviced Portfolio Receivables that are Portfolio Purchase Receivables) during such Collection Period.</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Serviced Portfolio Receivables that first became Serviced Portfolio Defaulted Receivables during such Collection Period minus (ii) all Serviced Portfolio Recoveries received by the Servicer during such Collection Period.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Receivable</w:t>
      </w:r>
      <w:r>
        <w:rPr>
          <w:rFonts w:ascii="Times New Roman" w:cs="Times New Roman" w:eastAsia="Times New Roman" w:hAnsi="Times New Roman"/>
          <w:sz w:val="22"/>
          <w:szCs w:val="22"/>
          <w:color w:val="auto"/>
        </w:rPr>
        <w:t>” means any motor vehicle receivable included in the Serviced Portfolio.</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Recoveries</w:t>
      </w:r>
      <w:r>
        <w:rPr>
          <w:rFonts w:ascii="Times New Roman" w:cs="Times New Roman" w:eastAsia="Times New Roman" w:hAnsi="Times New Roman"/>
          <w:sz w:val="22"/>
          <w:szCs w:val="22"/>
          <w:color w:val="auto"/>
        </w:rPr>
        <w:t>” means, with respect to any Serviced Portfolio Defaulted Receivable and the related Collection Period, all monies collected from whatever source during such Collection Period in respect of such Serviced Portfolio Defaulted Receivable, including in connection with the attempted realization of the full amount due or to become due under such Serviced Portfolio Defaulted Receivable, whether from the sale or other disposition of the related Financed Vehicle, the proceeds of repossession or any collection effort, the proceeds of recourse or similar payments under the related Contract, or any insurance proceeds, net of any amounts required by Applicable Law to be remitted to the related Obligor and net of the Servicer’s expenses (other than overhead) incurred in connection with the liquidation of such Serviced Portfolio Defaulted Receivable and the related Financed Vehicle.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Basic Documents</w:t>
      </w:r>
      <w:r>
        <w:rPr>
          <w:rFonts w:ascii="Times New Roman" w:cs="Times New Roman" w:eastAsia="Times New Roman" w:hAnsi="Times New Roman"/>
          <w:sz w:val="22"/>
          <w:szCs w:val="22"/>
          <w:color w:val="auto"/>
        </w:rPr>
        <w:t>” means all Basic Documents to which the Servicer is a party or by which it is bound.</w:t>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File</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Event</w:t>
      </w:r>
      <w:r>
        <w:rPr>
          <w:rFonts w:ascii="Times New Roman" w:cs="Times New Roman" w:eastAsia="Times New Roman" w:hAnsi="Times New Roman"/>
          <w:sz w:val="22"/>
          <w:szCs w:val="22"/>
          <w:color w:val="auto"/>
        </w:rPr>
        <w:t>” has the meaning given to such term in Section 7.14.</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Notice</w:t>
      </w:r>
      <w:r>
        <w:rPr>
          <w:rFonts w:ascii="Times New Roman" w:cs="Times New Roman" w:eastAsia="Times New Roman" w:hAnsi="Times New Roman"/>
          <w:sz w:val="22"/>
          <w:szCs w:val="22"/>
          <w:color w:val="auto"/>
        </w:rPr>
        <w:t>” has the meaning given to such term in Section 7.14.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4" w:name="page115"/>
    <w:bookmarkEnd w:id="114"/>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means the fee payable to the Servicer on each Payment Date in accordance with Section 2.12(b) in an amount equal to the product of (i) one-twelfth, (ii) [***]% and (iii) the daily average aggregate Principal Balance of the Receivables during the related Collection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UACC is no longer the Servicer, the “Servicing Fee” shall be an amount agreed to by the Administrative Agent (acting at the direction of the Required Agents) and the successor Servicer that is reflective of the then market rates for the servicing of motor vehicles receivables similar to the Receivables.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Seventeenth Amendment Effective Date</w:t>
      </w:r>
      <w:r>
        <w:rPr>
          <w:rFonts w:ascii="Times New Roman" w:cs="Times New Roman" w:eastAsia="Times New Roman" w:hAnsi="Times New Roman"/>
          <w:sz w:val="22"/>
          <w:szCs w:val="22"/>
          <w:color w:val="auto"/>
        </w:rPr>
        <w:t>” means May 11, 2020.</w:t>
      </w:r>
    </w:p>
    <w:p>
      <w:pPr>
        <w:spacing w:after="0" w:line="205" w:lineRule="exact"/>
        <w:rPr>
          <w:sz w:val="20"/>
          <w:szCs w:val="20"/>
          <w:color w:val="auto"/>
        </w:rPr>
      </w:pPr>
    </w:p>
    <w:p>
      <w:pPr>
        <w:jc w:val="both"/>
        <w:ind w:firstLine="749"/>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Rating Requirement</w:t>
      </w:r>
      <w:r>
        <w:rPr>
          <w:rFonts w:ascii="Times New Roman" w:cs="Times New Roman" w:eastAsia="Times New Roman" w:hAnsi="Times New Roman"/>
          <w:sz w:val="22"/>
          <w:szCs w:val="22"/>
          <w:color w:val="auto"/>
        </w:rPr>
        <w:t>” means, with respect to any Person, that such Person has a short-term unsecured debt rating of not less than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not less than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Contract</w:t>
      </w:r>
      <w:r>
        <w:rPr>
          <w:rFonts w:ascii="Times New Roman" w:cs="Times New Roman" w:eastAsia="Times New Roman" w:hAnsi="Times New Roman"/>
          <w:sz w:val="22"/>
          <w:szCs w:val="22"/>
          <w:color w:val="auto"/>
        </w:rPr>
        <w:t>” means any Contract under which the portion of a payment allocable to interest and the portion allocable to principal are determined in accordance with the Simple Interest Method.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Method</w:t>
      </w:r>
      <w:r>
        <w:rPr>
          <w:rFonts w:ascii="Times New Roman" w:cs="Times New Roman" w:eastAsia="Times New Roman" w:hAnsi="Times New Roman"/>
          <w:sz w:val="22"/>
          <w:szCs w:val="22"/>
          <w:color w:val="auto"/>
        </w:rPr>
        <w:t>” 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NYFRB (or a successor administrator of the secured overnight financing rate).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currently at http://www.newyorkfed.org, or any successor source for the secured overnight financing rate identified as such by the SOFR Administrator from time to time.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Determination Date</w:t>
      </w:r>
      <w:r>
        <w:rPr>
          <w:rFonts w:ascii="Times New Roman" w:cs="Times New Roman" w:eastAsia="Times New Roman" w:hAnsi="Times New Roman"/>
          <w:sz w:val="22"/>
          <w:szCs w:val="22"/>
          <w:color w:val="auto"/>
        </w:rPr>
        <w:t>” has the meaning specified in the definition of “Daily Simple SOFR”.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specified in the definition of “Daily Simple SOFR”.</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Step-Up Event</w:t>
      </w:r>
      <w:r>
        <w:rPr>
          <w:rFonts w:ascii="Times New Roman" w:cs="Times New Roman" w:eastAsia="Times New Roman" w:hAnsi="Times New Roman"/>
          <w:sz w:val="22"/>
          <w:szCs w:val="22"/>
          <w:color w:val="auto"/>
        </w:rPr>
        <w:t>” means an event that shall occur and be continuing on any date on which (i) the Daily Simple SOFR is greater than [***]% on such date and (ii) the strike rate under the Hedging Agreement on such date is greater than [***]%.</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5" w:name="page116"/>
    <w:bookmarkEnd w:id="115"/>
    <w:p>
      <w:pPr>
        <w:jc w:val="both"/>
        <w:spacing w:after="0" w:line="244" w:lineRule="auto"/>
        <w:rPr>
          <w:sz w:val="20"/>
          <w:szCs w:val="20"/>
          <w:color w:val="auto"/>
        </w:rPr>
      </w:pPr>
      <w:r>
        <w:rPr>
          <w:rFonts w:ascii="Times New Roman" w:cs="Times New Roman" w:eastAsia="Times New Roman" w:hAnsi="Times New Roman"/>
          <w:sz w:val="22"/>
          <w:szCs w:val="22"/>
          <w:color w:val="auto"/>
        </w:rPr>
        <w:t>believe that it will, incur debts or liabilities beyond such Person’s ability to pay as such debts and liabilities mature; and (v) such Person is not engaged in business or a transaction, and is not about to engage in a business or a transaction, for which such Person’s property would constitute unreasonably small capital.</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Purpose Affiliate</w:t>
      </w:r>
      <w:r>
        <w:rPr>
          <w:rFonts w:ascii="Times New Roman" w:cs="Times New Roman" w:eastAsia="Times New Roman" w:hAnsi="Times New Roman"/>
          <w:sz w:val="22"/>
          <w:szCs w:val="22"/>
          <w:color w:val="auto"/>
        </w:rPr>
        <w:t>” means any bankruptcy-remote special purpose entity that is an Affiliate of the Borrower and was created for the purpose of one or more Securitizations.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&amp; Poor’s</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means any state of the United States or the District of Columbia.</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Monthly Interest and Fees</w:t>
      </w:r>
      <w:r>
        <w:rPr>
          <w:rFonts w:ascii="Times New Roman" w:cs="Times New Roman" w:eastAsia="Times New Roman" w:hAnsi="Times New Roman"/>
          <w:sz w:val="22"/>
          <w:szCs w:val="22"/>
          <w:color w:val="auto"/>
        </w:rPr>
        <w:t>” means, with respect to any Payment Date, the excess (if any) for such Payment Date of (a) the sum of (i) Interest for such Payment Date and (ii) all accrued and unpaid Usage Fees and Unused Fees for such Payment Date, together with any accrued and unpaid Usage Fees and Unused Fees from prior Payment Dates over (b) the Senior Monthly Interest and Fees for such Payment Date.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Loan</w:t>
      </w:r>
      <w:r>
        <w:rPr>
          <w:rFonts w:ascii="Times New Roman" w:cs="Times New Roman" w:eastAsia="Times New Roman" w:hAnsi="Times New Roman"/>
          <w:sz w:val="22"/>
          <w:szCs w:val="22"/>
          <w:color w:val="auto"/>
        </w:rPr>
        <w:t>” means each Loan made following the Initial Loan.</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Receivable</w:t>
      </w:r>
      <w:r>
        <w:rPr>
          <w:rFonts w:ascii="Times New Roman" w:cs="Times New Roman" w:eastAsia="Times New Roman" w:hAnsi="Times New Roman"/>
          <w:sz w:val="22"/>
          <w:szCs w:val="22"/>
          <w:color w:val="auto"/>
        </w:rPr>
        <w:t>” means each Receivable that becomes a part of the Collateral on a Funding Date other than the Funding Date relating to the Initial Loan.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means a subservicer appointed by the Servicer and acceptable to the Administrative Agent for the servicing and administration of the Receivables.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Servicer</w:t>
      </w:r>
      <w:r>
        <w:rPr>
          <w:rFonts w:ascii="Times New Roman" w:cs="Times New Roman" w:eastAsia="Times New Roman" w:hAnsi="Times New Roman"/>
          <w:sz w:val="22"/>
          <w:szCs w:val="22"/>
          <w:color w:val="auto"/>
        </w:rPr>
        <w:t>” has the meaning given to such term in Section 7.15(b).</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Advances</w:t>
      </w:r>
      <w:r>
        <w:rPr>
          <w:rFonts w:ascii="Times New Roman" w:cs="Times New Roman" w:eastAsia="Times New Roman" w:hAnsi="Times New Roman"/>
          <w:sz w:val="22"/>
          <w:szCs w:val="22"/>
          <w:color w:val="auto"/>
        </w:rPr>
        <w:t>” means, with respect to a Liquidity Provider and the related Conduit Lender, any participation or other interest held by such Liquidity Provider in such Conduit Lender’s Invested Percentage in the Loans Outstanding which were purchased from such Conduit Lender pursuant to a Support Facility and any loans or other advances made by such Liquidity Provider to such Conduit Lender pursuant to a Support Facility to fund such Conduit Lender’s making or maintaining its advances hereunder.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Facility</w:t>
      </w:r>
      <w:r>
        <w:rPr>
          <w:rFonts w:ascii="Times New Roman" w:cs="Times New Roman" w:eastAsia="Times New Roman" w:hAnsi="Times New Roman"/>
          <w:sz w:val="22"/>
          <w:szCs w:val="22"/>
          <w:color w:val="auto"/>
        </w:rPr>
        <w:t>” means any liquidity or credit support agreement (including any letter of credit, surety bond, swap or loan or purchase facility) with, or for the benefit of, a Conduit Lender which relates to this Agreement or the Conduit Lender’s commercial paper program (including any agreement to purchase an assignment of or participation in the Notes).</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Party</w:t>
      </w:r>
      <w:r>
        <w:rPr>
          <w:rFonts w:ascii="Times New Roman" w:cs="Times New Roman" w:eastAsia="Times New Roman" w:hAnsi="Times New Roman"/>
          <w:sz w:val="22"/>
          <w:szCs w:val="22"/>
          <w:color w:val="auto"/>
        </w:rPr>
        <w:t>” means any bank, insurance company or other financial institution extending or having a commitment to extend funds to or for the account of a Conduit Lender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22"/>
          <w:szCs w:val="22"/>
          <w:color w:val="auto"/>
        </w:rPr>
        <w:t>(including by agreement to purchase an assignment of or participation in the Notes) under a Support Facility. Each Liquidity Provider for a Conduit Lender shall be deemed to be a Support Party for such Conduit Lender.</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w:t>
      </w:r>
      <w:r>
        <w:rPr>
          <w:rFonts w:ascii="Times New Roman" w:cs="Times New Roman" w:eastAsia="Times New Roman" w:hAnsi="Times New Roman"/>
          <w:sz w:val="22"/>
          <w:szCs w:val="22"/>
          <w:color w:val="auto"/>
        </w:rPr>
        <w:t>” means, with respect to any Person and its consolidated Subsidiaries, the net worth of such Person and its consolidated Subsidiaries, calculated as of the last day of the most recent calendar quarter and in accordance with GAAP, after subtracting therefrom the aggregate amount of such Person’s and its consolidated Subsidiaries’ intangible assets, including goodwill, franchises, licenses, patents, trademarks, tradenames, copyrights and service marks.</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present or future taxes, levies, imposts, duties, charges, assessments or fees of any nature (including interest, penalties and additions thereto) that are imposed by any Government Authority.</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earliest to occur of (i) the occurrence of the latest Lender Termination Date, (ii) the Commitment Termination Date, (iii) the Business Day designated by the Borrower to the Lenders as the Termination Date at any time following 60 days’ prior written notice, (iv) the occurrence of an Early Amortization Event and (v) the automatic occurrence, or the declaration of the occurrence, of the Termination Date pursuant to Section 9.01(b).</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has the meaning given to such term in Section 9.01(a).</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Data File</w:t>
      </w:r>
      <w:r>
        <w:rPr>
          <w:rFonts w:ascii="Times New Roman" w:cs="Times New Roman" w:eastAsia="Times New Roman" w:hAnsi="Times New Roman"/>
          <w:sz w:val="22"/>
          <w:szCs w:val="22"/>
          <w:color w:val="auto"/>
        </w:rPr>
        <w:t>” means a test data file, which shall include the loan master file, the transaction history file and all other files necessary to carry out the servicing obligations hereunder.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means a Transfer Agreement in substantially the form attached to the Purchase Agreement as Exhibit A, executed by the Borrower and UACC in connection with a transfer of Receivables and the related Collateral on any Funding Date.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Expenses</w:t>
      </w:r>
      <w:r>
        <w:rPr>
          <w:rFonts w:ascii="Times New Roman" w:cs="Times New Roman" w:eastAsia="Times New Roman" w:hAnsi="Times New Roman"/>
          <w:sz w:val="22"/>
          <w:szCs w:val="22"/>
          <w:color w:val="auto"/>
        </w:rPr>
        <w:t>” has the meaning given to such term in Section 7.15(e).</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Agreement</w:t>
      </w:r>
      <w:r>
        <w:rPr>
          <w:rFonts w:ascii="Times New Roman" w:cs="Times New Roman" w:eastAsia="Times New Roman" w:hAnsi="Times New Roman"/>
          <w:sz w:val="22"/>
          <w:szCs w:val="22"/>
          <w:color w:val="auto"/>
        </w:rPr>
        <w:t>” means the Amended and Restated Trust Agreement, dated as of the Closing Date, between UACC, as depositor, and the Owner Trustee.</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Turbo Event</w:t>
      </w:r>
      <w:r>
        <w:rPr>
          <w:rFonts w:ascii="Times New Roman" w:cs="Times New Roman" w:eastAsia="Times New Roman" w:hAnsi="Times New Roman"/>
          <w:sz w:val="22"/>
          <w:szCs w:val="22"/>
          <w:color w:val="auto"/>
        </w:rPr>
        <w:t>” means either (a) the occurrence of the Termination Date pursuant to any of clauses (iii), (iv) or (v) of the definition thereof or (b) following the Termination Date, the occurrence of an Early Amortization Event.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Twenty-First Amendment Effective Date</w:t>
      </w:r>
      <w:r>
        <w:rPr>
          <w:rFonts w:ascii="Times New Roman" w:cs="Times New Roman" w:eastAsia="Times New Roman" w:hAnsi="Times New Roman"/>
          <w:sz w:val="22"/>
          <w:szCs w:val="22"/>
          <w:color w:val="auto"/>
        </w:rPr>
        <w:t>” means September 29, 2022.</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Twenty-Third Amendment Effective Date</w:t>
      </w:r>
      <w:r>
        <w:rPr>
          <w:rFonts w:ascii="Times New Roman" w:cs="Times New Roman" w:eastAsia="Times New Roman" w:hAnsi="Times New Roman"/>
          <w:sz w:val="22"/>
          <w:szCs w:val="22"/>
          <w:color w:val="auto"/>
        </w:rPr>
        <w:t>” means March 15, 2023.</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Twenty-Sixth Amendment Effective Date</w:t>
      </w:r>
      <w:r>
        <w:rPr>
          <w:rFonts w:ascii="Times New Roman" w:cs="Times New Roman" w:eastAsia="Times New Roman" w:hAnsi="Times New Roman"/>
          <w:sz w:val="22"/>
          <w:szCs w:val="22"/>
          <w:color w:val="auto"/>
        </w:rPr>
        <w:t>” means December [__], 2023.</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Amounts</w:t>
      </w:r>
      <w:r>
        <w:rPr>
          <w:rFonts w:ascii="Times New Roman" w:cs="Times New Roman" w:eastAsia="Times New Roman" w:hAnsi="Times New Roman"/>
          <w:sz w:val="22"/>
          <w:szCs w:val="22"/>
          <w:color w:val="auto"/>
        </w:rPr>
        <w:t>” has the meaning given to such term in Section 10.01(b).</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17" w:name="page118"/>
    <w:bookmarkEnd w:id="11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Party</w:t>
      </w:r>
      <w:r>
        <w:rPr>
          <w:rFonts w:ascii="Times New Roman" w:cs="Times New Roman" w:eastAsia="Times New Roman" w:hAnsi="Times New Roman"/>
          <w:sz w:val="22"/>
          <w:szCs w:val="22"/>
          <w:color w:val="auto"/>
        </w:rPr>
        <w:t>” has the meaning given to such term in Section 10.01(b).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applicable jurisdiction.</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Termination Event</w:t>
      </w:r>
      <w:r>
        <w:rPr>
          <w:rFonts w:ascii="Times New Roman" w:cs="Times New Roman" w:eastAsia="Times New Roman" w:hAnsi="Times New Roman"/>
          <w:sz w:val="22"/>
          <w:szCs w:val="22"/>
          <w:color w:val="auto"/>
        </w:rPr>
        <w:t>” means any event that, with the giving of notice or the lapse of time, or both, would become a Termination Event.</w:t>
      </w:r>
    </w:p>
    <w:p>
      <w:pPr>
        <w:spacing w:after="0" w:line="15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means, with respect to a Person and its consolidated Subsidiaries, as of any date of determination, the Cash and Cash Equivalents of such Person and its consolidated Subsidiaries that (i) in accordance with GAAP are not reflected as “restricted” on the consolidated balance sheet of such Person and (ii) (A) is not (and the deposit account or securities account in which it is held is not) subject to any Lien or other preferential arrangement in favor of any creditor (other than, in respect of any such deposit account or securities account, bankers’ liens, rights of setoff and similar Liens granted to financial institutions maintaining such accounts), or (B) if such Cash and Cash Equivalents (and the deposit account or securities account in which it is held) are subject to any Lien or other preferential arrangement in favor of any creditor (other than, in respect of any such deposit account or securities account, bankers’ liens, rights of setoff and similar Liens granted to financial institutions maintaining such accounts), on such date (x) no default has occurred under the transaction documents governing the related Indebtedness and the creation of such Lien and (y) such creditor has contractually agreed that it will not exercise dominion or right of setoff or otherwise prevent such Person or its consolidated Subsidiaries from accessing and utilizing funds credited to such deposit or securities account unless an event of default (after giving effect to any applicable cure period) has occurred under such transaction documents.</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w:t>
      </w:r>
      <w:r>
        <w:rPr>
          <w:rFonts w:ascii="Times New Roman" w:cs="Times New Roman" w:eastAsia="Times New Roman" w:hAnsi="Times New Roman"/>
          <w:sz w:val="22"/>
          <w:szCs w:val="22"/>
          <w:color w:val="auto"/>
        </w:rPr>
        <w:t>” means, with respect to any Payment Date and the related Collection Period, for each Lender Group, a fee payable by the Borrower pursuant to the Fee Letter to the related Agent on such Payment Date in an amount equal to the product of (i) the Unused Fee Rate and (ii) the excess of (A) [***] % of the aggregate Commitments of the Committed Lenders in such Lender Group minus (B) [***].</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 Rate</w:t>
      </w:r>
      <w:r>
        <w:rPr>
          <w:rFonts w:ascii="Times New Roman" w:cs="Times New Roman" w:eastAsia="Times New Roman" w:hAnsi="Times New Roman"/>
          <w:sz w:val="22"/>
          <w:szCs w:val="22"/>
          <w:color w:val="auto"/>
        </w:rPr>
        <w:t>” has the meaning set forth in the Fee Letter.</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Usage Fee</w:t>
      </w:r>
      <w:r>
        <w:rPr>
          <w:rFonts w:ascii="Times New Roman" w:cs="Times New Roman" w:eastAsia="Times New Roman" w:hAnsi="Times New Roman"/>
          <w:sz w:val="22"/>
          <w:szCs w:val="22"/>
          <w:color w:val="auto"/>
        </w:rPr>
        <w:t>” means, with respect to any Payment Date and the related Collection Period, for each Lender Group, a fee payable by the Borrower pursuant to the Fee Letter to the related Agent on such Payment Date in an amount equal to the product of (i) the Usage Fee Rate and (ii) the average daily portion of the Loans Outstanding funded or maintained by the related Conduit Lenders during such Collection Period.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Usage Fee Rate</w:t>
      </w:r>
      <w:r>
        <w:rPr>
          <w:rFonts w:ascii="Times New Roman" w:cs="Times New Roman" w:eastAsia="Times New Roman" w:hAnsi="Times New Roman"/>
          <w:sz w:val="22"/>
          <w:szCs w:val="22"/>
          <w:color w:val="auto"/>
        </w:rPr>
        <w:t>” has the meaning set forth in the Fee Letter.</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8" w:name="page119"/>
    <w:bookmarkEnd w:id="118"/>
    <w:p>
      <w:pPr>
        <w:jc w:val="both"/>
        <w:spacing w:after="0" w:line="258" w:lineRule="auto"/>
        <w:rPr>
          <w:sz w:val="20"/>
          <w:szCs w:val="20"/>
          <w:color w:val="auto"/>
        </w:rPr>
      </w:pPr>
      <w:r>
        <w:rPr>
          <w:rFonts w:ascii="Times New Roman" w:cs="Times New Roman" w:eastAsia="Times New Roman" w:hAnsi="Times New Roman"/>
          <w:sz w:val="22"/>
          <w:szCs w:val="22"/>
          <w:color w:val="auto"/>
        </w:rPr>
        <w:t>recommends that the fixed income departments of its members be closed for the entire day for purposes of trading in United States government securities.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VFH</w:t>
      </w:r>
      <w:r>
        <w:rPr>
          <w:rFonts w:ascii="Times New Roman" w:cs="Times New Roman" w:eastAsia="Times New Roman" w:hAnsi="Times New Roman"/>
          <w:sz w:val="22"/>
          <w:szCs w:val="22"/>
          <w:color w:val="auto"/>
        </w:rPr>
        <w:t>” means Vroom Finance Holdings LLC, a Delaware limited liability company.</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Section 13 of the U.S. Bank Holding Company Act of 1956, as amended and the applicable rules and regulations thereunder.</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 Receivable</w:t>
      </w:r>
      <w:r>
        <w:rPr>
          <w:rFonts w:ascii="Times New Roman" w:cs="Times New Roman" w:eastAsia="Times New Roman" w:hAnsi="Times New Roman"/>
          <w:sz w:val="22"/>
          <w:szCs w:val="22"/>
          <w:color w:val="auto"/>
        </w:rPr>
        <w:t>” means a Receivable or Serviced Portfolio Receivable directly originated by Vroom Automotive, LLC, acting as a Dealer.</w:t>
      </w:r>
    </w:p>
    <w:p>
      <w:pPr>
        <w:spacing w:after="0" w:line="15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Advance Rate</w:t>
      </w:r>
      <w:r>
        <w:rPr>
          <w:rFonts w:ascii="Times New Roman" w:cs="Times New Roman" w:eastAsia="Times New Roman" w:hAnsi="Times New Roman"/>
          <w:sz w:val="20"/>
          <w:szCs w:val="20"/>
          <w:color w:val="auto"/>
        </w:rPr>
        <w:t>” means, on any Determination Date, a fraction (expressed as a percentage) the numerator of which is the sum of (a) the product of [***] (i) the Band 1 Receivables Advance Rate and (ii) the aggregate Net Principal Balance of all Band 1 Receivables on such date, (b) the product of (i) the Band 2 Receivables Advance Rate and (ii) the aggregate Net Principal Balance of all Band 2 Receivables on such date, (c) the product of (i) the Band 3 Receivables Advance Rate and (ii) the aggregate Net Principal Balance of all Band 3 Receivables on such date, (d) the product of (i) the Band 4 Advance Rate and (ii) the aggregate Net Principal Balance of all Band 4 Receivables on such date and (e) the product of (i) the Portfolio Purchase Receivables Advance Rate and (ii) the aggregate Net Principal Balance of all Portfolio Purchase Receivables on such date, and the denominator of which is the aggregate Net Principal Balance of all Eligible Receivables on such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Accounting Terms and Determinations</w:t>
      </w:r>
      <w:r>
        <w:rPr>
          <w:rFonts w:ascii="Times New Roman" w:cs="Times New Roman" w:eastAsia="Times New Roman" w:hAnsi="Times New Roman"/>
          <w:sz w:val="22"/>
          <w:szCs w:val="22"/>
          <w:color w:val="auto"/>
        </w:rPr>
        <w:t>. 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Computation of Time Periods</w:t>
      </w:r>
      <w:r>
        <w:rPr>
          <w:rFonts w:ascii="Times New Roman" w:cs="Times New Roman" w:eastAsia="Times New Roman" w:hAnsi="Times New Roman"/>
          <w:sz w:val="22"/>
          <w:szCs w:val="22"/>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172" w:lineRule="exact"/>
        <w:rPr>
          <w:sz w:val="20"/>
          <w:szCs w:val="20"/>
          <w:color w:val="auto"/>
        </w:rPr>
      </w:pPr>
    </w:p>
    <w:p>
      <w:pPr>
        <w:ind w:right="160" w:firstLine="749"/>
        <w:spacing w:after="0" w:line="259"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reproducing words in a visible form; and (x) the term “proceeds” has the meaning set forth in the applicable UCC.</w:t>
      </w:r>
    </w:p>
    <w:p>
      <w:pPr>
        <w:spacing w:after="0" w:line="20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Interest Rates</w:t>
      </w:r>
      <w:r>
        <w:rPr>
          <w:rFonts w:ascii="Times New Roman" w:cs="Times New Roman" w:eastAsia="Times New Roman" w:hAnsi="Times New Roman"/>
          <w:sz w:val="22"/>
          <w:szCs w:val="22"/>
          <w:color w:val="auto"/>
        </w:rPr>
        <w:t>. The interest rate on a Loan may be derived from an interest rate benchmark that may be discontinued or is, or may in the future become, the subject of regulatory reform. Upon the occurrence of a Benchmark Transition Event, Section 2.17(b)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Basic Documents provide support, through a guarantee or otherwise, for Hedging Agreement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Basic Documents and any Supported QFC may in fact be stated to be governed by the laws of the State of New York or of the United States or any other state of the United States):</w:t>
      </w:r>
    </w:p>
    <w:p>
      <w:pPr>
        <w:spacing w:after="0" w:line="184" w:lineRule="exact"/>
        <w:rPr>
          <w:sz w:val="20"/>
          <w:szCs w:val="20"/>
          <w:color w:val="auto"/>
        </w:rPr>
      </w:pPr>
    </w:p>
    <w:p>
      <w:pPr>
        <w:jc w:val="both"/>
        <w:ind w:firstLine="757"/>
        <w:spacing w:after="0" w:line="235"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20" w:name="page121"/>
    <w:bookmarkEnd w:id="120"/>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under a U.S. Special Resolution Regime, Default Rights under the Basic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Basic Documents were governed by the laws of the United States or a state of the United States.</w:t>
      </w:r>
    </w:p>
    <w:p>
      <w:pPr>
        <w:spacing w:after="0" w:line="138" w:lineRule="exact"/>
        <w:rPr>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used in this Section 1.06, the following terms have the following meanings:</w:t>
      </w:r>
    </w:p>
    <w:p>
      <w:pPr>
        <w:spacing w:after="0" w:line="179" w:lineRule="exact"/>
        <w:rPr>
          <w:sz w:val="20"/>
          <w:szCs w:val="20"/>
          <w:color w:val="auto"/>
        </w:rPr>
      </w:pPr>
    </w:p>
    <w:p>
      <w:pPr>
        <w:ind w:firstLine="14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1"/>
          <w:szCs w:val="21"/>
          <w:color w:val="auto"/>
        </w:rPr>
        <w:t>a “covered entity” as that term is defined in, and interpreted in accordance with, 12 C.F.R. §</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252.82(b)</w:t>
      </w:r>
    </w:p>
    <w:p>
      <w:pPr>
        <w:spacing w:after="0" w:line="141" w:lineRule="exact"/>
        <w:rPr>
          <w:sz w:val="20"/>
          <w:szCs w:val="20"/>
          <w:color w:val="auto"/>
        </w:rPr>
      </w:pPr>
    </w:p>
    <w:p>
      <w:pPr>
        <w:ind w:left="2560" w:hanging="306"/>
        <w:spacing w:after="0"/>
        <w:tabs>
          <w:tab w:leader="none" w:pos="256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“covered bank” as that term is defined in, and interpreted in accordance with, 12 C.F.R. § 47.3(b);</w:t>
      </w:r>
    </w:p>
    <w:p>
      <w:pPr>
        <w:spacing w:after="0" w:line="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or</w:t>
      </w:r>
    </w:p>
    <w:p>
      <w:pPr>
        <w:spacing w:after="0" w:line="1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181" w:lineRule="exact"/>
        <w:rPr>
          <w:sz w:val="20"/>
          <w:szCs w:val="20"/>
          <w:color w:val="auto"/>
        </w:rPr>
      </w:pPr>
    </w:p>
    <w:p>
      <w:pPr>
        <w:ind w:right="740" w:firstLine="149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LOANS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9"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herein, including this Section and Article Four, the Borrower may from time to time on any Business Day during the Revolving Period, request that each Conduit Lender and Committed Lender make an advance (each, a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in the amount of each such Conduit Lender’s or Committed Lender’s Lender Advance, to the Borrower on a Funding Date.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(b)No later than 12:00 p.m., New York City time, on the Business Day prior to the proposed Funding Date, the Borrower shall notify the Administrative Agent and the Agents of such proposed Funding Date and Loan by delivering to the Administrative Agent and the Agents (with a copy to the Account Bank), in form and substance satisfactory to the Administrative Agent:</w:t>
      </w:r>
    </w:p>
    <w:p>
      <w:pPr>
        <w:spacing w:after="0" w:line="179" w:lineRule="exact"/>
        <w:rPr>
          <w:sz w:val="20"/>
          <w:szCs w:val="20"/>
          <w:color w:val="auto"/>
        </w:rPr>
      </w:pPr>
    </w:p>
    <w:p>
      <w:pPr>
        <w:jc w:val="both"/>
        <w:ind w:left="760" w:firstLine="1123"/>
        <w:spacing w:after="0" w:line="236" w:lineRule="auto"/>
        <w:rPr>
          <w:sz w:val="20"/>
          <w:szCs w:val="20"/>
          <w:color w:val="auto"/>
        </w:rPr>
      </w:pPr>
      <w:r>
        <w:rPr>
          <w:rFonts w:ascii="Times New Roman" w:cs="Times New Roman" w:eastAsia="Times New Roman" w:hAnsi="Times New Roman"/>
          <w:sz w:val="22"/>
          <w:szCs w:val="22"/>
          <w:color w:val="auto"/>
        </w:rPr>
        <w:t>(i)a Funding Request, which will include, among other things, the proposed Funding Date, a calculation of the Borrowing Base, the Maximum Borrowing Base (calculated as of the previous Determination Date or, with respect to Receivables added to the Collateral following such Determination Date, but prior to or on such date of determination, the related Cutoff Date) and the Principal Amount of the Loan requested, which shall be in an amount at least equal to $[***] (except the Initial Loan, which shall be in a minimum amount of $[***]) or integral multiples of $[***] in excess thereof; and</w:t>
      </w:r>
    </w:p>
    <w:p>
      <w:pPr>
        <w:spacing w:after="0" w:line="179" w:lineRule="exact"/>
        <w:rPr>
          <w:sz w:val="20"/>
          <w:szCs w:val="20"/>
          <w:color w:val="auto"/>
        </w:rPr>
      </w:pPr>
    </w:p>
    <w:p>
      <w:pPr>
        <w:jc w:val="both"/>
        <w:ind w:left="760" w:right="20" w:firstLine="1123"/>
        <w:spacing w:after="0" w:line="258" w:lineRule="auto"/>
        <w:rPr>
          <w:sz w:val="20"/>
          <w:szCs w:val="20"/>
          <w:color w:val="auto"/>
        </w:rPr>
      </w:pPr>
      <w:r>
        <w:rPr>
          <w:rFonts w:ascii="Times New Roman" w:cs="Times New Roman" w:eastAsia="Times New Roman" w:hAnsi="Times New Roman"/>
          <w:sz w:val="22"/>
          <w:szCs w:val="22"/>
          <w:color w:val="auto"/>
        </w:rPr>
        <w:t>(ii)an updated Schedule of Receivables that includes each Receivable that is the subject of the proposed Loan (other than in the case of a Reborrowing).</w:t>
      </w:r>
    </w:p>
    <w:p>
      <w:pPr>
        <w:spacing w:after="0" w:line="157" w:lineRule="exact"/>
        <w:rPr>
          <w:sz w:val="20"/>
          <w:szCs w:val="20"/>
          <w:color w:val="auto"/>
        </w:rPr>
      </w:pPr>
    </w:p>
    <w:p>
      <w:pPr>
        <w:jc w:val="both"/>
        <w:ind w:firstLine="757"/>
        <w:spacing w:after="0" w:line="236" w:lineRule="auto"/>
        <w:tabs>
          <w:tab w:leader="none" w:pos="10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by the Administrative Agent and the Agents of a Funding Request, and prior to the earlier to occur of the Lender Termination Date and the Termination Date, each Conduit Lender may, in its sole discretion, make its Lender Advance of any Loan requested by the Borrower pursuant to Section 2.01(b) and if such Conduit Lender determines not to make its Lender Advance, the related Committed Lenders shall make such Lender Advance pursuant to Section 2.02(b) of any Loan requested by the Borrower, in each case subject to the conditions contained herein, in an aggregate amount equal to the Loan so requested.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(d)In no event shall:</w:t>
      </w:r>
    </w:p>
    <w:p>
      <w:pPr>
        <w:spacing w:after="0" w:line="205"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(i)a Committed Lender be required on any date to fund a Principal Amount that would cause its Lender Percentage of the Loans Outstanding, determined after giving effect to such funding, to exceed its Commitment;</w:t>
      </w:r>
    </w:p>
    <w:p>
      <w:pPr>
        <w:spacing w:after="0" w:line="157" w:lineRule="exact"/>
        <w:rPr>
          <w:sz w:val="20"/>
          <w:szCs w:val="20"/>
          <w:color w:val="auto"/>
        </w:rPr>
      </w:pPr>
    </w:p>
    <w:p>
      <w:pPr>
        <w:jc w:val="both"/>
        <w:ind w:left="760" w:firstLine="1123"/>
        <w:spacing w:after="0" w:line="239" w:lineRule="auto"/>
        <w:rPr>
          <w:sz w:val="20"/>
          <w:szCs w:val="20"/>
          <w:color w:val="auto"/>
        </w:rPr>
      </w:pPr>
      <w:r>
        <w:rPr>
          <w:rFonts w:ascii="Times New Roman" w:cs="Times New Roman" w:eastAsia="Times New Roman" w:hAnsi="Times New Roman"/>
          <w:sz w:val="22"/>
          <w:szCs w:val="22"/>
          <w:color w:val="auto"/>
        </w:rPr>
        <w:t>(ii)any Loan be requested hereunder, nor shall any Lender be obligated to fund its Lender Advance of any Loan, to the extent that after giving effect to such Loan, the Loans Outstanding would exceed the Borrowing Base (calculated as of the previous Determination Date or, with respect to any Receivables added to the Collateral following such Determination Date, but prior to or on such date of determination, the related Cutoff Date);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2" w:name="page123"/>
    <w:bookmarkEnd w:id="122"/>
    <w:p>
      <w:pPr>
        <w:jc w:val="both"/>
        <w:ind w:left="760" w:firstLine="1123"/>
        <w:spacing w:after="0" w:line="244" w:lineRule="auto"/>
        <w:rPr>
          <w:sz w:val="20"/>
          <w:szCs w:val="20"/>
          <w:color w:val="auto"/>
        </w:rPr>
      </w:pPr>
      <w:r>
        <w:rPr>
          <w:rFonts w:ascii="Times New Roman" w:cs="Times New Roman" w:eastAsia="Times New Roman" w:hAnsi="Times New Roman"/>
          <w:sz w:val="22"/>
          <w:szCs w:val="22"/>
          <w:color w:val="auto"/>
        </w:rPr>
        <w:t>(iii)a Conduit Lender fund its Lender Advance of any Loan to the extent that after giving effect to such Loan, the portion of the Loans Outstanding funded or maintained by such Conduit Lender would exceed its Maximum Loan Amount;</w:t>
      </w:r>
    </w:p>
    <w:p>
      <w:pPr>
        <w:spacing w:after="0" w:line="172"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(iv)any Loan be made during the Amortization Period or the Principal Amount of any Loan exceed the Available Amount on the related Funding Date;</w:t>
      </w:r>
    </w:p>
    <w:p>
      <w:pPr>
        <w:spacing w:after="0" w:line="15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(v)more than one Loan be funded on any Business Day or more than five Loans be made in any calendar</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week; or</w:t>
      </w:r>
    </w:p>
    <w:p>
      <w:pPr>
        <w:spacing w:after="0" w:line="181" w:lineRule="exact"/>
        <w:rPr>
          <w:sz w:val="20"/>
          <w:szCs w:val="20"/>
          <w:color w:val="auto"/>
        </w:rPr>
      </w:pPr>
    </w:p>
    <w:p>
      <w:pPr>
        <w:jc w:val="both"/>
        <w:ind w:left="760" w:firstLine="1123"/>
        <w:spacing w:after="0" w:line="239" w:lineRule="auto"/>
        <w:rPr>
          <w:sz w:val="20"/>
          <w:szCs w:val="20"/>
          <w:color w:val="auto"/>
        </w:rPr>
      </w:pPr>
      <w:r>
        <w:rPr>
          <w:rFonts w:ascii="Times New Roman" w:cs="Times New Roman" w:eastAsia="Times New Roman" w:hAnsi="Times New Roman"/>
          <w:sz w:val="22"/>
          <w:szCs w:val="22"/>
          <w:color w:val="auto"/>
        </w:rPr>
        <w:t>(vi)any Loan be funded, unless (A) the Collateral Coverage Ratio, after taking into account the Receivables being added to the Collateral on such Funding Date, is less than or equal to the Weighted Average Advance Rate on such Funding Date and (B) in the case of a Reborrowing, the Collateral Coverage Ratio is less than or equal to the Weighted Average Advance Rate on the date of such Reborrowing.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Funding Mechanics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57" w:lineRule="auto"/>
        <w:tabs>
          <w:tab w:leader="none" w:pos="101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Funding Request is delivered to the Administrative Agent or the applicable Agents after 12:00 p.m., New York City time, two (2) Business Days prior to the proposed Funding Date, such Funding Request shall be deemed to be received prior to 12:00 p.m., New York City time, on the next succeeding Business Day and the proposed Funding Date of such proposed Loan shall be deemed to be the second (2</w:t>
      </w:r>
      <w:r>
        <w:rPr>
          <w:rFonts w:ascii="Times New Roman" w:cs="Times New Roman" w:eastAsia="Times New Roman" w:hAnsi="Times New Roman"/>
          <w:sz w:val="13"/>
          <w:szCs w:val="13"/>
          <w:color w:val="auto"/>
        </w:rPr>
        <w:t>nd</w:t>
      </w:r>
      <w:r>
        <w:rPr>
          <w:rFonts w:ascii="Times New Roman" w:cs="Times New Roman" w:eastAsia="Times New Roman" w:hAnsi="Times New Roman"/>
          <w:sz w:val="20"/>
          <w:szCs w:val="20"/>
          <w:color w:val="auto"/>
        </w:rPr>
        <w:t>) Business Day following such deemed receipt. Each Funding Request shall include a representation by the Borrower that (i) the requested Loan will not, on the Funding Date, exceed the Available Amount, (ii) the requested Loan, together with the Loans Outstanding, will not, on the Funding Date, exceed the Maximum Borrowing Base and</w:t>
      </w:r>
    </w:p>
    <w:p>
      <w:pPr>
        <w:spacing w:after="0" w:line="2" w:lineRule="exact"/>
        <w:rPr>
          <w:rFonts w:ascii="Times New Roman" w:cs="Times New Roman" w:eastAsia="Times New Roman" w:hAnsi="Times New Roman"/>
          <w:sz w:val="20"/>
          <w:szCs w:val="20"/>
          <w:color w:val="auto"/>
        </w:rPr>
      </w:pPr>
    </w:p>
    <w:p>
      <w:pPr>
        <w:ind w:firstLine="8"/>
        <w:spacing w:after="0" w:line="237" w:lineRule="auto"/>
        <w:tabs>
          <w:tab w:leader="none" w:pos="3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precedent to the making of such Loan set forth in this Agreement have been (or prior to the making of such Loan on the Funding Date will be) satisfied. Any Funding Request shall be irrevocable.</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(b)Each Conduit Lender shall notify the Agent for its Lender Group by 10:00 a.m., New York City time, on the applicable Funding Date whether it has elected to make its Lender Advance offered to it pursuant to Section 2.01. In the event that a Conduit Lender shall not have timely provided such notice, such Conduit Lender shall be deemed to have elected not to make its Lender Advance of such Loan. Such Agent shall then notify each Committed Lender in the related Lender Group by 11:00 a.m., New York City time, on the applicable Funding Date if such Conduit Lender has not elected to advance its entire Lender Percentage of the Loan, which notice shall specify the portion of the Loan that such Conduit Lender has not elected to advance as provided above and subject to receiving such notice and to the satisfaction of the applicable conditions set forth in Article Four, each of such Committed Lenders shall make available on the applicable Funding Date an amount equal to its portion of the Principal Amount that such Conduit Lender has not elected to fund.</w:t>
      </w:r>
    </w:p>
    <w:p>
      <w:pPr>
        <w:spacing w:after="0" w:line="180" w:lineRule="exact"/>
        <w:rPr>
          <w:sz w:val="20"/>
          <w:szCs w:val="20"/>
          <w:color w:val="auto"/>
        </w:rPr>
      </w:pPr>
    </w:p>
    <w:p>
      <w:pPr>
        <w:jc w:val="both"/>
        <w:ind w:firstLine="757"/>
        <w:spacing w:after="0" w:line="244" w:lineRule="auto"/>
        <w:tabs>
          <w:tab w:leader="none" w:pos="101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Lender Advance of a Loan shall be made available to the Agent for its Lender Group, subject to the fulfillment of the applicable conditions set forth in Article Four, at or prior to 1:00 p.m., New York City time, on the applicable Funding Date, by deposit of immediately available funds to an account of such Agent. Such Agent shall promptly notify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23" w:name="page124"/>
    <w:bookmarkEnd w:id="123"/>
    <w:p>
      <w:pPr>
        <w:jc w:val="both"/>
        <w:spacing w:after="0" w:line="234" w:lineRule="auto"/>
        <w:rPr>
          <w:sz w:val="20"/>
          <w:szCs w:val="20"/>
          <w:color w:val="auto"/>
        </w:rPr>
      </w:pPr>
      <w:r>
        <w:rPr>
          <w:rFonts w:ascii="Times New Roman" w:cs="Times New Roman" w:eastAsia="Times New Roman" w:hAnsi="Times New Roman"/>
          <w:sz w:val="22"/>
          <w:szCs w:val="22"/>
          <w:color w:val="auto"/>
        </w:rPr>
        <w:t>Borrower and the Administrative Agent in the event that any Lender either fails to make such funds available to such Agent before such time or notifies such Agent that it will not make such funds available to such Agent before such time. Subject to (i) such Agent’s receipt of such funds and (ii) the fulfillment of the applicable conditions set forth in Article Four, as determined by such Agent, such Agent will not later than 3:00 p.m., New York City time, on such Funding Date make such funds available, in the same type of funds received, by wire transfer thereof to the Borrower’s Account. If any Lender makes available to the related Agent funds for any Loan to be made by such Lender as provided in the foregoing provisions of this Article, and such funds are not made available to the Borrower by such Agent because the conditions to the applicable Loan set forth in Article Four are not satisfied or waived in accordance with the terms hereof, such Agent shall return such funds (in like funds as received from such Lender) to such Lender, without interest.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(d)In the event that, notwithstanding the fulfillment of the applicable conditions set forth in Article Four with respect to a Loan, a Conduit Lender elected to make an advance on a Funding Date but failed to make its Lender Advance available to the Agent for its Lender Group when required by Section 2.02(c), such Conduit Lender shall be deemed to have rescinded its election to make such advance, and neither the Borrower nor any other party shall have any claim against such Conduit Lender by reason of its failure to timely make such advance. In any such case, such Agent shall give notice of such failure not later than 1:30 p.m., New York City time, on the Funding Date to each Committed Lender in the related Lender Group, the Administrative Agent and the Borrower, which notice shall specify the amount of the Lender Advance which it had elected but failed to make. Subject to receiving such notice, each of such Committed Lenders shall advance the amount described in the preceding sentence, at or before 2:00 p.m., New York City time, on such Funding Date and otherwise in accordance with Section 2.01(d). Subject to such Agent’s receipt of such funds, such Agent will not later than 3:00 p.m., New York City time, on such Funding Date make such funds available, in the same type of funds received, by wire transfer thereof to the Borrower’s Account.</w:t>
      </w:r>
    </w:p>
    <w:p>
      <w:pPr>
        <w:spacing w:after="0" w:line="166" w:lineRule="exact"/>
        <w:rPr>
          <w:sz w:val="20"/>
          <w:szCs w:val="20"/>
          <w:color w:val="auto"/>
        </w:rPr>
      </w:pPr>
    </w:p>
    <w:p>
      <w:pPr>
        <w:jc w:val="both"/>
        <w:ind w:firstLine="757"/>
        <w:spacing w:after="0" w:line="234" w:lineRule="auto"/>
        <w:tabs>
          <w:tab w:leader="none" w:pos="10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each Committed Lender may, prior to 1:00 p.m. (New York City time) on the Business Day immediately following the date of receipt of a Funding Request requesting a new Loan (a “</w:t>
      </w:r>
      <w:r>
        <w:rPr>
          <w:rFonts w:ascii="Times New Roman" w:cs="Times New Roman" w:eastAsia="Times New Roman" w:hAnsi="Times New Roman"/>
          <w:sz w:val="22"/>
          <w:szCs w:val="22"/>
          <w:u w:val="single" w:color="auto"/>
          <w:color w:val="auto"/>
        </w:rPr>
        <w:t>Requested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deliver to the Borrower, UACC and the Administrative Agent a notice (a “</w:t>
      </w:r>
      <w:r>
        <w:rPr>
          <w:rFonts w:ascii="Times New Roman" w:cs="Times New Roman" w:eastAsia="Times New Roman" w:hAnsi="Times New Roman"/>
          <w:sz w:val="22"/>
          <w:szCs w:val="22"/>
          <w:u w:val="single" w:color="auto"/>
          <w:color w:val="auto"/>
        </w:rPr>
        <w:t>Funding Delay Notice</w:t>
      </w:r>
      <w:r>
        <w:rPr>
          <w:rFonts w:ascii="Times New Roman" w:cs="Times New Roman" w:eastAsia="Times New Roman" w:hAnsi="Times New Roman"/>
          <w:sz w:val="22"/>
          <w:szCs w:val="22"/>
          <w:color w:val="auto"/>
        </w:rPr>
        <w:t>”) informing the Borrower, UACC and the Administrative Agent that such Committed Lender (a “</w:t>
      </w:r>
      <w:r>
        <w:rPr>
          <w:rFonts w:ascii="Times New Roman" w:cs="Times New Roman" w:eastAsia="Times New Roman" w:hAnsi="Times New Roman"/>
          <w:sz w:val="22"/>
          <w:szCs w:val="22"/>
          <w:u w:val="single" w:color="auto"/>
          <w:color w:val="auto"/>
        </w:rPr>
        <w:t>Delaying Lender</w:t>
      </w:r>
      <w:r>
        <w:rPr>
          <w:rFonts w:ascii="Times New Roman" w:cs="Times New Roman" w:eastAsia="Times New Roman" w:hAnsi="Times New Roman"/>
          <w:sz w:val="22"/>
          <w:szCs w:val="22"/>
          <w:color w:val="auto"/>
        </w:rPr>
        <w:t>”) has either (i) elected to delay funding its Lender Percentage of such Requested Loan or (ii) elected to fund only a portion of such Requested Loan on the originally requested Funding Date (the “</w:t>
      </w:r>
      <w:r>
        <w:rPr>
          <w:rFonts w:ascii="Times New Roman" w:cs="Times New Roman" w:eastAsia="Times New Roman" w:hAnsi="Times New Roman"/>
          <w:sz w:val="22"/>
          <w:szCs w:val="22"/>
          <w:u w:val="single" w:color="auto"/>
          <w:color w:val="auto"/>
        </w:rPr>
        <w:t>Originally Requested Funding Date</w:t>
      </w:r>
      <w:r>
        <w:rPr>
          <w:rFonts w:ascii="Times New Roman" w:cs="Times New Roman" w:eastAsia="Times New Roman" w:hAnsi="Times New Roman"/>
          <w:sz w:val="22"/>
          <w:szCs w:val="22"/>
          <w:color w:val="auto"/>
        </w:rPr>
        <w:t>”) equal to the amount specified in such Funding Delay Notice (such amount, the “</w:t>
      </w:r>
      <w:r>
        <w:rPr>
          <w:rFonts w:ascii="Times New Roman" w:cs="Times New Roman" w:eastAsia="Times New Roman" w:hAnsi="Times New Roman"/>
          <w:sz w:val="22"/>
          <w:szCs w:val="22"/>
          <w:u w:val="single" w:color="auto"/>
          <w:color w:val="auto"/>
        </w:rPr>
        <w:t>Non-Delayed Funding Amount</w:t>
      </w:r>
      <w:r>
        <w:rPr>
          <w:rFonts w:ascii="Times New Roman" w:cs="Times New Roman" w:eastAsia="Times New Roman" w:hAnsi="Times New Roman"/>
          <w:sz w:val="22"/>
          <w:szCs w:val="22"/>
          <w:color w:val="auto"/>
        </w:rPr>
        <w:t>”) and to delay its funding of the balance of such Requested Loan.</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Committed Lender delivers a Funding Delay Notice with respect to a Requested Loan by the time specified in clause (e) above, such Committed Lender shall not be required to fund, on the Originally Requested Funding Date therefore, such Requested Loan in an amount exceeding the Non-Delay Threshold, but shall be required to make a Delayed Loan in accordance with clause (g) below.</w:t>
      </w:r>
    </w:p>
    <w:p>
      <w:pPr>
        <w:spacing w:after="0" w:line="17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(g)If any Committed Lender delivers a Funding Delay Notice with respect to a Requested Loan, on the date that is ninety (90) days after the Originally Requested Funding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4" w:name="page125"/>
    <w:bookmarkEnd w:id="124"/>
    <w:p>
      <w:pPr>
        <w:jc w:val="both"/>
        <w:spacing w:after="0" w:line="239" w:lineRule="auto"/>
        <w:rPr>
          <w:sz w:val="20"/>
          <w:szCs w:val="20"/>
          <w:color w:val="auto"/>
        </w:rPr>
      </w:pPr>
      <w:r>
        <w:rPr>
          <w:rFonts w:ascii="Times New Roman" w:cs="Times New Roman" w:eastAsia="Times New Roman" w:hAnsi="Times New Roman"/>
          <w:sz w:val="22"/>
          <w:szCs w:val="22"/>
          <w:color w:val="auto"/>
        </w:rPr>
        <w:t>therefor, if the conditions precedent to any Loan (other than delivery of the original Funding Request therefor) are satisfied on that date, such Committed Lender shall remit to the Borrower an amount equal to the amount by which the amount of the originally requested Loan exceeds the Non-Delay Threshold in respect thereof (such excess amount, a “</w:t>
      </w:r>
      <w:r>
        <w:rPr>
          <w:rFonts w:ascii="Times New Roman" w:cs="Times New Roman" w:eastAsia="Times New Roman" w:hAnsi="Times New Roman"/>
          <w:sz w:val="22"/>
          <w:szCs w:val="22"/>
          <w:u w:val="single" w:color="auto"/>
          <w:color w:val="auto"/>
        </w:rPr>
        <w:t>Delayed Loan</w:t>
      </w:r>
      <w:r>
        <w:rPr>
          <w:rFonts w:ascii="Times New Roman" w:cs="Times New Roman" w:eastAsia="Times New Roman" w:hAnsi="Times New Roman"/>
          <w:sz w:val="22"/>
          <w:szCs w:val="22"/>
          <w:color w:val="auto"/>
        </w:rPr>
        <w:t>”). For the avoidance of doubt, a Delayed Loan, when made, shall be a Loan for all purposes of this Agreement.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(h)The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Reductions of Commitments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4" w:lineRule="auto"/>
        <w:tabs>
          <w:tab w:leader="none" w:pos="101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Borrower may, upon at least five Business Days’ prior written notice to the Administrative Agent, each Agent and each Hedge Counterparty (with a copy to the Account Bank), reduce the Facility Amount, which shall be applied, unless otherwise consented to by the Administrative Agent and the Agents, pro rata to the Commitments. Each Agent shall promptly deliver a copy of any notice referred to in the preceding sentence to each Lender in its Lender Group. Each partial reduction shall be in a minimum aggregate amount of $[***] or integral multiples of $[***] in excess thereof. Reductions of the Facility Amount pursuant to this Section shall be allocated to the Commitment of each Committed Lender and the Maximum Loan Amount of each Conduit Lender, pro rata based on the Lender Percentage represented by such Commitment or Maximum Loan Amount. Any request for a reduction in the Facility Amount shall be irrevocable and the Borrower shall deliver no more than four such requests in any 12-month period.</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(b)In connection with any reduction of the Facility Amount, the Borrower shall remit to each Agent for payment to each Lender, (i) instructions regarding such reduction (with a copy to the Administrative Agent) and (ii) cash in an amount sufficient to pay the Aggregate Unpaids with respect to such reduction, including any associated Breakage Costs. Upon receipt of any such amounts, each Agent shall apply such amounts first to the pro rata reduction of the Loans Outstanding, and second to the payment of the remaining Aggregate Unpaids with respect thereto, including any Breakage Costs, by paying such amounts to the Lenders pro rata, based on their respective Lender Percentages.</w:t>
      </w:r>
    </w:p>
    <w:p>
      <w:pPr>
        <w:spacing w:after="0" w:line="179" w:lineRule="exact"/>
        <w:rPr>
          <w:sz w:val="20"/>
          <w:szCs w:val="20"/>
          <w:color w:val="auto"/>
        </w:rPr>
      </w:pPr>
    </w:p>
    <w:p>
      <w:pPr>
        <w:jc w:val="both"/>
        <w:ind w:firstLine="757"/>
        <w:spacing w:after="0" w:line="244" w:lineRule="auto"/>
        <w:tabs>
          <w:tab w:leader="none" w:pos="101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Lender Termination Date for a Committed Lender or Liquidity Provider, the Commitment of such Lender shall be automatically reduced to zero. On the Termination Date, the Commitments of all Lenders shall be automatically reduced to zero.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Extensions of Commitments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9" w:lineRule="auto"/>
        <w:tabs>
          <w:tab w:leader="none" w:pos="1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Termination Event has occurred, the Borrower may request in writing, through the Agents (with a copy to the Administrative Agent and the Account Bank), that each Committed Lender and Liquidity Provider extend its Commitment Termination Date for up to an additional 364-day period as herein provided, which request may be granted or denied by each Committed Lender and Liquidity Provider in its sole discretion. Upon receipt of any such</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5" w:name="page126"/>
    <w:bookmarkEnd w:id="125"/>
    <w:p>
      <w:pPr>
        <w:jc w:val="both"/>
        <w:spacing w:after="0" w:line="232" w:lineRule="auto"/>
        <w:rPr>
          <w:sz w:val="20"/>
          <w:szCs w:val="20"/>
          <w:color w:val="auto"/>
        </w:rPr>
      </w:pPr>
      <w:r>
        <w:rPr>
          <w:rFonts w:ascii="Times New Roman" w:cs="Times New Roman" w:eastAsia="Times New Roman" w:hAnsi="Times New Roman"/>
          <w:sz w:val="22"/>
          <w:szCs w:val="22"/>
          <w:color w:val="auto"/>
        </w:rPr>
        <w:t>request, each Agent shall notify each Committed Lender and Liquidity Provider in its Lender Group. On or before the last day of the Election Period, each Committed Lender and Liquidity Provider shall notify the Agent for its Lender Group of its willingness or refusal to so extend its Commitment Termination Date, provided that the failure of any Committed Lender or Liquidity Provider to timely respond shall be deemed to be its refusal to so extend, and such Agent shall notify the Borrower, the Account Bank and the Administrative Agent of such willingness or refusal by the Committed Lenders and Liquidity Providers not later than the Business Day following the last day of the Election Period. No Liquidity Provider may consent to an extension of its Commitment Termination Date without the consent of each Conduit Lender, if any, for which it acts as a Liquidity Provider. If (i) one or more Committed Lenders or Liquidity Providers have agreed to extend the Commitment Termination Date and (ii) at the end of the applicable Election Period, no Termination Event shall have occurred and be continuing, the Commitment Termination Date then in effect for each such Committed Lender and Liquidity Provider shall be extended to the date which is 364 days following the last day of the Election Period or, if such day is not a Business Day, the next preceding Business Day (or any other date as agreed upon by the Borrower and each Committed Lender and Liquidity Provider); provided, that if not all Committed Lenders and Liquidity Providers have agreed to such extension, the Borrower may elect, by notice to each Agent (with a copy to the Administrative Agent and the Account Bank) delivered not later than five Business Days after the end of the Election Period, not to have such extension become effective.</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(b)Within two Business Days following the end of an Election Period, the Agent for each Lender Group shall notify each other Lender in such Lender Group, the Administrative Agent, the Account Bank and the Borrower of the identity of any Dissenting Lender and the amount of its Commitment. Such Agent, the Borrower and, if the Dissenting Lender is a Liquidity Provider, the affected Conduit Lender may (but shall not be required to) request one or more other Lenders in such Lender Group, with the consent of the Agent for such Lender Group (which shall not be unreasonably withheld) and, if the Dissenting Lender is a Liquidity Provider, the affected Conduit Lender in its sole discretion, or seek another financial institution reasonably acceptable to such Agent and, if the Dissenting Lender is a Liquidity Provider acceptable to the affected Conduit Lender in its sole discretion,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Agent for its Lender Group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spacing w:after="0" w:line="200" w:lineRule="exact"/>
        <w:rPr>
          <w:sz w:val="20"/>
          <w:szCs w:val="20"/>
          <w:color w:val="auto"/>
        </w:rPr>
      </w:pPr>
    </w:p>
    <w:p>
      <w:pPr>
        <w:spacing w:after="0" w:line="209" w:lineRule="exact"/>
        <w:rPr>
          <w:sz w:val="20"/>
          <w:szCs w:val="20"/>
          <w:color w:val="auto"/>
        </w:rPr>
      </w:pPr>
    </w:p>
    <w:p>
      <w:pPr>
        <w:jc w:val="both"/>
        <w:ind w:firstLine="757"/>
        <w:spacing w:after="0" w:line="235"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6" w:name="page127"/>
    <w:bookmarkEnd w:id="126"/>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(d)Prior to the occurrence of a Termination Event, if a Partial Expiration Event has occurred, the related Agent shall give notice to the Borrower and the Servicer (with a copy to the Administrative Agent and the Account Bank) to apply any Collections in accordance with Section 2.08(vii), to the pro rata repayment of such amounts owing to any Non-Extending Lender as of the date of the related Partial Expiration Event, commencing no later than the first Payment Date which is at least two Business Days following the Lender Termination Date for the Non-Extending Lender, specifying the amounts thereof.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The Notes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9"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made by the Lenders hereunder shall be evidenced by one or more duly executed promissory notes payable to the order of the Persons specified by the Owners, in an aggregate principal amount not to exceed the Aggregate Commitment, in substantially the form of Exhibit B hereto (each, a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Each Note shall be dated the Closing Date and shall otherwise be duly completed.</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(b)Each Agent is hereby authorized to enter notations (which may be computer generated) on a schedule attached to the Note with respect to each Lender Advance made by each Lender in its Lender Group hereunder, regarding (i) the date and principal amount thereof and (ii) each payment and repayment of principal thereof and any such recordation shall constitute prima facie evidence of the accuracy of the information so recorded. The failure of an Agent to make any such notation on the schedule attached to the Note shall not limit or otherwise affect the obligation of the Borrower to repay the Loans in accordance with their respective terms as set forth herein.</w:t>
      </w:r>
    </w:p>
    <w:p>
      <w:pPr>
        <w:spacing w:after="0" w:line="179" w:lineRule="exact"/>
        <w:rPr>
          <w:sz w:val="20"/>
          <w:szCs w:val="20"/>
          <w:color w:val="auto"/>
        </w:rPr>
      </w:pPr>
    </w:p>
    <w:p>
      <w:pPr>
        <w:ind w:firstLine="757"/>
        <w:spacing w:after="0" w:line="258"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Facility Termination Date, each Agent shall mark each Note for its Lender Group “Paid” and return it to the Borrower.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Optional Principal Repayments; Interpayments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56" w:lineRule="auto"/>
        <w:tabs>
          <w:tab w:leader="none" w:pos="1018"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Business Day prior to the Termination Date, on at least two Business Days’ prior written notice to the Administrative Agent, the Account Bank and each Hedge Counterparty, in connection with a Securitization, the Borrower may prepay all (but not less than all) of the Loans Outstanding, except for the Loans Outstanding that are funding any Portfolio Purchase Receivables; provided that (i) the Borrower pays to the Administrative Agent, for the account of the Secured Parties, on the date of any such prepayment (a) accrued Interest with respect to the Loans Outstanding through the date of prepayment, as calculated by the Administrative Agent, and (b) all other Aggregate Unpaids (including all Breakage Costs) payable under this Agreement through the date of such prepayment, including any fees or other amounts payable pursuant to Section 10.01, (iii) the Borrower certifies that following such prepayment, the Borrower will be in compliance with the provisions of this Agreement and</w:t>
      </w:r>
    </w:p>
    <w:p>
      <w:pPr>
        <w:spacing w:after="0" w:line="3" w:lineRule="exact"/>
        <w:rPr>
          <w:rFonts w:ascii="Times New Roman" w:cs="Times New Roman" w:eastAsia="Times New Roman" w:hAnsi="Times New Roman"/>
          <w:sz w:val="20"/>
          <w:szCs w:val="20"/>
          <w:color w:val="auto"/>
        </w:rPr>
      </w:pPr>
    </w:p>
    <w:p>
      <w:pPr>
        <w:jc w:val="both"/>
        <w:ind w:firstLine="8"/>
        <w:spacing w:after="0" w:line="235" w:lineRule="auto"/>
        <w:tabs>
          <w:tab w:leader="none" w:pos="3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such prepayment, the Loans Outstanding shall not exceed the Borrowing Base. Any notice of a prepayment shall be irrevocable. Each Agent shall provide prompt notice to the Lenders in its Lender Group following receipt of any notice of intent to prepay the Loans Outstanding in connection with a Securitization.</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(b)On the related prepayment date, the Borrower shall be deemed to have certified that, after giving effect to such prepayment and the release to the Borrower of the related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7" w:name="page128"/>
    <w:bookmarkEnd w:id="127"/>
    <w:p>
      <w:pPr>
        <w:spacing w:after="0" w:line="258" w:lineRule="auto"/>
        <w:rPr>
          <w:sz w:val="20"/>
          <w:szCs w:val="20"/>
          <w:color w:val="auto"/>
        </w:rPr>
      </w:pPr>
      <w:r>
        <w:rPr>
          <w:rFonts w:ascii="Times New Roman" w:cs="Times New Roman" w:eastAsia="Times New Roman" w:hAnsi="Times New Roman"/>
          <w:sz w:val="22"/>
          <w:szCs w:val="22"/>
          <w:color w:val="auto"/>
        </w:rPr>
        <w:t>Receivables, the Termination Date has not occurred nor will an Unmatured Termination Event or a Termination Event result from such prepayment.</w:t>
      </w:r>
    </w:p>
    <w:p>
      <w:pPr>
        <w:spacing w:after="0" w:line="157" w:lineRule="exact"/>
        <w:rPr>
          <w:sz w:val="20"/>
          <w:szCs w:val="20"/>
          <w:color w:val="auto"/>
        </w:rPr>
      </w:pPr>
    </w:p>
    <w:p>
      <w:pPr>
        <w:jc w:val="both"/>
        <w:ind w:firstLine="757"/>
        <w:spacing w:after="0" w:line="239"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the reasonable out-of-pocket legal fees and expenses of the Account Bank, the Administrative Agent, the Agents and the Lenders in connection with any prepayment or Securitization (including expenses incurred in connection with the release of the Lien of the Administrative Agent, the Agents, the Lenders and any other party having such an interest in the Receivables in connection with such prepayment or Securitization).</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(d)Notwithstanding the provisions of Section 2.06(a), the Borrower may, prior to the occurrence of a Termination Event, with prior written notice to the Administrative Agent and each Hedge Counterparty (with a copy to the Account Bank) not later than 12:00 p.m., New York City time, at least three Business Days’ prior to such proposed prepayment and only if approved by the Administrative Agent in its sole discretion, prepay all or any portion of the Loans Outstanding on any Business Day by making an Interpayment. Such written notice of a proposed Interpayment shall be in form and substance satisfactory to the Administrative Agent and shall include, without limitation, representations and warranties that no Early Amortization Event, Termination Event or Servicer Termination Event has occurred and is continuing. On the Payment Date relating to the Collection Period during which an Interpayment is made, if required by the Administrative Agent, UACC shall deposit into the Collection Account an amount equal to the Monthly Accrued Interest Payment Amount.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44"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Interest on the unpaid Principal Amount of each Loan for the period from the related Funding Date until the date that such Loan shall be paid in full. Interest shall accrue during each Interest Period and be payable on the Loans Outstanding on each Payment Date in accordance with Section 2.08, unless earlier paid pursuant to Section 2.06.</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(b)Each Lender’s Invested Percentage of the Loans Outstanding shall bear interest on each day during each Interest Period at a rate per annum equal to (i) in the case of a Conduit Lender, to the extent such Conduit Lender funds or maintains its Invested Percentage of the Loans Outstanding through the issuance of Commercial Paper Notes, such Lender’s Cost of Funds Rate for such day or (ii) in the case of a Conduit Lender, to the extent such Conduit Lender funds or maintains its Invested Percentage of the Loans Outstanding other than through the issuance of Commercial Paper Notes, or, in the case of a Committed Lender, the Drawn Liquidity Rate on such day.</w:t>
      </w:r>
    </w:p>
    <w:p>
      <w:pPr>
        <w:spacing w:after="0" w:line="179" w:lineRule="exact"/>
        <w:rPr>
          <w:sz w:val="20"/>
          <w:szCs w:val="20"/>
          <w:color w:val="auto"/>
        </w:rPr>
      </w:pPr>
    </w:p>
    <w:p>
      <w:pPr>
        <w:jc w:val="both"/>
        <w:ind w:firstLine="757"/>
        <w:spacing w:after="0" w:line="265" w:lineRule="auto"/>
        <w:tabs>
          <w:tab w:leader="none" w:pos="101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in an applicable Conduit Supplement, Interest calculated by reference to (i) the Cost of Funds Rate or the Adjusted Daily Simple SOFR shall be calculated on the basis of a 360-day year for the actual days elapsed and</w:t>
      </w:r>
    </w:p>
    <w:p>
      <w:pPr>
        <w:spacing w:after="0" w:line="1" w:lineRule="exact"/>
        <w:rPr>
          <w:rFonts w:ascii="Times New Roman" w:cs="Times New Roman" w:eastAsia="Times New Roman" w:hAnsi="Times New Roman"/>
          <w:sz w:val="20"/>
          <w:szCs w:val="20"/>
          <w:color w:val="auto"/>
        </w:rPr>
      </w:pPr>
    </w:p>
    <w:p>
      <w:pPr>
        <w:jc w:val="both"/>
        <w:ind w:firstLine="8"/>
        <w:spacing w:after="0" w:line="235" w:lineRule="auto"/>
        <w:tabs>
          <w:tab w:leader="none" w:pos="32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Prime Rate and the Federal Funds Effective Rate shall be calculated on the basis of a 365- or 366-day year, as applicable, for the actual days elapsed. Periodic fees or other periodic amounts payable hereunder shall be calculated, unless otherwise specified in the applicable Conduit Supplement, on the basis of a 360-day year and for the actual days elapsed.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8" w:name="page129"/>
    <w:bookmarkEnd w:id="128"/>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(d)The principal of and Interest on the Notes shall be paid as provided herein and in the Notes. In the case of Notes held by an Agent as agent for its Lender Group, such Agent shall allocate to the members of its Lender Group each payment in respect of the Notes received by such Agent as provided herein. Payments in respect of principal and Interest (including pursuant to Section 2.06) shall be allocated and applied to Owners of such Note based on their respective Invested Percentages, or in any such case in such other proportions as each affected Lender may agree upon in writing from time to time with such Agent and the Borrower; provided that from and after the Lender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2.08(vii) in reduction of the Partial Expiration Event Amount shall be allocated and applied to Non-Extending Lenders and related Conduit Lenders pro rata based on their respective Lender Percentages.</w:t>
      </w:r>
    </w:p>
    <w:p>
      <w:pPr>
        <w:spacing w:after="0" w:line="176" w:lineRule="exact"/>
        <w:rPr>
          <w:sz w:val="20"/>
          <w:szCs w:val="20"/>
          <w:color w:val="auto"/>
        </w:rPr>
      </w:pPr>
    </w:p>
    <w:p>
      <w:pPr>
        <w:jc w:val="both"/>
        <w:ind w:firstLine="757"/>
        <w:spacing w:after="0" w:line="236"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before 3:00 p.m., New York City time, on the second Business Day after each Determination Date, each Conduit Lender shall notify the Agent for its Lender Group of (i) its Cost of Funds Rate in effect for the related Interest Period, and (ii) if applicable, the date on which the Drawn Liquidity Rate became applicable to its Invested Percentage of the Loans Outstanding or a portion thereof. Each determination by a Conduit Lender of its applicable Cost of Funds Rate pursuant to this Agreement shall be conclusive and binding on the Lenders, each Agent, the Borrower, the Servicer, the Backup Servicer and the Custodian, in the absence of manifest error.</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before 4:00 p.m., New York City time, on the second Business Day after each Determination Date, the Agent for each Lender Group shall notify the Administrative Agent of (i) the applicable Cost of Funds Rates for such Lender Group and the related Interest Period and, if applicable, the dates on which the Drawn Liquidity Rate was applicable to the Invested Percentage of the Loans Outstanding owed to any member of its Lender Group and (ii) the Drawn Liquidity Rate and the Alternate Base Rate, if applicable, for such Lender Group and the related Interest Period. At or before 5:00 p.m., New York City time, on the day that is two Business Days after each Determination Date, the Agents shall then notify the Borrower of all such rates. For such purposes, the Agents may rely conclusively on notices from Lenders as to the interest rate or rates from time to time applicable to their respective Invested Percentage of the Loans Outstanding. Each determination of the Cost of Funds Rate, the Drawn Liquidity Rate, Adjusted Daily Simple SOFR, Daily Simple SOFR and the Alternate Base Rate by the Administrative Agent or an Agent pursuant to any provision of this Agreement shall be conclusive and binding on the Lenders and the Borrower in the absence of manifest error.</w:t>
      </w:r>
    </w:p>
    <w:p>
      <w:pPr>
        <w:spacing w:after="0" w:line="18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(g)Notwithstanding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lawfully have received, had the Interest due been calculated from the Closing Date at the Maximum Lawful Rate.</w:t>
      </w:r>
    </w:p>
    <w:p>
      <w:pPr>
        <w:spacing w:after="0" w:line="20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(h)JPMorgan hereby notifies the Borrower and Servicer that: (i) JPMorgan and/or its affiliates may from time to time purchase, hold or sell, as principal and/or agent, Commercial Paper Notes issued by Conduit Lender; (ii) JPMorgan and/or its affiliates act as administrative agent for Conduit Lender, and as administrative agent JPMorgan manages Conduit Lender’s issuance of Commercial Paper Notes, including the selection of amount and tenor of Commercial Paper Note issuance, and the discount or interest rate applicable thereto; (iii) JPMorgan and/or its affiliates act as a Commercial Paper Note dealer for Conduit Lender; and (iv) JPMorgan’s activities as administrative agent and Commercial Paper Note dealer for Conduit Lender, and as a purchaser or seller of Commercial Paper Notes, impact the interest or discount rate applicable to the Commercial Paper Notes issued by Conduit Lender, which impact the Cost of Funds Rate paid by the Borrower hereunder. By execution hereof, each of the Servicer and the Borrower hereby (x) acknowledges the foregoing and agrees that JPMorgan does not warrant or accept any responsibility for, and shall not have any liability with respect to, the interest or discount rate paid by Conduit Lender in connection with its Commercial Paper Note issuance; (y) acknowledges that the discount or interest rate at which JPMorgan and/or its affiliates purchase or sell Commercial Paper Notes will be determined by JPMorgan and/or its affiliates in their sole discretion and may differ from the discount or interest rate applicable to comparable transactions entered into by JPMorgan and/or its affiliates on the relevant date; and (z) waives any conflict of interest arising by reason of JPMorgan and/or its affiliates acting as administrative agent and Commercial Paper Note dealer for Conduit Lender while acting as purchaser or seller of Commercial Paper Notes.</w:t>
      </w:r>
    </w:p>
    <w:p>
      <w:pPr>
        <w:spacing w:after="0" w:line="186" w:lineRule="exact"/>
        <w:rPr>
          <w:sz w:val="20"/>
          <w:szCs w:val="20"/>
          <w:color w:val="auto"/>
        </w:rPr>
      </w:pPr>
    </w:p>
    <w:p>
      <w:pPr>
        <w:jc w:val="both"/>
        <w:ind w:firstLine="757"/>
        <w:spacing w:after="0" w:line="239"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Outstanding shall be payable in installments equal to the Monthly Principal Payment Amount on each Payment Date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Notwithstanding the foregoing, the Loans Outstanding and all Interest thereon shall be due and payable on the earlier of (i) the date on which the “Termination Date” is declared or automatically occurs pursuant to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xml:space="preserve"> and (ii) on the Maturity Date.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Settlement Procedures</w:t>
      </w:r>
      <w:r>
        <w:rPr>
          <w:rFonts w:ascii="Times New Roman" w:cs="Times New Roman" w:eastAsia="Times New Roman" w:hAnsi="Times New Roman"/>
          <w:sz w:val="22"/>
          <w:szCs w:val="22"/>
          <w:color w:val="auto"/>
        </w:rPr>
        <w:t>. On each Payment Date, the Servicer shall instruct the Account Bank to pay to the following Persons, from the Collection Account to the extent of Available Funds, the following amounts in the following order of priority, as set forth in the Monthly Report:</w:t>
      </w:r>
    </w:p>
    <w:p>
      <w:pPr>
        <w:spacing w:after="0" w:line="168" w:lineRule="exact"/>
        <w:rPr>
          <w:sz w:val="20"/>
          <w:szCs w:val="20"/>
          <w:color w:val="auto"/>
        </w:rPr>
      </w:pPr>
    </w:p>
    <w:p>
      <w:pPr>
        <w:jc w:val="both"/>
        <w:ind w:left="760" w:firstLine="1123"/>
        <w:spacing w:after="0" w:line="23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spacing w:after="0" w:line="175" w:lineRule="exact"/>
        <w:rPr>
          <w:sz w:val="20"/>
          <w:szCs w:val="20"/>
          <w:color w:val="auto"/>
        </w:rPr>
      </w:pPr>
    </w:p>
    <w:p>
      <w:pPr>
        <w:jc w:val="both"/>
        <w:ind w:left="760" w:firstLine="1123"/>
        <w:spacing w:after="0"/>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pro rata, (A) to the extent not paid for by UACC, to the Backup Servicer, so long as the Backup Servicer has not been appointed to serve as successor to the Servicer hereunder, the accrued and unpaid Backup Servicing Fee to the Backup Servicer, together with its expenses, which expenses, except as otherwise provided in Section 7.10(b), shall not exceed $[***] per annum, together with any Transition Expenses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30" w:name="page131"/>
    <w:bookmarkEnd w:id="130"/>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not paid for by the predecessor Servicer pursuant to Section 7.15(e) and (B) to the Account Bank, an amount equal to any accrued and unpaid Account Bank Fee, together with its expenses;</w:t>
      </w:r>
    </w:p>
    <w:p>
      <w:pPr>
        <w:spacing w:after="0" w:line="1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extent not paid for by UACC, to the Custodian, the accrued and unpaid Custodian Fee;</w:t>
      </w:r>
    </w:p>
    <w:p>
      <w:pPr>
        <w:spacing w:after="0" w:line="205" w:lineRule="exact"/>
        <w:rPr>
          <w:sz w:val="20"/>
          <w:szCs w:val="20"/>
          <w:color w:val="auto"/>
        </w:rPr>
      </w:pPr>
    </w:p>
    <w:p>
      <w:pPr>
        <w:jc w:val="both"/>
        <w:ind w:left="760" w:firstLine="1123"/>
        <w:spacing w:after="0" w:line="261"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the Administrative Agent for the ratable payment to each Lender, an amount equal to any accrued and unpaid Senior Monthly Interest and Fees;</w:t>
      </w:r>
    </w:p>
    <w:p>
      <w:pPr>
        <w:spacing w:after="0" w:line="151" w:lineRule="exact"/>
        <w:rPr>
          <w:sz w:val="20"/>
          <w:szCs w:val="20"/>
          <w:color w:val="auto"/>
        </w:rPr>
      </w:pPr>
    </w:p>
    <w:p>
      <w:pPr>
        <w:jc w:val="both"/>
        <w:ind w:left="760" w:firstLine="1123"/>
        <w:spacing w:after="0" w:line="261" w:lineRule="auto"/>
        <w:rPr>
          <w:sz w:val="20"/>
          <w:szCs w:val="20"/>
          <w:color w:val="auto"/>
        </w:rPr>
      </w:pPr>
      <w:r>
        <w:rPr>
          <w:rFonts w:ascii="Times New Roman" w:cs="Times New Roman" w:eastAsia="Times New Roman" w:hAnsi="Times New Roman"/>
          <w:sz w:val="22"/>
          <w:szCs w:val="22"/>
          <w:color w:val="auto"/>
        </w:rPr>
        <w:t>(v)</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each Agent for the ratable payment to each Lender, an amount equal to the Monthly Principal Payment Amount;</w:t>
      </w:r>
    </w:p>
    <w:p>
      <w:pPr>
        <w:spacing w:after="0" w:line="151" w:lineRule="exact"/>
        <w:rPr>
          <w:sz w:val="20"/>
          <w:szCs w:val="20"/>
          <w:color w:val="auto"/>
        </w:rPr>
      </w:pPr>
    </w:p>
    <w:p>
      <w:pPr>
        <w:jc w:val="both"/>
        <w:ind w:left="760" w:firstLine="1123"/>
        <w:spacing w:after="0" w:line="261"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each Agent for the ratable payment to each Lender, an amount equal to any accrued and unpaid Subordinated Monthly Interest and Fees;</w:t>
      </w:r>
    </w:p>
    <w:p>
      <w:pPr>
        <w:spacing w:after="0" w:line="151" w:lineRule="exact"/>
        <w:rPr>
          <w:sz w:val="20"/>
          <w:szCs w:val="20"/>
          <w:color w:val="auto"/>
        </w:rPr>
      </w:pPr>
    </w:p>
    <w:p>
      <w:pPr>
        <w:jc w:val="both"/>
        <w:ind w:left="760" w:firstLine="1123"/>
        <w:spacing w:after="0" w:line="261"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to the Hedge Reserve Account, the amount (if any) necessary to cause the Hedge Account Reserve Amount to be equal to the Hedge Account Required Amount;</w:t>
      </w:r>
    </w:p>
    <w:p>
      <w:pPr>
        <w:spacing w:after="0" w:line="151" w:lineRule="exact"/>
        <w:rPr>
          <w:sz w:val="20"/>
          <w:szCs w:val="20"/>
          <w:color w:val="auto"/>
        </w:rPr>
      </w:pPr>
    </w:p>
    <w:p>
      <w:pPr>
        <w:jc w:val="both"/>
        <w:ind w:left="760" w:right="20" w:firstLine="1123"/>
        <w:spacing w:after="0" w:line="261" w:lineRule="auto"/>
        <w:rPr>
          <w:sz w:val="20"/>
          <w:szCs w:val="20"/>
          <w:color w:val="auto"/>
        </w:rPr>
      </w:pPr>
      <w:r>
        <w:rPr>
          <w:rFonts w:ascii="Times New Roman" w:cs="Times New Roman" w:eastAsia="Times New Roman" w:hAnsi="Times New Roman"/>
          <w:sz w:val="22"/>
          <w:szCs w:val="22"/>
          <w:color w:val="auto"/>
        </w:rPr>
        <w:t>(viii)</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xml:space="preserve"> if a Partial Expiration Event has occurred, the remaining funds to reduce pro rata the portion of the Loans Outstanding constituting the Lender Advances of any Non-Extending Lender, to zero;</w:t>
      </w:r>
    </w:p>
    <w:p>
      <w:pPr>
        <w:spacing w:after="0" w:line="151" w:lineRule="exact"/>
        <w:rPr>
          <w:sz w:val="20"/>
          <w:szCs w:val="20"/>
          <w:color w:val="auto"/>
        </w:rPr>
      </w:pPr>
    </w:p>
    <w:p>
      <w:pPr>
        <w:jc w:val="both"/>
        <w:ind w:left="760" w:firstLine="1123"/>
        <w:spacing w:after="0" w:line="237"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pro rata (A) to the Administrative Agent, to each Agent for the ratable payment to each Lender, the Affected Parties or the Indemnified Parties, all Breakage Costs and all other Aggregate Unpaids allocable to the Loans Outstanding (other than the principal amount of the Loans Outstanding) then due and payable under this Agreement or any other Basic Document and (B) to the Servicer, the Owner Trustee, the Backup Servicer, the Custodian (if other than UACC), the Account Bank and any Successor Servicer, any fees, expenses and indemnities not paid pursuant to clauses (i) through (vi) above; and</w:t>
      </w:r>
    </w:p>
    <w:p>
      <w:pPr>
        <w:spacing w:after="0" w:line="17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(x)</w:t>
      </w:r>
      <w:r>
        <w:rPr>
          <w:rFonts w:ascii="Times New Roman" w:cs="Times New Roman" w:eastAsia="Times New Roman" w:hAnsi="Times New Roman"/>
          <w:sz w:val="22"/>
          <w:szCs w:val="22"/>
          <w:i w:val="1"/>
          <w:iCs w:val="1"/>
          <w:color w:val="auto"/>
        </w:rPr>
        <w:t>tenth</w:t>
      </w:r>
      <w:r>
        <w:rPr>
          <w:rFonts w:ascii="Times New Roman" w:cs="Times New Roman" w:eastAsia="Times New Roman" w:hAnsi="Times New Roman"/>
          <w:sz w:val="22"/>
          <w:szCs w:val="22"/>
          <w:color w:val="auto"/>
        </w:rPr>
        <w:t>, any remaining amount shall be distributed to the Borrower.</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Mandatory Payments</w:t>
      </w:r>
      <w:r>
        <w:rPr>
          <w:rFonts w:ascii="Times New Roman" w:cs="Times New Roman" w:eastAsia="Times New Roman" w:hAnsi="Times New Roman"/>
          <w:sz w:val="20"/>
          <w:szCs w:val="20"/>
          <w:color w:val="auto"/>
        </w:rPr>
        <w:t>. The Borrower promises to pay to each Agent for the account of each related Lender,</w:t>
      </w:r>
    </w:p>
    <w:p>
      <w:pPr>
        <w:spacing w:after="0" w:line="37" w:lineRule="exact"/>
        <w:rPr>
          <w:sz w:val="20"/>
          <w:szCs w:val="20"/>
          <w:color w:val="auto"/>
        </w:rPr>
      </w:pPr>
    </w:p>
    <w:p>
      <w:pPr>
        <w:jc w:val="both"/>
        <w:ind w:firstLine="8"/>
        <w:spacing w:after="0" w:line="235" w:lineRule="auto"/>
        <w:tabs>
          <w:tab w:leader="none" w:pos="26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written request of such Agent, all Breakage Costs, the amount of which shall be determined by a Lender, set forth in a written notice to the Borrower and shall be conclusive absent manifest error, which amounts shall be paid in accordance with Section 2.08 and (ii) all other amounts required to be paid by the Borrower in accordance herewith.</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Payments, Computations, Etc</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7" w:lineRule="auto"/>
        <w:tabs>
          <w:tab w:leader="none" w:pos="10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herein, all amounts to be paid or deposited by the Borrower hereunder shall be paid or deposited in accordance with the terms hereof no later than 12:00 p.m., Chicago, Illinois time, on the day when due in Dollars in immediately available funds to the depository account or accounts specified by the related Agent of the Lender. Except as otherwise provided in Section 2.07, the Borrower shall, to the extent permitted by Applicable Law, pay to the Lender interest on all amounts not paid or deposited when due hereunder at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1" w:name="page132"/>
    <w:bookmarkEnd w:id="131"/>
    <w:p>
      <w:pPr>
        <w:jc w:val="both"/>
        <w:spacing w:after="0" w:line="258" w:lineRule="auto"/>
        <w:rPr>
          <w:sz w:val="20"/>
          <w:szCs w:val="20"/>
          <w:color w:val="auto"/>
        </w:rPr>
      </w:pPr>
      <w:r>
        <w:rPr>
          <w:rFonts w:ascii="Times New Roman" w:cs="Times New Roman" w:eastAsia="Times New Roman" w:hAnsi="Times New Roman"/>
          <w:sz w:val="22"/>
          <w:szCs w:val="22"/>
          <w:color w:val="auto"/>
        </w:rPr>
        <w:t>Default Rate, payable on demand; provided, however, that such interest rate shall not at any time exceed the Maximum Lawful Rate.</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12:00 p.m., Chicago, Illinois time, such payment shall be deemed to have been received on the next succeeding Business Day, and any such extension of time shall in such case be included in the computation of payment of Interest, other interest or any fee payable hereunder, as the case may be.</w:t>
      </w:r>
    </w:p>
    <w:p>
      <w:pPr>
        <w:spacing w:after="0" w:line="179" w:lineRule="exact"/>
        <w:rPr>
          <w:sz w:val="20"/>
          <w:szCs w:val="20"/>
          <w:color w:val="auto"/>
        </w:rPr>
      </w:pPr>
    </w:p>
    <w:p>
      <w:pPr>
        <w:jc w:val="both"/>
        <w:ind w:firstLine="757"/>
        <w:spacing w:after="0" w:line="236" w:lineRule="auto"/>
        <w:tabs>
          <w:tab w:leader="none" w:pos="101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requested by the Borrower and approved by a Lender and the related Agent pursuant to Section 2.01 is not, for any reason other than due to the fault of a Lender or the Administrative Agent,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(d)Except as otherwise provided herein, all payments hereunder shall be made without set-off or counterclaim and in such amounts as may be necessary in order that all such payments shall not be less than the amounts otherwise specified to be paid under this Agreement.</w:t>
      </w:r>
    </w:p>
    <w:p>
      <w:pPr>
        <w:spacing w:after="0" w:line="172" w:lineRule="exact"/>
        <w:rPr>
          <w:sz w:val="20"/>
          <w:szCs w:val="20"/>
          <w:color w:val="auto"/>
        </w:rPr>
      </w:pPr>
    </w:p>
    <w:p>
      <w:pPr>
        <w:jc w:val="both"/>
        <w:ind w:firstLine="757"/>
        <w:spacing w:after="0" w:line="236" w:lineRule="auto"/>
        <w:tabs>
          <w:tab w:leader="none" w:pos="10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Collections and Allocations; Investment of Funds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4"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Local Bank Account; provided, that such payments may also be directed to and accepted by the Servicer in accordance with the Credit and Collection Policy. The Servicer shall provide the Local Bank with standing instructions to remit all cleared funds in the Local Bank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 on behalf of the Administrative Agent and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2" w:name="page133"/>
    <w:bookmarkEnd w:id="132"/>
    <w:p>
      <w:pPr>
        <w:jc w:val="both"/>
        <w:spacing w:after="0" w:line="234" w:lineRule="auto"/>
        <w:rPr>
          <w:sz w:val="20"/>
          <w:szCs w:val="20"/>
          <w:color w:val="auto"/>
        </w:rPr>
      </w:pPr>
      <w:r>
        <w:rPr>
          <w:rFonts w:ascii="Times New Roman" w:cs="Times New Roman" w:eastAsia="Times New Roman" w:hAnsi="Times New Roman"/>
          <w:sz w:val="22"/>
          <w:szCs w:val="22"/>
          <w:color w:val="auto"/>
        </w:rPr>
        <w:t>other secured parties as set forth in the Intercreditor Agreement and the Intercreditor Party Supplement, shall have exclusive access to the Post Office Boxes. The Servicer shall direct the Local Bank to remove all payments on or in respect of the Receivables from the Post Office Boxes on each Business Day and shall deposit such amounts into the Local Bank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Local Bank Account shall be performed by the Backup Servicer unless otherwise designated by the Administrative Agent in writing.</w:t>
      </w:r>
    </w:p>
    <w:p>
      <w:pPr>
        <w:spacing w:after="0" w:line="18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(b)On the Closing Date and on each Funding Date, the Servicer will deposit (in immediately available funds) into the Collection Account all Collections available after the applicable Cutoff Date and through and including the Closing Date or Funding Date, as the case may be, in respect of Receivables added to the Collateral on the related date. The Servicer will deposit all Collections received into the Collection Account within two (2) Business Days of receipt.</w:t>
      </w:r>
    </w:p>
    <w:p>
      <w:pPr>
        <w:spacing w:after="0" w:line="179" w:lineRule="exact"/>
        <w:rPr>
          <w:sz w:val="20"/>
          <w:szCs w:val="20"/>
          <w:color w:val="auto"/>
        </w:rPr>
      </w:pPr>
    </w:p>
    <w:p>
      <w:pPr>
        <w:jc w:val="both"/>
        <w:ind w:firstLine="757"/>
        <w:spacing w:after="0" w:line="244"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(d)To the extent there are uninvested amounts on deposit in the Collection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No Permitted Investment may be purchased at a premium. Any earnings (and losses) on the foregoing investments shall be for the account of the Borrower.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9" w:lineRule="auto"/>
        <w:tabs>
          <w:tab w:leader="none" w:pos="10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to each Agent, for the account of the related Lenders, monthly in arrears, the Usage Fees and Unused Fees from the Collection Account in accordance with Section 2.08 and the Fee Letter. Payments of the Usage Fees and Unused Fees shall be allocated and paid to Owners based upon their respective Invested Percentages for the applicable Interest Period.</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(b)The Servicer, any Successor Servicer, the Backup Servicer, the Account Bank and the Custodian shall be entitled to receive any accrued and unpaid Servicing Fee, Backup Servicing Fee, the Account Bank Fee and Custodian Fee and expenses and indemnities due to them, respectively, in accordance with Section 2.08.</w:t>
      </w:r>
    </w:p>
    <w:p>
      <w:pPr>
        <w:spacing w:after="0" w:line="172" w:lineRule="exact"/>
        <w:rPr>
          <w:sz w:val="20"/>
          <w:szCs w:val="20"/>
          <w:color w:val="auto"/>
        </w:rPr>
      </w:pPr>
    </w:p>
    <w:p>
      <w:pPr>
        <w:jc w:val="both"/>
        <w:ind w:firstLine="757"/>
        <w:spacing w:after="0" w:line="244"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on or before the Closing Date, any fees set forth in the Fee Letter to be paid on the Closing Date and any reasonable out-of-pocket expenses (including fees charged by any nationally recognized statistical rating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organization in connection with reviewing the transactions contemplated by this Agreement) in immediately available funds.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(d)The Borrower shall pay to [***], counsel to the Administrative Agent and the initial Hedge Counterparty, in immediately available funds, all fees and out-of-pocket expenses (not to exceed $[***]) incurred in connection with the preparation and negotiation of this Agreement and the other Basic Documents within [***] after receiving an invoice for such amounts.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Increased Costs; Capital Adequacy; Illegality</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54" w:lineRule="auto"/>
        <w:tabs>
          <w:tab w:leader="none" w:pos="101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Regulatory Change (i) subjects any Lender, Support Party or any of their Affiliates (each an “</w:t>
      </w:r>
      <w:r>
        <w:rPr>
          <w:rFonts w:ascii="Times New Roman" w:cs="Times New Roman" w:eastAsia="Times New Roman" w:hAnsi="Times New Roman"/>
          <w:sz w:val="20"/>
          <w:szCs w:val="20"/>
          <w:u w:val="single" w:color="auto"/>
          <w:color w:val="auto"/>
        </w:rPr>
        <w:t>Affected Party</w:t>
      </w:r>
      <w:r>
        <w:rPr>
          <w:rFonts w:ascii="Times New Roman" w:cs="Times New Roman" w:eastAsia="Times New Roman" w:hAnsi="Times New Roman"/>
          <w:sz w:val="20"/>
          <w:szCs w:val="20"/>
          <w:color w:val="auto"/>
        </w:rPr>
        <w:t xml:space="preserve">”) to any charge or withhold ing on or with respect to any Support Facility or this Agreement or an Affected Party’s obligations under a Support Facility or this Agreement, or changes the basis of taxation of payments to any Affected Party of any amounts payable under any Support Facility or this Agreement (except for Excluded Taxes), (ii) imposes, modifies or deems applicable any reserve, assessment, fee, tax, insurance charge, special deposit or similar requirement against assets of, deposits with or for the account of, or liabilities of an Affected Party, or credit extended by an Affected Party pursuant to a Support Facility or this Agreement or (iii) imposes any other condition the result of which is to increase the cost to an Affected Party of performing its obligations under a Support Facility or this Agreement, or to reduce the rate of return on an Affected Party’s capital or assets as a consequence of its obligations under a Support Facility or this Agreement, or to reduce the amount of any sum received or receivable by an Affected Party under a Support Facility or this Agreement, or to require any payment calculated by reference to the amount of interests or loans held or interest received by it, then, upon demand by the Administrative Agent, the Borrower shall pay to the Administrative Agent, for the benefit of the relevant Affected Party, such amounts charged to such Affected Party or such amounts to otherwise compensate such Affected Party for such increased cost or such reduction. Any demand by the Administrative Agent on behalf of any Affected Party pursuant to the preceding sentence shall be deemed to be a representation by such Affected Party that it has applied consistent return metrics to other similarly situated borrowers or obligors (after consideration of facility pricing, structure, usage patterns, capital treatment and relationship) in determining whether to demand amounts from the Borrower pursuant to this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The Borrower, at its option upon at least two (2) Business Days prior written notice, may prepay all (but not less than all) of the Loans Outstanding, together with all accrued and unpaid Obligations, and terminate the Commitments of the Committed Lenders hereunder following any demand by the Administrative Agent for amounts pursuant to this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Any such notice of prepayment and termination of the Commitments shall be irrevocable. The term “</w:t>
      </w:r>
      <w:r>
        <w:rPr>
          <w:rFonts w:ascii="Times New Roman" w:cs="Times New Roman" w:eastAsia="Times New Roman" w:hAnsi="Times New Roman"/>
          <w:sz w:val="20"/>
          <w:szCs w:val="20"/>
          <w:u w:val="single" w:color="auto"/>
          <w:color w:val="auto"/>
        </w:rPr>
        <w:t>Regulatory Change</w:t>
      </w:r>
      <w:r>
        <w:rPr>
          <w:rFonts w:ascii="Times New Roman" w:cs="Times New Roman" w:eastAsia="Times New Roman" w:hAnsi="Times New Roman"/>
          <w:sz w:val="20"/>
          <w:szCs w:val="20"/>
          <w:color w:val="auto"/>
        </w:rPr>
        <w:t>” shall mean (i) the adoption after the date hereof of any applicable law, rule or regulation (including any applicable law, rule or regulation regarding capital adequacy or liquidity coverage) or any change therein after the date hereof, (ii) any change after the date hereof in the interpretation or administration thereof by any governmental authority, central bank or compara ble agency charged with the interpretation or administration thereof, or compliance with any request or directive (whether or not having the force of law) of any such authority, central bank or</w:t>
      </w:r>
    </w:p>
    <w:p>
      <w:pPr>
        <w:spacing w:after="0" w:line="2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compara ble agency;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for purposes of this definition, (x) the United States bank regulatory rule titled </w:t>
      </w:r>
      <w:r>
        <w:rPr>
          <w:rFonts w:ascii="Times New Roman" w:cs="Times New Roman" w:eastAsia="Times New Roman" w:hAnsi="Times New Roman"/>
          <w:sz w:val="20"/>
          <w:szCs w:val="20"/>
          <w:u w:val="single" w:color="auto"/>
          <w:color w:val="auto"/>
        </w:rPr>
        <w:t>Risk-Based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Capital Guidelines; Capital Adequacy Guidelines; Capital Maintenance: Regulatory Capital; Impact of Modification to Generally Accepted Accounting Principles; Consolidation of Asset-Backed Commercial Paper Programs; and Other Related Issues</w:t>
      </w:r>
      <w:r>
        <w:rPr>
          <w:rFonts w:ascii="Times New Roman" w:cs="Times New Roman" w:eastAsia="Times New Roman" w:hAnsi="Times New Roman"/>
          <w:sz w:val="20"/>
          <w:szCs w:val="20"/>
          <w:color w:val="auto"/>
        </w:rPr>
        <w:t>, adopted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4" w:name="page135"/>
    <w:bookmarkEnd w:id="134"/>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on December 15, 2009, (y) the Dodd-Frank Wall Street Reform and Consumer Protection Act and all requests, rules, guidelines or directives thereunder, issued in connection therewith or in implementation thereof, and (z) all requests, rules, guidelines and directives promulgated by the Bank for International Settlements, the Basel Committee on Banking Supervision (or any successor or similar authority) or the United States or foreign regulatory authorities, shall in each case be deemed to be a “Regulatory Change”, regardless of the date enacted, adopted, issued or implemented. The Borrower acknowledges that any Affected Party may institute measures in anticipation of a Regulatory Change (including, without limitation, the imposition of internal charges on such Affected Party’s interests or obligations under this Agreement), and may commence allocating charges to or seeking compensation from Borrower under this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in connection with such measures in advance of the effective date of such Regulatory Change, and the Borrower agrees to pay such charges or compensation to the Affected Party following demand therefor without regard to whether such effective date has occurred. The Borrower further acknowledges that any charge or compensation demanded hereunder may take the form of a monthly charge to be assessed by such Affected Party.</w:t>
      </w:r>
    </w:p>
    <w:p>
      <w:pPr>
        <w:spacing w:after="0" w:line="16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(b)If as a result of any event or circumstance similar to those described in Section 2.13(a), any Affected Party is required to compensate a Credit Provider in connection with this Agreement or the funding or maintenance of Loans hereunder, then within 30 days after demand by such Affected Party, the Borrower shall pay to such Affected Party such additional amount or amounts as may be necessary to reimburse such Affected Party for any such amounts paid by it.</w:t>
      </w:r>
    </w:p>
    <w:p>
      <w:pPr>
        <w:spacing w:after="0" w:line="179" w:lineRule="exact"/>
        <w:rPr>
          <w:sz w:val="20"/>
          <w:szCs w:val="20"/>
          <w:color w:val="auto"/>
        </w:rPr>
      </w:pPr>
    </w:p>
    <w:p>
      <w:pPr>
        <w:jc w:val="both"/>
        <w:ind w:firstLine="757"/>
        <w:spacing w:after="0" w:line="244" w:lineRule="auto"/>
        <w:tabs>
          <w:tab w:leader="none" w:pos="10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(d)If the Borrower is required to pay additional amounts to or for the benefit of any Affected Party pursuant to this Section, such Affected Party will, at the Borrower’s request, change the jurisdiction of its applicable lending office if, in the sole judgment of such Affected Party, such change (i) will eliminate or reduce any such additional payment which may thereafter accrue and (ii) will not, in the judgment of such Affected Party, be otherwise disadvantageous to it or inconsistent with its internal policies.</w:t>
      </w:r>
    </w:p>
    <w:p>
      <w:pPr>
        <w:spacing w:after="0" w:line="180" w:lineRule="exact"/>
        <w:rPr>
          <w:sz w:val="20"/>
          <w:szCs w:val="20"/>
          <w:color w:val="auto"/>
        </w:rPr>
      </w:pPr>
    </w:p>
    <w:p>
      <w:pPr>
        <w:ind w:left="760" w:right="8740" w:hanging="3"/>
        <w:spacing w:after="0" w:line="478" w:lineRule="auto"/>
        <w:tabs>
          <w:tab w:leader="none" w:pos="103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Section 2.14.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757"/>
        <w:spacing w:after="0" w:line="235" w:lineRule="auto"/>
        <w:tabs>
          <w:tab w:leader="none" w:pos="10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required to be deducted or withheld. If such Taxes are Non-Excluded Taxes, the Borrower shall increase the amount payable to each Lender or the Administrative Agent, as the case may be (such increase, the “</w:t>
      </w:r>
      <w:r>
        <w:rPr>
          <w:rFonts w:ascii="Times New Roman" w:cs="Times New Roman" w:eastAsia="Times New Roman" w:hAnsi="Times New Roman"/>
          <w:sz w:val="22"/>
          <w:szCs w:val="22"/>
          <w:u w:val="single" w:color="auto"/>
          <w:color w:val="auto"/>
        </w:rPr>
        <w:t>Additional Amount</w:t>
      </w:r>
      <w:r>
        <w:rPr>
          <w:rFonts w:ascii="Times New Roman" w:cs="Times New Roman" w:eastAsia="Times New Roman" w:hAnsi="Times New Roman"/>
          <w:sz w:val="22"/>
          <w:szCs w:val="22"/>
          <w:color w:val="auto"/>
        </w:rPr>
        <w:t>”) such that every net payment made under this Agreement after deduction or withholding for or on account of any Non- Excluded Taxes (including any deduction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5" w:name="page136"/>
    <w:bookmarkEnd w:id="135"/>
    <w:p>
      <w:pPr>
        <w:jc w:val="both"/>
        <w:spacing w:after="0" w:line="258" w:lineRule="auto"/>
        <w:rPr>
          <w:sz w:val="20"/>
          <w:szCs w:val="20"/>
          <w:color w:val="auto"/>
        </w:rPr>
      </w:pPr>
      <w:r>
        <w:rPr>
          <w:rFonts w:ascii="Times New Roman" w:cs="Times New Roman" w:eastAsia="Times New Roman" w:hAnsi="Times New Roman"/>
          <w:sz w:val="22"/>
          <w:szCs w:val="22"/>
          <w:color w:val="auto"/>
        </w:rPr>
        <w:t>withholding for or on account of such Additional Amount) is not less than the amount that would have been paid had no such deduction or withholding been deducted or withheld.</w:t>
      </w:r>
    </w:p>
    <w:p>
      <w:pPr>
        <w:spacing w:after="0" w:line="157"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(b)The Borrower will indemnify each Lender and the Administrative Agent for the full amount of Non-Excluded Taxes in respect of which the Borrower is required to pay Additional Amounts (including any Taxes imposed by any jurisdiction on such Additional Amounts) paid by such Lender or the Administrative Agent, as the case may be, and any liability (including penalties, interest and expenses) arising therefrom or with respect thereto; provided, however, that the Lender or Administrative Agent making a demand for indemnity payment hereunder shall provide the Borrower with a certificate from the relevant taxing authority or from a Responsible Officer of such Lender or the Administrative Agent stating or otherwise evidencing that such Lender or the Administrative Agent has made payment of such Taxes and will provide a copy of or extract from documentation, if available, furnished by such taxing authority evidencing assertion or payment of such Taxes. This indemnification shall be made within 15 days from the date a Lender or the Administrative Agent, as the case may be, makes written demand therefor.</w:t>
      </w:r>
    </w:p>
    <w:p>
      <w:pPr>
        <w:spacing w:after="0" w:line="158" w:lineRule="exact"/>
        <w:rPr>
          <w:sz w:val="20"/>
          <w:szCs w:val="20"/>
          <w:color w:val="auto"/>
        </w:rPr>
      </w:pPr>
    </w:p>
    <w:p>
      <w:pPr>
        <w:jc w:val="both"/>
        <w:ind w:firstLine="757"/>
        <w:spacing w:after="0" w:line="244"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date of any payment by the Borrower of any Taxes pursuant to this Section, the Borrower will furnish to the Administrative Agent and each Agent, at its address set forth under its name on the signature pages hereof, appropriate evidence of payment thereof.</w:t>
      </w:r>
    </w:p>
    <w:p>
      <w:pPr>
        <w:spacing w:after="0" w:line="17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(d)If a Lender is a Non-U.S. Lender, such Lender shall, to the extent that it may then do so under Applicable Law, deliver to the Borrower, with a copy to the Administrative Agent, the related Agent and the Account Bank,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and upon written request of the Borrower, a duly completed copy of the IRS Form W-9 (or any successor forms or other certificates or statements which may be required from time to time by the relevant U.S. taxing authorities or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6" w:name="page137"/>
    <w:bookmarkEnd w:id="136"/>
    <w:p>
      <w:pPr>
        <w:jc w:val="both"/>
        <w:ind w:firstLine="757"/>
        <w:spacing w:after="0" w:line="233"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notify the Borrower, the Administrative Agent and the Account Bank of such fact and deliver to the Borrower, with a copy to the Administrative Agent and the Account Bank, at the time or times prescribed by Applicable Law and at such time or times reasonably requested by the Borrower, the Administrative Agent or the Account Bank, such documentation prescribed by Applicable Law (including as prescribed by Code Section 1471(b)(3)(C)(i)) and such additional documentation reasonably requested by the Borrower, the Administrative Agent or the Account Bank to comply with its obligations under FATCA, to the determine that such recipient has complied with such recipient’s obligations under FATCA, or to determine the amount to deduct and withhold from such payment. Solely for purposes of this Section 2.14(e), “FATCA” shall include any amendments made to FATCA after the date of this Agreement.</w:t>
      </w:r>
    </w:p>
    <w:p>
      <w:pPr>
        <w:spacing w:after="0" w:line="184"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written request of the Borrower therefor, the Administrative Agent and the Lender, as appropriate, shall execute and deliver to the Borrower such certificates, forms or other documents which can be furnished consistent with the facts and which are reasonably necessary to assist the Borrower in applying for refunds of Taxes remitted hereunder; provided, however, that (i) the Administrative Agent and the Lender shall not be required to deliver such certificates, forms or other documents if in their respective sole discretion it is determined that the deliverance of such certificate, form or other document would have a material adverse affect on the Administrative Agent or Lender and (ii) the Borrower shall reimburse the Administrative Agent or Lender for any reasonable expenses incurred in the delivery of such certificate, form or other document.</w:t>
      </w:r>
    </w:p>
    <w:p>
      <w:pPr>
        <w:spacing w:after="0" w:line="18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(g)If, in connection with an agreement or other document providing liquidity support, credit enhancement or other similar support to the Lenders in connection with this Agreement or the funding or maintenance of Loans hereunder, the Lenders are required to compensate a bank or other financial institution in respect of Non-Excluded Taxes under circumstances similar to those described in this Section, then within 15 days after demand by the Lenders, the Borrower shall pay to the Lenders such additional amount or amounts as may be necessary to reimburse the Lenders for any amounts paid by them.</w:t>
      </w:r>
    </w:p>
    <w:p>
      <w:pPr>
        <w:spacing w:after="0" w:line="18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(h)The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the Administrative Agent, by its acceptance of the Notes (and each Lender, or other Person designated by a Lender, by its acceptance of an interest in the applicable Note), agree to treat the Notes for federal, State and local income, single business and franchise tax purposes as indebtedness of the Borrower.</w:t>
      </w:r>
    </w:p>
    <w:p>
      <w:pPr>
        <w:spacing w:after="0" w:line="180" w:lineRule="exact"/>
        <w:rPr>
          <w:sz w:val="20"/>
          <w:szCs w:val="20"/>
          <w:color w:val="auto"/>
        </w:rPr>
      </w:pPr>
    </w:p>
    <w:p>
      <w:pPr>
        <w:jc w:val="both"/>
        <w:ind w:firstLine="757"/>
        <w:spacing w:after="0" w:line="244" w:lineRule="auto"/>
        <w:tabs>
          <w:tab w:leader="none" w:pos="101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November 20, 2014, the Borrower and the Administrative Agent shall treat (and the Lenders hereby authorize the Administrative Agent to treat) the Loans as not qualifying as a “grandfathered obligation” within the meaning of Treasury Regulation Section 1.471-2(b)(2)(i).</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7" w:name="page138"/>
    <w:bookmarkEnd w:id="137"/>
    <w:p>
      <w:pPr>
        <w:ind w:left="760"/>
        <w:spacing w:after="0"/>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Sharing of Payments, Etc.</w:t>
      </w:r>
    </w:p>
    <w:p>
      <w:pPr>
        <w:spacing w:after="0" w:line="20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If, other than as expressly provided elsewhere herein, any Lender shall obtain on account of the Notes owned by it any payment in excess of its Invested Percentage in such payment, such Lender shall immediately (i) notify the Administrative Agent and the Agent for its Lender Group of such fact and (ii) purchase from the other Lenders such participations made by them as shall be necessary to cause such purchasing Lender to share the excess payment pro rata (based on the Lender Percentage of each Lender) with each of them; provided, however,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w:t>
      </w:r>
    </w:p>
    <w:p>
      <w:pPr>
        <w:spacing w:after="0" w:line="6" w:lineRule="exact"/>
        <w:rPr>
          <w:sz w:val="20"/>
          <w:szCs w:val="20"/>
          <w:color w:val="auto"/>
        </w:rPr>
      </w:pPr>
    </w:p>
    <w:p>
      <w:pPr>
        <w:jc w:val="both"/>
        <w:ind w:firstLine="8"/>
        <w:spacing w:after="0" w:line="232" w:lineRule="auto"/>
        <w:tabs>
          <w:tab w:leader="none" w:pos="30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Each Agent and the Administrative Agent will keep records (which shall be conclusive and binding in the absence of manifest error) of participations purchased under this Section and will in each case notify each Agent following any such purchases or repayments.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The Account Bank</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80"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appoints [***] as the initial Account Bank. All payments of amounts due and payable in respect of the Obligations that are to be made from amounts withdrawn from the Collection Account or the Hedge Reserve Account shall be made on behalf of the Borrower by the Account Bank in accordance with Section 2.08 or Section 6.03(d), as applicable.</w:t>
      </w:r>
    </w:p>
    <w:p>
      <w:pPr>
        <w:spacing w:after="0" w:line="13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(b)The Account Bank shall be compensated for its activities hereunder by receiving the Account Bank Fee. The Account Bank Fee shall be payable in accordance with the priorities specified in Section 2.08 or, at the option of UACC, may be paid directly to the Account Bank by UACC. The Borrower shall indemnify the Account Bank and its officers, directors, employees and agents for, and hold them harmless against any loss, liability or expense incurred, other than in connection with the willful misconduct, gross negligence or bad faith on the part of the Account Bank, arising out of or in connection with (i) the performance of its obligations under and in accordance with this Agreement, including the costs and expenses of defending itself against any claim or liability in connection with the exercise or performance of any of its powers or duties under this Agreement and (ii) the negligence, willful misconduct or bad faith of the Borrower in the performance of its duties hereunder. All such amounts shall be payable in accordance with Section 2.08. The provisions of this Section shall survive the termination of this Agreement.</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FOREGOING INDEMNIFICATION SHALL APPLY WHETHER OR NOT SUCH LIABILITIES AND COSTS ARE IN ANY WAY OR TO ANY EXTENT OWED, IN WHOLE OR IN PART, UNDER ANY CLAIM OR THEORY OF STRICT LIABILITY.</w:t>
      </w:r>
    </w:p>
    <w:p>
      <w:pPr>
        <w:spacing w:after="0" w:line="172" w:lineRule="exact"/>
        <w:rPr>
          <w:sz w:val="20"/>
          <w:szCs w:val="20"/>
          <w:color w:val="auto"/>
        </w:rPr>
      </w:pPr>
    </w:p>
    <w:p>
      <w:pPr>
        <w:ind w:firstLine="757"/>
        <w:spacing w:after="0" w:line="258" w:lineRule="auto"/>
        <w:tabs>
          <w:tab w:leader="none" w:pos="10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liable in accordance herewith only to the extent of the obligations specifically undertaken by the Account Bank in such capacity herein and under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8" w:name="page139"/>
    <w:bookmarkEnd w:id="138"/>
    <w:p>
      <w:pPr>
        <w:jc w:val="both"/>
        <w:spacing w:after="0" w:line="239" w:lineRule="auto"/>
        <w:rPr>
          <w:sz w:val="20"/>
          <w:szCs w:val="20"/>
          <w:color w:val="auto"/>
        </w:rPr>
      </w:pPr>
      <w:r>
        <w:rPr>
          <w:rFonts w:ascii="Times New Roman" w:cs="Times New Roman" w:eastAsia="Times New Roman" w:hAnsi="Times New Roman"/>
          <w:sz w:val="22"/>
          <w:szCs w:val="22"/>
          <w:color w:val="auto"/>
        </w:rPr>
        <w:t>Account Control Agreement. No implied covenants or obligations shall be read into this Agreement against the Account Bank and, in the absence of bad faith on the part of the Account Bank, the Account Bank may conclusively rely on the truth of the statements and the correctness of the opinions expressed in any certificates or opinions furnished to the Account Bank pursuant to and conforming to the requirements of this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(d)The Account Bank shall not be liable for:</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(i)an error of judgment made in good faith by one of its officers; or</w:t>
      </w:r>
    </w:p>
    <w:p>
      <w:pPr>
        <w:spacing w:after="0" w:line="205" w:lineRule="exact"/>
        <w:rPr>
          <w:sz w:val="20"/>
          <w:szCs w:val="20"/>
          <w:color w:val="auto"/>
        </w:rPr>
      </w:pPr>
    </w:p>
    <w:p>
      <w:pPr>
        <w:jc w:val="both"/>
        <w:ind w:left="760" w:firstLine="1123"/>
        <w:spacing w:after="0" w:line="239" w:lineRule="auto"/>
        <w:rPr>
          <w:sz w:val="20"/>
          <w:szCs w:val="20"/>
          <w:color w:val="auto"/>
        </w:rPr>
      </w:pPr>
      <w:r>
        <w:rPr>
          <w:rFonts w:ascii="Times New Roman" w:cs="Times New Roman" w:eastAsia="Times New Roman" w:hAnsi="Times New Roman"/>
          <w:sz w:val="22"/>
          <w:szCs w:val="22"/>
          <w:color w:val="auto"/>
        </w:rPr>
        <w:t>(ii)any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Account Bank under this Agreement in each case unless it shall be proved that the Account Bank shall have been negligent in ascertaining the pertinent facts.</w:t>
      </w:r>
    </w:p>
    <w:p>
      <w:pPr>
        <w:spacing w:after="0" w:line="179" w:lineRule="exact"/>
        <w:rPr>
          <w:sz w:val="20"/>
          <w:szCs w:val="20"/>
          <w:color w:val="auto"/>
        </w:rPr>
      </w:pPr>
    </w:p>
    <w:p>
      <w:pPr>
        <w:jc w:val="both"/>
        <w:ind w:firstLine="757"/>
        <w:spacing w:after="0" w:line="280"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Bank shall not be charged with knowledge of any Termination Event or Unmatured Termination Event unless an Authorized Officer of the Account Bank obtains actual knowledge of such event or the Account Bank receives written notice of such event from the Borrower, the Servicer, any Secured Party or the Administrative Agent, as the case may be.</w:t>
      </w:r>
    </w:p>
    <w:p>
      <w:pPr>
        <w:spacing w:after="0" w:line="138" w:lineRule="exact"/>
        <w:rPr>
          <w:rFonts w:ascii="Times New Roman" w:cs="Times New Roman" w:eastAsia="Times New Roman" w:hAnsi="Times New Roman"/>
          <w:sz w:val="20"/>
          <w:szCs w:val="20"/>
          <w:color w:val="auto"/>
        </w:rPr>
      </w:pPr>
    </w:p>
    <w:p>
      <w:pPr>
        <w:jc w:val="both"/>
        <w:ind w:firstLine="757"/>
        <w:spacing w:after="0" w:line="233" w:lineRule="auto"/>
        <w:tabs>
          <w:tab w:leader="none" w:pos="10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this Section, the Account Bank shall have no duty (i) to see to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Contracts, (iv) to confirm or verify the contents of any reports or certificates of the Servicer (other than in its capacity as Backup Servicer in accordance with its express duties as such undertaken herein) or the Borrower delivered to the Account Bank pursuant to this Agreement believed by the Account Bank to be genuine and to have been signed or presented by the proper party or parties or (v) to inspect the Financed Vehicles at any time or ascertain or inquire as to the performance or observance of any of the Borrower’s or the Servicer’s representations, warranties or covenants or the Servicer’s duties and obligations as Servicer and as custodian of books, records, files and computer records relating to the Contracts under this Agreement (in each case other than in its capacity as Backup Servicer in accordance with its express duties as such undertaken herein).</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(g)The Account Bank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Account Bank to perform, or be responsible for the manner of performance of, any of the obligations of the Servicer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22"/>
          <w:szCs w:val="22"/>
          <w:color w:val="auto"/>
        </w:rPr>
        <w:t>under this Agreement (other than in its capacity as Backup Servicer in accordance with its express duties as such undertaken herein).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(h)The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w:t>
      </w:r>
    </w:p>
    <w:p>
      <w:pPr>
        <w:spacing w:after="0" w:line="179" w:lineRule="exact"/>
        <w:rPr>
          <w:sz w:val="20"/>
          <w:szCs w:val="20"/>
          <w:color w:val="auto"/>
        </w:rPr>
      </w:pPr>
    </w:p>
    <w:p>
      <w:pPr>
        <w:jc w:val="both"/>
        <w:ind w:firstLine="757"/>
        <w:spacing w:after="0" w:line="244"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consult with counsel of its choice with regard to legal questions arising out of or in connection with this Agreement and the advice or opinion of such counsel shall be full and complete authorization and protection in respect of any action taken, omitted or suffered by the Account Bank in good faith in accordance therewith.</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under no obligation to exercise any of the rights, powers or remedies vested in it by this Agreement (except to comply with its obligations under this Agreement and any other Basic Document to which it is a party)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Account Bank reasonable security or indemnity against the costs, expenses and liabilities that may be incurred therein or thereby.</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(k)The Account Bank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or another Secured Party; provided, that if the payment within a reasonable time to the Account Bank of the costs, expenses or liabilities likely to be incurred by it in the making of such investigation shall be, in the opinion of the Account Bank, not reasonably assured by the Borrower, the Account Bank may require reasonable indemnity against such cost, expense or liability as a condition to so proceeding. The reasonable expense of every such examination shall be paid by the Borrower or, if paid by the Account Bank, shall be reimbursed by the Borrower pursuant to Section 2.08.</w:t>
      </w:r>
    </w:p>
    <w:p>
      <w:pPr>
        <w:spacing w:after="0" w:line="184" w:lineRule="exact"/>
        <w:rPr>
          <w:sz w:val="20"/>
          <w:szCs w:val="20"/>
          <w:color w:val="auto"/>
        </w:rPr>
      </w:pPr>
    </w:p>
    <w:p>
      <w:pPr>
        <w:jc w:val="both"/>
        <w:ind w:firstLine="757"/>
        <w:spacing w:after="0" w:line="244" w:lineRule="auto"/>
        <w:tabs>
          <w:tab w:leader="none" w:pos="101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execute any of the trusts or powers hereunder or perform any duties under this Agreement either directly or by or through agents or attorneys or a custodian. The Account Bank shall not be responsible for any misconduct or negligence of any such agent or custodian appointed with due care by it hereunder.</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(m)The Account Bank shall have no duties or responsibilities except those that are specifically set forth herein and the other Basic Documents to which it is a party, and no implied covenants or obligations shall be read into this Agreement against the Account Bank. If the Account Bank shall request instructions from the Administrative Agent or the Servicer with respect to any act, action or failure to act in connection with and as set forth in this Agreement, the Account Bank shall be entitled to refrain from taking such action and continue to refrain from acting unless and until the Account Bank shall have received written instructions from the Administrative Agent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0" w:name="page141"/>
    <w:bookmarkEnd w:id="14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or the Servicer, as applicable, without incurring any liability therefor to the Administrative Agent, the Borrower, the Servicer or any other person.</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(n)The Account Bank may act in reliance upon any written communication of the Administrative Agent concerning the delivery of Collateral pursuant to this Agreement. The Account Bank does not assume and shall have no responsibility for, and makes no representation as to, monitoring the value of the Contracts and other Collateral. The Account Bank shall not be liable for any action or omission to act hereunder, except for its own gross negligence, bad faith or willful misconduct.</w:t>
      </w:r>
    </w:p>
    <w:p>
      <w:pPr>
        <w:spacing w:after="0" w:line="179" w:lineRule="exact"/>
        <w:rPr>
          <w:sz w:val="20"/>
          <w:szCs w:val="20"/>
          <w:color w:val="auto"/>
        </w:rPr>
      </w:pPr>
    </w:p>
    <w:p>
      <w:pPr>
        <w:jc w:val="both"/>
        <w:ind w:right="20" w:firstLine="749"/>
        <w:spacing w:after="0" w:line="307" w:lineRule="auto"/>
        <w:rPr>
          <w:sz w:val="20"/>
          <w:szCs w:val="20"/>
          <w:color w:val="auto"/>
        </w:rPr>
      </w:pPr>
      <w:r>
        <w:rPr>
          <w:rFonts w:ascii="Times New Roman" w:cs="Times New Roman" w:eastAsia="Times New Roman" w:hAnsi="Times New Roman"/>
          <w:sz w:val="20"/>
          <w:szCs w:val="20"/>
          <w:color w:val="auto"/>
        </w:rPr>
        <w:t>THE FOREGOING PARAGRAPH SHALL APPLY WHETHER OR NOT SUCH LIABILITIES ARE IN ANY WAY OR TO ANY EXTENT OWED, IN WHOLE OR IN PART, UNDER ANY CLAIM OR THEORY OF STRICT LIABILITY.</w:t>
      </w:r>
    </w:p>
    <w:p>
      <w:pPr>
        <w:spacing w:after="0" w:line="11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(o)If the Account Bank shall at any time receive conflicting instructions from the Administrative Agent and the Servicer or any other party to this Agreement and the conflict between such instructions cannot be resolved by reference to the terms of this Agreement, the Account Bank shall be entitled to rely on the instructions of the Administrative Agent. In the absence of bad faith, gross negligence or willful misconduct on the part of the Account Bank, 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Account Bank may rely upon the validity of documents delivered to it, without investigation as to their authenticity or legal effectiveness, and the Account Bank shall not be liable to the Servicer or any other party to this Agreement in respect of any claims that may arise or be asserted against the Account Bank because of the invalidity of any such documents or their failure to fulfill their intended purpose. The Account Bank shall not be bound to ascertain or inquire as to the performance or observance of any of the terms of this Agreement or any other agreement on the part of any party, except as may otherwise be specifically set forth herein.</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(p)The Account Bank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Account Bank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1" w:name="page142"/>
    <w:bookmarkEnd w:id="141"/>
    <w:p>
      <w:pPr>
        <w:ind w:left="760"/>
        <w:spacing w:after="0"/>
        <w:rPr>
          <w:sz w:val="20"/>
          <w:szCs w:val="20"/>
          <w:color w:val="auto"/>
        </w:rPr>
      </w:pPr>
      <w:r>
        <w:rPr>
          <w:rFonts w:ascii="Times New Roman" w:cs="Times New Roman" w:eastAsia="Times New Roman" w:hAnsi="Times New Roman"/>
          <w:sz w:val="20"/>
          <w:szCs w:val="20"/>
          <w:color w:val="auto"/>
        </w:rPr>
        <w:t>(a) Subject to clauses (b), (c), (d) and (e) of this Section 2.17, if prior to the commencement of any Interest Period for 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w:t>
      </w:r>
    </w:p>
    <w:p>
      <w:pPr>
        <w:spacing w:after="0" w:line="181"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(i)the Administrative Agent determines (which determination shall be conclusive absent manifest error) at any time that adequate and reasonable means do not exist for ascertaining Daily Simple SOFR; or</w:t>
      </w:r>
    </w:p>
    <w:p>
      <w:pPr>
        <w:spacing w:after="0" w:line="157" w:lineRule="exact"/>
        <w:rPr>
          <w:sz w:val="20"/>
          <w:szCs w:val="20"/>
          <w:color w:val="auto"/>
        </w:rPr>
      </w:pPr>
    </w:p>
    <w:p>
      <w:pPr>
        <w:jc w:val="both"/>
        <w:ind w:left="760" w:firstLine="1123"/>
        <w:spacing w:after="0" w:line="244" w:lineRule="auto"/>
        <w:rPr>
          <w:sz w:val="20"/>
          <w:szCs w:val="20"/>
          <w:color w:val="auto"/>
        </w:rPr>
      </w:pPr>
      <w:r>
        <w:rPr>
          <w:rFonts w:ascii="Times New Roman" w:cs="Times New Roman" w:eastAsia="Times New Roman" w:hAnsi="Times New Roman"/>
          <w:sz w:val="22"/>
          <w:szCs w:val="22"/>
          <w:color w:val="auto"/>
        </w:rPr>
        <w:t>(ii)the Administrative Agent is advised by the Required Agents that the Adjusted Daily Simple SOFR will not adequately and fairly reflect the cost to such Lenders (or Lender) of making or maintaining their Loans (or its Loan) bearing interest by reference to Adjusted Daily Simple SOFR;</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then the Administrative Agent shall give notice thereof to the Borrower and the Agents by telephone, telecopy or electronic mail as promptly as practicable thereafter and, until the Administrative Agent notifies the Borrower and the Agents that the circumstances giving rise to such notice no longer exist with respect to the relevant Benchmark, the Loans shall bear interest at the Alternate Base Rate.</w:t>
      </w:r>
    </w:p>
    <w:p>
      <w:pPr>
        <w:spacing w:after="0" w:line="179" w:lineRule="exact"/>
        <w:rPr>
          <w:sz w:val="20"/>
          <w:szCs w:val="20"/>
          <w:color w:val="auto"/>
        </w:rPr>
      </w:pPr>
    </w:p>
    <w:p>
      <w:pPr>
        <w:ind w:left="1080" w:hanging="323"/>
        <w:spacing w:after="0"/>
        <w:tabs>
          <w:tab w:leader="none" w:pos="10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Basic Document (and any Hedging Agreement shall</w:t>
      </w:r>
    </w:p>
    <w:p>
      <w:pPr>
        <w:spacing w:after="0" w:line="36" w:lineRule="exact"/>
        <w:rPr>
          <w:rFonts w:ascii="Times New Roman" w:cs="Times New Roman" w:eastAsia="Times New Roman" w:hAnsi="Times New Roman"/>
          <w:sz w:val="20"/>
          <w:szCs w:val="20"/>
          <w:color w:val="auto"/>
        </w:rPr>
      </w:pPr>
    </w:p>
    <w:p>
      <w:pPr>
        <w:jc w:val="both"/>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deemed not to be a “Basic Document” for purposes of this Section‎ 2.17), if a Benchmark Transition Event and its related Benchmark Replacement Date have occurred prior to the Reference Time in respect of any setting of the then-current Benchmark, then such Benchmark Replacement will replace such Benchmark for all purposes hereunder and under any Basic Document in respect of any Benchmark setting at or after 5:00 p.m. (New York City time) on the fifth (5th) Business Day after the date notice of such Benchmark Replacement is provided to the Agents without any amendment to, or further action or consent of any other party to, this Agreement or any other Basic Document so long as the Administrative Agent has not received, by such time, written notice of objection to such Benchmark Replacement from Agents comprising the Required Agents.</w:t>
      </w:r>
    </w:p>
    <w:p>
      <w:pPr>
        <w:spacing w:after="0" w:line="160" w:lineRule="exact"/>
        <w:rPr>
          <w:rFonts w:ascii="Times New Roman" w:cs="Times New Roman" w:eastAsia="Times New Roman" w:hAnsi="Times New Roman"/>
          <w:sz w:val="20"/>
          <w:szCs w:val="20"/>
          <w:color w:val="auto"/>
        </w:rPr>
      </w:pPr>
    </w:p>
    <w:p>
      <w:pPr>
        <w:jc w:val="both"/>
        <w:ind w:firstLine="757"/>
        <w:spacing w:after="0" w:line="236" w:lineRule="auto"/>
        <w:tabs>
          <w:tab w:leader="none" w:pos="101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Basic Document, the Administrative Agent will have the right to make Benchmark Replacement Conforming Changes from time to time and, notwithstanding anything to the contrary herein or in any other Basic Document, any amendments implementing such Benchmark Replacement Conforming Changes will become effective without any further action or consent of any other party to this Agreement or any other Basic Document; provided, however, that any such amendments must not affect the Owner Trustee’s, the Backup Servicer’s or the Account Bank’s rights, indemnities or obligations without its consent.</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(d)The Administrative Agent will promptly notify the Borrower and the Agents of (a) any occurrence of a Benchmark Transition Event, (b) the implementation of any Benchmark Replacement, (c) the effectiveness of any Benchmark Replacement Conforming Changes, and (d) the commencement or conclusion of any Benchmark Unavailability Period. Any determination, decision or election that may be made by the Administrative Agent or, if applicable, any Agent (or group of Agents) pursuant to this ‎Section 2.17, including any determination with respect to a tenor, rate or adjustment or of the occurrence or non-occurrence of an event, circumstance or date and any decision to take or refrain from taking any action or any selection, will be conclusive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2" w:name="page143"/>
    <w:bookmarkEnd w:id="142"/>
    <w:p>
      <w:pPr>
        <w:spacing w:after="0" w:line="258" w:lineRule="auto"/>
        <w:rPr>
          <w:sz w:val="20"/>
          <w:szCs w:val="20"/>
          <w:color w:val="auto"/>
        </w:rPr>
      </w:pPr>
      <w:r>
        <w:rPr>
          <w:rFonts w:ascii="Times New Roman" w:cs="Times New Roman" w:eastAsia="Times New Roman" w:hAnsi="Times New Roman"/>
          <w:sz w:val="22"/>
          <w:szCs w:val="22"/>
          <w:color w:val="auto"/>
        </w:rPr>
        <w:t>binding absent manifest error and may be made in its or their sole discretion and without consent from any other party to this Agreement or any other Basic Document, except, in each case, as expressly required pursuant to this Section‎ 2.17.</w:t>
      </w:r>
    </w:p>
    <w:p>
      <w:pPr>
        <w:spacing w:after="0" w:line="157" w:lineRule="exact"/>
        <w:rPr>
          <w:sz w:val="20"/>
          <w:szCs w:val="20"/>
          <w:color w:val="auto"/>
        </w:rPr>
      </w:pPr>
    </w:p>
    <w:p>
      <w:pPr>
        <w:ind w:right="20" w:firstLine="757"/>
        <w:spacing w:after="0" w:line="258" w:lineRule="auto"/>
        <w:tabs>
          <w:tab w:leader="none" w:pos="101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Borrower’s receipt of notice of the commencement of a Benchmark Unavailability Period, and at all times during the continuation of a Benchmark Unavailability Period, the Loans will bear interest at the Alternate Base Rate.</w:t>
      </w:r>
    </w:p>
    <w:p>
      <w:pPr>
        <w:spacing w:after="0" w:line="157" w:lineRule="exact"/>
        <w:rPr>
          <w:rFonts w:ascii="Times New Roman" w:cs="Times New Roman" w:eastAsia="Times New Roman" w:hAnsi="Times New Roman"/>
          <w:sz w:val="22"/>
          <w:szCs w:val="22"/>
          <w:color w:val="auto"/>
        </w:rPr>
      </w:pPr>
    </w:p>
    <w:p>
      <w:pPr>
        <w:jc w:val="both"/>
        <w:ind w:firstLine="757"/>
        <w:spacing w:after="0" w:line="264"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Owner Trustee, the Account Bank or the Backup Servicer shall (i) be responsible for making decisions or determinations in connection with any Benchmark Replacement, Benchmark Replacement Conforming Changes or Benchmark Transition Event or (ii) have any liability for any determination, decision or election made by or on behalf of the Administrative Agent or the Lenders in connection with a Benchmark Transition Event, Benchmark Replacement Conforming Changes or a Benchmark Replacement. Each Lender shall be deemed to waive and release any and all claims against the Owner Trustee, the Account Bank and the Backup Servicer relating to any such determination, decision or election by the Administrative Agent.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6" w:lineRule="auto"/>
        <w:tabs>
          <w:tab w:leader="none" w:pos="1018"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760" w:right="20" w:firstLine="1123"/>
        <w:spacing w:after="0" w:line="239" w:lineRule="auto"/>
        <w:rPr>
          <w:sz w:val="20"/>
          <w:szCs w:val="20"/>
          <w:color w:val="auto"/>
        </w:rPr>
      </w:pPr>
      <w:r>
        <w:rPr>
          <w:rFonts w:ascii="Times New Roman" w:cs="Times New Roman" w:eastAsia="Times New Roman" w:hAnsi="Times New Roman"/>
          <w:sz w:val="22"/>
          <w:szCs w:val="22"/>
          <w:color w:val="auto"/>
        </w:rPr>
        <w:t>(i)the Receivables and the related Contracts listed on the Schedule of Receivables,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on or after the related Cutoff Date;</w:t>
      </w:r>
    </w:p>
    <w:p>
      <w:pPr>
        <w:spacing w:after="0" w:line="179" w:lineRule="exact"/>
        <w:rPr>
          <w:sz w:val="20"/>
          <w:szCs w:val="20"/>
          <w:color w:val="auto"/>
        </w:rPr>
      </w:pPr>
    </w:p>
    <w:p>
      <w:pPr>
        <w:jc w:val="both"/>
        <w:ind w:left="760" w:firstLine="1123"/>
        <w:spacing w:after="0" w:line="239" w:lineRule="auto"/>
        <w:rPr>
          <w:sz w:val="20"/>
          <w:szCs w:val="20"/>
          <w:color w:val="auto"/>
        </w:rPr>
      </w:pPr>
      <w:r>
        <w:rPr>
          <w:rFonts w:ascii="Times New Roman" w:cs="Times New Roman" w:eastAsia="Times New Roman" w:hAnsi="Times New Roman"/>
          <w:sz w:val="22"/>
          <w:szCs w:val="22"/>
          <w:color w:val="auto"/>
        </w:rPr>
        <w:t>(ii)the Financed Vehicles related to such Receivables (including Financed Vehicles that have been repossessed) or in any document or writing evidencing any security interest in any Financed Vehicle and each security interest in each Financed Vehicle securing each such Receivable, including all proceeds from any sale or other disposition of such Financed Vehicles;</w:t>
      </w:r>
    </w:p>
    <w:p>
      <w:pPr>
        <w:spacing w:after="0" w:line="17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(iii)[***]; and</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(iv)all income and proceeds of the foregoing.</w:t>
      </w:r>
    </w:p>
    <w:p>
      <w:pPr>
        <w:spacing w:after="0" w:line="20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(b)The grant under this Section does not constitute and is not intended to result in a creation or an assumption by the Administrative Agent, any Agent or any of the Secured Parties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no Agent or any Secured Party shall have any obligations or liability under the Collateral by reason of this Agreement, nor shall any Agent or any Secured Party be obligated to perform any of the obligations or duties of the Borrower thereunder or to take any action to collect or enforce any claim for payment assigned hereunder.</w:t>
      </w:r>
    </w:p>
    <w:p>
      <w:pPr>
        <w:spacing w:after="0" w:line="158" w:lineRule="exact"/>
        <w:rPr>
          <w:sz w:val="20"/>
          <w:szCs w:val="20"/>
          <w:color w:val="auto"/>
        </w:rPr>
      </w:pPr>
    </w:p>
    <w:p>
      <w:pPr>
        <w:ind w:firstLine="757"/>
        <w:spacing w:after="0" w:line="258"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grant of security interest, no account, instrument, chattel paper or other obligation or property of any kind due from, owned by or belonging to a Designated Person shall be Collateral.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4" w:name="page145"/>
    <w:bookmarkEnd w:id="144"/>
    <w:p>
      <w:pPr>
        <w:jc w:val="both"/>
        <w:ind w:firstLine="757"/>
        <w:spacing w:after="0" w:line="237" w:lineRule="auto"/>
        <w:tabs>
          <w:tab w:leader="none" w:pos="11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Administrative Agent represents and warrants as to itself that each remittance of Collections by the Borrower to the Administrative Agent or any Lender under this Agreement will have been (i) in payment of a debt incurred by the Borrower in the ordinary course of business or financial affairs of the Borrower and the Administrative Agent or any Lender and (ii) made in the ordinary course of business or financial affairs of the Borrower and the Administrative Agent or any Lender.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Release of Collateral; No Legal Title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3" w:lineRule="auto"/>
        <w:tabs>
          <w:tab w:leader="none" w:pos="101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same time as any Contract relating to a Receivable (i) expires by its terms and all amounts in respect thereof have been paid by the related Obligor and deposited in the Local Bank Account or the Collection Account or (ii) has been prepaid in full and all amounts in respect thereof have been paid by the related Obligor and deposited in the Local Bank Account and subsequently deposited into the Collection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the Local Bank Account and subsequent deposit within two Business Days thereafter into the Collection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Financed Vehicle in connection with such sale or transfer and assignment. Nothing in this Section shall diminish the Servicer’s obligations pursuant to Sections 7.03(c) and 7.03(d) with respect to the proceeds of any such sale.</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(b)Upon (i) reallocation of the Receivables and related Collateral in connection with a prepayment pursuant to Section 2.06 or a Securitization 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Receivables (and the other related Collateral) to be released to the Borrower,</w:t>
      </w:r>
    </w:p>
    <w:p>
      <w:pPr>
        <w:spacing w:after="0" w:line="1" w:lineRule="exact"/>
        <w:rPr>
          <w:sz w:val="20"/>
          <w:szCs w:val="20"/>
          <w:color w:val="auto"/>
        </w:rPr>
      </w:pPr>
    </w:p>
    <w:p>
      <w:pPr>
        <w:jc w:val="both"/>
        <w:ind w:firstLine="8"/>
        <w:spacing w:after="0" w:line="233" w:lineRule="auto"/>
        <w:tabs>
          <w:tab w:leader="none" w:pos="34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5" w:name="page146"/>
    <w:bookmarkEnd w:id="145"/>
    <w:p>
      <w:pPr>
        <w:ind w:left="760"/>
        <w:spacing w:after="0"/>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Protection of Security Interest; Administrative Agent, as Attorney-in-Fact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62" w:lineRule="auto"/>
        <w:tabs>
          <w:tab w:leader="none" w:pos="101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the Administrative Agent or any Secured Party as Lienholder.</w:t>
      </w:r>
    </w:p>
    <w:p>
      <w:pPr>
        <w:spacing w:after="0" w:line="15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(b)If the Borrower fails to perform any of its obligations hereunder after five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This appointment is coupled with an interest and is irrevocable.</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Assignment of the Purchase Agreement</w:t>
      </w:r>
      <w:r>
        <w:rPr>
          <w:rFonts w:ascii="Times New Roman" w:cs="Times New Roman" w:eastAsia="Times New Roman" w:hAnsi="Times New Roman"/>
          <w:sz w:val="22"/>
          <w:szCs w:val="22"/>
          <w:color w:val="auto"/>
        </w:rPr>
        <w:t>. The Borrower hereby represents, warrants and confirms to the Administrative Agent that the Borrower has assigned to the Administrative Agent, for the ratable benefit of the Secured Parties hereunder, all of the Borrower’s right and title to and interest in the Purchase Agreement (including each Transfer Agreement). The Borrower confirms that the Administrative Agent shall have the sole right to enforce the Borrower’s rights and remedies under the Purchase Agreement or any Transfer Agreement for the benefit of the Secured Parties, but without any obligation on the part of the Administrative Agent, the Secured Parties or any of their respective Affiliates, to perform any of the obligations of the Borrower under the Purchase Agreement or any Transfer Agreement. The Borrower further confirms and agrees that such assignment to the Administrative Agent shall terminate upon the Facility Termination Date; provided, however, that the rights of the Administrative Agent and the Secured Parties pursuant to such assignment with respect to rights and remedies in connection with any indemnities and any breach of any representation, warranty or covenants made by UACC pursuant to the Purchase Agreement, which rights and remedies survive the termination of the Purchase Agreement, shall be continuing and shall survive any termination of such assignment.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6" w:name="page147"/>
    <w:bookmarkEnd w:id="146"/>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Waiver of Certain Laws</w:t>
      </w:r>
      <w:r>
        <w:rPr>
          <w:rFonts w:ascii="Times New Roman" w:cs="Times New Roman" w:eastAsia="Times New Roman" w:hAnsi="Times New Roman"/>
          <w:sz w:val="22"/>
          <w:szCs w:val="22"/>
          <w:color w:val="auto"/>
        </w:rPr>
        <w:t>. Each of the Borrower, the Servicer, the Backup Servicer, the Account Bank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Backup Servicer, the Account Bank and the Custodian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OF CLOSING AND LOANS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to Closing and Initial Loan</w:t>
      </w:r>
      <w:r>
        <w:rPr>
          <w:rFonts w:ascii="Times New Roman" w:cs="Times New Roman" w:eastAsia="Times New Roman" w:hAnsi="Times New Roman"/>
          <w:sz w:val="22"/>
          <w:szCs w:val="22"/>
          <w:color w:val="auto"/>
        </w:rPr>
        <w:t>. The Closing Date shall not occur and no Lender shall be obligated to make any Lender Advance hereunder on the occasion of the Initial Loan, nor shall any Lender, the Administrative Agent, any Agent, the Backup Servicer, the Account Bank or the Custodian be obligated to take, fulfill or perform any other action hereunder, until all of the following conditions have been satisfied, in the sole discretion of the Administrative Agent:</w:t>
      </w:r>
    </w:p>
    <w:p>
      <w:pPr>
        <w:spacing w:after="0" w:line="179" w:lineRule="exact"/>
        <w:rPr>
          <w:sz w:val="20"/>
          <w:szCs w:val="20"/>
          <w:color w:val="auto"/>
        </w:rPr>
      </w:pPr>
    </w:p>
    <w:p>
      <w:pPr>
        <w:ind w:left="2040" w:hanging="535"/>
        <w:spacing w:after="0"/>
        <w:tabs>
          <w:tab w:leader="none" w:pos="20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Precedent to All Loans</w:t>
      </w:r>
      <w:r>
        <w:rPr>
          <w:rFonts w:ascii="Times New Roman" w:cs="Times New Roman" w:eastAsia="Times New Roman" w:hAnsi="Times New Roman"/>
          <w:sz w:val="22"/>
          <w:szCs w:val="22"/>
          <w:color w:val="auto"/>
        </w:rPr>
        <w:t>.  Each request for a Loan by the Borrower to a Lender (including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Loan) shall be subject to the conditions set forth in Section 4.01 and the further conditions precedent that:</w:t>
      </w:r>
    </w:p>
    <w:p>
      <w:pPr>
        <w:spacing w:after="0" w:line="181" w:lineRule="exact"/>
        <w:rPr>
          <w:sz w:val="20"/>
          <w:szCs w:val="20"/>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Representations and Warranties of the Borrower</w:t>
      </w:r>
      <w:r>
        <w:rPr>
          <w:rFonts w:ascii="Times New Roman" w:cs="Times New Roman" w:eastAsia="Times New Roman" w:hAnsi="Times New Roman"/>
          <w:sz w:val="22"/>
          <w:szCs w:val="22"/>
          <w:color w:val="auto"/>
        </w:rPr>
        <w:t>. The Borrower represents and warrants, as of the Closing Date and each Funding Date, as follows:</w:t>
      </w:r>
    </w:p>
    <w:p>
      <w:pPr>
        <w:spacing w:after="0" w:line="157" w:lineRule="exact"/>
        <w:rPr>
          <w:sz w:val="20"/>
          <w:szCs w:val="20"/>
          <w:color w:val="auto"/>
        </w:rPr>
      </w:pPr>
    </w:p>
    <w:p>
      <w:pPr>
        <w:jc w:val="both"/>
        <w:ind w:left="760" w:firstLine="745"/>
        <w:spacing w:after="0" w:line="237" w:lineRule="auto"/>
        <w:tabs>
          <w:tab w:leader="none" w:pos="20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Borrower is duly qualified to do business and is in good standing as a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66" w:lineRule="auto"/>
        <w:tabs>
          <w:tab w:leader="none" w:pos="20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 and Authority; Due Authorization</w:t>
      </w:r>
      <w:r>
        <w:rPr>
          <w:rFonts w:ascii="Times New Roman" w:cs="Times New Roman" w:eastAsia="Times New Roman" w:hAnsi="Times New Roman"/>
          <w:sz w:val="20"/>
          <w:szCs w:val="20"/>
          <w:color w:val="auto"/>
        </w:rPr>
        <w:t>. The Borrower (i) has all necessary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spacing w:after="0" w:line="154" w:lineRule="exact"/>
        <w:rPr>
          <w:rFonts w:ascii="Times New Roman" w:cs="Times New Roman" w:eastAsia="Times New Roman" w:hAnsi="Times New Roman"/>
          <w:sz w:val="20"/>
          <w:szCs w:val="20"/>
          <w:color w:val="auto"/>
        </w:rPr>
      </w:pPr>
    </w:p>
    <w:p>
      <w:pPr>
        <w:jc w:val="both"/>
        <w:ind w:left="760" w:firstLine="745"/>
        <w:spacing w:after="0" w:line="235" w:lineRule="auto"/>
        <w:tabs>
          <w:tab w:leader="none" w:pos="20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0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licenses or other actions of any Person or of any Governmental Authority required for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due execution, delivery and performance by the Borrower of the Borrower Basic Documents have been obtained.</w:t>
      </w:r>
    </w:p>
    <w:p>
      <w:pPr>
        <w:spacing w:after="0" w:line="205" w:lineRule="exact"/>
        <w:rPr>
          <w:sz w:val="20"/>
          <w:szCs w:val="20"/>
          <w:color w:val="auto"/>
        </w:rPr>
      </w:pPr>
    </w:p>
    <w:p>
      <w:pPr>
        <w:ind w:firstLine="745"/>
        <w:spacing w:after="0" w:line="258" w:lineRule="auto"/>
        <w:tabs>
          <w:tab w:leader="none" w:pos="1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Sales</w:t>
      </w:r>
      <w:r>
        <w:rPr>
          <w:rFonts w:ascii="Times New Roman" w:cs="Times New Roman" w:eastAsia="Times New Roman" w:hAnsi="Times New Roman"/>
          <w:sz w:val="22"/>
          <w:szCs w:val="22"/>
          <w:color w:val="auto"/>
        </w:rPr>
        <w:t>. The execution, delivery and performance of this Agreement do not require compliance with any “bulk sales” act or similar law by the Borrower.</w:t>
      </w:r>
    </w:p>
    <w:p>
      <w:pPr>
        <w:spacing w:after="0" w:line="157" w:lineRule="exact"/>
        <w:rPr>
          <w:rFonts w:ascii="Times New Roman" w:cs="Times New Roman" w:eastAsia="Times New Roman" w:hAnsi="Times New Roman"/>
          <w:sz w:val="22"/>
          <w:szCs w:val="22"/>
          <w:color w:val="auto"/>
        </w:rPr>
      </w:pPr>
    </w:p>
    <w:p>
      <w:pPr>
        <w:ind w:right="20" w:firstLine="745"/>
        <w:spacing w:after="0" w:line="258" w:lineRule="auto"/>
        <w:tabs>
          <w:tab w:leader="none" w:pos="1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contemplated by the Borrower Basic Documents do not and will not render the Borrower not Solvent.</w:t>
      </w:r>
    </w:p>
    <w:p>
      <w:pPr>
        <w:spacing w:after="0" w:line="157"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Procedures</w:t>
      </w:r>
      <w:r>
        <w:rPr>
          <w:rFonts w:ascii="Times New Roman" w:cs="Times New Roman" w:eastAsia="Times New Roman" w:hAnsi="Times New Roman"/>
          <w:sz w:val="22"/>
          <w:szCs w:val="22"/>
          <w:color w:val="auto"/>
        </w:rPr>
        <w:t>. No procedures that could reasonably be expected to be adverse to the interests of the Lenders were utilized by the Borrower in identifying and/or selecting Receivables to be funded by the related Loans. In addition, each Receivable shall have been underwritten in accordance with and satisfy the standards of the Credit and Collection Policy at the time of origination of such Receivable.</w:t>
      </w:r>
    </w:p>
    <w:p>
      <w:pPr>
        <w:spacing w:after="0" w:line="178" w:lineRule="exact"/>
        <w:rPr>
          <w:rFonts w:ascii="Times New Roman" w:cs="Times New Roman" w:eastAsia="Times New Roman" w:hAnsi="Times New Roman"/>
          <w:sz w:val="22"/>
          <w:szCs w:val="22"/>
          <w:color w:val="auto"/>
        </w:rPr>
      </w:pPr>
    </w:p>
    <w:p>
      <w:pPr>
        <w:jc w:val="both"/>
        <w:ind w:firstLine="745"/>
        <w:spacing w:after="0" w:line="236" w:lineRule="auto"/>
        <w:tabs>
          <w:tab w:leader="none" w:pos="1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has filed or caused to be filed all tax returns that are required to be filed by it. The Borrower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spacing w:after="0" w:line="179" w:lineRule="exact"/>
        <w:rPr>
          <w:rFonts w:ascii="Times New Roman" w:cs="Times New Roman" w:eastAsia="Times New Roman" w:hAnsi="Times New Roman"/>
          <w:sz w:val="22"/>
          <w:szCs w:val="22"/>
          <w:color w:val="auto"/>
        </w:rPr>
      </w:pPr>
    </w:p>
    <w:p>
      <w:pPr>
        <w:jc w:val="both"/>
        <w:ind w:firstLine="745"/>
        <w:spacing w:after="0" w:line="236" w:lineRule="auto"/>
        <w:tabs>
          <w:tab w:leader="none" w:pos="1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 Regulations T, U and X</w:t>
      </w:r>
      <w:r>
        <w:rPr>
          <w:rFonts w:ascii="Times New Roman" w:cs="Times New Roman" w:eastAsia="Times New Roman" w:hAnsi="Times New Roman"/>
          <w:sz w:val="22"/>
          <w:szCs w:val="22"/>
          <w:color w:val="auto"/>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Loans will be used to carry or purchase, any “Margin Stock” within the meaning of Regulation U or to extend “Purchase Credit” within the meaning of Regulation U.</w:t>
      </w:r>
    </w:p>
    <w:p>
      <w:pPr>
        <w:spacing w:after="0" w:line="179" w:lineRule="exact"/>
        <w:rPr>
          <w:rFonts w:ascii="Times New Roman" w:cs="Times New Roman" w:eastAsia="Times New Roman" w:hAnsi="Times New Roman"/>
          <w:sz w:val="22"/>
          <w:szCs w:val="22"/>
          <w:color w:val="auto"/>
        </w:rPr>
      </w:pPr>
    </w:p>
    <w:p>
      <w:pPr>
        <w:jc w:val="both"/>
        <w:ind w:firstLine="745"/>
        <w:spacing w:after="0" w:line="262" w:lineRule="auto"/>
        <w:tabs>
          <w:tab w:leader="none" w:pos="128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Quality of Title</w:t>
      </w:r>
      <w:r>
        <w:rPr>
          <w:rFonts w:ascii="Times New Roman" w:cs="Times New Roman" w:eastAsia="Times New Roman" w:hAnsi="Times New Roman"/>
          <w:sz w:val="20"/>
          <w:szCs w:val="20"/>
          <w:color w:val="auto"/>
        </w:rPr>
        <w:t>. Each Receivable, together with the Contract related thereto,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spacing w:after="0" w:line="157" w:lineRule="exact"/>
        <w:rPr>
          <w:rFonts w:ascii="Times New Roman" w:cs="Times New Roman" w:eastAsia="Times New Roman" w:hAnsi="Times New Roman"/>
          <w:sz w:val="20"/>
          <w:szCs w:val="20"/>
          <w:color w:val="auto"/>
        </w:rPr>
      </w:pPr>
    </w:p>
    <w:p>
      <w:pPr>
        <w:jc w:val="both"/>
        <w:ind w:firstLine="745"/>
        <w:spacing w:after="0" w:line="244" w:lineRule="auto"/>
        <w:tabs>
          <w:tab w:leader="none" w:pos="128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The Borrower has granted a security interest (as defined in the UCC) to the Administrative Agent, as agent for the Secured Parties, in the Collateral, which is enforceable in accordance with Applicable Law upon execution and delivery of</w:t>
      </w:r>
    </w:p>
    <w:p>
      <w:pPr>
        <w:spacing w:after="0" w:line="200" w:lineRule="exact"/>
        <w:rPr>
          <w:sz w:val="20"/>
          <w:szCs w:val="20"/>
          <w:color w:val="auto"/>
        </w:rPr>
      </w:pPr>
    </w:p>
    <w:p>
      <w:pPr>
        <w:spacing w:after="0" w:line="3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50" w:name="page151"/>
    <w:bookmarkEnd w:id="150"/>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Upon the filing of UCC-1 financing statements naming the Administrative Agent, as secured party and the Borrower as debtor, or upon the Custodian obtaining possession or control, in the case of that portion of the Collateral which constitutes chattel paper (including “tangible chattel paper” and “electronic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w:t>
      </w:r>
    </w:p>
    <w:p>
      <w:pPr>
        <w:spacing w:after="0" w:line="181" w:lineRule="exact"/>
        <w:rPr>
          <w:sz w:val="20"/>
          <w:szCs w:val="20"/>
          <w:color w:val="auto"/>
        </w:rPr>
      </w:pPr>
    </w:p>
    <w:p>
      <w:pPr>
        <w:jc w:val="both"/>
        <w:ind w:firstLine="745"/>
        <w:spacing w:after="0" w:line="237" w:lineRule="auto"/>
        <w:tabs>
          <w:tab w:leader="none" w:pos="1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Administrative Agent, each Agent, the Account Bank, the Backup Servicer and any Secured Party in connection with this Agreement are true, complete and correct in all material respects.</w:t>
      </w:r>
    </w:p>
    <w:p>
      <w:pPr>
        <w:spacing w:after="0" w:line="180"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Offices</w:t>
      </w:r>
      <w:r>
        <w:rPr>
          <w:rFonts w:ascii="Times New Roman" w:cs="Times New Roman" w:eastAsia="Times New Roman" w:hAnsi="Times New Roman"/>
          <w:sz w:val="22"/>
          <w:szCs w:val="22"/>
          <w:color w:val="auto"/>
        </w:rPr>
        <w:t>.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w:t>
      </w:r>
    </w:p>
    <w:p>
      <w:pPr>
        <w:spacing w:after="0" w:line="178" w:lineRule="exact"/>
        <w:rPr>
          <w:rFonts w:ascii="Times New Roman" w:cs="Times New Roman" w:eastAsia="Times New Roman" w:hAnsi="Times New Roman"/>
          <w:sz w:val="22"/>
          <w:szCs w:val="22"/>
          <w:color w:val="auto"/>
        </w:rPr>
      </w:pPr>
    </w:p>
    <w:p>
      <w:pPr>
        <w:jc w:val="both"/>
        <w:ind w:firstLine="745"/>
        <w:spacing w:after="0" w:line="234" w:lineRule="auto"/>
        <w:tabs>
          <w:tab w:leader="none" w:pos="1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 Local Bank Account; Collection Account</w:t>
      </w:r>
      <w:r>
        <w:rPr>
          <w:rFonts w:ascii="Times New Roman" w:cs="Times New Roman" w:eastAsia="Times New Roman" w:hAnsi="Times New Roman"/>
          <w:sz w:val="22"/>
          <w:szCs w:val="22"/>
          <w:color w:val="auto"/>
        </w:rPr>
        <w:t>. The Borrower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80"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Tradenames</w:t>
      </w:r>
      <w:r>
        <w:rPr>
          <w:rFonts w:ascii="Times New Roman" w:cs="Times New Roman" w:eastAsia="Times New Roman" w:hAnsi="Times New Roman"/>
          <w:sz w:val="22"/>
          <w:szCs w:val="22"/>
          <w:color w:val="auto"/>
        </w:rPr>
        <w:t>. The Borrower has no trade names, fictitious names, assumed names or “doing business as” names or other names under which it has done or is doing business.</w:t>
      </w:r>
    </w:p>
    <w:p>
      <w:pPr>
        <w:spacing w:after="0" w:line="157"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The Purchase Agreement is the only agreement pursuant to which the Borrower purchases Receivables and the related Contracts.</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Given</w:t>
      </w:r>
      <w:r>
        <w:rPr>
          <w:rFonts w:ascii="Times New Roman" w:cs="Times New Roman" w:eastAsia="Times New Roman" w:hAnsi="Times New Roman"/>
          <w:sz w:val="22"/>
          <w:szCs w:val="22"/>
          <w:color w:val="auto"/>
        </w:rPr>
        <w:t>. The Borrower shall have given reasonably equivalent value to UACC in consideration for the transfer to the Borrower of the Receivables and the related Collateral under the Purchase Agreement, no such transfer shall have been made for or on account of an antecedent debt owed by UACC to the Borrower and no such</w:t>
      </w:r>
    </w:p>
    <w:p>
      <w:pPr>
        <w:spacing w:after="0" w:line="200" w:lineRule="exact"/>
        <w:rPr>
          <w:sz w:val="20"/>
          <w:szCs w:val="20"/>
          <w:color w:val="auto"/>
        </w:rPr>
      </w:pPr>
    </w:p>
    <w:p>
      <w:pPr>
        <w:spacing w:after="0" w:line="3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transfer is or may be voidable or subject to avoidance under any section of the Bankruptcy Code.</w:t>
      </w:r>
    </w:p>
    <w:p>
      <w:pPr>
        <w:spacing w:after="0" w:line="205" w:lineRule="exact"/>
        <w:rPr>
          <w:sz w:val="20"/>
          <w:szCs w:val="20"/>
          <w:color w:val="auto"/>
        </w:rPr>
      </w:pPr>
    </w:p>
    <w:p>
      <w:pPr>
        <w:jc w:val="both"/>
        <w:ind w:firstLine="745"/>
        <w:spacing w:after="0" w:line="239" w:lineRule="auto"/>
        <w:tabs>
          <w:tab w:leader="none" w:pos="12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The Borrower accounts for the transfers to it from UACC of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spacing w:after="0" w:line="178"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is in compliance with Section 6.02(n).</w:t>
      </w:r>
    </w:p>
    <w:p>
      <w:pPr>
        <w:spacing w:after="0" w:line="205" w:lineRule="exact"/>
        <w:rPr>
          <w:rFonts w:ascii="Times New Roman" w:cs="Times New Roman" w:eastAsia="Times New Roman" w:hAnsi="Times New Roman"/>
          <w:sz w:val="22"/>
          <w:szCs w:val="22"/>
          <w:color w:val="auto"/>
        </w:rPr>
      </w:pPr>
    </w:p>
    <w:p>
      <w:pPr>
        <w:jc w:val="both"/>
        <w:ind w:firstLine="745"/>
        <w:spacing w:after="0" w:line="235" w:lineRule="auto"/>
        <w:tabs>
          <w:tab w:leader="none" w:pos="12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Filings</w:t>
      </w:r>
      <w:r>
        <w:rPr>
          <w:rFonts w:ascii="Times New Roman" w:cs="Times New Roman" w:eastAsia="Times New Roman" w:hAnsi="Times New Roman"/>
          <w:sz w:val="22"/>
          <w:szCs w:val="22"/>
          <w:color w:val="auto"/>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spacing w:after="0" w:line="180"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Borrower (i) is not a “covered fund” under the Volcker Rule and (ii) is not, and after giving effect to the transactions contemplated hereby, will not be required to register as, an “investment company” within the meaning of the Investment Company Act or any successor statute. In determining that the Borrower is not a “covered fund”, the Borrower is entitled to rely on the exemption from the definition of “investment company” set forth in Section 3(c)(5) of the Investment Company Act.</w:t>
      </w:r>
    </w:p>
    <w:p>
      <w:pPr>
        <w:spacing w:after="0" w:line="180"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has no current or former employees. Neither the Borrower nor any ERISA Affiliate sponsors contributes to or is required to contribute to any Pension Plan or any Multiemployer Plan.</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w:t>
      </w:r>
      <w:r>
        <w:rPr>
          <w:rFonts w:ascii="Times New Roman" w:cs="Times New Roman" w:eastAsia="Times New Roman" w:hAnsi="Times New Roman"/>
          <w:sz w:val="22"/>
          <w:szCs w:val="22"/>
          <w:color w:val="auto"/>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spacing w:after="0" w:line="172"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in Purchase Agreement</w:t>
      </w:r>
      <w:r>
        <w:rPr>
          <w:rFonts w:ascii="Times New Roman" w:cs="Times New Roman" w:eastAsia="Times New Roman" w:hAnsi="Times New Roman"/>
          <w:sz w:val="22"/>
          <w:szCs w:val="22"/>
          <w:color w:val="auto"/>
        </w:rPr>
        <w:t>. The representations and warranties made by the Borrower to UACC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spacing w:after="0" w:line="180" w:lineRule="exact"/>
        <w:rPr>
          <w:sz w:val="20"/>
          <w:szCs w:val="20"/>
          <w:color w:val="auto"/>
        </w:rPr>
      </w:pPr>
    </w:p>
    <w:p>
      <w:pPr>
        <w:ind w:firstLine="745"/>
        <w:spacing w:after="0" w:line="258" w:lineRule="auto"/>
        <w:tabs>
          <w:tab w:leader="none" w:pos="128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None of the Borrower, the Originator or any of their respective directors, officers, brokers or other agents acting or benefiting in any capacity in connection</w:t>
      </w:r>
    </w:p>
    <w:p>
      <w:pPr>
        <w:spacing w:after="0" w:line="200" w:lineRule="exact"/>
        <w:rPr>
          <w:sz w:val="20"/>
          <w:szCs w:val="20"/>
          <w:color w:val="auto"/>
        </w:rPr>
      </w:pPr>
    </w:p>
    <w:p>
      <w:pPr>
        <w:spacing w:after="0" w:line="3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52" w:name="page153"/>
    <w:bookmarkEnd w:id="152"/>
    <w:p>
      <w:pPr>
        <w:ind w:left="760" w:right="20"/>
        <w:spacing w:after="0" w:line="258" w:lineRule="auto"/>
        <w:rPr>
          <w:sz w:val="20"/>
          <w:szCs w:val="20"/>
          <w:color w:val="auto"/>
        </w:rPr>
      </w:pPr>
      <w:r>
        <w:rPr>
          <w:rFonts w:ascii="Times New Roman" w:cs="Times New Roman" w:eastAsia="Times New Roman" w:hAnsi="Times New Roman"/>
          <w:sz w:val="22"/>
          <w:szCs w:val="22"/>
          <w:color w:val="auto"/>
        </w:rPr>
        <w:t>with this Agreement or the other Basic Documents, or any of their respective parents or subsidiaries, is a Designated Person.</w:t>
      </w:r>
    </w:p>
    <w:p>
      <w:pPr>
        <w:spacing w:after="0" w:line="157" w:lineRule="exact"/>
        <w:rPr>
          <w:sz w:val="20"/>
          <w:szCs w:val="20"/>
          <w:color w:val="auto"/>
        </w:rPr>
      </w:pPr>
    </w:p>
    <w:p>
      <w:pPr>
        <w:jc w:val="both"/>
        <w:ind w:left="760" w:firstLine="745"/>
        <w:spacing w:after="0" w:line="239" w:lineRule="auto"/>
        <w:tabs>
          <w:tab w:leader="none" w:pos="20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w:t>
      </w:r>
      <w:r>
        <w:rPr>
          <w:rFonts w:ascii="Times New Roman" w:cs="Times New Roman" w:eastAsia="Times New Roman" w:hAnsi="Times New Roman"/>
          <w:sz w:val="22"/>
          <w:szCs w:val="22"/>
          <w:color w:val="auto"/>
        </w:rPr>
        <w:t>. The Borrower has not used all or any part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Assets</w:t>
      </w:r>
      <w:r>
        <w:rPr>
          <w:rFonts w:ascii="Times New Roman" w:cs="Times New Roman" w:eastAsia="Times New Roman" w:hAnsi="Times New Roman"/>
          <w:sz w:val="22"/>
          <w:szCs w:val="22"/>
          <w:color w:val="auto"/>
        </w:rPr>
        <w:t xml:space="preserve">. The receivables transferred to the Borrower under the Purchase Agreement and to other special-purpose, bankruptcy-remote Subsidiaries of UACC that are party to warehouse facilities are generally allocated in the same order as such receivables become available for allocation (i.e. “FIFO”) and any variance in the relative mix of receivables collateral characteristics across the Collateral and such warehouse facilities are limited to the relative differences in eligibility criteria and/or concentration limits set forth herein and in the documents governing such warehouse facilities; </w:t>
      </w:r>
      <w:r>
        <w:rPr>
          <w:rFonts w:ascii="Times New Roman" w:cs="Times New Roman" w:eastAsia="Times New Roman" w:hAnsi="Times New Roman"/>
          <w:sz w:val="22"/>
          <w:szCs w:val="22"/>
          <w:i w:val="1"/>
          <w:iCs w:val="1"/>
          <w:color w:val="auto"/>
        </w:rPr>
        <w:t>provided, however that</w:t>
      </w:r>
      <w:r>
        <w:rPr>
          <w:rFonts w:ascii="Times New Roman" w:cs="Times New Roman" w:eastAsia="Times New Roman" w:hAnsi="Times New Roman"/>
          <w:sz w:val="22"/>
          <w:szCs w:val="22"/>
          <w:color w:val="auto"/>
        </w:rPr>
        <w:t xml:space="preserve"> notwithstanding the foregoing, nothing shall require the Originator to sell receivables to the Borrower or any other of its Subsidiaries that are parties to warehouse facilities at any particular time until the Borrower or such other Subsidiary decides to request funding under this Agreement or the related warehouse facility, as applicable.</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To the best of the Borrower’s knowledge, the information included in the Beneficial Ownership Certification is true and correct in all respects.</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Representations and Warranties of the Borrower Relating to this Agreement and the Receivables</w:t>
      </w:r>
      <w:r>
        <w:rPr>
          <w:rFonts w:ascii="Times New Roman" w:cs="Times New Roman" w:eastAsia="Times New Roman" w:hAnsi="Times New Roman"/>
          <w:sz w:val="22"/>
          <w:szCs w:val="22"/>
          <w:color w:val="auto"/>
        </w:rPr>
        <w:t>. The Borrower represents and warrants, as of the Closing Date and as of each Funding Date, as follows:</w:t>
      </w:r>
    </w:p>
    <w:p>
      <w:pPr>
        <w:spacing w:after="0" w:line="157" w:lineRule="exact"/>
        <w:rPr>
          <w:sz w:val="20"/>
          <w:szCs w:val="20"/>
          <w:color w:val="auto"/>
        </w:rPr>
      </w:pPr>
    </w:p>
    <w:p>
      <w:pPr>
        <w:jc w:val="both"/>
        <w:ind w:left="760" w:firstLine="745"/>
        <w:spacing w:after="0" w:line="239" w:lineRule="auto"/>
        <w:tabs>
          <w:tab w:leader="none" w:pos="20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 and, if this Agreement constitutes the grant of a security interest in such property, except for the interest of the Borrower in such property.</w:t>
      </w:r>
    </w:p>
    <w:p>
      <w:pPr>
        <w:spacing w:after="0" w:line="17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Receivables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3" w:name="page154"/>
    <w:bookmarkEnd w:id="153"/>
    <w:p>
      <w:pPr>
        <w:jc w:val="both"/>
        <w:ind w:left="760" w:firstLine="1123"/>
        <w:spacing w:after="0" w:line="259" w:lineRule="auto"/>
        <w:rPr>
          <w:sz w:val="20"/>
          <w:szCs w:val="20"/>
          <w:color w:val="auto"/>
        </w:rPr>
      </w:pPr>
      <w:r>
        <w:rPr>
          <w:rFonts w:ascii="Times New Roman" w:cs="Times New Roman" w:eastAsia="Times New Roman" w:hAnsi="Times New Roman"/>
          <w:sz w:val="20"/>
          <w:szCs w:val="20"/>
          <w:color w:val="auto"/>
        </w:rPr>
        <w:t>(i)As of the Closing Date,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spacing w:after="0" w:line="161" w:lineRule="exact"/>
        <w:rPr>
          <w:sz w:val="20"/>
          <w:szCs w:val="20"/>
          <w:color w:val="auto"/>
        </w:rPr>
      </w:pPr>
    </w:p>
    <w:p>
      <w:pPr>
        <w:jc w:val="both"/>
        <w:ind w:left="760" w:firstLine="1123"/>
        <w:spacing w:after="0" w:line="232" w:lineRule="auto"/>
        <w:rPr>
          <w:sz w:val="20"/>
          <w:szCs w:val="20"/>
          <w:color w:val="auto"/>
        </w:rPr>
      </w:pPr>
      <w:r>
        <w:rPr>
          <w:rFonts w:ascii="Times New Roman" w:cs="Times New Roman" w:eastAsia="Times New Roman" w:hAnsi="Times New Roman"/>
          <w:sz w:val="22"/>
          <w:szCs w:val="22"/>
          <w:color w:val="auto"/>
        </w:rPr>
        <w:t>(ii)On each Funding Date other than the Funding Date on which the Initial Loan is made,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have been duly obtained, effected or given and are in full force and effect and (E) the representations and warranties set forth in Section 5.02 are true and correct with respect to each Subsequent Receivable pledged on such day as if made on such day.</w:t>
      </w:r>
    </w:p>
    <w:p>
      <w:pPr>
        <w:spacing w:after="0" w:line="19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Representations and Warranties of the Servicer</w:t>
      </w:r>
      <w:r>
        <w:rPr>
          <w:rFonts w:ascii="Times New Roman" w:cs="Times New Roman" w:eastAsia="Times New Roman" w:hAnsi="Times New Roman"/>
          <w:sz w:val="22"/>
          <w:szCs w:val="22"/>
          <w:color w:val="auto"/>
        </w:rPr>
        <w:t>. The Servicer represents and warrants, as of the Closing Date and as of each Funding Date, as follows:</w:t>
      </w:r>
    </w:p>
    <w:p>
      <w:pPr>
        <w:spacing w:after="0" w:line="157" w:lineRule="exact"/>
        <w:rPr>
          <w:sz w:val="20"/>
          <w:szCs w:val="20"/>
          <w:color w:val="auto"/>
        </w:rPr>
      </w:pPr>
    </w:p>
    <w:p>
      <w:pPr>
        <w:jc w:val="both"/>
        <w:ind w:left="760" w:firstLine="745"/>
        <w:spacing w:after="0" w:line="239" w:lineRule="auto"/>
        <w:tabs>
          <w:tab w:leader="none" w:pos="204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Servicer is duly qualified to do business and is in good standing as a corporation, and has obtained all necessary licenses and approvals in all jurisdictions in which the ownership or lease of its property and or the conduct of its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business, including the origination and servicing of the Receivables, requires such qualification, licenses or approvals.</w:t>
      </w:r>
    </w:p>
    <w:p>
      <w:pPr>
        <w:spacing w:after="0" w:line="205" w:lineRule="exact"/>
        <w:rPr>
          <w:sz w:val="20"/>
          <w:szCs w:val="20"/>
          <w:color w:val="auto"/>
        </w:rPr>
      </w:pPr>
    </w:p>
    <w:p>
      <w:pPr>
        <w:jc w:val="both"/>
        <w:ind w:firstLine="745"/>
        <w:spacing w:after="0" w:line="239"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Servicer (i) has all necessary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spacing w:after="0" w:line="178"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spacing w:after="0" w:line="178" w:lineRule="exact"/>
        <w:rPr>
          <w:rFonts w:ascii="Times New Roman" w:cs="Times New Roman" w:eastAsia="Times New Roman" w:hAnsi="Times New Roman"/>
          <w:sz w:val="22"/>
          <w:szCs w:val="22"/>
          <w:color w:val="auto"/>
        </w:rPr>
      </w:pPr>
    </w:p>
    <w:p>
      <w:pPr>
        <w:jc w:val="both"/>
        <w:ind w:firstLine="745"/>
        <w:spacing w:after="0" w:line="235"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 (iii) challenging the enforceability of a material portion of the Receivables or (iv) seeking any determination or ruling that could reasonably be expected to have Material Adverse Effect.</w:t>
      </w:r>
    </w:p>
    <w:p>
      <w:pPr>
        <w:spacing w:after="0" w:line="180"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or other actions of any Person or of any Governmental Authority (if any) required for the due execution, delivery and performance by the Servicer of the Servicer Basic Documents have been obtained.</w:t>
      </w:r>
    </w:p>
    <w:p>
      <w:pPr>
        <w:spacing w:after="0" w:line="172"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information, exhibits, financial statements, documents, books, records or reports furnished or to be furnished by the Servicer to any Agent, the Account Bank, the Backup Servicer or any Secured Party in connection with this Agreement are accurate, true and correct in all material respects.</w:t>
      </w:r>
    </w:p>
    <w:p>
      <w:pPr>
        <w:spacing w:after="0" w:line="172"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Servicer’s Performance</w:t>
      </w:r>
      <w:r>
        <w:rPr>
          <w:rFonts w:ascii="Times New Roman" w:cs="Times New Roman" w:eastAsia="Times New Roman" w:hAnsi="Times New Roman"/>
          <w:sz w:val="22"/>
          <w:szCs w:val="22"/>
          <w:color w:val="auto"/>
        </w:rPr>
        <w:t>. The Servicer has the knowledge, the experience and the systems, financial and operational capacity available to timely perform each of its obligations hereunder.</w:t>
      </w:r>
    </w:p>
    <w:p>
      <w:pPr>
        <w:spacing w:after="0" w:line="200" w:lineRule="exact"/>
        <w:rPr>
          <w:sz w:val="20"/>
          <w:szCs w:val="20"/>
          <w:color w:val="auto"/>
        </w:rPr>
      </w:pPr>
    </w:p>
    <w:p>
      <w:pPr>
        <w:spacing w:after="0" w:line="3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55" w:name="page156"/>
    <w:bookmarkEnd w:id="155"/>
    <w:p>
      <w:pPr>
        <w:ind w:left="760" w:firstLine="745"/>
        <w:spacing w:after="0" w:line="258" w:lineRule="auto"/>
        <w:tabs>
          <w:tab w:leader="none" w:pos="204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Credit and Collection Policy</w:t>
      </w:r>
      <w:r>
        <w:rPr>
          <w:rFonts w:ascii="Times New Roman" w:cs="Times New Roman" w:eastAsia="Times New Roman" w:hAnsi="Times New Roman"/>
          <w:sz w:val="22"/>
          <w:szCs w:val="22"/>
          <w:color w:val="auto"/>
        </w:rPr>
        <w:t>. The Servicer has, with respect to the Receivables, complied in all material respects with the Credit and Collection Policy.</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 Collection Account</w:t>
      </w:r>
      <w:r>
        <w:rPr>
          <w:rFonts w:ascii="Times New Roman" w:cs="Times New Roman" w:eastAsia="Times New Roman" w:hAnsi="Times New Roman"/>
          <w:sz w:val="22"/>
          <w:szCs w:val="22"/>
          <w:color w:val="auto"/>
        </w:rPr>
        <w:t>. The Servicer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Retransfer of Certain Receivables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56" w:lineRule="auto"/>
        <w:tabs>
          <w:tab w:leader="none" w:pos="101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Retransfer of an Ineligible Receivable</w:t>
      </w:r>
      <w:r>
        <w:rPr>
          <w:rFonts w:ascii="Times New Roman" w:cs="Times New Roman" w:eastAsia="Times New Roman" w:hAnsi="Times New Roman"/>
          <w:sz w:val="20"/>
          <w:szCs w:val="20"/>
          <w:color w:val="auto"/>
        </w:rPr>
        <w:t>. If a Receivable is an Ineligible Receivable as of the related Funding Date, no later than the earlier of (i) knowledge by the Borrower of such event and (ii) receipt by the Borrower from the Administrative Agent or the Servicer of written notice thereof (which notice the Servicer shall be required to give promptly upon knowledge thereof), the Borrower shall (A) disclose the identity of such Ineligible Receivable on the following Monthly Report and (B) to the extent such ineligibility has not been cured or waived in writing by the Administrative Agent, on or before the next Payment Date, make a deposit of the Release Price for each such Ineligible Receivable to the Collection Account in immediately available funds and accept the release of each such Ineligible Receivable. The Administrative Agent shall be deemed, upon deposit of the Release Price into the Collection Account, to convey to the Borrower, without recourse, representation or warranty, all of its right, title and interest in such Ineligible Receivable and the Borrower shall accept the release of each such Ineligible Receivable from the Administrative Agent, and the Aggregate Net Principal Balance shall be reduced by the Principal Balance (as of the related Determination Date) of each such Ineligible Receivable. On and after the date of release, the Ineligible Receivable so released shall not be included in the Collateral. Upon each release to the Borrower of any such Ineligible Receivable, the Administrative Agent shall automatically and without further action be deemed to transfer, assign and set-over to the Borrower, without recourse, representation or warranty, all the right, title and interest of the Administrative Agent in, to and under such Ineligible Receivable and all future monies due or to become due with respect thereto, all proceeds of such Ineligible Receivable and Recoveries relating thereto, all rights to security for any such Ineligible Receivable, and all proceeds and products of the foregoing. The Administrative Agent shall, at the sole expense of the Servicer, execute such documents and instruments of release as may be prepared by the Servicer on behalf of the Borrower and take other such actions as shall reasonably be requested by the Borrower to effect the release of such Ineligible Receivable pursuant to this subsection.</w:t>
      </w:r>
    </w:p>
    <w:p>
      <w:pPr>
        <w:spacing w:after="0" w:line="200" w:lineRule="exact"/>
        <w:rPr>
          <w:rFonts w:ascii="Times New Roman" w:cs="Times New Roman" w:eastAsia="Times New Roman" w:hAnsi="Times New Roman"/>
          <w:sz w:val="20"/>
          <w:szCs w:val="20"/>
          <w:color w:val="auto"/>
        </w:rPr>
      </w:pPr>
    </w:p>
    <w:p>
      <w:pPr>
        <w:spacing w:after="0" w:line="211" w:lineRule="exact"/>
        <w:rPr>
          <w:rFonts w:ascii="Times New Roman" w:cs="Times New Roman" w:eastAsia="Times New Roman" w:hAnsi="Times New Roman"/>
          <w:sz w:val="20"/>
          <w:szCs w:val="20"/>
          <w:color w:val="auto"/>
        </w:rPr>
      </w:pPr>
    </w:p>
    <w:p>
      <w:pPr>
        <w:ind w:firstLine="757"/>
        <w:spacing w:after="0" w:line="258" w:lineRule="auto"/>
        <w:tabs>
          <w:tab w:leader="none" w:pos="10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Retransfer of All of the Receivables</w:t>
      </w:r>
      <w:r>
        <w:rPr>
          <w:rFonts w:ascii="Times New Roman" w:cs="Times New Roman" w:eastAsia="Times New Roman" w:hAnsi="Times New Roman"/>
          <w:sz w:val="22"/>
          <w:szCs w:val="22"/>
          <w:color w:val="auto"/>
        </w:rPr>
        <w:t>. In the event of a breach of any representation or warranty set forth in Section 5.02, which breach could reasonably be expected to have a Material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6" w:name="page157"/>
    <w:bookmarkEnd w:id="156"/>
    <w:p>
      <w:pPr>
        <w:jc w:val="both"/>
        <w:spacing w:after="0" w:line="234" w:lineRule="auto"/>
        <w:rPr>
          <w:sz w:val="20"/>
          <w:szCs w:val="20"/>
          <w:color w:val="auto"/>
        </w:rPr>
      </w:pPr>
      <w:r>
        <w:rPr>
          <w:rFonts w:ascii="Times New Roman" w:cs="Times New Roman" w:eastAsia="Times New Roman" w:hAnsi="Times New Roman"/>
          <w:sz w:val="22"/>
          <w:szCs w:val="22"/>
          <w:color w:val="auto"/>
        </w:rPr>
        <w:t>Adverse Effect on the rights of any of the Borrower, the Administrative Agent, the Agents or the Secured Parties, by notice then given in writing to the Borrower, the Administrative Agent may direct the Borrower to accept the release of all interest in the Receivables, in which case the Borrower shall be obligated to accept the release of such Receivables on a Release Date. The Borrower shall deposit on the Release Date an amount equal to the Release Amount in the Collection Account. On the Release Date, provided that the Release Amount has been deposited into the Collection Account, all interests of the Administrative Agent in the Receivables shall be transferred to the Borrower; and the Administrative Agent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Administrative Agent in, to and under the Receivables.</w:t>
      </w:r>
    </w:p>
    <w:p>
      <w:pPr>
        <w:spacing w:after="0" w:line="180" w:lineRule="exact"/>
        <w:rPr>
          <w:sz w:val="20"/>
          <w:szCs w:val="20"/>
          <w:color w:val="auto"/>
        </w:rPr>
      </w:pPr>
    </w:p>
    <w:p>
      <w:pPr>
        <w:jc w:val="both"/>
        <w:ind w:firstLine="757"/>
        <w:spacing w:after="0" w:line="235"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Retransfer of Receivables for Breach of Servicing Covenant</w:t>
      </w:r>
      <w:r>
        <w:rPr>
          <w:rFonts w:ascii="Times New Roman" w:cs="Times New Roman" w:eastAsia="Times New Roman" w:hAnsi="Times New Roman"/>
          <w:sz w:val="22"/>
          <w:szCs w:val="22"/>
          <w:color w:val="auto"/>
        </w:rPr>
        <w:t>. In the event that the Servicer breaches a servicing covenant pursuant to Section 7.03(c)(i) or (c)(ii), no later than the earlier of (i) knowledge by the Servicer of such event or (ii) receipt by the Servicer from the Administrative Agent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the Collection Account in immediately available funds, and the Borrower shall accept the release of such Receivable(s), in each case as described in Section 5.04(a).</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Release</w:t>
      </w:r>
      <w:r>
        <w:rPr>
          <w:rFonts w:ascii="Times New Roman" w:cs="Times New Roman" w:eastAsia="Times New Roman" w:hAnsi="Times New Roman"/>
          <w:sz w:val="22"/>
          <w:szCs w:val="22"/>
          <w:color w:val="auto"/>
        </w:rPr>
        <w:t>. The Borrower or the Servicer, as applicable, shall provide written notice to the Administrative Agent and each Hedge Counterparty on the related Monthly Report of any release of Receivables pursuant to Sections 5.04(a) and (c). With respect to any release under Section 5.04(b), the Borrower shall provide written notice to the Administrative Agent and each Hedge Counterparty of any release of Receivables prior to 12:00 p.m., Chicago, Illinois time, three (3) Business Days prior to the related Release Date, and such notice shall include representations and warranties by the Borrower that no Termination Event or Servicer Termination Event has occurred.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205"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Affirmative Covenants of the Borrower</w:t>
      </w:r>
      <w:r>
        <w:rPr>
          <w:rFonts w:ascii="Times New Roman" w:cs="Times New Roman" w:eastAsia="Times New Roman" w:hAnsi="Times New Roman"/>
          <w:sz w:val="22"/>
          <w:szCs w:val="22"/>
          <w:color w:val="auto"/>
        </w:rPr>
        <w:t>. Except as otherwise provided herein, from the date hereof until the Facility Termination Date:</w:t>
      </w:r>
    </w:p>
    <w:p>
      <w:pPr>
        <w:spacing w:after="0" w:line="157" w:lineRule="exact"/>
        <w:rPr>
          <w:sz w:val="20"/>
          <w:szCs w:val="20"/>
          <w:color w:val="auto"/>
        </w:rPr>
      </w:pPr>
    </w:p>
    <w:p>
      <w:pPr>
        <w:ind w:left="760" w:right="20" w:firstLine="745"/>
        <w:spacing w:after="0" w:line="258"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comply in all material respects with all Applicable Laws, including those with respect to the Receivables and related Financed Vehicles.</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Borrower will preserve and maintain its existence, rights, franchises and privileges in the State of Delaware, and qualify and remain qualified in good standing as a foreign trust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Contracts</w:t>
      </w:r>
      <w:r>
        <w:rPr>
          <w:rFonts w:ascii="Times New Roman" w:cs="Times New Roman" w:eastAsia="Times New Roman" w:hAnsi="Times New Roman"/>
          <w:sz w:val="22"/>
          <w:szCs w:val="22"/>
          <w:color w:val="auto"/>
        </w:rPr>
        <w:t>. The Borrower will, at its expense, timely and fully perform and comply in all material respects (or cause UACC to perform and comply pursuant to the Purchase Agreement and all Transfer Agreements) with all provisions, covenants and other promises required to be observed by it under the Contracts and all other agreements related to such Contracts.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To the extent not maintained and implemented by the Servicer, the Borrower will maintain and implement administrative and operating procedures (including an ability to recreate records evidencing Receivables in the event of the destruction of the originals thereof), and keep and maintain all documents, books, records and other information reasonably necessary or advisable for the collection of all Receivables.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Assets</w:t>
      </w:r>
      <w:r>
        <w:rPr>
          <w:rFonts w:ascii="Times New Roman" w:cs="Times New Roman" w:eastAsia="Times New Roman" w:hAnsi="Times New Roman"/>
          <w:sz w:val="22"/>
          <w:szCs w:val="22"/>
          <w:color w:val="auto"/>
        </w:rPr>
        <w:t>.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204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Collections</w:t>
      </w:r>
      <w:r>
        <w:rPr>
          <w:rFonts w:ascii="Times New Roman" w:cs="Times New Roman" w:eastAsia="Times New Roman" w:hAnsi="Times New Roman"/>
          <w:sz w:val="22"/>
          <w:szCs w:val="22"/>
          <w:color w:val="auto"/>
        </w:rPr>
        <w:t>. The Borrower will deliver to the Servicer for further remittance to the Local Bank Account promptly (but in no event later than one Business Day after receipt) all Collections received by Borrower in respect of the Receivables.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8" w:name="page159"/>
    <w:bookmarkEnd w:id="158"/>
    <w:p>
      <w:pPr>
        <w:ind w:firstLine="745"/>
        <w:spacing w:after="0" w:line="258" w:lineRule="auto"/>
        <w:tabs>
          <w:tab w:leader="none" w:pos="12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Corporate Existence</w:t>
      </w:r>
      <w:r>
        <w:rPr>
          <w:rFonts w:ascii="Times New Roman" w:cs="Times New Roman" w:eastAsia="Times New Roman" w:hAnsi="Times New Roman"/>
          <w:sz w:val="22"/>
          <w:szCs w:val="22"/>
          <w:color w:val="auto"/>
        </w:rPr>
        <w:t>. The Borrower shall be in compliance with the special purpose entity requirements set forth in Section 6.02(n).</w:t>
      </w:r>
    </w:p>
    <w:p>
      <w:pPr>
        <w:spacing w:after="0" w:line="157"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5" w:lineRule="exact"/>
        <w:rPr>
          <w:rFonts w:ascii="Times New Roman" w:cs="Times New Roman" w:eastAsia="Times New Roman" w:hAnsi="Times New Roman"/>
          <w:sz w:val="22"/>
          <w:szCs w:val="22"/>
          <w:color w:val="auto"/>
        </w:rPr>
      </w:pPr>
    </w:p>
    <w:p>
      <w:pPr>
        <w:jc w:val="both"/>
        <w:ind w:firstLine="745"/>
        <w:spacing w:after="0" w:line="235" w:lineRule="auto"/>
        <w:tabs>
          <w:tab w:leader="none" w:pos="12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The Borrower will provide the Administrative Agent, each Agent, the Account Bank and the Backup Servicer with written notice immediately following the earlier of (i) actual knowledge by the Borrower and (ii) receipt by the Borrower from the Servicer of written notice (which notice the Servicer shall be required to give promptly upon knowledge) of the occurrence of each Early Amortization Event, each Termination Event and each Unmatured Termination Event and, no later than three Business Days following the occurrence thereof, the Borrower will provide to the Administrative Agent an Officer’s Certificate setting forth the details of such event and the action that the Borrower proposes to take with respect thereto.</w:t>
      </w:r>
    </w:p>
    <w:p>
      <w:pPr>
        <w:spacing w:after="0" w:line="180" w:lineRule="exact"/>
        <w:rPr>
          <w:rFonts w:ascii="Times New Roman" w:cs="Times New Roman" w:eastAsia="Times New Roman" w:hAnsi="Times New Roman"/>
          <w:sz w:val="22"/>
          <w:szCs w:val="22"/>
          <w:color w:val="auto"/>
        </w:rPr>
      </w:pPr>
    </w:p>
    <w:p>
      <w:pPr>
        <w:jc w:val="both"/>
        <w:ind w:firstLine="745"/>
        <w:spacing w:after="0" w:line="244" w:lineRule="auto"/>
        <w:tabs>
          <w:tab w:leader="none" w:pos="134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will file and pay any and all Taxes, including those required to meet the obligations of the Basic Documents that are due and payable, not being contested in good faith and fully reserved for in accordance with GAAP.</w:t>
      </w:r>
    </w:p>
    <w:p>
      <w:pPr>
        <w:spacing w:after="0" w:line="172"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Borrower will use the Principal Amounts only to acquire Receivables.</w:t>
      </w:r>
    </w:p>
    <w:p>
      <w:pPr>
        <w:spacing w:after="0" w:line="205"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The Borrower will furnish or cause to be furnished to the Administrative Agent and each</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w:t>
      </w:r>
    </w:p>
    <w:p>
      <w:pPr>
        <w:spacing w:after="0" w:line="181" w:lineRule="exact"/>
        <w:rPr>
          <w:rFonts w:ascii="Times New Roman" w:cs="Times New Roman" w:eastAsia="Times New Roman" w:hAnsi="Times New Roman"/>
          <w:sz w:val="22"/>
          <w:szCs w:val="22"/>
          <w:color w:val="auto"/>
        </w:rPr>
      </w:pPr>
    </w:p>
    <w:p>
      <w:pPr>
        <w:ind w:left="740" w:firstLine="1129"/>
        <w:spacing w:after="0" w:line="258" w:lineRule="auto"/>
        <w:tabs>
          <w:tab w:leader="none" w:pos="229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Not later than each Reporting Date, a Monthly Report and such other information as reasonably requested by the Administrative Agent.</w:t>
      </w:r>
    </w:p>
    <w:p>
      <w:pPr>
        <w:spacing w:after="0" w:line="157" w:lineRule="exact"/>
        <w:rPr>
          <w:rFonts w:ascii="Times New Roman" w:cs="Times New Roman" w:eastAsia="Times New Roman" w:hAnsi="Times New Roman"/>
          <w:sz w:val="22"/>
          <w:szCs w:val="22"/>
          <w:color w:val="auto"/>
        </w:rPr>
      </w:pPr>
    </w:p>
    <w:p>
      <w:pPr>
        <w:jc w:val="both"/>
        <w:ind w:left="740" w:firstLine="1129"/>
        <w:spacing w:after="0" w:line="236" w:lineRule="auto"/>
        <w:tabs>
          <w:tab w:leader="none" w:pos="229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 Liability</w:t>
      </w:r>
      <w:r>
        <w:rPr>
          <w:rFonts w:ascii="Times New Roman" w:cs="Times New Roman" w:eastAsia="Times New Roman" w:hAnsi="Times New Roman"/>
          <w:sz w:val="22"/>
          <w:szCs w:val="22"/>
          <w:color w:val="auto"/>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telephonic, telex or telecopied notice (confirmed in writing within five Business Days) specifying the nature of the items giving rise to such adjustments and the amounts thereof.</w:t>
      </w:r>
    </w:p>
    <w:p>
      <w:pPr>
        <w:spacing w:after="0" w:line="179" w:lineRule="exact"/>
        <w:rPr>
          <w:rFonts w:ascii="Times New Roman" w:cs="Times New Roman" w:eastAsia="Times New Roman" w:hAnsi="Times New Roman"/>
          <w:sz w:val="22"/>
          <w:szCs w:val="22"/>
          <w:color w:val="auto"/>
        </w:rPr>
      </w:pPr>
    </w:p>
    <w:p>
      <w:pPr>
        <w:jc w:val="both"/>
        <w:ind w:left="740" w:firstLine="1129"/>
        <w:spacing w:after="0" w:line="244" w:lineRule="auto"/>
        <w:tabs>
          <w:tab w:leader="none" w:pos="229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Upon demand by the Administrative Agent, copies of all federal, State and local Tax returns and reports filed by the Borrower, or in which the Borrower was included on a consolidated or combined basis (excluding sales, use and like taxes).</w:t>
      </w:r>
    </w:p>
    <w:p>
      <w:pPr>
        <w:spacing w:after="0" w:line="200" w:lineRule="exact"/>
        <w:rPr>
          <w:sz w:val="20"/>
          <w:szCs w:val="20"/>
          <w:color w:val="auto"/>
        </w:rPr>
      </w:pPr>
    </w:p>
    <w:p>
      <w:pPr>
        <w:spacing w:after="0" w:line="3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59" w:name="page160"/>
    <w:bookmarkEnd w:id="159"/>
    <w:p>
      <w:pPr>
        <w:jc w:val="both"/>
        <w:ind w:left="380" w:firstLine="1129"/>
        <w:spacing w:after="0" w:line="234" w:lineRule="auto"/>
        <w:tabs>
          <w:tab w:leader="none" w:pos="193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Promptly upon receiving knowledge of same, the Borrower shall notify the Administrative Agent if any representation or warranty set forth in Section 5.01 or 5.02 in any material respect was incorrect at the time it was given or deemed to have been given and at the same time deliver to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spacing w:after="0" w:line="184" w:lineRule="exact"/>
        <w:rPr>
          <w:rFonts w:ascii="Times New Roman" w:cs="Times New Roman" w:eastAsia="Times New Roman" w:hAnsi="Times New Roman"/>
          <w:sz w:val="22"/>
          <w:szCs w:val="22"/>
          <w:color w:val="auto"/>
        </w:rPr>
      </w:pPr>
    </w:p>
    <w:p>
      <w:pPr>
        <w:jc w:val="both"/>
        <w:ind w:left="380" w:firstLine="1129"/>
        <w:spacing w:after="0" w:line="236" w:lineRule="auto"/>
        <w:tabs>
          <w:tab w:leader="none" w:pos="193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court or governmental department, commission, board, bureau, agency or instrumentality, domestic or foreign, affecting the Borrower.</w:t>
      </w:r>
    </w:p>
    <w:p>
      <w:pPr>
        <w:spacing w:after="0" w:line="179" w:lineRule="exact"/>
        <w:rPr>
          <w:rFonts w:ascii="Times New Roman" w:cs="Times New Roman" w:eastAsia="Times New Roman" w:hAnsi="Times New Roman"/>
          <w:sz w:val="22"/>
          <w:szCs w:val="22"/>
          <w:color w:val="auto"/>
        </w:rPr>
      </w:pPr>
    </w:p>
    <w:p>
      <w:pPr>
        <w:jc w:val="both"/>
        <w:ind w:left="380" w:firstLine="1129"/>
        <w:spacing w:after="0" w:line="244" w:lineRule="auto"/>
        <w:tabs>
          <w:tab w:leader="none" w:pos="193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Material Events</w:t>
      </w:r>
      <w:r>
        <w:rPr>
          <w:rFonts w:ascii="Times New Roman" w:cs="Times New Roman" w:eastAsia="Times New Roman" w:hAnsi="Times New Roman"/>
          <w:sz w:val="22"/>
          <w:szCs w:val="22"/>
          <w:color w:val="auto"/>
        </w:rPr>
        <w:t>. Promptly upon any Responsible Officer of the Borrower becoming aware thereof, notice of any other event or circumstances that, in the reasonable judgment of the Borrower, is likely to have a Material Adverse Effect.</w:t>
      </w:r>
    </w:p>
    <w:p>
      <w:pPr>
        <w:spacing w:after="0" w:line="172" w:lineRule="exact"/>
        <w:rPr>
          <w:rFonts w:ascii="Times New Roman" w:cs="Times New Roman" w:eastAsia="Times New Roman" w:hAnsi="Times New Roman"/>
          <w:sz w:val="22"/>
          <w:szCs w:val="22"/>
          <w:color w:val="auto"/>
        </w:rPr>
      </w:pPr>
    </w:p>
    <w:p>
      <w:pPr>
        <w:jc w:val="both"/>
        <w:ind w:left="380" w:firstLine="1129"/>
        <w:spacing w:after="0" w:line="280" w:lineRule="auto"/>
        <w:tabs>
          <w:tab w:leader="none" w:pos="1937"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Promptly following any request therefor, information and documentation reasonably requested by the Administrative Agent or any Lender for purposes of compliance with the Beneficial Ownership Regulation, including delivery of a Beneficial Ownership Certification.</w:t>
      </w:r>
    </w:p>
    <w:p>
      <w:pPr>
        <w:spacing w:after="0" w:line="138" w:lineRule="exact"/>
        <w:rPr>
          <w:rFonts w:ascii="Times New Roman" w:cs="Times New Roman" w:eastAsia="Times New Roman" w:hAnsi="Times New Roman"/>
          <w:sz w:val="20"/>
          <w:szCs w:val="20"/>
          <w:color w:val="auto"/>
        </w:rPr>
      </w:pPr>
    </w:p>
    <w:p>
      <w:pPr>
        <w:ind w:left="-360" w:firstLine="745"/>
        <w:spacing w:after="0" w:line="258" w:lineRule="auto"/>
        <w:tabs>
          <w:tab w:leader="none" w:pos="92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Borrower will promptly notify the Administrative Agent of any change in the Borrower’s accounting policies that are not otherwise required by GAAP.</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92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Title Opinion</w:t>
      </w:r>
      <w:r>
        <w:rPr>
          <w:rFonts w:ascii="Times New Roman" w:cs="Times New Roman" w:eastAsia="Times New Roman" w:hAnsi="Times New Roman"/>
          <w:sz w:val="22"/>
          <w:szCs w:val="22"/>
          <w:color w:val="auto"/>
        </w:rPr>
        <w:t>. If in connection with a Securitization involving all or a portion of the Collateral the Borrower is required to provide an Opinion of Counsel in each State in which the aggregate Principal Balance of Receivables related to Obligors with mailing addresses in such State equals or exceeds [***]% of the Aggregate Net Principal Balance,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 the Borrower will furnish to the Administrative Agent and the Lenders a copy of such Opinion of Counsel.</w:t>
      </w:r>
    </w:p>
    <w:p>
      <w:pPr>
        <w:spacing w:after="0" w:line="200" w:lineRule="exact"/>
        <w:rPr>
          <w:sz w:val="20"/>
          <w:szCs w:val="20"/>
          <w:color w:val="auto"/>
        </w:rPr>
      </w:pPr>
    </w:p>
    <w:p>
      <w:pPr>
        <w:spacing w:after="0" w:line="38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60" w:name="page161"/>
    <w:bookmarkEnd w:id="160"/>
    <w:p>
      <w:pPr>
        <w:jc w:val="both"/>
        <w:ind w:firstLine="745"/>
        <w:spacing w:after="0" w:line="239" w:lineRule="auto"/>
        <w:tabs>
          <w:tab w:leader="none" w:pos="128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Borrower will furnish to the Administrative Agent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Negative Covenants of the Borrower</w:t>
      </w:r>
      <w:r>
        <w:rPr>
          <w:rFonts w:ascii="Times New Roman" w:cs="Times New Roman" w:eastAsia="Times New Roman" w:hAnsi="Times New Roman"/>
          <w:sz w:val="22"/>
          <w:szCs w:val="22"/>
          <w:color w:val="auto"/>
        </w:rPr>
        <w:t>. From the date hereof until the Facility Termination Date:</w:t>
      </w:r>
    </w:p>
    <w:p>
      <w:pPr>
        <w:spacing w:after="0" w:line="205" w:lineRule="exact"/>
        <w:rPr>
          <w:sz w:val="20"/>
          <w:szCs w:val="20"/>
          <w:color w:val="auto"/>
        </w:rPr>
      </w:pPr>
    </w:p>
    <w:p>
      <w:pPr>
        <w:jc w:val="both"/>
        <w:ind w:firstLine="745"/>
        <w:spacing w:after="0" w:line="239" w:lineRule="auto"/>
        <w:tabs>
          <w:tab w:leader="none" w:pos="128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The Borrower will not (i) engage in any business other than the transactions contemplated by the Basic Documents, (ii) incur any Indebtedness, obligation, liability or contingent obligation of any kind other than pursuant to this Agreement or under any Hedging Agreement required by Section 6.03 or (iii) form any Subsidiary or make any Investment in any other Person.</w:t>
      </w:r>
    </w:p>
    <w:p>
      <w:pPr>
        <w:spacing w:after="0" w:line="178"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Receivables Not to be Evidenced by Instruments</w:t>
      </w:r>
      <w:r>
        <w:rPr>
          <w:rFonts w:ascii="Times New Roman" w:cs="Times New Roman" w:eastAsia="Times New Roman" w:hAnsi="Times New Roman"/>
          <w:sz w:val="22"/>
          <w:szCs w:val="22"/>
          <w:color w:val="auto"/>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spacing w:after="0" w:line="172" w:lineRule="exact"/>
        <w:rPr>
          <w:rFonts w:ascii="Times New Roman" w:cs="Times New Roman" w:eastAsia="Times New Roman" w:hAnsi="Times New Roman"/>
          <w:sz w:val="22"/>
          <w:szCs w:val="22"/>
          <w:color w:val="auto"/>
        </w:rPr>
      </w:pPr>
    </w:p>
    <w:p>
      <w:pPr>
        <w:jc w:val="both"/>
        <w:ind w:firstLine="745"/>
        <w:spacing w:after="0" w:line="234" w:lineRule="auto"/>
        <w:tabs>
          <w:tab w:leader="none" w:pos="128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on its interest, if any, hereunder. The Borrower will promptly notify the Administrative Agent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spacing w:after="0" w:line="184"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Acquisitions, Sales, Etc</w:t>
      </w:r>
      <w:r>
        <w:rPr>
          <w:rFonts w:ascii="Times New Roman" w:cs="Times New Roman" w:eastAsia="Times New Roman" w:hAnsi="Times New Roman"/>
          <w:sz w:val="22"/>
          <w:szCs w:val="22"/>
          <w:color w:val="auto"/>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spacing w:after="0" w:line="180" w:lineRule="exact"/>
        <w:rPr>
          <w:rFonts w:ascii="Times New Roman" w:cs="Times New Roman" w:eastAsia="Times New Roman" w:hAnsi="Times New Roman"/>
          <w:sz w:val="22"/>
          <w:szCs w:val="22"/>
          <w:color w:val="auto"/>
        </w:rPr>
      </w:pPr>
    </w:p>
    <w:p>
      <w:pPr>
        <w:jc w:val="both"/>
        <w:ind w:firstLine="745"/>
        <w:spacing w:after="0" w:line="236" w:lineRule="auto"/>
        <w:tabs>
          <w:tab w:leader="none" w:pos="128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pay cash distributions on the certificates issued pursuant to the Trust Agreement with funds distributed to the Borrower pursuant to Section 2.08(x), subject to Applicable Law.</w:t>
      </w:r>
    </w:p>
    <w:p>
      <w:pPr>
        <w:spacing w:after="0" w:line="200" w:lineRule="exact"/>
        <w:rPr>
          <w:sz w:val="20"/>
          <w:szCs w:val="20"/>
          <w:color w:val="auto"/>
        </w:rPr>
      </w:pPr>
    </w:p>
    <w:p>
      <w:pPr>
        <w:spacing w:after="0" w:line="38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61" w:name="page162"/>
    <w:bookmarkEnd w:id="161"/>
    <w:p>
      <w:pPr>
        <w:jc w:val="both"/>
        <w:ind w:left="-360" w:firstLine="745"/>
        <w:spacing w:after="0" w:line="236" w:lineRule="auto"/>
        <w:tabs>
          <w:tab w:leader="none" w:pos="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Receivable Files</w:t>
      </w:r>
      <w:r>
        <w:rPr>
          <w:rFonts w:ascii="Times New Roman" w:cs="Times New Roman" w:eastAsia="Times New Roman" w:hAnsi="Times New Roman"/>
          <w:sz w:val="22"/>
          <w:szCs w:val="22"/>
          <w:color w:val="auto"/>
        </w:rPr>
        <w:t>. The Borrower shall not (i) change its name or state of organization, move the location of its principal place of business and chief executive office, and the offices where it keeps the Records from the location referred to in Section 14.02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spacing w:after="0" w:line="179"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True Sale</w:t>
      </w:r>
      <w:r>
        <w:rPr>
          <w:rFonts w:ascii="Times New Roman" w:cs="Times New Roman" w:eastAsia="Times New Roman" w:hAnsi="Times New Roman"/>
          <w:sz w:val="22"/>
          <w:szCs w:val="22"/>
          <w:color w:val="auto"/>
        </w:rPr>
        <w:t>. Except for purposes of GAAP, the Borrower will not account for or treat the transactions contemplated by the Purchase Agreement in any manner other than as the sale, or absolute assignment, of the Receivables and other Collateral by UACC to the Borrower.</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Without the consent of the Administrative Agent, the Borrower will not, and will not permit any ERISA Affiliate to, adopt, contribute or become required to contribute to any Pension Plan or any Multiemployer Plan.</w:t>
      </w:r>
    </w:p>
    <w:p>
      <w:pPr>
        <w:spacing w:after="0" w:line="172" w:lineRule="exact"/>
        <w:rPr>
          <w:rFonts w:ascii="Times New Roman" w:cs="Times New Roman" w:eastAsia="Times New Roman" w:hAnsi="Times New Roman"/>
          <w:sz w:val="22"/>
          <w:szCs w:val="22"/>
          <w:color w:val="auto"/>
        </w:rPr>
      </w:pPr>
    </w:p>
    <w:p>
      <w:pPr>
        <w:jc w:val="both"/>
        <w:ind w:left="-360" w:right="20" w:firstLine="745"/>
        <w:spacing w:after="0" w:line="244" w:lineRule="auto"/>
        <w:tabs>
          <w:tab w:leader="none" w:pos="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Documents; Purchase Agreement</w:t>
      </w:r>
      <w:r>
        <w:rPr>
          <w:rFonts w:ascii="Times New Roman" w:cs="Times New Roman" w:eastAsia="Times New Roman" w:hAnsi="Times New Roman"/>
          <w:sz w:val="22"/>
          <w:szCs w:val="22"/>
          <w:color w:val="auto"/>
        </w:rPr>
        <w:t>. Without the prior consent of the Administrative Agent and notice to each Agent, the Borrower will not amend, modify, waive or terminate any provision of its Formation Documents or the Purchase Agreement (including any Transfer Agreement).</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66" w:lineRule="auto"/>
        <w:tabs>
          <w:tab w:leader="none" w:pos="92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Payment Instructions</w:t>
      </w:r>
      <w:r>
        <w:rPr>
          <w:rFonts w:ascii="Times New Roman" w:cs="Times New Roman" w:eastAsia="Times New Roman" w:hAnsi="Times New Roman"/>
          <w:sz w:val="20"/>
          <w:szCs w:val="20"/>
          <w:color w:val="auto"/>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Local Bank Account, other than in accordance with the terms of the Intercreditor Agreement and the Intercreditor Party Supplement and unless the Administrative Agent has received duly executed copies of all documentation related thereto.</w:t>
      </w:r>
    </w:p>
    <w:p>
      <w:pPr>
        <w:spacing w:after="0" w:line="154"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w:t>
      </w:r>
      <w:r>
        <w:rPr>
          <w:rFonts w:ascii="Times New Roman" w:cs="Times New Roman" w:eastAsia="Times New Roman" w:hAnsi="Times New Roman"/>
          <w:sz w:val="22"/>
          <w:szCs w:val="22"/>
          <w:color w:val="auto"/>
        </w:rPr>
        <w:t>. The Borrower will not, except as otherwise permitted in Section 7.03(c)(i), extend, amend or otherwise modify, or permit the Servicer to extend, amend or otherwise modify, the terms of any Contract.</w:t>
      </w:r>
    </w:p>
    <w:p>
      <w:pPr>
        <w:spacing w:after="0" w:line="172"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5"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The Borrower will not assign or delegate, grant any interest in or permit any Lien to exist upon any of its rights, obligations or duties under this Agreement without the prior written consent of the Administrative Agent.</w:t>
      </w:r>
    </w:p>
    <w:p>
      <w:pPr>
        <w:spacing w:after="0" w:line="172"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Purpose Entity</w:t>
      </w:r>
      <w:r>
        <w:rPr>
          <w:rFonts w:ascii="Times New Roman" w:cs="Times New Roman" w:eastAsia="Times New Roman" w:hAnsi="Times New Roman"/>
          <w:sz w:val="20"/>
          <w:szCs w:val="20"/>
          <w:color w:val="auto"/>
        </w:rPr>
        <w:t>. The Borrower shall not (nor has the Borrower taken any such action in the past):</w:t>
      </w:r>
    </w:p>
    <w:p>
      <w:pPr>
        <w:spacing w:after="0" w:line="228" w:lineRule="exact"/>
        <w:rPr>
          <w:rFonts w:ascii="Times New Roman" w:cs="Times New Roman" w:eastAsia="Times New Roman" w:hAnsi="Times New Roman"/>
          <w:sz w:val="20"/>
          <w:szCs w:val="20"/>
          <w:color w:val="auto"/>
        </w:rPr>
      </w:pPr>
    </w:p>
    <w:p>
      <w:pPr>
        <w:jc w:val="both"/>
        <w:ind w:left="380" w:firstLine="1129"/>
        <w:spacing w:after="0" w:line="244" w:lineRule="auto"/>
        <w:tabs>
          <w:tab w:leader="none" w:pos="1937"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business or activity other than the purchase and receipt of Receivables and related assets from UACC under the Purchase Agreement, the pledge of Receivables and other Collateral under the Basic Documents and such other activities as are incidental thereto;</w:t>
      </w:r>
    </w:p>
    <w:p>
      <w:pPr>
        <w:spacing w:after="0" w:line="200" w:lineRule="exact"/>
        <w:rPr>
          <w:sz w:val="20"/>
          <w:szCs w:val="20"/>
          <w:color w:val="auto"/>
        </w:rPr>
      </w:pPr>
    </w:p>
    <w:p>
      <w:pPr>
        <w:spacing w:after="0" w:line="3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62" w:name="page163"/>
    <w:bookmarkEnd w:id="162"/>
    <w:p>
      <w:pPr>
        <w:jc w:val="both"/>
        <w:ind w:left="380" w:firstLine="1129"/>
        <w:spacing w:after="0" w:line="244" w:lineRule="auto"/>
        <w:tabs>
          <w:tab w:leader="none" w:pos="193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own any material assets other than (A) the Receivables and related assets from UACC under the Purchase Agreement and (B) incidental property as may be necessary for the operation of the Borrower;</w:t>
      </w:r>
    </w:p>
    <w:p>
      <w:pPr>
        <w:spacing w:after="0" w:line="172" w:lineRule="exact"/>
        <w:rPr>
          <w:rFonts w:ascii="Times New Roman" w:cs="Times New Roman" w:eastAsia="Times New Roman" w:hAnsi="Times New Roman"/>
          <w:sz w:val="22"/>
          <w:szCs w:val="22"/>
          <w:color w:val="auto"/>
        </w:rPr>
      </w:pPr>
    </w:p>
    <w:p>
      <w:pPr>
        <w:jc w:val="both"/>
        <w:ind w:left="380" w:firstLine="1129"/>
        <w:spacing w:after="0" w:line="244" w:lineRule="auto"/>
        <w:tabs>
          <w:tab w:leader="none" w:pos="193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spacing w:after="0" w:line="172" w:lineRule="exact"/>
        <w:rPr>
          <w:rFonts w:ascii="Times New Roman" w:cs="Times New Roman" w:eastAsia="Times New Roman" w:hAnsi="Times New Roman"/>
          <w:sz w:val="22"/>
          <w:szCs w:val="22"/>
          <w:color w:val="auto"/>
        </w:rPr>
      </w:pPr>
    </w:p>
    <w:p>
      <w:pPr>
        <w:jc w:val="both"/>
        <w:ind w:left="380" w:firstLine="1129"/>
        <w:spacing w:after="0" w:line="239" w:lineRule="auto"/>
        <w:tabs>
          <w:tab w:leader="none" w:pos="193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spacing w:after="0" w:line="178" w:lineRule="exact"/>
        <w:rPr>
          <w:rFonts w:ascii="Times New Roman" w:cs="Times New Roman" w:eastAsia="Times New Roman" w:hAnsi="Times New Roman"/>
          <w:sz w:val="22"/>
          <w:szCs w:val="22"/>
          <w:color w:val="auto"/>
        </w:rPr>
      </w:pPr>
    </w:p>
    <w:p>
      <w:pPr>
        <w:ind w:left="380" w:firstLine="1129"/>
        <w:spacing w:after="0" w:line="258" w:lineRule="auto"/>
        <w:tabs>
          <w:tab w:leader="none" w:pos="193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 any Subsidiary or make any investment in any Person without the consent of the Administrative Agent;</w:t>
      </w:r>
    </w:p>
    <w:p>
      <w:pPr>
        <w:spacing w:after="0" w:line="157" w:lineRule="exact"/>
        <w:rPr>
          <w:rFonts w:ascii="Times New Roman" w:cs="Times New Roman" w:eastAsia="Times New Roman" w:hAnsi="Times New Roman"/>
          <w:sz w:val="22"/>
          <w:szCs w:val="22"/>
          <w:color w:val="auto"/>
        </w:rPr>
      </w:pPr>
    </w:p>
    <w:p>
      <w:pPr>
        <w:ind w:left="380" w:firstLine="1129"/>
        <w:spacing w:after="0" w:line="258" w:lineRule="auto"/>
        <w:tabs>
          <w:tab w:leader="none" w:pos="193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commingle its assets with the assets of any of its Affiliates, or of any other Person, except as contemplated hereunder or under the Intercreditor Agreement;</w:t>
      </w:r>
    </w:p>
    <w:p>
      <w:pPr>
        <w:spacing w:after="0" w:line="157" w:lineRule="exact"/>
        <w:rPr>
          <w:rFonts w:ascii="Times New Roman" w:cs="Times New Roman" w:eastAsia="Times New Roman" w:hAnsi="Times New Roman"/>
          <w:sz w:val="22"/>
          <w:szCs w:val="22"/>
          <w:color w:val="auto"/>
        </w:rPr>
      </w:pPr>
    </w:p>
    <w:p>
      <w:pPr>
        <w:jc w:val="both"/>
        <w:ind w:left="380" w:firstLine="1129"/>
        <w:spacing w:after="0" w:line="239" w:lineRule="auto"/>
        <w:tabs>
          <w:tab w:leader="none" w:pos="193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debt,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(viii)become not Solvent or fail to pay its debts and liabilities from its assets as the same shall</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become due;</w:t>
      </w:r>
    </w:p>
    <w:p>
      <w:pPr>
        <w:spacing w:after="0" w:line="181" w:lineRule="exact"/>
        <w:rPr>
          <w:sz w:val="20"/>
          <w:szCs w:val="20"/>
          <w:color w:val="auto"/>
        </w:rPr>
      </w:pPr>
    </w:p>
    <w:p>
      <w:pPr>
        <w:ind w:left="380" w:firstLine="1129"/>
        <w:spacing w:after="0" w:line="258" w:lineRule="auto"/>
        <w:tabs>
          <w:tab w:leader="none" w:pos="19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its records, books of account and bank accounts separate and apart from those of any other Person, except as contemplated hereunder or under the Intercreditor Agreement;</w:t>
      </w:r>
    </w:p>
    <w:p>
      <w:pPr>
        <w:spacing w:after="0" w:line="157" w:lineRule="exact"/>
        <w:rPr>
          <w:rFonts w:ascii="Times New Roman" w:cs="Times New Roman" w:eastAsia="Times New Roman" w:hAnsi="Times New Roman"/>
          <w:sz w:val="22"/>
          <w:szCs w:val="22"/>
          <w:color w:val="auto"/>
        </w:rPr>
      </w:pPr>
    </w:p>
    <w:p>
      <w:pPr>
        <w:jc w:val="both"/>
        <w:ind w:left="380" w:firstLine="1129"/>
        <w:spacing w:after="0" w:line="239" w:lineRule="auto"/>
        <w:tabs>
          <w:tab w:leader="none" w:pos="19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its Affiliates;</w:t>
      </w:r>
    </w:p>
    <w:p>
      <w:pPr>
        <w:spacing w:after="0" w:line="178" w:lineRule="exact"/>
        <w:rPr>
          <w:rFonts w:ascii="Times New Roman" w:cs="Times New Roman" w:eastAsia="Times New Roman" w:hAnsi="Times New Roman"/>
          <w:sz w:val="22"/>
          <w:szCs w:val="22"/>
          <w:color w:val="auto"/>
        </w:rPr>
      </w:pPr>
    </w:p>
    <w:p>
      <w:pPr>
        <w:ind w:left="1940" w:hanging="431"/>
        <w:spacing w:after="0"/>
        <w:tabs>
          <w:tab w:leader="none" w:pos="19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its dissolution or winding up in whole or in part;</w:t>
      </w:r>
    </w:p>
    <w:p>
      <w:pPr>
        <w:spacing w:after="0" w:line="205" w:lineRule="exact"/>
        <w:rPr>
          <w:rFonts w:ascii="Times New Roman" w:cs="Times New Roman" w:eastAsia="Times New Roman" w:hAnsi="Times New Roman"/>
          <w:sz w:val="22"/>
          <w:szCs w:val="22"/>
          <w:color w:val="auto"/>
        </w:rPr>
      </w:pPr>
    </w:p>
    <w:p>
      <w:pPr>
        <w:ind w:left="380" w:firstLine="1129"/>
        <w:spacing w:after="0" w:line="258" w:lineRule="auto"/>
        <w:tabs>
          <w:tab w:leader="none" w:pos="193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correct any known misunderstandings regarding the separate identity of Borrower or UACC, as applicable, or any principal or Affiliate thereof or any other Person;</w:t>
      </w:r>
    </w:p>
    <w:p>
      <w:pPr>
        <w:spacing w:after="0" w:line="200" w:lineRule="exact"/>
        <w:rPr>
          <w:sz w:val="20"/>
          <w:szCs w:val="20"/>
          <w:color w:val="auto"/>
        </w:rPr>
      </w:pPr>
    </w:p>
    <w:p>
      <w:pPr>
        <w:spacing w:after="0" w:line="3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63" w:name="page164"/>
    <w:bookmarkEnd w:id="163"/>
    <w:p>
      <w:pPr>
        <w:ind w:left="380" w:firstLine="1123"/>
        <w:spacing w:after="0" w:line="258" w:lineRule="auto"/>
        <w:rPr>
          <w:sz w:val="20"/>
          <w:szCs w:val="20"/>
          <w:color w:val="auto"/>
        </w:rPr>
      </w:pPr>
      <w:r>
        <w:rPr>
          <w:rFonts w:ascii="Times New Roman" w:cs="Times New Roman" w:eastAsia="Times New Roman" w:hAnsi="Times New Roman"/>
          <w:sz w:val="22"/>
          <w:szCs w:val="22"/>
          <w:color w:val="auto"/>
        </w:rPr>
        <w:t>(xiii)guarantee, become obligated for, or hold itself out to be responsible for the debt of another Person, except as expressly provided in the Basic Documents;</w:t>
      </w:r>
    </w:p>
    <w:p>
      <w:pPr>
        <w:spacing w:after="0" w:line="157" w:lineRule="exact"/>
        <w:rPr>
          <w:sz w:val="20"/>
          <w:szCs w:val="20"/>
          <w:color w:val="auto"/>
        </w:rPr>
      </w:pPr>
    </w:p>
    <w:p>
      <w:pPr>
        <w:ind w:left="380" w:firstLine="1123"/>
        <w:spacing w:after="0" w:line="258" w:lineRule="auto"/>
        <w:rPr>
          <w:sz w:val="20"/>
          <w:szCs w:val="20"/>
          <w:color w:val="auto"/>
        </w:rPr>
      </w:pPr>
      <w:r>
        <w:rPr>
          <w:rFonts w:ascii="Times New Roman" w:cs="Times New Roman" w:eastAsia="Times New Roman" w:hAnsi="Times New Roman"/>
          <w:sz w:val="22"/>
          <w:szCs w:val="22"/>
          <w:color w:val="auto"/>
        </w:rPr>
        <w:t>(xiv)make any loan or advances to any third party, including any principal or Affiliate, or hold evidence of Indebtedness issued by any other Person (other than Permitted Investments);</w:t>
      </w:r>
    </w:p>
    <w:p>
      <w:pPr>
        <w:spacing w:after="0" w:line="157" w:lineRule="exact"/>
        <w:rPr>
          <w:sz w:val="20"/>
          <w:szCs w:val="20"/>
          <w:color w:val="auto"/>
        </w:rPr>
      </w:pPr>
    </w:p>
    <w:p>
      <w:pPr>
        <w:jc w:val="both"/>
        <w:ind w:left="380" w:firstLine="1129"/>
        <w:spacing w:after="0" w:line="239" w:lineRule="auto"/>
        <w:tabs>
          <w:tab w:leader="none" w:pos="193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principals or Affiliates);</w:t>
      </w:r>
    </w:p>
    <w:p>
      <w:pPr>
        <w:spacing w:after="0" w:line="179" w:lineRule="exact"/>
        <w:rPr>
          <w:sz w:val="20"/>
          <w:szCs w:val="20"/>
          <w:color w:val="auto"/>
        </w:rPr>
      </w:pPr>
    </w:p>
    <w:p>
      <w:pPr>
        <w:jc w:val="both"/>
        <w:ind w:left="380" w:right="20" w:firstLine="1123"/>
        <w:spacing w:after="0" w:line="258" w:lineRule="auto"/>
        <w:rPr>
          <w:sz w:val="20"/>
          <w:szCs w:val="20"/>
          <w:color w:val="auto"/>
        </w:rPr>
      </w:pPr>
      <w:r>
        <w:rPr>
          <w:rFonts w:ascii="Times New Roman" w:cs="Times New Roman" w:eastAsia="Times New Roman" w:hAnsi="Times New Roman"/>
          <w:sz w:val="22"/>
          <w:szCs w:val="22"/>
          <w:color w:val="auto"/>
        </w:rPr>
        <w:t>(xvi)fail to maintain adequate capital for the normal obligations reasonably foreseeable in a business of its size and character and in light of its contemplated business operations;</w:t>
      </w:r>
    </w:p>
    <w:p>
      <w:pPr>
        <w:spacing w:after="0" w:line="157" w:lineRule="exact"/>
        <w:rPr>
          <w:sz w:val="20"/>
          <w:szCs w:val="20"/>
          <w:color w:val="auto"/>
        </w:rPr>
      </w:pPr>
    </w:p>
    <w:p>
      <w:pPr>
        <w:jc w:val="both"/>
        <w:ind w:left="380" w:right="20" w:firstLine="1123"/>
        <w:spacing w:after="0" w:line="258" w:lineRule="auto"/>
        <w:rPr>
          <w:sz w:val="20"/>
          <w:szCs w:val="20"/>
          <w:color w:val="auto"/>
        </w:rPr>
      </w:pPr>
      <w:r>
        <w:rPr>
          <w:rFonts w:ascii="Times New Roman" w:cs="Times New Roman" w:eastAsia="Times New Roman" w:hAnsi="Times New Roman"/>
          <w:sz w:val="22"/>
          <w:szCs w:val="22"/>
          <w:color w:val="auto"/>
        </w:rPr>
        <w:t>(xvii)file or consent to the filing of any petition, either voluntary or involuntary, to take advantage of any applicable Insolvency Laws, or make an assignment for the benefit of creditors;</w:t>
      </w:r>
    </w:p>
    <w:p>
      <w:pPr>
        <w:spacing w:after="0" w:line="157" w:lineRule="exact"/>
        <w:rPr>
          <w:sz w:val="20"/>
          <w:szCs w:val="20"/>
          <w:color w:val="auto"/>
        </w:rPr>
      </w:pPr>
    </w:p>
    <w:p>
      <w:pPr>
        <w:jc w:val="both"/>
        <w:ind w:left="380" w:right="20" w:firstLine="1123"/>
        <w:spacing w:after="0" w:line="258" w:lineRule="auto"/>
        <w:rPr>
          <w:sz w:val="20"/>
          <w:szCs w:val="20"/>
          <w:color w:val="auto"/>
        </w:rPr>
      </w:pPr>
      <w:r>
        <w:rPr>
          <w:rFonts w:ascii="Times New Roman" w:cs="Times New Roman" w:eastAsia="Times New Roman" w:hAnsi="Times New Roman"/>
          <w:sz w:val="22"/>
          <w:szCs w:val="22"/>
          <w:color w:val="auto"/>
        </w:rPr>
        <w:t>(xviii)share any common logo with or hold itself out as or be considered as a department or division of (A) any of its principals or Affiliates, (B) any Affiliate of a principal or (C) any other Person;</w:t>
      </w:r>
    </w:p>
    <w:p>
      <w:pPr>
        <w:spacing w:after="0" w:line="157" w:lineRule="exact"/>
        <w:rPr>
          <w:sz w:val="20"/>
          <w:szCs w:val="20"/>
          <w:color w:val="auto"/>
        </w:rPr>
      </w:pPr>
    </w:p>
    <w:p>
      <w:pPr>
        <w:jc w:val="both"/>
        <w:ind w:left="380" w:firstLine="1123"/>
        <w:spacing w:after="0" w:line="244" w:lineRule="auto"/>
        <w:rPr>
          <w:sz w:val="20"/>
          <w:szCs w:val="20"/>
          <w:color w:val="auto"/>
        </w:rPr>
      </w:pPr>
      <w:r>
        <w:rPr>
          <w:rFonts w:ascii="Times New Roman" w:cs="Times New Roman" w:eastAsia="Times New Roman" w:hAnsi="Times New Roman"/>
          <w:sz w:val="22"/>
          <w:szCs w:val="22"/>
          <w:color w:val="auto"/>
        </w:rPr>
        <w:t>(xix)permit any transfer (whether in any one or more transactions) of a direct or indirect ownership interest in the Borrower (other than in accordance with the Trust Agreement), unless the Borrower delivers to the Administrative Agent an acceptable non-consolidation opinion;</w:t>
      </w:r>
    </w:p>
    <w:p>
      <w:pPr>
        <w:spacing w:after="0" w:line="172" w:lineRule="exact"/>
        <w:rPr>
          <w:sz w:val="20"/>
          <w:szCs w:val="20"/>
          <w:color w:val="auto"/>
        </w:rPr>
      </w:pPr>
    </w:p>
    <w:p>
      <w:pPr>
        <w:jc w:val="both"/>
        <w:ind w:left="1500" w:right="2280" w:firstLine="9"/>
        <w:spacing w:after="0" w:line="478" w:lineRule="auto"/>
        <w:tabs>
          <w:tab w:leader="none" w:pos="193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pay its own liabilities and expenses only out of its own funds; (xxi)acquire the obligations or securities of its Affiliates or stockholders;</w:t>
      </w:r>
    </w:p>
    <w:p>
      <w:pPr>
        <w:spacing w:after="0" w:line="1" w:lineRule="exact"/>
        <w:rPr>
          <w:sz w:val="20"/>
          <w:szCs w:val="20"/>
          <w:color w:val="auto"/>
        </w:rPr>
      </w:pPr>
    </w:p>
    <w:p>
      <w:pPr>
        <w:jc w:val="both"/>
        <w:ind w:left="380" w:firstLine="1123"/>
        <w:spacing w:after="0" w:line="258" w:lineRule="auto"/>
        <w:rPr>
          <w:sz w:val="20"/>
          <w:szCs w:val="20"/>
          <w:color w:val="auto"/>
        </w:rPr>
      </w:pPr>
      <w:r>
        <w:rPr>
          <w:rFonts w:ascii="Times New Roman" w:cs="Times New Roman" w:eastAsia="Times New Roman" w:hAnsi="Times New Roman"/>
          <w:sz w:val="22"/>
          <w:szCs w:val="22"/>
          <w:color w:val="auto"/>
        </w:rPr>
        <w:t>(xxii)fail to allocate fairly and reasonably any overhead expenses that are shared with an Affiliate, including paying for office space and services performed by any employee of an Affiliate;</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(xxiii)fail to use separate invoices and checks bearing its own name;</w:t>
      </w:r>
    </w:p>
    <w:p>
      <w:pPr>
        <w:spacing w:after="0" w:line="205" w:lineRule="exact"/>
        <w:rPr>
          <w:sz w:val="20"/>
          <w:szCs w:val="20"/>
          <w:color w:val="auto"/>
        </w:rPr>
      </w:pPr>
    </w:p>
    <w:p>
      <w:pPr>
        <w:jc w:val="both"/>
        <w:ind w:left="380" w:firstLine="1123"/>
        <w:spacing w:after="0" w:line="258" w:lineRule="auto"/>
        <w:rPr>
          <w:sz w:val="20"/>
          <w:szCs w:val="20"/>
          <w:color w:val="auto"/>
        </w:rPr>
      </w:pPr>
      <w:r>
        <w:rPr>
          <w:rFonts w:ascii="Times New Roman" w:cs="Times New Roman" w:eastAsia="Times New Roman" w:hAnsi="Times New Roman"/>
          <w:sz w:val="22"/>
          <w:szCs w:val="22"/>
          <w:color w:val="auto"/>
        </w:rPr>
        <w:t>(xxiv)pledge its assets for the benefit of any other Person, other than with respect to payment of the Indebtedness to the Lenders hereunder;</w:t>
      </w:r>
    </w:p>
    <w:p>
      <w:pPr>
        <w:spacing w:after="0" w:line="157" w:lineRule="exact"/>
        <w:rPr>
          <w:sz w:val="20"/>
          <w:szCs w:val="20"/>
          <w:color w:val="auto"/>
        </w:rPr>
      </w:pPr>
    </w:p>
    <w:p>
      <w:pPr>
        <w:jc w:val="both"/>
        <w:ind w:left="380" w:firstLine="1123"/>
        <w:spacing w:after="0" w:line="239" w:lineRule="auto"/>
        <w:rPr>
          <w:sz w:val="20"/>
          <w:szCs w:val="20"/>
          <w:color w:val="auto"/>
        </w:rPr>
      </w:pPr>
      <w:r>
        <w:rPr>
          <w:rFonts w:ascii="Times New Roman" w:cs="Times New Roman" w:eastAsia="Times New Roman" w:hAnsi="Times New Roman"/>
          <w:sz w:val="22"/>
          <w:szCs w:val="22"/>
          <w:color w:val="auto"/>
        </w:rPr>
        <w:t>(xxv)fail to provide that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w:t>
      </w: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64" w:name="page165"/>
    <w:bookmarkEnd w:id="164"/>
    <w:p>
      <w:pPr>
        <w:ind w:left="740"/>
        <w:spacing w:after="0"/>
        <w:rPr>
          <w:sz w:val="20"/>
          <w:szCs w:val="20"/>
          <w:color w:val="auto"/>
        </w:rPr>
      </w:pPr>
      <w:r>
        <w:rPr>
          <w:rFonts w:ascii="Times New Roman" w:cs="Times New Roman" w:eastAsia="Times New Roman" w:hAnsi="Times New Roman"/>
          <w:sz w:val="20"/>
          <w:szCs w:val="20"/>
          <w:color w:val="auto"/>
        </w:rPr>
        <w:t>consent to reorganization or relief under any applicable federal or State law relating to bankruptcy or insolvency,</w:t>
      </w:r>
    </w:p>
    <w:p>
      <w:pPr>
        <w:spacing w:after="0" w:line="37" w:lineRule="exact"/>
        <w:rPr>
          <w:sz w:val="20"/>
          <w:szCs w:val="20"/>
          <w:color w:val="auto"/>
        </w:rPr>
      </w:pPr>
    </w:p>
    <w:p>
      <w:pPr>
        <w:jc w:val="both"/>
        <w:ind w:left="740" w:firstLine="5"/>
        <w:spacing w:after="0" w:line="233" w:lineRule="auto"/>
        <w:tabs>
          <w:tab w:leader="none" w:pos="11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spacing w:after="0" w:line="180" w:lineRule="exact"/>
        <w:rPr>
          <w:sz w:val="20"/>
          <w:szCs w:val="20"/>
          <w:color w:val="auto"/>
        </w:rPr>
      </w:pPr>
    </w:p>
    <w:p>
      <w:pPr>
        <w:ind w:left="740" w:firstLine="1123"/>
        <w:spacing w:after="0" w:line="258" w:lineRule="auto"/>
        <w:rPr>
          <w:sz w:val="20"/>
          <w:szCs w:val="20"/>
          <w:color w:val="auto"/>
        </w:rPr>
      </w:pPr>
      <w:r>
        <w:rPr>
          <w:rFonts w:ascii="Times New Roman" w:cs="Times New Roman" w:eastAsia="Times New Roman" w:hAnsi="Times New Roman"/>
          <w:sz w:val="22"/>
          <w:szCs w:val="22"/>
          <w:color w:val="auto"/>
        </w:rPr>
        <w:t>(xxvi)amend, restate, supplement or otherwise modify its Formation Documents in any respect that would impair its ability to comply with the Basic Documents; and</w:t>
      </w:r>
    </w:p>
    <w:p>
      <w:pPr>
        <w:spacing w:after="0" w:line="157" w:lineRule="exact"/>
        <w:rPr>
          <w:sz w:val="20"/>
          <w:szCs w:val="20"/>
          <w:color w:val="auto"/>
        </w:rPr>
      </w:pPr>
    </w:p>
    <w:p>
      <w:pPr>
        <w:ind w:left="740" w:right="20" w:firstLine="1123"/>
        <w:spacing w:after="0" w:line="258" w:lineRule="auto"/>
        <w:rPr>
          <w:sz w:val="20"/>
          <w:szCs w:val="20"/>
          <w:color w:val="auto"/>
        </w:rPr>
      </w:pPr>
      <w:r>
        <w:rPr>
          <w:rFonts w:ascii="Times New Roman" w:cs="Times New Roman" w:eastAsia="Times New Roman" w:hAnsi="Times New Roman"/>
          <w:sz w:val="22"/>
          <w:szCs w:val="22"/>
          <w:color w:val="auto"/>
        </w:rPr>
        <w:t>(xxvii)not take or refrain from taking, as applicable, each of the activities specified in the non-consolidation opinion of [***], dated the Closing Date.</w:t>
      </w:r>
    </w:p>
    <w:p>
      <w:pPr>
        <w:spacing w:after="0" w:line="157" w:lineRule="exact"/>
        <w:rPr>
          <w:sz w:val="20"/>
          <w:szCs w:val="20"/>
          <w:color w:val="auto"/>
        </w:rPr>
      </w:pPr>
    </w:p>
    <w:p>
      <w:pPr>
        <w:ind w:firstLine="745"/>
        <w:spacing w:after="0" w:line="258" w:lineRule="auto"/>
        <w:tabs>
          <w:tab w:leader="none" w:pos="12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Lenders</w:t>
      </w:r>
      <w:r>
        <w:rPr>
          <w:rFonts w:ascii="Times New Roman" w:cs="Times New Roman" w:eastAsia="Times New Roman" w:hAnsi="Times New Roman"/>
          <w:sz w:val="22"/>
          <w:szCs w:val="22"/>
          <w:color w:val="auto"/>
        </w:rPr>
        <w:t>. The Borrower will not add any Lender to this Agreement without the prior written consent of the Administrative Agent.</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create, or participate in the creation of, or permit to exist, any Liens (other than Permitted Liens) and will not enter into any control agreement with respect to the Post Office Boxes or the Local Bank Account other than pursuant to the Intercreditor Agreement.</w:t>
      </w:r>
    </w:p>
    <w:p>
      <w:pPr>
        <w:spacing w:after="0" w:line="172"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w:t>
      </w:r>
      <w:r>
        <w:rPr>
          <w:rFonts w:ascii="Times New Roman" w:cs="Times New Roman" w:eastAsia="Times New Roman" w:hAnsi="Times New Roman"/>
          <w:sz w:val="22"/>
          <w:szCs w:val="22"/>
          <w:color w:val="auto"/>
        </w:rPr>
        <w:t>. Neither the Borrower nor any Affiliate of the Borrower will use all or any part of the proceeds of the Loans,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0" w:lineRule="exact"/>
        <w:rPr>
          <w:rFonts w:ascii="Times New Roman" w:cs="Times New Roman" w:eastAsia="Times New Roman" w:hAnsi="Times New Roman"/>
          <w:sz w:val="22"/>
          <w:szCs w:val="22"/>
          <w:color w:val="auto"/>
        </w:rPr>
      </w:pPr>
    </w:p>
    <w:p>
      <w:pPr>
        <w:jc w:val="both"/>
        <w:ind w:firstLine="745"/>
        <w:spacing w:after="0" w:line="234" w:lineRule="auto"/>
        <w:tabs>
          <w:tab w:leader="none" w:pos="12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Borrower shall not, directly or indirectly, use the proceeds of any Advance, or lend, contribute or otherwise make available such proceeds to any subsidiary, joint venture partner or other person or entity (i) to fund any activities or business of or with any Designated Person, or in any country or territory, that at the time of such funding is the subject of any sanctions under any Sanctions Laws and Regulations, or (ii) in any other manner that would result in a violation of any Sanctions Laws and Regulations by any party to this Agreement. None of the funds or assets of the Borrower or UACC that are used to pay any amount due pursuant to this Agreement or the other Basic Documents shall constitute funds obtained from transactions with or relating to Designated Persons or countries which are the subject of sanctions under any Sanctions Laws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Covenant of the Borrower Relating to Hedging</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1280" w:hanging="535"/>
        <w:spacing w:after="0"/>
        <w:tabs>
          <w:tab w:leader="none" w:pos="12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during any Required Hedging Period, the Borrower shall be Fully Hedged.</w:t>
      </w:r>
    </w:p>
    <w:p>
      <w:pPr>
        <w:spacing w:after="0" w:line="205" w:lineRule="exact"/>
        <w:rPr>
          <w:rFonts w:ascii="Times New Roman" w:cs="Times New Roman" w:eastAsia="Times New Roman" w:hAnsi="Times New Roman"/>
          <w:sz w:val="22"/>
          <w:szCs w:val="22"/>
          <w:color w:val="auto"/>
        </w:rPr>
      </w:pPr>
    </w:p>
    <w:p>
      <w:pPr>
        <w:ind w:right="20" w:firstLine="745"/>
        <w:spacing w:after="0" w:line="258" w:lineRule="auto"/>
        <w:tabs>
          <w:tab w:leader="none" w:pos="128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per calendar month not later than each Determination Date and on each Funding Date on which the amount of the Loan requested by the Borrower is greater</w:t>
      </w:r>
    </w:p>
    <w:p>
      <w:pPr>
        <w:spacing w:after="0" w:line="200" w:lineRule="exact"/>
        <w:rPr>
          <w:sz w:val="20"/>
          <w:szCs w:val="20"/>
          <w:color w:val="auto"/>
        </w:rPr>
      </w:pPr>
    </w:p>
    <w:p>
      <w:pPr>
        <w:spacing w:after="0" w:line="3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6" w:right="339" w:bottom="1440" w:gutter="0" w:footer="0" w:header="0"/>
        </w:sectPr>
      </w:pPr>
    </w:p>
    <w:bookmarkStart w:id="165" w:name="page166"/>
    <w:bookmarkEnd w:id="165"/>
    <w:p>
      <w:pPr>
        <w:jc w:val="both"/>
        <w:spacing w:after="0" w:line="236" w:lineRule="auto"/>
        <w:rPr>
          <w:sz w:val="20"/>
          <w:szCs w:val="20"/>
          <w:color w:val="auto"/>
        </w:rPr>
      </w:pPr>
      <w:r>
        <w:rPr>
          <w:rFonts w:ascii="Times New Roman" w:cs="Times New Roman" w:eastAsia="Times New Roman" w:hAnsi="Times New Roman"/>
          <w:sz w:val="22"/>
          <w:szCs w:val="22"/>
          <w:color w:val="auto"/>
        </w:rPr>
        <w:t>than or equal to $[***], the Borrower (or the Servicer on behalf of the Borrower) shall obtain a quote from a Agent or Lender (or an Affiliate thereof) for the purchase price of an interest rate cap that satisfies the conditions described in clauses (i) through (iv) of the definition of Fully Hedged. Promptly following receipt of such quote, the Borrower (or the Servicer on behalf of the Borrower) shall provide notice thereof to the Administrative Agent and each Agent and such quote(s) shall be used to determine the “Hedge Reserve Account Required Amount” until the next succeeding date on which the Borrower receives quotes pursuant to this Section 6.03(b).</w:t>
      </w:r>
    </w:p>
    <w:p>
      <w:pPr>
        <w:spacing w:after="0" w:line="179" w:lineRule="exact"/>
        <w:rPr>
          <w:sz w:val="20"/>
          <w:szCs w:val="20"/>
          <w:color w:val="auto"/>
        </w:rPr>
      </w:pPr>
    </w:p>
    <w:p>
      <w:pPr>
        <w:jc w:val="both"/>
        <w:ind w:firstLine="745"/>
        <w:spacing w:after="0" w:line="232" w:lineRule="auto"/>
        <w:tabs>
          <w:tab w:leader="none" w:pos="128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May 11, 2017, the Borrower (or the Servicer on behalf of the Borrower) shall cause the segregated account in the name of the Borrower at the Account Bank known as the “Exercised Option Account” to be re-titled and thereafter maintained as the “Hedge Reserve Account for UACC Auto Financing Trust IV” and shall bear a designation clearly indicating that the funds deposited therein are held for the benefit of the Secured Parties (the “</w:t>
      </w:r>
      <w:r>
        <w:rPr>
          <w:rFonts w:ascii="Times New Roman" w:cs="Times New Roman" w:eastAsia="Times New Roman" w:hAnsi="Times New Roman"/>
          <w:sz w:val="22"/>
          <w:szCs w:val="22"/>
          <w:u w:val="single" w:color="auto"/>
          <w:color w:val="auto"/>
        </w:rPr>
        <w:t>Hedge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The taxpayer identification number associated with the Hedge Reserve Account shall be that of the Borrower and the Borrower will report for Federal, state and local income taxes, the income, if any, represented by the Hedge Reserve Account. On or prior to May 11, 2017, the Borrower shall cause to be deposited in the Hedge Reserve Account the Hedge Reserve Account Required Amount. At the written direction of the Servicer (which may be a standing order), funds on deposit in the Hedge Reserve Account shall be invested by the Account Bank in Permitted Investments selected by the Servicer that will mature so that such funds will be available on or before the close of business on the Business Day preceding each Payment Date. All Permitted Investments shall be held in the name of the Administrative Agent for the benefit of the Secured Parties. To the extent the Servicer does not provide the written instructions described in the first sentence of this </w:t>
      </w:r>
      <w:r>
        <w:rPr>
          <w:rFonts w:ascii="Times New Roman" w:cs="Times New Roman" w:eastAsia="Times New Roman" w:hAnsi="Times New Roman"/>
          <w:sz w:val="22"/>
          <w:szCs w:val="22"/>
          <w:u w:val="single" w:color="auto"/>
          <w:color w:val="auto"/>
        </w:rPr>
        <w:t>Section 6.03(c)</w:t>
      </w:r>
      <w:r>
        <w:rPr>
          <w:rFonts w:ascii="Times New Roman" w:cs="Times New Roman" w:eastAsia="Times New Roman" w:hAnsi="Times New Roman"/>
          <w:sz w:val="22"/>
          <w:szCs w:val="22"/>
          <w:color w:val="auto"/>
        </w:rPr>
        <w:t xml:space="preserve">, funds on deposit in the Hedge Reserve Account shall remain uninvested. On each Payment Date, all interest and other investment earnings (net of losses and investment expenses) on funds on deposit in the Hedge Reserve Account received prior to such Payment Date shall be treated as “Available Funds” and applied as set forth in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of this Agreement on such Payment Date. Funds deposited in the Hedge Reserve Account on a Business Day (which immediately precedes a Payment Date) upon the maturity of any Permitted Investments are not required to be invested overnight.</w:t>
      </w:r>
    </w:p>
    <w:p>
      <w:pPr>
        <w:spacing w:after="0" w:line="182" w:lineRule="exact"/>
        <w:rPr>
          <w:rFonts w:ascii="Times New Roman" w:cs="Times New Roman" w:eastAsia="Times New Roman" w:hAnsi="Times New Roman"/>
          <w:sz w:val="22"/>
          <w:szCs w:val="22"/>
          <w:color w:val="auto"/>
        </w:rPr>
      </w:pPr>
    </w:p>
    <w:p>
      <w:pPr>
        <w:jc w:val="both"/>
        <w:ind w:firstLine="745"/>
        <w:spacing w:after="0" w:line="234" w:lineRule="auto"/>
        <w:tabs>
          <w:tab w:leader="none" w:pos="128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Hedging Agreement which requires the posting of collateral by the Hedge Counterparty shall provide that the Servicer (on behalf of the Borrower) shall, within thirty (30) days of the execution of the Hedging Agreement, establish a hedge collateral account in the name of the Borrower for such Hedging Agreement at a Qualified Institution that is not an Affiliate of the Borrower, and the Hedge Counterparty shall cause any collateral transferred by the Hedge Counterparty to be deposited into such hedge collateral account in accordance with the terms of such Hedging Agreement. The parties hereto acknowledge and agree that the only permitted withdrawal from, or application of funds on deposit in, or otherwise to the credit of, a hedge collateral account shall be (i) for application to obligations of the related Hedge Counterparty to the Borrower under the related Hedging Agreement (including any Hedge Transaction thereunder) in accordance with the terms of such Hedging Agreement or (ii) to return the collateral to the related Hedge Counterparty when and as required by the related Hedging Transaction.</w:t>
      </w:r>
    </w:p>
    <w:p>
      <w:pPr>
        <w:spacing w:after="0" w:line="200" w:lineRule="exact"/>
        <w:rPr>
          <w:sz w:val="20"/>
          <w:szCs w:val="20"/>
          <w:color w:val="auto"/>
        </w:rPr>
      </w:pPr>
    </w:p>
    <w:p>
      <w:pPr>
        <w:spacing w:after="0" w:line="38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66" w:name="page167"/>
    <w:bookmarkEnd w:id="166"/>
    <w:p>
      <w:pPr>
        <w:jc w:val="both"/>
        <w:ind w:firstLine="745"/>
        <w:spacing w:after="0" w:line="234" w:lineRule="auto"/>
        <w:tabs>
          <w:tab w:leader="none" w:pos="128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Hedging Agreement shall require any Hedge Counterparty other than JPMorgan to post collateral into the hedge collateral account in such amounts and with such frequency as shall be set forth in the Hedging Agreement approved by the Administrative Agent commencing no later than thirty (30) calendar days after either (x) such Hedge Counterparty’s long-term unsecured debt rating is suspended, withdrawn or downgraded below the Long-Term Rating Requirement, or (y) such Hedge Counterparty’s short-term unsecured debt rating is suspended, withdrawn or downgraded by the Short-Term Rating Requirement (either (x) or (y) a “</w:t>
      </w:r>
      <w:r>
        <w:rPr>
          <w:rFonts w:ascii="Times New Roman" w:cs="Times New Roman" w:eastAsia="Times New Roman" w:hAnsi="Times New Roman"/>
          <w:sz w:val="22"/>
          <w:szCs w:val="22"/>
          <w:u w:val="single" w:color="auto"/>
          <w:color w:val="auto"/>
        </w:rPr>
        <w:t>Hedge Counterparty Downgrade</w:t>
      </w:r>
      <w:r>
        <w:rPr>
          <w:rFonts w:ascii="Times New Roman" w:cs="Times New Roman" w:eastAsia="Times New Roman" w:hAnsi="Times New Roman"/>
          <w:sz w:val="22"/>
          <w:szCs w:val="22"/>
          <w:color w:val="auto"/>
        </w:rPr>
        <w:t>”). Additionally, upon the occurrence of Hedge Counterparty Downgrade with respect to any Hedge Counterparty other than JPMorgan, the Borrower must replace the Hedge Counterparty within thirty (30) calendar days of the occurrence of the Hedge Counterparty Downgrade.</w:t>
      </w:r>
    </w:p>
    <w:p>
      <w:pPr>
        <w:spacing w:after="0" w:line="180" w:lineRule="exact"/>
        <w:rPr>
          <w:rFonts w:ascii="Times New Roman" w:cs="Times New Roman" w:eastAsia="Times New Roman" w:hAnsi="Times New Roman"/>
          <w:sz w:val="22"/>
          <w:szCs w:val="22"/>
          <w:color w:val="auto"/>
        </w:rPr>
      </w:pPr>
    </w:p>
    <w:p>
      <w:pPr>
        <w:jc w:val="both"/>
        <w:ind w:firstLine="745"/>
        <w:spacing w:after="0" w:line="234" w:lineRule="auto"/>
        <w:tabs>
          <w:tab w:leader="none" w:pos="128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additional security hereunder, the Borrower has assigned to the Administrative Agent all right, title and interest of Borrower in the Hedge Collateral. The Borrower acknowledges that, as a result of that assignment, the Borrower may not, without the prior written consent of the Administrative Agent, exercise any rights under any Hedging Agreement or Hedge Transaction, except for the Borrower’s right under any Hedging Agreement to enter into Hedge Transactions in order to meet the Borrower’s obligations hereunder. Nothing herein shall have the effect of releasing the Borrower from any of its obligations under any Hedging Agreement or any Hedge Transaction, nor be construed as requiring the consent of the Administrative Agent or any Secured Party for the performance by the Borrower of any such obligations.</w:t>
      </w:r>
    </w:p>
    <w:p>
      <w:pPr>
        <w:spacing w:after="0" w:line="184"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acknowledge and agree that the Account Bank shall not be required to act as a “commodity pool operator” (as defined in the Commodity Exchange Act, as amended) or be required to undertake regulatory filings related to this Agreement in connection therewith.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Affirmative Covenants of the Servicer</w:t>
      </w:r>
      <w:r>
        <w:rPr>
          <w:rFonts w:ascii="Times New Roman" w:cs="Times New Roman" w:eastAsia="Times New Roman" w:hAnsi="Times New Roman"/>
          <w:sz w:val="22"/>
          <w:szCs w:val="22"/>
          <w:color w:val="auto"/>
        </w:rPr>
        <w:t>. From the date hereof until the Facility Termination Date:</w:t>
      </w:r>
    </w:p>
    <w:p>
      <w:pPr>
        <w:spacing w:after="0" w:line="205" w:lineRule="exact"/>
        <w:rPr>
          <w:sz w:val="20"/>
          <w:szCs w:val="20"/>
          <w:color w:val="auto"/>
        </w:rPr>
      </w:pPr>
    </w:p>
    <w:p>
      <w:pPr>
        <w:jc w:val="both"/>
        <w:ind w:firstLine="745"/>
        <w:spacing w:after="0" w:line="244" w:lineRule="auto"/>
        <w:tabs>
          <w:tab w:leader="none" w:pos="128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Servicer will comply in all material respects with all Applicable Laws, including those with respect to the Receivables, the related Contracts, Financed Vehicles and Receivable Files or any part thereof.</w:t>
      </w:r>
    </w:p>
    <w:p>
      <w:pPr>
        <w:spacing w:after="0" w:line="172"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w:t>
      </w:r>
      <w:r>
        <w:rPr>
          <w:rFonts w:ascii="Times New Roman" w:cs="Times New Roman" w:eastAsia="Times New Roman" w:hAnsi="Times New Roman"/>
          <w:sz w:val="22"/>
          <w:szCs w:val="22"/>
          <w:color w:val="auto"/>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and Compliance with Receivables</w:t>
      </w:r>
      <w:r>
        <w:rPr>
          <w:rFonts w:ascii="Times New Roman" w:cs="Times New Roman" w:eastAsia="Times New Roman" w:hAnsi="Times New Roman"/>
          <w:sz w:val="22"/>
          <w:szCs w:val="22"/>
          <w:color w:val="auto"/>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spacing w:after="0" w:line="200" w:lineRule="exact"/>
        <w:rPr>
          <w:sz w:val="20"/>
          <w:szCs w:val="20"/>
          <w:color w:val="auto"/>
        </w:rPr>
      </w:pPr>
    </w:p>
    <w:p>
      <w:pPr>
        <w:spacing w:after="0" w:line="3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67" w:name="page168"/>
    <w:bookmarkEnd w:id="167"/>
    <w:p>
      <w:pPr>
        <w:jc w:val="both"/>
        <w:ind w:left="-360" w:firstLine="745"/>
        <w:spacing w:after="0" w:line="244"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Servicer Basic Documents</w:t>
      </w:r>
      <w:r>
        <w:rPr>
          <w:rFonts w:ascii="Times New Roman" w:cs="Times New Roman" w:eastAsia="Times New Roman" w:hAnsi="Times New Roman"/>
          <w:sz w:val="22"/>
          <w:szCs w:val="22"/>
          <w:color w:val="auto"/>
        </w:rPr>
        <w:t>. The Servicer will timely and fully perform and comply in all material respects with all provisions, covenants and other promises required to be observed by it under the Servicer Basic Documents.</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The Servicer will maintain and implement administrative and operating procedures (including an ability to recreate records evidencing Receivables, including the Servicer Files, in the event of the destruction of the originals thereof), and keep and maintain all documents, books, records and other information reasonably necessary or advisable for the collection of all Receivables, including the Servicer Files.</w:t>
      </w:r>
    </w:p>
    <w:p>
      <w:pPr>
        <w:spacing w:after="0" w:line="178"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will file all tax returns required to be filed by it and pay any and all Taxes, including those required to meet the obligations of the Basic Documents.</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Servicer will execute and file such financing and continuation statements and any other documents that may be required by any Applicable Law of any Governmental Authority to preserve and protect fully the security interest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The initial Servicer will (i) comply in all material respects with the Credit and Collection Policy in regard to each Receivable, [***].</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Certain Events</w:t>
      </w:r>
      <w:r>
        <w:rPr>
          <w:rFonts w:ascii="Times New Roman" w:cs="Times New Roman" w:eastAsia="Times New Roman" w:hAnsi="Times New Roman"/>
          <w:sz w:val="22"/>
          <w:szCs w:val="22"/>
          <w:color w:val="auto"/>
        </w:rPr>
        <w:t>. The Servicer will furnish to the Administrative Agent, each Agent, the Account Bank and the Backup Servicer, as soon as possible and in any event within three Business Days after the earlier of (i) knowledge by the Servicer and (ii) receipt by the Servicer from the Borrower of written notice thereof (which notice the Borrower shall be required to give promptly upon knowledge thereof) of the occurrence of each Early Amortization Event, each Termination Event and each Unmatured Termination Event, a written statement of its chief financial officer or chief accounting officer setting forth the details of such event and the action that the Servicer purposes to take with respect thereto.</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Servicer will furnish to the Administrative Agent, each Agent and the Backup Servicer,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the Administrative Agent or Lenders under or as contemplated by this Agreement.</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92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Losses, Etc</w:t>
      </w:r>
      <w:r>
        <w:rPr>
          <w:rFonts w:ascii="Times New Roman" w:cs="Times New Roman" w:eastAsia="Times New Roman" w:hAnsi="Times New Roman"/>
          <w:sz w:val="22"/>
          <w:szCs w:val="22"/>
          <w:color w:val="auto"/>
        </w:rPr>
        <w:t>. In any suit, proceeding or action brought by the Administrative Agent, any Agent, the Custodian, Account Bank, Backup Servicer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w:t>
      </w:r>
    </w:p>
    <w:p>
      <w:pPr>
        <w:spacing w:after="0" w:line="200" w:lineRule="exact"/>
        <w:rPr>
          <w:sz w:val="20"/>
          <w:szCs w:val="20"/>
          <w:color w:val="auto"/>
        </w:rPr>
      </w:pPr>
    </w:p>
    <w:p>
      <w:pPr>
        <w:spacing w:after="0" w:line="3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68" w:name="page169"/>
    <w:bookmarkEnd w:id="168"/>
    <w:p>
      <w:pPr>
        <w:jc w:val="both"/>
        <w:spacing w:after="0" w:line="244" w:lineRule="auto"/>
        <w:rPr>
          <w:sz w:val="20"/>
          <w:szCs w:val="20"/>
          <w:color w:val="auto"/>
        </w:rPr>
      </w:pPr>
      <w:r>
        <w:rPr>
          <w:rFonts w:ascii="Times New Roman" w:cs="Times New Roman" w:eastAsia="Times New Roman" w:hAnsi="Times New Roman"/>
          <w:sz w:val="22"/>
          <w:szCs w:val="22"/>
          <w:color w:val="auto"/>
        </w:rPr>
        <w:t>Receivable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spacing w:after="0" w:line="172" w:lineRule="exact"/>
        <w:rPr>
          <w:sz w:val="20"/>
          <w:szCs w:val="20"/>
          <w:color w:val="auto"/>
        </w:rPr>
      </w:pPr>
    </w:p>
    <w:p>
      <w:pPr>
        <w:jc w:val="both"/>
        <w:ind w:firstLine="745"/>
        <w:spacing w:after="0" w:line="234" w:lineRule="auto"/>
        <w:tabs>
          <w:tab w:leader="none" w:pos="1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Regarding Collateral</w:t>
      </w:r>
      <w:r>
        <w:rPr>
          <w:rFonts w:ascii="Times New Roman" w:cs="Times New Roman" w:eastAsia="Times New Roman" w:hAnsi="Times New Roman"/>
          <w:sz w:val="22"/>
          <w:szCs w:val="22"/>
          <w:color w:val="auto"/>
        </w:rPr>
        <w:t>. The Servicer shall advise the Custodian, each Agent and the Administrative Agent in writing promptly following the earlier of (i) knowledge by the Servicer and (ii) receipt by the Servicer from the Borrower of written notice thereof (which notice the Borrower shall be required to give promptly upon knowledge thereof), in reasonable detail of (i) any Lien asserted or claim made against any portion of the Collateral, (ii) the occurrence of any material breach by the Servicer of any of its representations, warranties and covenants contained herein and (iii)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w:t>
      </w:r>
    </w:p>
    <w:p>
      <w:pPr>
        <w:spacing w:after="0" w:line="180"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Receivables</w:t>
      </w:r>
      <w:r>
        <w:rPr>
          <w:rFonts w:ascii="Times New Roman" w:cs="Times New Roman" w:eastAsia="Times New Roman" w:hAnsi="Times New Roman"/>
          <w:sz w:val="22"/>
          <w:szCs w:val="22"/>
          <w:color w:val="auto"/>
        </w:rPr>
        <w:t>. In the event that the Servicer realizes upon any Receivable, the methods utilized by the Servicer to realize upon such Receivable or otherwise enforce any provisions of such Receivable will not subject the Servicer, the Borrower, any Secured Party, any Agent or the Custodian to liability under any federal, State or local law, and any such realization or enforcement by the Servicer will be conducted in accordance with the provisions of this Agreement, the Credit and Collection Policy and Applicable Law.</w:t>
      </w:r>
    </w:p>
    <w:p>
      <w:pPr>
        <w:spacing w:after="0" w:line="180"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of Title</w:t>
      </w:r>
      <w:r>
        <w:rPr>
          <w:rFonts w:ascii="Times New Roman" w:cs="Times New Roman" w:eastAsia="Times New Roman" w:hAnsi="Times New Roman"/>
          <w:sz w:val="22"/>
          <w:szCs w:val="22"/>
          <w:color w:val="auto"/>
        </w:rPr>
        <w:t>. Within 15 days following the end of each calendar quarter, the Servicer shall deliver to the Custodian (if not UACC), each Agent and the Administrative Agent a list of all Receivables for which it does not have in its possession the related Certificate of Title.</w:t>
      </w:r>
    </w:p>
    <w:p>
      <w:pPr>
        <w:spacing w:after="0" w:line="172"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To the extent that the Borrower makes an Interpayment pursuant to Section 2.06(d), on the related Payment Date, if required by the Administrative Agent, UACC shall deposit an amount equal to the Monthly Accrued Interest Payment Amount into the Collection Account.</w:t>
      </w:r>
    </w:p>
    <w:p>
      <w:pPr>
        <w:spacing w:after="0" w:line="172"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5"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The Servicer will deliver to the Administrative Agent and each Agent, promptly after receipt by the Servicer or its accountants, a copy of any auditors’ management letters which refer in whole or in part to any inadequacy, defect, problem, qualification or other lack of fully satisfactory accounting controls utilized by the Servicer that resulted in a qualified audit opinion.</w:t>
      </w:r>
    </w:p>
    <w:p>
      <w:pPr>
        <w:spacing w:after="0" w:line="178" w:lineRule="exact"/>
        <w:rPr>
          <w:rFonts w:ascii="Times New Roman" w:cs="Times New Roman" w:eastAsia="Times New Roman" w:hAnsi="Times New Roman"/>
          <w:sz w:val="22"/>
          <w:szCs w:val="22"/>
          <w:color w:val="auto"/>
        </w:rPr>
      </w:pPr>
    </w:p>
    <w:p>
      <w:pPr>
        <w:ind w:right="20" w:firstLine="745"/>
        <w:spacing w:after="0" w:line="258" w:lineRule="auto"/>
        <w:tabs>
          <w:tab w:leader="none" w:pos="1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Servicer will promptly notify the Administrative Agent and each Agent of any material change in the Servicer’s accounting policies.</w:t>
      </w:r>
    </w:p>
    <w:p>
      <w:pPr>
        <w:spacing w:after="0" w:line="200" w:lineRule="exact"/>
        <w:rPr>
          <w:sz w:val="20"/>
          <w:szCs w:val="20"/>
          <w:color w:val="auto"/>
        </w:rPr>
      </w:pPr>
    </w:p>
    <w:p>
      <w:pPr>
        <w:spacing w:after="0" w:line="3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Negative Covenants of the Servicer</w:t>
      </w:r>
      <w:r>
        <w:rPr>
          <w:rFonts w:ascii="Times New Roman" w:cs="Times New Roman" w:eastAsia="Times New Roman" w:hAnsi="Times New Roman"/>
          <w:sz w:val="22"/>
          <w:szCs w:val="22"/>
          <w:color w:val="auto"/>
        </w:rPr>
        <w:t>. From the date hereof until the Facility Termination Date:</w:t>
      </w:r>
    </w:p>
    <w:p>
      <w:pPr>
        <w:spacing w:after="0" w:line="205" w:lineRule="exact"/>
        <w:rPr>
          <w:sz w:val="20"/>
          <w:szCs w:val="20"/>
          <w:color w:val="auto"/>
        </w:rPr>
      </w:pPr>
    </w:p>
    <w:p>
      <w:pPr>
        <w:jc w:val="both"/>
        <w:ind w:firstLine="745"/>
        <w:spacing w:after="0" w:line="237" w:lineRule="auto"/>
        <w:tabs>
          <w:tab w:leader="none" w:pos="12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w:t>
      </w:r>
      <w:r>
        <w:rPr>
          <w:rFonts w:ascii="Times New Roman" w:cs="Times New Roman" w:eastAsia="Times New Roman" w:hAnsi="Times New Roman"/>
          <w:sz w:val="22"/>
          <w:szCs w:val="22"/>
          <w:color w:val="auto"/>
        </w:rPr>
        <w:t>. The Servicer shall not create or participate in the creation of, or permit to exist, any Liens with respect to the Post Office Boxes or the Local Bank Account, except as permitted and pursuant to the Intercreditor Agreement and the Intercreditor Party Supplement. The Servicer shall not enter into any “control agreement” (as defined in the relevant UCC) with respect to the Post Office Boxes or the Local Bank Account other than pursuant to the Intercreditor Agreement.</w:t>
      </w:r>
    </w:p>
    <w:p>
      <w:pPr>
        <w:spacing w:after="0" w:line="180"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 Sales, etc</w:t>
      </w:r>
      <w:r>
        <w:rPr>
          <w:rFonts w:ascii="Times New Roman" w:cs="Times New Roman" w:eastAsia="Times New Roman" w:hAnsi="Times New Roman"/>
          <w:sz w:val="22"/>
          <w:szCs w:val="22"/>
          <w:color w:val="auto"/>
        </w:rPr>
        <w:t>. The Servicer will not consolidate with or merge into any other Person or convey or transfer its properties and assets substantially as an entirety to any Person, other than contemplated in Section 7.16.</w:t>
      </w:r>
    </w:p>
    <w:p>
      <w:pPr>
        <w:spacing w:after="0" w:line="172" w:lineRule="exact"/>
        <w:rPr>
          <w:rFonts w:ascii="Times New Roman" w:cs="Times New Roman" w:eastAsia="Times New Roman" w:hAnsi="Times New Roman"/>
          <w:sz w:val="22"/>
          <w:szCs w:val="22"/>
          <w:color w:val="auto"/>
        </w:rPr>
      </w:pPr>
    </w:p>
    <w:p>
      <w:pPr>
        <w:jc w:val="both"/>
        <w:ind w:firstLine="745"/>
        <w:spacing w:after="0" w:line="235" w:lineRule="auto"/>
        <w:tabs>
          <w:tab w:leader="none" w:pos="12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Servicer Files or Receivable Files</w:t>
      </w:r>
      <w:r>
        <w:rPr>
          <w:rFonts w:ascii="Times New Roman" w:cs="Times New Roman" w:eastAsia="Times New Roman" w:hAnsi="Times New Roman"/>
          <w:sz w:val="22"/>
          <w:szCs w:val="22"/>
          <w:color w:val="auto"/>
        </w:rPr>
        <w:t>. The Servicer shall not (i) change its name or its state of organization, move the location of its principal place of business and chief executive office, and the offices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each Agent and has taken all actions required under the UCC of each relevant jurisdiction in order to continue the first priority perfected security interest of the Administrative Agent, as agent for the Secured Parties, in the Collateral.</w:t>
      </w:r>
    </w:p>
    <w:p>
      <w:pPr>
        <w:spacing w:after="0" w:line="180"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Servicer will not make any change in its instructions to the Obligors regarding payments to be made to the Borrower or the Servicer, other than in accordance with the Credit and Collection Policy, or payments to be made to the Post Office Boxes or Local Bank Account, other than in accordance with the terms of the Intercreditor Agreement and the Intercreditor Party Supplement and unless the Administrative Agent has received duly executed copies of all documentation related thereto.</w:t>
      </w:r>
    </w:p>
    <w:p>
      <w:pPr>
        <w:spacing w:after="0" w:line="180"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Contracts</w:t>
      </w:r>
      <w:r>
        <w:rPr>
          <w:rFonts w:ascii="Times New Roman" w:cs="Times New Roman" w:eastAsia="Times New Roman" w:hAnsi="Times New Roman"/>
          <w:sz w:val="22"/>
          <w:szCs w:val="22"/>
          <w:color w:val="auto"/>
        </w:rPr>
        <w:t>. The Servicer will not, except as otherwise permitted in Section 7.03(c)(i), extend, amend or otherwise modify the terms of any Contract.</w:t>
      </w:r>
    </w:p>
    <w:p>
      <w:pPr>
        <w:spacing w:after="0" w:line="157"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Instruments</w:t>
      </w:r>
      <w:r>
        <w:rPr>
          <w:rFonts w:ascii="Times New Roman" w:cs="Times New Roman" w:eastAsia="Times New Roman" w:hAnsi="Times New Roman"/>
          <w:sz w:val="22"/>
          <w:szCs w:val="22"/>
          <w:color w:val="auto"/>
        </w:rPr>
        <w:t>. The Servicer shall take no action to cause any Receivable to be evidenced by any Instrument (as defined in the UCC).</w:t>
      </w:r>
    </w:p>
    <w:p>
      <w:pPr>
        <w:spacing w:after="0" w:line="157" w:lineRule="exact"/>
        <w:rPr>
          <w:rFonts w:ascii="Times New Roman" w:cs="Times New Roman" w:eastAsia="Times New Roman" w:hAnsi="Times New Roman"/>
          <w:sz w:val="22"/>
          <w:szCs w:val="22"/>
          <w:color w:val="auto"/>
        </w:rPr>
      </w:pPr>
    </w:p>
    <w:p>
      <w:pPr>
        <w:jc w:val="both"/>
        <w:ind w:firstLine="745"/>
        <w:spacing w:after="0" w:line="236" w:lineRule="auto"/>
        <w:tabs>
          <w:tab w:leader="none" w:pos="128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The Servicer shall not sell, pledge, assign or transfer to any other Person, or grant, create, incur, assume or suffer to exist any Lien (other than any Permitted Lien) on the Collateral or any interest therein, the Servicer will notify the Custodian and the Administrative Agent of the existence of any Lien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spacing w:after="0" w:line="200" w:lineRule="exact"/>
        <w:rPr>
          <w:sz w:val="20"/>
          <w:szCs w:val="20"/>
          <w:color w:val="auto"/>
        </w:rPr>
      </w:pPr>
    </w:p>
    <w:p>
      <w:pPr>
        <w:spacing w:after="0" w:line="38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70" w:name="page171"/>
    <w:bookmarkEnd w:id="170"/>
    <w:p>
      <w:pPr>
        <w:jc w:val="both"/>
        <w:ind w:left="-360" w:firstLine="745"/>
        <w:spacing w:after="0" w:line="231" w:lineRule="auto"/>
        <w:tabs>
          <w:tab w:leader="none" w:pos="92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Additional Covenants</w:t>
      </w:r>
      <w:r>
        <w:rPr>
          <w:rFonts w:ascii="Times New Roman" w:cs="Times New Roman" w:eastAsia="Times New Roman" w:hAnsi="Times New Roman"/>
          <w:sz w:val="22"/>
          <w:szCs w:val="22"/>
          <w:color w:val="auto"/>
        </w:rPr>
        <w:t>.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except as permitted herein or in the Credit and Collection Policy, (iv) prior to the payment in full of any Receivable, not sell, pledge, assign, or transfer to any other Person, or grant, create, incur, assume or suffer to exist any Lien on such Receivable or any interest therein, (v) immediately notify the Borrower, the Administrative Agent, each Agent, the Backup Servicer and the Custodian (if other than UACC) of the existence of any Lien on any portion of the Collateral (other than any Permitted Lien) if the Servicer has actual knowledge thereof, (vi) defend the right, title and interest of the Borrower, the Secured Parties, the Administrative Agent, each Agent and the Custodian in, to and under the Collateral against all claims of third parties claiming through or under the Servicer, (vii) transfer to the Local Bank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each Agent, the Backup Servicer, the Account Bank, each Hedge Counterparty and the Custodian of the occurrence of any Servicer Termination Event and any breach, in any material respect, by the Servicer of any of its covenants or representations and warranties contained herein, (x) promptly notify the Borrower, the Administrative Agent, each Agent, the Backup Servicer, the Account Bank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the Cutoff Date or any Funding Date, as the case may be, the current Schedule of Receivables, (xiii) with respect to any Receivable, deliver or cause to be delivered to the Custodian within one Business Day preceding the Closing Date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 on the Collateral or any interest therein. Notwithstanding any other provision of this Agreement, the Servicer may release any</w:t>
      </w: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71" w:name="page172"/>
    <w:bookmarkEnd w:id="171"/>
    <w:p>
      <w:pPr>
        <w:jc w:val="both"/>
        <w:spacing w:after="0" w:line="280" w:lineRule="auto"/>
        <w:rPr>
          <w:sz w:val="20"/>
          <w:szCs w:val="20"/>
          <w:color w:val="auto"/>
        </w:rPr>
      </w:pPr>
      <w:r>
        <w:rPr>
          <w:rFonts w:ascii="Times New Roman" w:cs="Times New Roman" w:eastAsia="Times New Roman" w:hAnsi="Times New Roman"/>
          <w:sz w:val="20"/>
          <w:szCs w:val="20"/>
          <w:color w:val="auto"/>
        </w:rPr>
        <w:t>Financed Vehicle from the security interest created by the related Receivable when the Servicer deposits into the Collection Account an amount equal to the related Release Price or the entire amount of Insurance Proceeds, Recoveries and other Collections it has received or expects to receive with respect to such Receivable and such Financed Vehicle.</w:t>
      </w:r>
    </w:p>
    <w:p>
      <w:pPr>
        <w:spacing w:after="0" w:line="1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Servicer shall, within two Business Days of its receipt thereof, respond to reasonable written directions or written requests for information that the Borrower, the Administrative Agent, the Backup Servicer or the Custodian (if other than UACC) might have with respect to the administration of the Receivables.</w:t>
      </w:r>
    </w:p>
    <w:p>
      <w:pPr>
        <w:spacing w:after="0" w:line="200" w:lineRule="exact"/>
        <w:rPr>
          <w:sz w:val="20"/>
          <w:szCs w:val="20"/>
          <w:color w:val="auto"/>
        </w:rPr>
      </w:pPr>
    </w:p>
    <w:p>
      <w:pPr>
        <w:spacing w:after="0" w:line="37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ADMINISTRATION AND SERVICING OF RECEIVABLES</w:t>
      </w:r>
    </w:p>
    <w:p>
      <w:pPr>
        <w:spacing w:after="0" w:line="205"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Designation of Servicing</w:t>
      </w:r>
      <w:r>
        <w:rPr>
          <w:rFonts w:ascii="Times New Roman" w:cs="Times New Roman" w:eastAsia="Times New Roman" w:hAnsi="Times New Roman"/>
          <w:sz w:val="22"/>
          <w:szCs w:val="22"/>
          <w:color w:val="auto"/>
        </w:rPr>
        <w:t>. The Administrative Agent, each Agent and the Borrower, at the direction of and on behalf of the Administrative Agent,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spacing w:after="0" w:line="180"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Servicing Compensation</w:t>
      </w:r>
      <w:r>
        <w:rPr>
          <w:rFonts w:ascii="Times New Roman" w:cs="Times New Roman" w:eastAsia="Times New Roman" w:hAnsi="Times New Roman"/>
          <w:sz w:val="20"/>
          <w:szCs w:val="20"/>
          <w:color w:val="auto"/>
        </w:rPr>
        <w:t>. As compensation for its servicing activities hereunder and reimbursement for its expenses, the Servicer shall be entitled to receive the Servicing Fee to the extent of funds available therefor pursuant to Section 2.08(i). The Servicer shall further be entitled to retain as additional servicing compensation any and all ancillary fees, extension fees and payments from Obligors, including late fees, administrative fees and similar charges allowed by Applicable Law.</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Duties of the Servicer</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9" w:lineRule="auto"/>
        <w:tabs>
          <w:tab w:leader="none" w:pos="101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w:t>
      </w:r>
      <w:r>
        <w:rPr>
          <w:rFonts w:ascii="Times New Roman" w:cs="Times New Roman" w:eastAsia="Times New Roman" w:hAnsi="Times New Roman"/>
          <w:sz w:val="22"/>
          <w:szCs w:val="22"/>
          <w:color w:val="auto"/>
        </w:rPr>
        <w:t>. The Servicer agrees that its servicing and collection of the Receivables shall be carried out in accordance with the Credit and Collection Policy,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w:t>
      </w:r>
    </w:p>
    <w:p>
      <w:pPr>
        <w:spacing w:after="0" w:line="178"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Held in Trust</w:t>
      </w:r>
      <w:r>
        <w:rPr>
          <w:rFonts w:ascii="Times New Roman" w:cs="Times New Roman" w:eastAsia="Times New Roman" w:hAnsi="Times New Roman"/>
          <w:sz w:val="22"/>
          <w:szCs w:val="22"/>
          <w:color w:val="auto"/>
        </w:rPr>
        <w:t>. The Servicer shall hold in trust for the Secured Parties all records which evidence or relate to all or any part of the Collateral. In the event that the Backup Servicer assumes servicing responsibilities or a Successor Servicer, as applicable, is appointed, the outgoing Servicer shall promptly deliver to the Backup Servicer or the Successor Servicer, as applicable, and the Backup Servicer or the Successor Servicer, as applicable, shall hold in trust for the Borrower and the Secured Parties all records which evidence or relate to all or any part of the Collateral, other than the Receivable Files which shall be delivered to the successor Custodian.</w:t>
      </w:r>
    </w:p>
    <w:p>
      <w:pPr>
        <w:spacing w:after="0" w:line="17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Practices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760" w:firstLine="1123"/>
        <w:spacing w:after="0" w:line="234" w:lineRule="auto"/>
        <w:rPr>
          <w:sz w:val="20"/>
          <w:szCs w:val="20"/>
          <w:color w:val="auto"/>
        </w:rPr>
      </w:pPr>
      <w:r>
        <w:rPr>
          <w:rFonts w:ascii="Times New Roman" w:cs="Times New Roman" w:eastAsia="Times New Roman" w:hAnsi="Times New Roman"/>
          <w:sz w:val="22"/>
          <w:szCs w:val="22"/>
          <w:color w:val="auto"/>
        </w:rPr>
        <w:t>(i)The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Secured Parties, and shall be deemed to be holding such funds in trust on behalf of and as agent for the Administrative Agent and the Secured Parties. The Servicer, consistent with the Credit and Collection Policy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3" w:name="page174"/>
    <w:bookmarkEnd w:id="173"/>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or adjustments on a Contract as permitted by the Credit and Collection Policy then in effect, and amend or modify any Contract but [***]. The Servicer may in its discretion waive any late payment charge or any other fees, not including interest on the Principal Balance, that may be collected in the ordinary course of servicing a Receivable. The Servicer shall also enforce all rights of the Borrower under the Purchase Agreement (including each Transfer Agreement) including the right to require UACC to repurchase Receivables for breaches of representations and warranties made by UACC. Receivables in respect of which the Servicer has breached the foregoing provisions shall be repurchased by the Servicer pursuant to Section 5.04(c).</w:t>
      </w:r>
    </w:p>
    <w:p>
      <w:pPr>
        <w:spacing w:after="0" w:line="181" w:lineRule="exact"/>
        <w:rPr>
          <w:sz w:val="20"/>
          <w:szCs w:val="20"/>
          <w:color w:val="auto"/>
        </w:rPr>
      </w:pPr>
    </w:p>
    <w:p>
      <w:pPr>
        <w:jc w:val="both"/>
        <w:ind w:left="760" w:firstLine="1123"/>
        <w:spacing w:after="0" w:line="234" w:lineRule="auto"/>
        <w:rPr>
          <w:sz w:val="20"/>
          <w:szCs w:val="20"/>
          <w:color w:val="auto"/>
        </w:rPr>
      </w:pPr>
      <w:r>
        <w:rPr>
          <w:rFonts w:ascii="Times New Roman" w:cs="Times New Roman" w:eastAsia="Times New Roman" w:hAnsi="Times New Roman"/>
          <w:sz w:val="22"/>
          <w:szCs w:val="22"/>
          <w:color w:val="auto"/>
        </w:rPr>
        <w:t>(ii)Consistent with the Credit and Collection Policy, if at least [***]% of a Scheduled Payment due under a Receivable is not received by the end of the day on its due date, the Servicer will make reasonable and customary efforts to contact the Obligor. The Servicer shall continue its efforts to obtain payment from such Obligor who has not paid at least [***]%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and deposit thereof into the Local Bank Account, such Collections shall be deposited into the Collection Account.</w:t>
      </w:r>
    </w:p>
    <w:p>
      <w:pPr>
        <w:spacing w:after="0" w:line="184" w:lineRule="exact"/>
        <w:rPr>
          <w:sz w:val="20"/>
          <w:szCs w:val="20"/>
          <w:color w:val="auto"/>
        </w:rPr>
      </w:pPr>
    </w:p>
    <w:p>
      <w:pPr>
        <w:jc w:val="both"/>
        <w:ind w:left="760" w:firstLine="1123"/>
        <w:spacing w:after="0" w:line="234" w:lineRule="auto"/>
        <w:rPr>
          <w:sz w:val="20"/>
          <w:szCs w:val="20"/>
          <w:color w:val="auto"/>
        </w:rPr>
      </w:pPr>
      <w:r>
        <w:rPr>
          <w:rFonts w:ascii="Times New Roman" w:cs="Times New Roman" w:eastAsia="Times New Roman" w:hAnsi="Times New Roman"/>
          <w:sz w:val="22"/>
          <w:szCs w:val="22"/>
          <w:color w:val="auto"/>
        </w:rPr>
        <w:t>(iii)In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spacing w:after="0" w:line="176"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(iv)The Servicer shall deposit or cause to be deposited by electronic funds transfer all Collections to the Collection Account no later than two Business Days after deposit into the Local Bank Account or otherwise.</w:t>
      </w:r>
    </w:p>
    <w:p>
      <w:pPr>
        <w:spacing w:after="0" w:line="157" w:lineRule="exact"/>
        <w:rPr>
          <w:sz w:val="20"/>
          <w:szCs w:val="20"/>
          <w:color w:val="auto"/>
        </w:rPr>
      </w:pPr>
    </w:p>
    <w:p>
      <w:pPr>
        <w:jc w:val="both"/>
        <w:ind w:firstLine="757"/>
        <w:spacing w:after="0" w:line="236" w:lineRule="auto"/>
        <w:tabs>
          <w:tab w:leader="none" w:pos="101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Recourse; Sales of Financed Vehicles</w:t>
      </w:r>
      <w:r>
        <w:rPr>
          <w:rFonts w:ascii="Times New Roman" w:cs="Times New Roman" w:eastAsia="Times New Roman" w:hAnsi="Times New Roman"/>
          <w:sz w:val="22"/>
          <w:szCs w:val="22"/>
          <w:color w:val="auto"/>
        </w:rPr>
        <w:t>. The Servicer, itself or through the use of independent contractors or agents, shall follow practices consistent with the Credit and Collection Policy, in its servicing of automotive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4" w:name="page175"/>
    <w:bookmarkEnd w:id="174"/>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spacing w:after="0" w:line="172" w:lineRule="exact"/>
        <w:rPr>
          <w:sz w:val="20"/>
          <w:szCs w:val="20"/>
          <w:color w:val="auto"/>
        </w:rPr>
      </w:pPr>
    </w:p>
    <w:p>
      <w:pPr>
        <w:jc w:val="both"/>
        <w:ind w:firstLine="757"/>
        <w:spacing w:after="0" w:line="244" w:lineRule="auto"/>
        <w:tabs>
          <w:tab w:leader="none" w:pos="101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Subservicers</w:t>
      </w:r>
      <w:r>
        <w:rPr>
          <w:rFonts w:ascii="Times New Roman" w:cs="Times New Roman" w:eastAsia="Times New Roman" w:hAnsi="Times New Roman"/>
          <w:sz w:val="22"/>
          <w:szCs w:val="22"/>
          <w:color w:val="auto"/>
        </w:rPr>
        <w:t>. The Servicer may delegate in the ordinary course of business any or all of its duties and obligations hereunder to one or more Subservicers; provided, however, that the Servicer shall at all times remain responsible for the performance of such duties and obligations.</w:t>
      </w:r>
    </w:p>
    <w:p>
      <w:pPr>
        <w:spacing w:after="0" w:line="17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Servicer shall:</w:t>
      </w:r>
    </w:p>
    <w:p>
      <w:pPr>
        <w:spacing w:after="0" w:line="205"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(i)on behalf of the Borrower, administer and enforce all rights and responsibilities of the Borrower, as owner of the Receivables, provided for in the Insurance Policies relating to the Receivables; and</w:t>
      </w:r>
    </w:p>
    <w:p>
      <w:pPr>
        <w:spacing w:after="0" w:line="157" w:lineRule="exact"/>
        <w:rPr>
          <w:sz w:val="20"/>
          <w:szCs w:val="20"/>
          <w:color w:val="auto"/>
        </w:rPr>
      </w:pPr>
    </w:p>
    <w:p>
      <w:pPr>
        <w:jc w:val="both"/>
        <w:ind w:left="760" w:firstLine="1123"/>
        <w:spacing w:after="0" w:line="244" w:lineRule="auto"/>
        <w:rPr>
          <w:sz w:val="20"/>
          <w:szCs w:val="20"/>
          <w:color w:val="auto"/>
        </w:rPr>
      </w:pPr>
      <w:r>
        <w:rPr>
          <w:rFonts w:ascii="Times New Roman" w:cs="Times New Roman" w:eastAsia="Times New Roman" w:hAnsi="Times New Roman"/>
          <w:sz w:val="22"/>
          <w:szCs w:val="22"/>
          <w:color w:val="auto"/>
        </w:rPr>
        <w:t>(ii)in accordance with customary servicing procedures and the Credit and Collection Policy, require that each Obligor shall have obtained physical damage insurance covering the Financed Vehicle as of the date of execution of the Contract.</w:t>
      </w:r>
    </w:p>
    <w:p>
      <w:pPr>
        <w:spacing w:after="0" w:line="17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the case of any inconsistency between this Agreement and the terms of any Insurance Policy, the Servicer shall comply with the latter.</w:t>
      </w:r>
    </w:p>
    <w:p>
      <w:pPr>
        <w:spacing w:after="0" w:line="157" w:lineRule="exact"/>
        <w:rPr>
          <w:sz w:val="20"/>
          <w:szCs w:val="20"/>
          <w:color w:val="auto"/>
        </w:rPr>
      </w:pPr>
    </w:p>
    <w:p>
      <w:pPr>
        <w:jc w:val="both"/>
        <w:ind w:firstLine="757"/>
        <w:spacing w:after="0" w:line="239"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Restore</w:t>
      </w:r>
      <w:r>
        <w:rPr>
          <w:rFonts w:ascii="Times New Roman" w:cs="Times New Roman" w:eastAsia="Times New Roman" w:hAnsi="Times New Roman"/>
          <w:sz w:val="22"/>
          <w:szCs w:val="22"/>
          <w:color w:val="auto"/>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policies directly or indirectly related to any physical loss or damage to a Financed Vehicle.</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Fidelity Bond</w:t>
      </w:r>
      <w:r>
        <w:rPr>
          <w:rFonts w:ascii="Times New Roman" w:cs="Times New Roman" w:eastAsia="Times New Roman" w:hAnsi="Times New Roman"/>
          <w:sz w:val="22"/>
          <w:szCs w:val="22"/>
          <w:color w:val="auto"/>
        </w:rPr>
        <w:t>. The Servicer represents, warrants and covenants that it has obtained and shall continue to maintain in full force and effect a fidelity bond in such form and amount as is customary for prudent servicers acting as custodian of funds and documents in respect of consumer contracts similar to the Receivables on behalf of institutional investors.</w:t>
      </w:r>
    </w:p>
    <w:p>
      <w:pPr>
        <w:spacing w:after="0" w:line="172"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hereby directs the Servicer to take or cause to be taken such steps as are necessary, to maintain perfection of the security interest created by each such Receivable in the related Financed Vehicle. The Servicer shall, at the direction of the Borrower, the Administrative Agent or the Custodian, take any action necessary to preserve and protect the security interests of the Borrower, the Administrative Agent, the Secured Parties and the Custodian in the Receivables, including any action specified in any Opinion of Counsel delivered to the Servicer.</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Financed Vehicles</w:t>
      </w:r>
      <w:r>
        <w:rPr>
          <w:rFonts w:ascii="Times New Roman" w:cs="Times New Roman" w:eastAsia="Times New Roman" w:hAnsi="Times New Roman"/>
          <w:sz w:val="22"/>
          <w:szCs w:val="22"/>
          <w:color w:val="auto"/>
        </w:rPr>
        <w:t>.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Administrative Agent, any Agent, the Backup Servicer, the Account Bank or the Custodian to liability under any federal, State or local law, 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5" w:name="page176"/>
    <w:bookmarkEnd w:id="175"/>
    <w:p>
      <w:pPr>
        <w:ind w:right="20"/>
        <w:spacing w:after="0" w:line="258" w:lineRule="auto"/>
        <w:rPr>
          <w:sz w:val="20"/>
          <w:szCs w:val="20"/>
          <w:color w:val="auto"/>
        </w:rPr>
      </w:pPr>
      <w:r>
        <w:rPr>
          <w:rFonts w:ascii="Times New Roman" w:cs="Times New Roman" w:eastAsia="Times New Roman" w:hAnsi="Times New Roman"/>
          <w:sz w:val="22"/>
          <w:szCs w:val="22"/>
          <w:color w:val="auto"/>
        </w:rPr>
        <w:t>that such enforcement by the Servicer will be conducted in accordance with the provisions of this Agreement, the Credit and Collection Policy and Applicable Law.</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u w:val="single" w:color="auto"/>
          <w:color w:val="auto"/>
        </w:rPr>
        <w:t>Recordkeeping</w:t>
      </w:r>
      <w:r>
        <w:rPr>
          <w:rFonts w:ascii="Times New Roman" w:cs="Times New Roman" w:eastAsia="Times New Roman" w:hAnsi="Times New Roman"/>
          <w:sz w:val="22"/>
          <w:szCs w:val="22"/>
          <w:color w:val="auto"/>
        </w:rPr>
        <w:t>. The Servicer shall:</w:t>
      </w:r>
    </w:p>
    <w:p>
      <w:pPr>
        <w:spacing w:after="0" w:line="205"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(i)maintain legible copies (in electronic or hard-copy form, in the discretion of the Servicer) or originals of all documents in its Servicer File with respect to each Receivable and the Financed Vehicle related thereto; and</w:t>
      </w:r>
    </w:p>
    <w:p>
      <w:pPr>
        <w:spacing w:after="0" w:line="157" w:lineRule="exact"/>
        <w:rPr>
          <w:sz w:val="20"/>
          <w:szCs w:val="20"/>
          <w:color w:val="auto"/>
        </w:rPr>
      </w:pPr>
    </w:p>
    <w:p>
      <w:pPr>
        <w:jc w:val="both"/>
        <w:ind w:left="760" w:firstLine="1123"/>
        <w:spacing w:after="0" w:line="234" w:lineRule="auto"/>
        <w:rPr>
          <w:sz w:val="20"/>
          <w:szCs w:val="20"/>
          <w:color w:val="auto"/>
        </w:rPr>
      </w:pPr>
      <w:r>
        <w:rPr>
          <w:rFonts w:ascii="Times New Roman" w:cs="Times New Roman" w:eastAsia="Times New Roman" w:hAnsi="Times New Roman"/>
          <w:sz w:val="22"/>
          <w:szCs w:val="22"/>
          <w:color w:val="auto"/>
        </w:rPr>
        <w:t>(ii)keep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Collection of Payments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9" w:lineRule="auto"/>
        <w:tabs>
          <w:tab w:leader="none" w:pos="10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the Post Office Boxes</w:t>
      </w:r>
      <w:r>
        <w:rPr>
          <w:rFonts w:ascii="Times New Roman" w:cs="Times New Roman" w:eastAsia="Times New Roman" w:hAnsi="Times New Roman"/>
          <w:sz w:val="22"/>
          <w:szCs w:val="22"/>
          <w:color w:val="auto"/>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and all such payments will be deposited into the Collection Account within two Business Days of receipt.</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the Collection Account and the Local Bank Account</w:t>
      </w:r>
      <w:r>
        <w:rPr>
          <w:rFonts w:ascii="Times New Roman" w:cs="Times New Roman" w:eastAsia="Times New Roman" w:hAnsi="Times New Roman"/>
          <w:sz w:val="22"/>
          <w:szCs w:val="22"/>
          <w:color w:val="auto"/>
        </w:rPr>
        <w:t>. The Servicer shall cause to be established, on or before the Closing Date, and maintain in the name of the Borrower, for the benefit of the Secured Parties, with a Qualified Institution which shall initially be the Account Bank, the Collection Account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bank or trust company in connection with the maintenance of the Collection Account for its own account and shall not be entitled to any payment therefor. The Servicer shall maintain in its name for the benefit of the Secured Parties the Local Bank Account which shall be under the dominion and control of [***] under, and shall be subject to, the Intercreditor Agreement and the Intercreditor Party Supplement.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If the Servicer makes (i) a deposit into the Collection Account in respect of a collection of a Receivable and such collection was received by the Servicer in the form of a check that is not honored for any reason, (ii) a mistake with respect to the amount of any collection and deposits an amount that is less than or more than the actual amount of such collection or (iii) is entitled to reimbursement of any ancillary fees in accordance with Section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6" w:name="page177"/>
    <w:bookmarkEnd w:id="176"/>
    <w:p>
      <w:pPr>
        <w:jc w:val="both"/>
        <w:spacing w:after="0" w:line="244" w:lineRule="auto"/>
        <w:rPr>
          <w:sz w:val="20"/>
          <w:szCs w:val="20"/>
          <w:color w:val="auto"/>
        </w:rPr>
      </w:pPr>
      <w:r>
        <w:rPr>
          <w:rFonts w:ascii="Times New Roman" w:cs="Times New Roman" w:eastAsia="Times New Roman" w:hAnsi="Times New Roman"/>
          <w:sz w:val="22"/>
          <w:szCs w:val="22"/>
          <w:color w:val="auto"/>
        </w:rPr>
        <w:t>7.02, the Servicer shall appropriately adjust the amount subsequently deposited into the Collection Account to reflect such dishonored check, mistake or reimbursement. Any Scheduled Payment in respect of which a dishonored check is received shall be deemed not to have been paid.</w:t>
      </w:r>
    </w:p>
    <w:p>
      <w:pPr>
        <w:spacing w:after="0" w:line="17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 xml:space="preserve">Section 7.05. </w:t>
      </w:r>
      <w:r>
        <w:rPr>
          <w:rFonts w:ascii="Times New Roman" w:cs="Times New Roman" w:eastAsia="Times New Roman" w:hAnsi="Times New Roman"/>
          <w:sz w:val="20"/>
          <w:szCs w:val="20"/>
          <w:u w:val="single" w:color="auto"/>
          <w:color w:val="auto"/>
        </w:rPr>
        <w:t>Payment of Certain Expenses by Servicer</w:t>
      </w:r>
      <w:r>
        <w:rPr>
          <w:rFonts w:ascii="Times New Roman" w:cs="Times New Roman" w:eastAsia="Times New Roman" w:hAnsi="Times New Roman"/>
          <w:sz w:val="20"/>
          <w:szCs w:val="20"/>
          <w:color w:val="auto"/>
        </w:rPr>
        <w:t>. Except for such amounts and expenses the Servicer is entitled to reimbursement as provided for herein, the initial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initial Servicer will be required to pay all reasonable fees and expenses owing to any bank or trust company in connection with the maintenance of the Collection Account. The initial Servicer shall be required to pay such expenses for its own account and shall not be entitled to any payment therefor other than the Servicing Fee.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757"/>
        <w:spacing w:after="0" w:line="258" w:lineRule="auto"/>
        <w:tabs>
          <w:tab w:leader="none" w:pos="10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On each Reporting Date, the Servicer will provide to the Borrower, the Administrative Agent, each Agent, the Backup Servicer, the Account Bank and each Hedge Counterparty a Monthly Report.</w:t>
      </w:r>
    </w:p>
    <w:p>
      <w:pPr>
        <w:spacing w:after="0" w:line="15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At the request of the Administrative Agent for purposes of achieving favorable capital treatment under Basel II or Basel III, the Servicer will provide to the Administrative Agent upon request, but in no event less frequently than upon the Determination Dates occurring in February, May, August and November, a Quarterly Report. Additionally, no more frequently than once every fiscal quarter of the Servicer, at the request of the Administrative Agent and solely to the extent such data is available to the Servicer, the Servicer will provide to the Administrative Agent a report with data regarding the characteristics of the Receivables, in form and substance reasonably acceptable to the Administrative Agent, including (i) delinquencies, (ii) loss-to-liquidation ratios and (iii) annualized losses on the Serviced Portfolio, presented on a quarterly basis.</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Twice each calendar year, beginning with 2014, at such times during normal business hours as are reasonably convenient to the Borrower or the Servicer, as the case may be, at the sole cost and expense of the Servicer (provided that such costs and expenses shall be limited to $[***] per annum) and upon reasonable request of the Administrative Agent and prior written notice to the Borrower or the Servicer, as the case may be, the Borrower or the Servicer, as the case may be, shall permit such Person or Persons as the Administrative Agent may designate to conduct, on behalf of all of them, audits or to visit and inspect any of the properties of the Borrower or the Servicer (including any Subservicer) where the Receivable Files are located, as the case may be, to examine the Receivable Files, internal controls and procedures maintained by the Borrower or Servicer, as the case may be, and take copies and extracts therefrom, and to discuss the affairs of the Borrower and the Servicer (including any Subservicer) with their respective officers and employees (which employees, except after the occurrence and during the continuation of a Termination Event, Unmatured Termination Event or Servicer Termination Event, shall be designated by the Borrower or the Servicer, as the case may be)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7" w:name="page178"/>
    <w:bookmarkEnd w:id="177"/>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upon written notice to the Borrower or the Servicer, as the case may be, independent accountants;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after the occurrence and during the continuation of a Termination Event, Unmatured Termination Event or Servicer Termination Event, the Administrative Agent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Administrative Agent and its representatives shall make reasonable efforts to coordinate, and provide 30 days’ prior written notice of, such audits, visits and inspections. The Borrower or the Servicer, as the case may be, hereby authorizes such officers, employees and independent accountants (and the Servicer shall cause each Subservicer to authorize such officers, employees and independent accountants) to discuss with the Administrative Agent and its representatives, the affairs of the Borrower or the Servicer, as the case may be. The Servicer shall reimburse the Administrative Agent for all reasonable fees, costs and expenses incurred by or on behalf of the Administrative Agent and the Secured Parties in connection with the foregoing actions promptly upon receipt of a written invoice therefor. Any audit provided for herein shall be conducted in accordance with the rules of the Borrower and Servicer respecting safety and security on its premises and without materially disrupting operations. Nothing in this subsection shall affect the obligation of the Servicer to observe any Applicable Law prohibiting the disclosure of information regarding the Obligors, and the failure of the Servicer to provide access to information as a result of such obligation shall not constitute a breach of this subsection. In addition to the due diligence reviews specified above, the Backup Servicer may, subject to all terms and conditions specified in this subsection, conduct its own periodic due diligence reviews, at the sole cost and expense of the Servicer (provided that such costs and expenses shall be limited to a maximum of $[***] per visit in the case of any due diligence review done at the request of the Backup Servicer prior to the occurrence and continuance of a Servicer Termination Event or the Termination Date, and thereafter, without such cost and expense cap).</w:t>
      </w:r>
    </w:p>
    <w:p>
      <w:pPr>
        <w:spacing w:after="0" w:line="17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Annual Statement as to Compliance</w:t>
      </w:r>
      <w:r>
        <w:rPr>
          <w:rFonts w:ascii="Times New Roman" w:cs="Times New Roman" w:eastAsia="Times New Roman" w:hAnsi="Times New Roman"/>
          <w:sz w:val="22"/>
          <w:szCs w:val="22"/>
          <w:color w:val="auto"/>
        </w:rPr>
        <w:t>. The Servicer shall deliver to the Administrative Agent and each Agent, on or before April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each year, beginning in 2014, an Officer’s Certificate, dated as of the preceding December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Annual Independent Public Accountant’s Reports</w:t>
      </w:r>
      <w:r>
        <w:rPr>
          <w:rFonts w:ascii="Times New Roman" w:cs="Times New Roman" w:eastAsia="Times New Roman" w:hAnsi="Times New Roman"/>
          <w:sz w:val="22"/>
          <w:szCs w:val="22"/>
          <w:color w:val="auto"/>
        </w:rPr>
        <w:t>. To the extent prepared on behalf of the Servicer in connection with the public offering of securities backed by or relating to automobile receivables, the Servicer will deliver to the Administrative Agent and each Agent, on or before April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each year beginning in 2014, a copy of a report prepared by a firm of</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8" w:name="page179"/>
    <w:bookmarkEnd w:id="178"/>
    <w:p>
      <w:pPr>
        <w:jc w:val="both"/>
        <w:spacing w:after="0" w:line="256" w:lineRule="auto"/>
        <w:rPr>
          <w:sz w:val="20"/>
          <w:szCs w:val="20"/>
          <w:color w:val="auto"/>
        </w:rPr>
      </w:pPr>
      <w:r>
        <w:rPr>
          <w:rFonts w:ascii="Times New Roman" w:cs="Times New Roman" w:eastAsia="Times New Roman" w:hAnsi="Times New Roman"/>
          <w:sz w:val="20"/>
          <w:szCs w:val="20"/>
          <w:color w:val="auto"/>
        </w:rPr>
        <w:t>independent certified public accountants, who may also render other services to the Servicer or any of its Affiliates, addressed to the Board of Directors of the Servicer or any of its Affiliates, and the Administrative Agent and dated during the current year, to the effect that such firm has examined the Servicer’s policies and procedures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longer period in the case of the first sale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offerings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Administrative Agent shall be deemed to satisfy the provisions of this Section.</w:t>
      </w:r>
    </w:p>
    <w:p>
      <w:pPr>
        <w:spacing w:after="0" w:line="200" w:lineRule="exact"/>
        <w:rPr>
          <w:sz w:val="20"/>
          <w:szCs w:val="20"/>
          <w:color w:val="auto"/>
        </w:rPr>
      </w:pPr>
    </w:p>
    <w:p>
      <w:pPr>
        <w:spacing w:after="0" w:line="21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such independent certified public accountants require the Custodian, the Account Bank or the Backup Servicer to agree to the procedures to be performed by such firm in any of the reports required to be prepared pursuant to this Section, the Servicer shall direct the Custodian, the Account Bank or the Backup Servicer in writing to so agree; it being understood and agreed that the Custodian, the Account Bank or the Backup Servicer will deliver such letter of agreement in conclusive reliance upon the direction of the Servicer, and the Custodian, the Account Bank and the Backup Servicer have not made any independent inquiry or investigation as to, and shall have no obligation or liability in respect of, the sufficiency, validity or correctness of such procedures.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Such report shall also indicate that the firm is “Independent” of the Servicer and its Affiliates within the meaning of the Code of Professional Ethics of the American Institute of Certified Public Accountants.</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Rights Prior to Assumption of Duties by the Backup Servicer or Designation of Successor Servicer</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7" w:lineRule="auto"/>
        <w:tabs>
          <w:tab w:leader="none" w:pos="101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each Reporting Date, the Servicer shall deliver to the Backup Servicer an electronic file containing all information necessary to carry out any servicing obligations under this Agreement, sufficient to allow the Backup Servicer to review the Monthly Report related thereto and determine (i) that such Monthly Report is in readable form (ii) based solely on a recalculation of the Monthly Report, the Borrowing Base as of the related Reporting Date (calculated as of the related Determination Date, or, with respect to Receivables added to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9" w:name="page180"/>
    <w:bookmarkEnd w:id="179"/>
    <w:p>
      <w:pPr>
        <w:jc w:val="both"/>
        <w:spacing w:after="0" w:line="232" w:lineRule="auto"/>
        <w:rPr>
          <w:sz w:val="20"/>
          <w:szCs w:val="20"/>
          <w:color w:val="auto"/>
        </w:rPr>
      </w:pPr>
      <w:r>
        <w:rPr>
          <w:rFonts w:ascii="Times New Roman" w:cs="Times New Roman" w:eastAsia="Times New Roman" w:hAnsi="Times New Roman"/>
          <w:sz w:val="22"/>
          <w:szCs w:val="22"/>
          <w:color w:val="auto"/>
        </w:rPr>
        <w:t>Collateral following such Determination Date, but prior to the date of such Monthly Report, the related Cutoff Date), and (iii) based on the records of the Account Bank, confirm (A) that the amounts to be withdrawn pursuant to Section 2.08 from the Collection Account for the related Payment Date and (B) the balance of the Collection Account as of the related Determination Date are the same as the amounts set forth in the Monthly Report. The Backup Servicer shall, within five Business Days of each Reporting Date, load the electronic file received from the Servicer, confirm such computer tape or diskette is in readable form and use the electronic file to verify (i) the aggregate Principal Balance of all Receivables as of the related Determination Date, and (ii) the Excess Concentration Amount, as set forth in the Monthly Report. In the event of any discrepancy between the information set forth in the two foregoing sentences, as calculated by the Servicer, from that determined or calculated by the Backup Servicer, the Backup Servicer shall promptly notify the Servicer. Notwithstanding the foregoing, if the electronic file or the Monthly Report does not contain sufficient information for the Backup Servicer to perform any action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not be liable for any delay in the performance of any action hereunder resulting from its failure to receive in a timely manner such additional information from the Servicer.</w:t>
      </w:r>
    </w:p>
    <w:p>
      <w:pPr>
        <w:spacing w:after="0" w:line="19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(b)The Administrative Agent may request in writing, up to four times per calendar year, that the Servicer use commercially reasonable efforts to promptly deliver to the Backup Servicer the Test Data File, in a format acceptable to the Backup Servicer; provided, that if a Level II Overcollateralization Increase Event or Level III Overcollateralization Increase Event shall have occurred and is continuing, the Administrative Agent may make such request at any time. The Backup Servicer and the Servicer will agree upon the file layout and electronic medium to transfer such data to the Backup Servicer. The Backup Servicer shall confirm to the Servicer and the Administrative Agent in writing that the Test Data File is in the correct format or if any changes or modifications are necessary. The Backup Servicer shall convert the Test Data File to its internal servicing system, and confirm in writing to the Servicer and the Administrative Agent that it has received and verified the completeness of the Test Data File within 90 days of receipt of such Test Data File; provided, however, that such confirmation shall not be deemed to apply to the accuracy of the Test Data File data as provided by the Servicer, but shall be deemed only to apply to the accuracy of the conversion of the Test Data Files to the Backup Servicer’s internal systems. The cost of loading the Test Data File will be paid by the Servicer and, to the extent not paid, will be paid in accordance with Section 2.08(ii).</w:t>
      </w:r>
    </w:p>
    <w:p>
      <w:pPr>
        <w:spacing w:after="0" w:line="162" w:lineRule="exact"/>
        <w:rPr>
          <w:sz w:val="20"/>
          <w:szCs w:val="20"/>
          <w:color w:val="auto"/>
        </w:rPr>
      </w:pPr>
    </w:p>
    <w:p>
      <w:pPr>
        <w:jc w:val="both"/>
        <w:ind w:firstLine="757"/>
        <w:spacing w:after="0" w:line="244" w:lineRule="auto"/>
        <w:tabs>
          <w:tab w:leader="none" w:pos="10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set forth elsewhere in this Agreement, the Backup Servicer shall have no obligation to supervise, verify, monitor or administer the performance of the Servicer and shall have no duty, responsibility, obligation or liability for any action taken or omitted by the Servicer.</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(d)The Backup Servicer shall consult with the Servicer as may be necessary from time to time to perform or carry out the Backup Servicer’s obligations hereunder, including the obligation, if requested in writing by the Administrative Agent, to succeed to the duties and obligations of the Servicer pursuant hereto.</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0" w:name="page181"/>
    <w:bookmarkEnd w:id="180"/>
    <w:p>
      <w:pPr>
        <w:jc w:val="both"/>
        <w:ind w:firstLine="757"/>
        <w:spacing w:after="0" w:line="233"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this Agreement, the Backup Servicer may accept and reasonably rely on all accounting, records and work of the Servicer without audit, and the Backup Servicer shall have no duty, responsibility, obligation or liability for the acts or omissions of the Servicer. If any error, inaccuracy or omission (collectively, “</w:t>
      </w:r>
      <w:r>
        <w:rPr>
          <w:rFonts w:ascii="Times New Roman" w:cs="Times New Roman" w:eastAsia="Times New Roman" w:hAnsi="Times New Roman"/>
          <w:sz w:val="22"/>
          <w:szCs w:val="22"/>
          <w:u w:val="single" w:color="auto"/>
          <w:color w:val="auto"/>
        </w:rPr>
        <w:t>Errors</w:t>
      </w:r>
      <w:r>
        <w:rPr>
          <w:rFonts w:ascii="Times New Roman" w:cs="Times New Roman" w:eastAsia="Times New Roman" w:hAnsi="Times New Roman"/>
          <w:sz w:val="22"/>
          <w:szCs w:val="22"/>
          <w:color w:val="auto"/>
        </w:rPr>
        <w:t>”) exists in any information received from the Servicer, and such Errors should cause or materially contribute to the Backup Servicer making or continuing any Errors (collectively, “</w:t>
      </w:r>
      <w:r>
        <w:rPr>
          <w:rFonts w:ascii="Times New Roman" w:cs="Times New Roman" w:eastAsia="Times New Roman" w:hAnsi="Times New Roman"/>
          <w:sz w:val="22"/>
          <w:szCs w:val="22"/>
          <w:u w:val="single" w:color="auto"/>
          <w:color w:val="auto"/>
        </w:rPr>
        <w:t>Continued Errors</w:t>
      </w:r>
      <w:r>
        <w:rPr>
          <w:rFonts w:ascii="Times New Roman" w:cs="Times New Roman" w:eastAsia="Times New Roman" w:hAnsi="Times New Roman"/>
          <w:sz w:val="22"/>
          <w:szCs w:val="22"/>
          <w:color w:val="auto"/>
        </w:rPr>
        <w:t>”), the Backup Servicer shall have no duty, responsibility, obligation or liability for such Continued Errors; provided, however, that this provision shall not protect the Backup Servicer against any duty, responsibility, obligation or liability which would otherwise be imposed by reason of willful misconduct, bad faith or gross negligence in discovering or correcting any Error or in the performance of its or their duties under this Agreement. In the event the Backup Servicer becomes aware of Errors or Continued Errors, the Backup Servicer shall, with the prior consent of the Administrative Agent, use its best efforts to reconstruct and reconcile such data as is commercially reasonable to correct such Errors and Continued Errors and prevent future Continued Errors. The Backup Servicer shall be entitled to recover its costs thereby expended from the Servicer (or, to the extent not paid by the Servicer, in accordance with Section 2.08).</w:t>
      </w:r>
    </w:p>
    <w:p>
      <w:pPr>
        <w:spacing w:after="0" w:line="181"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indemnified by the Servicer and the Borrower from and against all claims, damages, losses or expenses reasonably incurred by the Backup Servicer (including reasonable attorneys’ fees) arising out of claims asserted against the Backup Servicer by third parties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Payments in respect of any indemnity by the Borrower shall be paid, to the extent of funds available therefor, in accordance with the priorities set forth in Section 2.08. Notwithstanding the foregoing, if a successor to the Backup Servicer is appointed hereunder, then the Servicer and the Borrower shall have no obligations to indemnify the successor Backup Servicer except to the extent that the Servicer and the Borrower have consented, in their reasonable discretion, to the selection of the successor Backup Servicer.</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Rights After Assumption of Duties by Backup Servicer or Designation of Successor Servicer; Liability</w:t>
      </w:r>
      <w:r>
        <w:rPr>
          <w:rFonts w:ascii="Times New Roman" w:cs="Times New Roman" w:eastAsia="Times New Roman" w:hAnsi="Times New Roman"/>
          <w:sz w:val="22"/>
          <w:szCs w:val="22"/>
          <w:color w:val="auto"/>
        </w:rPr>
        <w:t>. At any time following the assumption of the duties of the Servicer by a Backup Servicer or the designation of a Successor Servicer pursuant to Section 7.14 as a result of the occurrence of a Servicer Termination Event:</w:t>
      </w:r>
    </w:p>
    <w:p>
      <w:pPr>
        <w:spacing w:after="0" w:line="172" w:lineRule="exact"/>
        <w:rPr>
          <w:sz w:val="20"/>
          <w:szCs w:val="20"/>
          <w:color w:val="auto"/>
        </w:rPr>
      </w:pPr>
    </w:p>
    <w:p>
      <w:pPr>
        <w:jc w:val="both"/>
        <w:ind w:left="760" w:firstLine="745"/>
        <w:spacing w:after="0" w:line="234" w:lineRule="auto"/>
        <w:tabs>
          <w:tab w:leader="none" w:pos="204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on behalf of the Borrower, shall, at the Administrative Agent’s request, (i) assemble all of the records relating to the Collateral, including all Receivable Files, and shall make the same available to the Administrative Agent, the Backup Servicer or any other Successor Servicer at a place selected by the Administrative Agent or, with the Administrative Agent’s prior written consent, by the Backup Servicer or such other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1" w:name="page182"/>
    <w:bookmarkEnd w:id="181"/>
    <w:p>
      <w:pPr>
        <w:jc w:val="both"/>
        <w:ind w:left="760" w:firstLine="745"/>
        <w:spacing w:after="0" w:line="239" w:lineRule="auto"/>
        <w:tabs>
          <w:tab w:leader="none" w:pos="20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liable in accordance herewith only to the extent of the obligations specifically undertaken by the Backup Servicer in such capacity herein. Such liability is limited to only those actions taken or omitted to be taken by the Backup Servicer and caused through its gross negligence, bad faith or willful misconduct. No implied covenants or obligations shall be read into this Agreement against the Backup Servicer and, in the absence of bad faith on its part, the Backup Servicer may conclusively rely on the truth of the statements and the correctness of the opinions expressed in any certificates or opinions furnished to the Backup Servicer and conforming to the requirements of this Agreement.</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not be charged with knowledge of any Termination Event or Unmatured Termination Event unless an officer of the Backup Servicer obtains actual knowledge of such event or the Backup Servicer receives written notice of such event from the Borrower, the Servicer or the Administrative Agent.</w:t>
      </w:r>
    </w:p>
    <w:p>
      <w:pPr>
        <w:spacing w:after="0" w:line="172"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204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not be required to expend or risk its own funds or otherwise incur financial liability in the performance of its duties hereunder, or in the exercise of any of its rights or powers, if the repayment of such funds or adequate indemnity against such risks or liability is not reasonably assured to it in writing prior to the expenditure of such funds or the incurrence of financial liability. Notwithstanding any provision to the contrary, the Backup Servicer, so long as it is not the Successor Servicer, shall not be liable for any obligation of the Servicer contained in this Agreement, and the parties shall look only to the Servicer to perform such obligations.</w:t>
      </w:r>
    </w:p>
    <w:p>
      <w:pPr>
        <w:spacing w:after="0" w:line="17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 xml:space="preserve">Section 7.12. </w:t>
      </w:r>
      <w:r>
        <w:rPr>
          <w:rFonts w:ascii="Times New Roman" w:cs="Times New Roman" w:eastAsia="Times New Roman" w:hAnsi="Times New Roman"/>
          <w:sz w:val="20"/>
          <w:szCs w:val="20"/>
          <w:u w:val="single" w:color="auto"/>
          <w:color w:val="auto"/>
        </w:rPr>
        <w:t>Limitation on Liability of the Servicer and Others</w:t>
      </w:r>
      <w:r>
        <w:rPr>
          <w:rFonts w:ascii="Times New Roman" w:cs="Times New Roman" w:eastAsia="Times New Roman" w:hAnsi="Times New Roman"/>
          <w:sz w:val="20"/>
          <w:szCs w:val="20"/>
          <w:color w:val="auto"/>
        </w:rPr>
        <w:t>. 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misfeasance, bad faith or negligence in the performance of duties or by reason of its willful misconduct hereunder.</w:t>
      </w:r>
    </w:p>
    <w:p>
      <w:pPr>
        <w:spacing w:after="0" w:line="15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The Servicer Not to Resign</w:t>
      </w:r>
      <w:r>
        <w:rPr>
          <w:rFonts w:ascii="Times New Roman" w:cs="Times New Roman" w:eastAsia="Times New Roman" w:hAnsi="Times New Roman"/>
          <w:sz w:val="22"/>
          <w:szCs w:val="22"/>
          <w:color w:val="auto"/>
        </w:rPr>
        <w:t>. 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and the Receivable Files shall have been delivered to a successor Custodian.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2" w:name="page183"/>
    <w:bookmarkEnd w:id="182"/>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Servicer Termination Events</w:t>
      </w:r>
      <w:r>
        <w:rPr>
          <w:rFonts w:ascii="Times New Roman" w:cs="Times New Roman" w:eastAsia="Times New Roman" w:hAnsi="Times New Roman"/>
          <w:sz w:val="22"/>
          <w:szCs w:val="22"/>
          <w:color w:val="auto"/>
        </w:rPr>
        <w:t>. The occurrence and continuance of any one of the following events shall constitute a “Servicer Termination Event” hereunder:</w:t>
      </w:r>
    </w:p>
    <w:p>
      <w:pPr>
        <w:spacing w:after="0" w:line="157" w:lineRule="exact"/>
        <w:rPr>
          <w:sz w:val="20"/>
          <w:szCs w:val="20"/>
          <w:color w:val="auto"/>
        </w:rPr>
      </w:pPr>
    </w:p>
    <w:p>
      <w:pPr>
        <w:ind w:left="2040" w:hanging="535"/>
        <w:spacing w:after="0"/>
        <w:tabs>
          <w:tab w:leader="none" w:pos="204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Upon the occurrence of any of the foregoing,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each Hedge Counterparty, the Backup Servicer and the Custodian) (each, a “</w:t>
      </w:r>
      <w:r>
        <w:rPr>
          <w:rFonts w:ascii="Times New Roman" w:cs="Times New Roman" w:eastAsia="Times New Roman" w:hAnsi="Times New Roman"/>
          <w:sz w:val="22"/>
          <w:szCs w:val="22"/>
          <w:u w:val="single" w:color="auto"/>
          <w:color w:val="auto"/>
        </w:rPr>
        <w:t>Servicer Termination Notice</w:t>
      </w:r>
      <w:r>
        <w:rPr>
          <w:rFonts w:ascii="Times New Roman" w:cs="Times New Roman" w:eastAsia="Times New Roman" w:hAnsi="Times New Roman"/>
          <w:sz w:val="22"/>
          <w:szCs w:val="22"/>
          <w:color w:val="auto"/>
        </w:rPr>
        <w:t>”), may terminate all of the rights and obligations of the Servicer as Servicer under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Appointment of Successor Servicer</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4" w:lineRule="auto"/>
        <w:tabs>
          <w:tab w:leader="none" w:pos="101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receipt by the Servicer of a Servicer Termination Notice,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the Backup Servicer and the Administrative Agent. The Administrative Agent may, in its discretion, at the time described in the immediately preceding sentence, appoint the Backup Servicer as the Successor Servicer hereunder, and the Backup Servicer shall on such date assume all duties and obligations of the Servicer hereunder, and all authority and power of the Servicer under this Agreement shall pass to and be vested in the Backup Servicer, except to the extent otherwise set forth herein.</w:t>
      </w:r>
    </w:p>
    <w:p>
      <w:pPr>
        <w:spacing w:after="0" w:line="18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(b)In the event that the Administrative Agent does not so appoint the Backup Servicer to succeed the Servicer as Servicer hereunder or the Backup Servicer is unable to assume such obligations on such date, the Administrative Agent shall as promptly as possible appoint a successor servicer (the “Successor Servicer”), and such Successor Servicer shall accept its appointment by a written assumption in a form acceptable to the Administrative Agent. In the event that a Successor Servicer has not accepted its appointment at the time when the Servicer ceases to act as Servicer, the Administrative Agent shall petition a court of competent jurisdiction to appoint any established financial institution having a net worth of not less than $50,000,000 and whose regular business includes the servicing of subprime automobile receivables as the Successor Servicer hereunder.</w:t>
      </w:r>
    </w:p>
    <w:p>
      <w:pPr>
        <w:spacing w:after="0" w:line="181" w:lineRule="exact"/>
        <w:rPr>
          <w:sz w:val="20"/>
          <w:szCs w:val="20"/>
          <w:color w:val="auto"/>
        </w:rPr>
      </w:pPr>
    </w:p>
    <w:p>
      <w:pPr>
        <w:jc w:val="both"/>
        <w:ind w:firstLine="757"/>
        <w:spacing w:after="0" w:line="235"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and removal of the Servicer, the predecessor Servicer shall cooperate with the Successor Servicer or the Backup Servicer, as applicable, in effecting the termination of the rights and responsibilities of the predecessor Servicer under this Agreement, including the transfer to the Backup Servicer or the Successor Servicer, as applicable, for administration by it of all cash amounts that shall at the time be held by the predecessor Servicer for deposit, or shall thereafter be received, with respect to a Receivable, and the related accounts and records maintained by the Servicer. In the case that the Backup Servicer or any other Successor Servicer shall not agree to perform any duties or obligations of the Servicer hereunder, such duties or obligations may be performed or delegated by the Administrative Agent.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3" w:name="page184"/>
    <w:bookmarkEnd w:id="183"/>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(d)The Administrative Agent shall have the same rights of removal and termination for cause with respect to the Backup Servicer or any other Successor Servicer as with respect to UACC as the Servicer.</w:t>
      </w:r>
    </w:p>
    <w:p>
      <w:pPr>
        <w:spacing w:after="0" w:line="157" w:lineRule="exact"/>
        <w:rPr>
          <w:sz w:val="20"/>
          <w:szCs w:val="20"/>
          <w:color w:val="auto"/>
        </w:rPr>
      </w:pPr>
    </w:p>
    <w:p>
      <w:pPr>
        <w:jc w:val="both"/>
        <w:ind w:firstLine="757"/>
        <w:spacing w:after="0" w:line="262" w:lineRule="auto"/>
        <w:tabs>
          <w:tab w:leader="none" w:pos="101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out-of-pocket costs and expenses (including attorneys’ fees and disbursements) incurred in connection with the transferring of Receivables from the Servicer to the Successor Servicer or the Backup Servicer, as the case may be, converting the Servicer’s data to the computer system of the Successor Servicer or the Backup Servicer, as the case may be, and amending this Agreement to reflect such succession as Servicer pursuant to this Section shall be paid by the predecessor Servicer upon presentation of reasonable transition expenses not exceeding $[***] (the “</w:t>
      </w:r>
      <w:r>
        <w:rPr>
          <w:rFonts w:ascii="Times New Roman" w:cs="Times New Roman" w:eastAsia="Times New Roman" w:hAnsi="Times New Roman"/>
          <w:sz w:val="20"/>
          <w:szCs w:val="20"/>
          <w:u w:val="single" w:color="auto"/>
          <w:color w:val="auto"/>
        </w:rPr>
        <w:t>Transition Expenses</w:t>
      </w:r>
      <w:r>
        <w:rPr>
          <w:rFonts w:ascii="Times New Roman" w:cs="Times New Roman" w:eastAsia="Times New Roman" w:hAnsi="Times New Roman"/>
          <w:sz w:val="20"/>
          <w:szCs w:val="20"/>
          <w:color w:val="auto"/>
        </w:rPr>
        <w:t>”). In no event shall the Backup Servicer, if it becomes the Successor Servicer, be responsible for any Transition Expenses. If the predecessor Servicer fails to pay the Transition Expenses, the Transition Expenses shall be payable pursuant to Section 2.08(ii).</w:t>
      </w:r>
    </w:p>
    <w:p>
      <w:pPr>
        <w:spacing w:after="0" w:line="157"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appointment and acceptance, the Backup Servicer (subject to Section 7.15(a)) or the Successor Servicer, as applicable,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or the Successor Servicer, as applicable; provided, however, that any Successor Servicer (including the Backup Servicer) shall have (i) no liability with respect to any obligation which was required to be performed by the predecessor Servicer prior to the date that the successor becomes the Successor Servicer or any claim of a third party based on any alleged action or inaction of the predecessor Servicer,</w:t>
      </w:r>
    </w:p>
    <w:p>
      <w:pPr>
        <w:spacing w:after="0" w:line="5" w:lineRule="exact"/>
        <w:rPr>
          <w:rFonts w:ascii="Times New Roman" w:cs="Times New Roman" w:eastAsia="Times New Roman" w:hAnsi="Times New Roman"/>
          <w:sz w:val="20"/>
          <w:szCs w:val="20"/>
          <w:color w:val="auto"/>
        </w:rPr>
      </w:pPr>
    </w:p>
    <w:p>
      <w:pPr>
        <w:jc w:val="both"/>
        <w:ind w:firstLine="8"/>
        <w:spacing w:after="0" w:line="233" w:lineRule="auto"/>
        <w:tabs>
          <w:tab w:leader="none" w:pos="32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obligation to perform any repurchase, retransfer or advancing obligations, if any, of the Servicer, (iii) no obligation to pay any taxes required to be paid by the Servicer, (iv) no obligation to pay any of the fees and expenses of any other party and (v) no liability or obligation with respect to any Servicer indemnification obligations of any prior Servicer, including UACC. The indemnification obligations of the Backup Servicer, upon becoming a successor Servicer are expressly limited to those instances of gross negligence or willful misconduct of the Backup Servicer in its role as Successor Servicer.</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(g)All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(h)The Successor Servicer shall act as Servicer hereunder and shall, subject to the availability of sufficient funds in the Collection Account pursuant to Section 2.08(i) (up to the Servicing Fee), receive as compensation therefor the Servicing Fee pursuant to Section 2.12(b).</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7.16. </w:t>
      </w:r>
      <w:r>
        <w:rPr>
          <w:rFonts w:ascii="Times New Roman" w:cs="Times New Roman" w:eastAsia="Times New Roman" w:hAnsi="Times New Roman"/>
          <w:sz w:val="22"/>
          <w:szCs w:val="22"/>
          <w:u w:val="single" w:color="auto"/>
          <w:color w:val="auto"/>
        </w:rPr>
        <w:t>Merger or Consolidation, Assumption of Obligations or Resignation of the Servicer</w:t>
      </w:r>
      <w:r>
        <w:rPr>
          <w:rFonts w:ascii="Times New Roman" w:cs="Times New Roman" w:eastAsia="Times New Roman" w:hAnsi="Times New Roman"/>
          <w:sz w:val="22"/>
          <w:szCs w:val="22"/>
          <w:color w:val="auto"/>
        </w:rPr>
        <w:t>. Any Person (a) into which the Servicer may be merged or consolidated, (b) which may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4" w:name="page185"/>
    <w:bookmarkEnd w:id="184"/>
    <w:p>
      <w:pPr>
        <w:jc w:val="both"/>
        <w:spacing w:after="0" w:line="235" w:lineRule="auto"/>
        <w:rPr>
          <w:sz w:val="20"/>
          <w:szCs w:val="20"/>
          <w:color w:val="auto"/>
        </w:rPr>
      </w:pPr>
      <w:r>
        <w:rPr>
          <w:rFonts w:ascii="Times New Roman" w:cs="Times New Roman" w:eastAsia="Times New Roman" w:hAnsi="Times New Roman"/>
          <w:sz w:val="22"/>
          <w:szCs w:val="22"/>
          <w:color w:val="auto"/>
        </w:rPr>
        <w:t>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(which, in the case of UACC, is acceptable to the Administrative Agent) to perform every obligation of the Servicer hereunder, shall, with the prior written consent of the Administrative Agent (which consent shall not be unreasonably withheld, conditioned or delayed), be the successor to the Servicer under this Agreement without further act on the part of any of the parties to this Agreement; provided, however, that:</w:t>
      </w:r>
    </w:p>
    <w:p>
      <w:pPr>
        <w:spacing w:after="0" w:line="181"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(i)prior written notice of such consolidation, merger, succession or resignation shall be delivered by the Servicer to the Administrative Agent and the Custodian;</w:t>
      </w:r>
    </w:p>
    <w:p>
      <w:pPr>
        <w:spacing w:after="0" w:line="157" w:lineRule="exact"/>
        <w:rPr>
          <w:sz w:val="20"/>
          <w:szCs w:val="20"/>
          <w:color w:val="auto"/>
        </w:rPr>
      </w:pPr>
    </w:p>
    <w:p>
      <w:pPr>
        <w:jc w:val="both"/>
        <w:ind w:left="760" w:firstLine="1123"/>
        <w:spacing w:after="0" w:line="244" w:lineRule="auto"/>
        <w:rPr>
          <w:sz w:val="20"/>
          <w:szCs w:val="20"/>
          <w:color w:val="auto"/>
        </w:rPr>
      </w:pPr>
      <w:r>
        <w:rPr>
          <w:rFonts w:ascii="Times New Roman" w:cs="Times New Roman" w:eastAsia="Times New Roman" w:hAnsi="Times New Roman"/>
          <w:sz w:val="22"/>
          <w:szCs w:val="22"/>
          <w:color w:val="auto"/>
        </w:rPr>
        <w:t>(ii)immediately after giving effect to such consolidation, merger, succession or resignation, no Servicer Termination Event and no event which after notice or lapse of time, or both, would become a Servicer Termination Event shall have occurred and be continuing;</w:t>
      </w:r>
    </w:p>
    <w:p>
      <w:pPr>
        <w:spacing w:after="0" w:line="172"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(iii)no Early Amortization Event, Termination Event or Unmatured Termination Event would occur as result of such consolidation, merger, succession or resignation;</w:t>
      </w:r>
    </w:p>
    <w:p>
      <w:pPr>
        <w:spacing w:after="0" w:line="157" w:lineRule="exact"/>
        <w:rPr>
          <w:sz w:val="20"/>
          <w:szCs w:val="20"/>
          <w:color w:val="auto"/>
        </w:rPr>
      </w:pPr>
    </w:p>
    <w:p>
      <w:pPr>
        <w:jc w:val="both"/>
        <w:ind w:left="760" w:firstLine="1123"/>
        <w:spacing w:after="0" w:line="237" w:lineRule="auto"/>
        <w:rPr>
          <w:sz w:val="20"/>
          <w:szCs w:val="20"/>
          <w:color w:val="auto"/>
        </w:rPr>
      </w:pPr>
      <w:r>
        <w:rPr>
          <w:rFonts w:ascii="Times New Roman" w:cs="Times New Roman" w:eastAsia="Times New Roman" w:hAnsi="Times New Roman"/>
          <w:sz w:val="22"/>
          <w:szCs w:val="22"/>
          <w:color w:val="auto"/>
        </w:rPr>
        <w:t>(iv)so long as UACC is the Servicer, the Servicer shall have delivered to the Administrative Agent, the Backup Servicer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spacing w:after="0" w:line="180" w:lineRule="exact"/>
        <w:rPr>
          <w:sz w:val="20"/>
          <w:szCs w:val="20"/>
          <w:color w:val="auto"/>
        </w:rPr>
      </w:pPr>
    </w:p>
    <w:p>
      <w:pPr>
        <w:jc w:val="both"/>
        <w:ind w:left="760" w:firstLine="1123"/>
        <w:spacing w:after="0" w:line="236" w:lineRule="auto"/>
        <w:rPr>
          <w:sz w:val="20"/>
          <w:szCs w:val="20"/>
          <w:color w:val="auto"/>
        </w:rPr>
      </w:pPr>
      <w:r>
        <w:rPr>
          <w:rFonts w:ascii="Times New Roman" w:cs="Times New Roman" w:eastAsia="Times New Roman" w:hAnsi="Times New Roman"/>
          <w:sz w:val="22"/>
          <w:szCs w:val="22"/>
          <w:color w:val="auto"/>
        </w:rPr>
        <w:t>(v)so long as UACC is the Servicer, the Servicer shall have delivered to the Borrower, the Administrative Agent, the Backup Servicer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Responsibilities of the Borrower</w:t>
      </w:r>
      <w:r>
        <w:rPr>
          <w:rFonts w:ascii="Times New Roman" w:cs="Times New Roman" w:eastAsia="Times New Roman" w:hAnsi="Times New Roman"/>
          <w:sz w:val="22"/>
          <w:szCs w:val="22"/>
          <w:color w:val="auto"/>
        </w:rPr>
        <w:t>. 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2.08(x), any Taxes, including any sales taxes payable in connection with the Receivables and their creation and satisfaction. Neither the Administrative Agent nor any Secured Party shall have any obligation or liability with respect to any Receivable, nor shall any of them be obligated to perform any of the obligations of the Borrower thereunder.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5" w:name="page186"/>
    <w:bookmarkEnd w:id="185"/>
    <w:p>
      <w:pPr>
        <w:ind w:left="760"/>
        <w:spacing w:after="0"/>
        <w:rPr>
          <w:sz w:val="20"/>
          <w:szCs w:val="20"/>
          <w:color w:val="auto"/>
        </w:rPr>
      </w:pPr>
      <w:r>
        <w:rPr>
          <w:rFonts w:ascii="Times New Roman" w:cs="Times New Roman" w:eastAsia="Times New Roman" w:hAnsi="Times New Roman"/>
          <w:sz w:val="22"/>
          <w:szCs w:val="22"/>
          <w:color w:val="auto"/>
        </w:rPr>
        <w:t xml:space="preserve">Section 7.18. </w:t>
      </w:r>
      <w:r>
        <w:rPr>
          <w:rFonts w:ascii="Times New Roman" w:cs="Times New Roman" w:eastAsia="Times New Roman" w:hAnsi="Times New Roman"/>
          <w:sz w:val="22"/>
          <w:szCs w:val="22"/>
          <w:u w:val="single" w:color="auto"/>
          <w:color w:val="auto"/>
        </w:rPr>
        <w:t>Custody of Receivable Files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44" w:lineRule="auto"/>
        <w:tabs>
          <w:tab w:leader="none" w:pos="101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assure uniform quality in servicing the Receivables and to reduce administrative costs, the Administrative Agent, on behalf of the Secured Parties, hereby revocably appoints the Servicer as its agent, and the Servicer hereby accepts such appointment, to act as Custodian, on behalf of the Secured Parties, of the Receivables and the Receivable Files.</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7.19. </w:t>
      </w:r>
      <w:r>
        <w:rPr>
          <w:rFonts w:ascii="Times New Roman" w:cs="Times New Roman" w:eastAsia="Times New Roman" w:hAnsi="Times New Roman"/>
          <w:sz w:val="22"/>
          <w:szCs w:val="22"/>
          <w:u w:val="single" w:color="auto"/>
          <w:color w:val="auto"/>
        </w:rPr>
        <w:t>Duties of Custodian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2" w:lineRule="auto"/>
        <w:tabs>
          <w:tab w:leader="none" w:pos="101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Safekeeping</w:t>
      </w:r>
      <w:r>
        <w:rPr>
          <w:rFonts w:ascii="Times New Roman" w:cs="Times New Roman" w:eastAsia="Times New Roman" w:hAnsi="Times New Roman"/>
          <w:sz w:val="22"/>
          <w:szCs w:val="22"/>
          <w:color w:val="auto"/>
        </w:rPr>
        <w:t>. The Servicer, in its capacity as Custodian, shall hold the Receivable Files for the benefit of the Secured Parties and maintain such accurate and complete accounts, records and computer systems pertaining to each Receivable File as shall enable the Servicer and the Borrower to comply with this Agreement; provided, however, UACC may convert a Receivable that is “tangible chattel paper” to “electronic chattel paper.”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Servicer’s record keeping.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Servicer in its capacity as Custodian hereunder.</w:t>
      </w:r>
    </w:p>
    <w:p>
      <w:pPr>
        <w:spacing w:after="0" w:line="190"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and Access to Records</w:t>
      </w:r>
      <w:r>
        <w:rPr>
          <w:rFonts w:ascii="Times New Roman" w:cs="Times New Roman" w:eastAsia="Times New Roman" w:hAnsi="Times New Roman"/>
          <w:sz w:val="22"/>
          <w:szCs w:val="22"/>
          <w:color w:val="auto"/>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conduct collection and other servicing activities in accordance with its customary practices and procedures. The Custodian shall once per calendar year (commencing with the fourth quarter in 2013)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Termination Event or Unmatured Termination Event shall have occurred and is continuing, the Custodian shall make such information available at any time as requested by any Secured Party.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6" w:name="page187"/>
    <w:bookmarkEnd w:id="186"/>
    <w:p>
      <w:pPr>
        <w:jc w:val="both"/>
        <w:ind w:firstLine="757"/>
        <w:spacing w:after="0" w:line="239" w:lineRule="auto"/>
        <w:tabs>
          <w:tab w:leader="none" w:pos="10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Documents</w:t>
      </w:r>
      <w:r>
        <w:rPr>
          <w:rFonts w:ascii="Times New Roman" w:cs="Times New Roman" w:eastAsia="Times New Roman" w:hAnsi="Times New Roman"/>
          <w:sz w:val="22"/>
          <w:szCs w:val="22"/>
          <w:color w:val="auto"/>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Receivables</w:t>
      </w:r>
      <w:r>
        <w:rPr>
          <w:rFonts w:ascii="Times New Roman" w:cs="Times New Roman" w:eastAsia="Times New Roman" w:hAnsi="Times New Roman"/>
          <w:sz w:val="22"/>
          <w:szCs w:val="22"/>
          <w:color w:val="auto"/>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 Authority to Act</w:t>
      </w:r>
      <w:r>
        <w:rPr>
          <w:rFonts w:ascii="Times New Roman" w:cs="Times New Roman" w:eastAsia="Times New Roman" w:hAnsi="Times New Roman"/>
          <w:sz w:val="22"/>
          <w:szCs w:val="22"/>
          <w:color w:val="auto"/>
        </w:rPr>
        <w:t>. The Custodian shall be deemed to have received proper instructions with respect to the Receivable Files upon its receipt of written instructions signed by a Responsible Officer of the Administrative Agent.</w:t>
      </w:r>
    </w:p>
    <w:p>
      <w:pPr>
        <w:spacing w:after="0" w:line="157" w:lineRule="exact"/>
        <w:rPr>
          <w:rFonts w:ascii="Times New Roman" w:cs="Times New Roman" w:eastAsia="Times New Roman" w:hAnsi="Times New Roman"/>
          <w:sz w:val="22"/>
          <w:szCs w:val="22"/>
          <w:color w:val="auto"/>
        </w:rPr>
      </w:pPr>
    </w:p>
    <w:p>
      <w:pPr>
        <w:jc w:val="both"/>
        <w:ind w:firstLine="757"/>
        <w:spacing w:after="0" w:line="264" w:lineRule="auto"/>
        <w:tabs>
          <w:tab w:leader="none" w:pos="101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Custodian</w:t>
      </w:r>
      <w:r>
        <w:rPr>
          <w:rFonts w:ascii="Times New Roman" w:cs="Times New Roman" w:eastAsia="Times New Roman" w:hAnsi="Times New Roman"/>
          <w:sz w:val="20"/>
          <w:szCs w:val="20"/>
          <w:color w:val="auto"/>
        </w:rPr>
        <w:t>. The Servicer, in its capacity as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Servicer, as Custodian; provided, however, that the Servicer shall not be liable for any portion of any such loss, liability or expense resulting from the willful misfeasance, bad faith or negligence of any Secured Party.</w:t>
      </w:r>
    </w:p>
    <w:p>
      <w:pPr>
        <w:spacing w:after="0" w:line="154" w:lineRule="exact"/>
        <w:rPr>
          <w:rFonts w:ascii="Times New Roman" w:cs="Times New Roman" w:eastAsia="Times New Roman" w:hAnsi="Times New Roman"/>
          <w:sz w:val="20"/>
          <w:szCs w:val="20"/>
          <w:color w:val="auto"/>
        </w:rPr>
      </w:pPr>
    </w:p>
    <w:p>
      <w:pPr>
        <w:jc w:val="both"/>
        <w:ind w:firstLine="757"/>
        <w:spacing w:after="0" w:line="234" w:lineRule="auto"/>
        <w:tabs>
          <w:tab w:leader="none" w:pos="10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Period and Termination</w:t>
      </w:r>
      <w:r>
        <w:rPr>
          <w:rFonts w:ascii="Times New Roman" w:cs="Times New Roman" w:eastAsia="Times New Roman" w:hAnsi="Times New Roman"/>
          <w:sz w:val="22"/>
          <w:szCs w:val="22"/>
          <w:color w:val="auto"/>
        </w:rPr>
        <w:t>. The Servicer’s appointment as Custodian shall become effective as of the Closing Date and shall continue in full force and effect until the occurrence of a Custodian Termination Event. If a Custodian Termination Event occurs, the appointment of the Servicer as Custodian hereunder may be terminated by the Administrative Agent. As soon as practicable after any such Custodian Termination Event, the Administrative Agent shall appoint [***] or another entity selected by the Administrative Agent as Custodian and the Servicer shall (i) at its sole cost and expense, deliver, or cause to be delivered, the Receivable Files and the related accounts and records maintained by the Servicer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Chattel Paper</w:t>
      </w:r>
      <w:r>
        <w:rPr>
          <w:rFonts w:ascii="Times New Roman" w:cs="Times New Roman" w:eastAsia="Times New Roman" w:hAnsi="Times New Roman"/>
          <w:sz w:val="22"/>
          <w:szCs w:val="22"/>
          <w:color w:val="auto"/>
        </w:rPr>
        <w:t>. In carrying out its duties, the Servicer as Custodian shall (i) hold and maintain, for the benefit of the Secured Parties, physical possession of the original fully executed and “signed” (within the meaning of the UCC) by the related Obligor tangible record constituting or forming a part of each Receivable that is “tangible chattel paper” (as such term is defined in the UCC),; provided, however, this shall not apply to a Receivable that has been converted from “tangible chattel paper” to “electronic chattel paper”, and (ii) have and maintain, for the benefit of the Secured Parties, “control” within the meaning of Section 9-105 of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7" w:name="page188"/>
    <w:bookmarkEnd w:id="187"/>
    <w:p>
      <w:pPr>
        <w:spacing w:after="0" w:line="258" w:lineRule="auto"/>
        <w:rPr>
          <w:sz w:val="20"/>
          <w:szCs w:val="20"/>
          <w:color w:val="auto"/>
        </w:rPr>
      </w:pPr>
      <w:r>
        <w:rPr>
          <w:rFonts w:ascii="Times New Roman" w:cs="Times New Roman" w:eastAsia="Times New Roman" w:hAnsi="Times New Roman"/>
          <w:sz w:val="22"/>
          <w:szCs w:val="22"/>
          <w:color w:val="auto"/>
        </w:rPr>
        <w:t>applicable UCC of every Receivable that is “electronic chattel paper” (as such term is defined in the UCC), and shall not relinquish such control or transfer such control to any other Person.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color w:val="auto"/>
        </w:rPr>
        <w:t>ARTICLE 8</w:t>
      </w:r>
    </w:p>
    <w:p>
      <w:pPr>
        <w:spacing w:after="0" w:line="2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THE BACKUP SERVICER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Designation of the Backup Servicer</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44" w:lineRule="auto"/>
        <w:tabs>
          <w:tab w:leader="none" w:pos="101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Servicer Termination Event, the Administrative Agent may designate the Backup Servicer to act as Servicer for the benefit of the Administrative Agent and the Secured Parties. The Backup Servicer shall accept such appointment and agree to perform the duties and obligations with respect thereto set forth herein.</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(b)Until the receipt by the Backup Servicer of a notice from the Administrative Agent of the designation of a new Backup Servicer pursuant to Section 8.04, the Backup Servicer will not terminate its activities as Backup Servicer hereunder.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Duties of the Backup Servicer</w:t>
      </w:r>
      <w:r>
        <w:rPr>
          <w:rFonts w:ascii="Times New Roman" w:cs="Times New Roman" w:eastAsia="Times New Roman" w:hAnsi="Times New Roman"/>
          <w:sz w:val="22"/>
          <w:szCs w:val="22"/>
          <w:color w:val="auto"/>
        </w:rPr>
        <w:t>. From the Closing Date until the earlier of (i) its removal pursuant to Section 8.04 or its resignation pursuant to Section 8.05 or (ii) the Facility Termination Date, the Backup Servicer shall perform, on behalf of the Secured Parties, the duties and obligations set forth in Sections 7.10 and 7.11.</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Backup Servicing Compensation</w:t>
      </w:r>
      <w:r>
        <w:rPr>
          <w:rFonts w:ascii="Times New Roman" w:cs="Times New Roman" w:eastAsia="Times New Roman" w:hAnsi="Times New Roman"/>
          <w:sz w:val="22"/>
          <w:szCs w:val="22"/>
          <w:color w:val="auto"/>
        </w:rPr>
        <w:t>. As compensation for its backup servicing activities hereunder, the Backup Servicer shall be entitled to receive a monthly fee up to an amount equal to the Backup Servicing Fee in accordance with the priorities set forth in Section 2.08 or, at the option of UACC, the Backup Servicing Fee may be paid directly to the Backup Servicer by UACC. The Backup Servicer’s entitlement to receive such fee shall cease on the earliest to occur of (i) it becoming the Successor Servicer, (ii) its removal as Backup Servicer pursuant to Section 8.04 or its resignation pursuant to Section 8.05 or (iii) the termination of this Agreement.</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Backup Servicer Removal</w:t>
      </w:r>
      <w:r>
        <w:rPr>
          <w:rFonts w:ascii="Times New Roman" w:cs="Times New Roman" w:eastAsia="Times New Roman" w:hAnsi="Times New Roman"/>
          <w:sz w:val="22"/>
          <w:szCs w:val="22"/>
          <w:color w:val="auto"/>
        </w:rPr>
        <w:t>. The Backup Servicer may be removed in connection with a breach by the Backup Servicer of any representation, warranty or covenant of the Backup Servicer under this Agreement, or otherwise in the discretion of the Administrative Agent and, so long as no Termination Event or Servicer Termination Event has occurred, the Borrower, by notice given in writing and delivered to the Backup Servicer from the Administrative Agent or, so long as no Termination Event or Servicer Termination Event has occurred, the Borrower (the “</w:t>
      </w:r>
      <w:r>
        <w:rPr>
          <w:rFonts w:ascii="Times New Roman" w:cs="Times New Roman" w:eastAsia="Times New Roman" w:hAnsi="Times New Roman"/>
          <w:sz w:val="22"/>
          <w:szCs w:val="22"/>
          <w:u w:val="single" w:color="auto"/>
          <w:color w:val="auto"/>
        </w:rPr>
        <w:t>Backup Servicer Termination Notice</w:t>
      </w:r>
      <w:r>
        <w:rPr>
          <w:rFonts w:ascii="Times New Roman" w:cs="Times New Roman" w:eastAsia="Times New Roman" w:hAnsi="Times New Roman"/>
          <w:sz w:val="22"/>
          <w:szCs w:val="22"/>
          <w:color w:val="auto"/>
        </w:rPr>
        <w:t>”). On and after the receipt by the Backup Servicer of the Backup Servicer Termination Notice, the Backup Servicer shall continue to perform all backup servicing functions under this Agreement until the date specified in the Backup Servicer Termination Notice or otherwise specified by the Administrative Agent in writing or, if no such date is specified in the Backup Servicer Termination Notice or otherwise specified by the Administrative Agent, until a date mutually agreed upon by the Backup Servicer and the Administrative Agent.</w:t>
      </w:r>
    </w:p>
    <w:p>
      <w:pPr>
        <w:spacing w:after="0" w:line="17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Backup Servicer Not to Resign</w:t>
      </w:r>
      <w:r>
        <w:rPr>
          <w:rFonts w:ascii="Times New Roman" w:cs="Times New Roman" w:eastAsia="Times New Roman" w:hAnsi="Times New Roman"/>
          <w:sz w:val="22"/>
          <w:szCs w:val="22"/>
          <w:color w:val="auto"/>
        </w:rPr>
        <w:t>. The Backup Servicer shall resign only with the prior written consent of the Administrative Agent and the Required Agents and, so long as no Termination Event or Servicer Termination Event has occurred, the Borrower or if the Backup Servicer provides an Opinion of Counsel to the Administrative Agent to the effect that the Backup Servicer is no longer permitted by Applicable Law to act as Backup Servicer hereunder. No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9" w:name="page190"/>
    <w:bookmarkEnd w:id="189"/>
    <w:p>
      <w:pPr>
        <w:jc w:val="both"/>
        <w:spacing w:after="0" w:line="244" w:lineRule="auto"/>
        <w:rPr>
          <w:sz w:val="20"/>
          <w:szCs w:val="20"/>
          <w:color w:val="auto"/>
        </w:rPr>
      </w:pPr>
      <w:r>
        <w:rPr>
          <w:rFonts w:ascii="Times New Roman" w:cs="Times New Roman" w:eastAsia="Times New Roman" w:hAnsi="Times New Roman"/>
          <w:sz w:val="22"/>
          <w:szCs w:val="22"/>
          <w:color w:val="auto"/>
        </w:rPr>
        <w:t>termination or resignation of the Backup Servicer hereunder shall be effective until a successor Backup Servicer, acceptable to the Administrative Agent and, so long as no Termination Event or Servicer Termination Event has occurred, the Borrower, has accepted its appointment as successor Backup Servicer hereunder and has agreed to be bound by the terms of this Agreement.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Monthly Backup Servicer Certificate</w:t>
      </w:r>
      <w:r>
        <w:rPr>
          <w:rFonts w:ascii="Times New Roman" w:cs="Times New Roman" w:eastAsia="Times New Roman" w:hAnsi="Times New Roman"/>
          <w:sz w:val="22"/>
          <w:szCs w:val="22"/>
          <w:color w:val="auto"/>
        </w:rPr>
        <w:t>. The Backup Servicer shall provide a Monthly Backup Servicer Certificate to the Administrative Agent and the Borrower, on or before the close of business on the fifth Business Day following the related Reporting Date. The Backup Servicer, in its capacity as such, shall not be responsible for delays attributable to the Servicer’s failure to deliver information, defects in the information supplied by the Servicer or other circumstances beyond the control of the Backup Servicer.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Covenants of the Backup Servicer</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From the date of its appointment until the Facility Termination Date:</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Backup Servicer will comply in all material respects with all Applicable</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Laws.</w:t>
      </w:r>
    </w:p>
    <w:p>
      <w:pPr>
        <w:spacing w:after="0" w:line="181" w:lineRule="exact"/>
        <w:rPr>
          <w:sz w:val="20"/>
          <w:szCs w:val="20"/>
          <w:color w:val="auto"/>
        </w:rPr>
      </w:pPr>
    </w:p>
    <w:p>
      <w:pPr>
        <w:jc w:val="both"/>
        <w:ind w:left="760" w:right="20" w:firstLine="1123"/>
        <w:spacing w:after="0" w:line="239"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Backup Servicer will preserve and maintain its existence, rights, franchises and privileges in the jurisdiction of its formation, and qualify and remain qualified in good standing in each jurisdiction where the failure to preserve and maintain such existence, rights, franchises, privileges and qualification has had, or could reasonably be expected to have, a Material Adverse Effect.</w:t>
      </w:r>
    </w:p>
    <w:p>
      <w:pPr>
        <w:spacing w:after="0" w:line="179" w:lineRule="exact"/>
        <w:rPr>
          <w:sz w:val="20"/>
          <w:szCs w:val="20"/>
          <w:color w:val="auto"/>
        </w:rPr>
      </w:pPr>
    </w:p>
    <w:p>
      <w:pPr>
        <w:jc w:val="both"/>
        <w:ind w:firstLine="757"/>
        <w:spacing w:after="0" w:line="244" w:lineRule="auto"/>
        <w:tabs>
          <w:tab w:leader="none" w:pos="101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Covenant</w:t>
      </w:r>
      <w:r>
        <w:rPr>
          <w:rFonts w:ascii="Times New Roman" w:cs="Times New Roman" w:eastAsia="Times New Roman" w:hAnsi="Times New Roman"/>
          <w:sz w:val="22"/>
          <w:szCs w:val="22"/>
          <w:color w:val="auto"/>
        </w:rPr>
        <w:t>. From the date of its appointment until the Facility Termination Date, the Backup Servicer will not make any changes to the Backup Servicing Fee without the prior written approval of the Administrative Agent and, so long as no Termination Event or Servicer Termination Event has occurred, the Borrower.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22"/>
          <w:szCs w:val="22"/>
          <w:color w:val="auto"/>
        </w:rPr>
        <w:t>ARTICLE 9</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EVENTS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1880" w:right="4320" w:hanging="1123"/>
        <w:spacing w:after="0" w:line="434" w:lineRule="auto"/>
        <w:tabs>
          <w:tab w:leader="none" w:pos="102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events shall constitute a “Termination Event”: (i)[***].</w:t>
      </w:r>
    </w:p>
    <w:p>
      <w:pPr>
        <w:spacing w:after="0" w:line="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(b)Without demand, protest or any notice of any kind, all of which are hereby expressly waived by the Borrower (with a copy to each Hedge Counterparty), (i) in the event that a Termination Event described in Section 9.01(a)(iv) has occurred, the Termination Date shall automatically occur and (ii) upon the occurrence of any other Termination Event or any Early Amortization Event, the Administrative Agent shall, at the written request, or may with the written consent, of the Required Agents, by notice to the Borrower, declare the Termination Date to have occurred. Upon the occurrence of a Foreclosure Event, the Administrative Agent may, or at the direction of the Required Agents, shall declare the Loans Outstanding and all other Obligations to be immediately due and payable.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Actions Upon Occurrence of the Termination Date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61" w:lineRule="auto"/>
        <w:tabs>
          <w:tab w:leader="none" w:pos="1018"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automatic occurrence, or the declaration of the occurrence, of the Termination Date pursuant to Section 9.01(b), the following shall immediately occur without further action: (i) the Revolving Period shall terminate and no further Loans will be made and (ii) all Available Funds after item (iv) of Section 2.08 will be used to reduce the Loans Outstanding and</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all Loans Outstanding will accrue at an interest rate equal to the Default Rate.</w:t>
      </w:r>
    </w:p>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(b)Following the occurrence of a Foreclosure Event, the Administrative Agent may, or at the direction of the Required Agents,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upon direction of the Required Agents, may, or at the direction of the Required Agents, shall, subject to the terms of this Section 9.02, take the following remedial actions:</w:t>
      </w:r>
    </w:p>
    <w:p>
      <w:pPr>
        <w:spacing w:after="0" w:line="180" w:lineRule="exact"/>
        <w:rPr>
          <w:sz w:val="20"/>
          <w:szCs w:val="20"/>
          <w:color w:val="auto"/>
        </w:rPr>
      </w:pPr>
    </w:p>
    <w:p>
      <w:pPr>
        <w:jc w:val="both"/>
        <w:ind w:left="760" w:firstLine="1123"/>
        <w:spacing w:after="0" w:line="237" w:lineRule="auto"/>
        <w:rPr>
          <w:sz w:val="20"/>
          <w:szCs w:val="20"/>
          <w:color w:val="auto"/>
        </w:rPr>
      </w:pPr>
      <w:r>
        <w:rPr>
          <w:rFonts w:ascii="Times New Roman" w:cs="Times New Roman" w:eastAsia="Times New Roman" w:hAnsi="Times New Roman"/>
          <w:sz w:val="22"/>
          <w:szCs w:val="22"/>
          <w:color w:val="auto"/>
        </w:rPr>
        <w:t>(i)The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Collection Account or any part of such accounts in accordance with the priorities required by Section 2.08.</w:t>
      </w:r>
    </w:p>
    <w:p>
      <w:pPr>
        <w:spacing w:after="0" w:line="180" w:lineRule="exact"/>
        <w:rPr>
          <w:sz w:val="20"/>
          <w:szCs w:val="20"/>
          <w:color w:val="auto"/>
        </w:rPr>
      </w:pPr>
    </w:p>
    <w:p>
      <w:pPr>
        <w:jc w:val="both"/>
        <w:ind w:left="760" w:firstLine="1123"/>
        <w:spacing w:after="0" w:line="258" w:lineRule="auto"/>
        <w:rPr>
          <w:sz w:val="20"/>
          <w:szCs w:val="20"/>
          <w:color w:val="auto"/>
        </w:rPr>
      </w:pPr>
      <w:r>
        <w:rPr>
          <w:rFonts w:ascii="Times New Roman" w:cs="Times New Roman" w:eastAsia="Times New Roman" w:hAnsi="Times New Roman"/>
          <w:sz w:val="22"/>
          <w:szCs w:val="22"/>
          <w:color w:val="auto"/>
        </w:rPr>
        <w:t>(ii)The Administrative Agent may take any action permitted under the Basic Documents, including exercising any rights available to it under the Intercreditor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1" w:name="page192"/>
    <w:bookmarkEnd w:id="191"/>
    <w:p>
      <w:pPr>
        <w:jc w:val="both"/>
        <w:ind w:left="760" w:firstLine="1123"/>
        <w:spacing w:after="0" w:line="232" w:lineRule="auto"/>
        <w:rPr>
          <w:sz w:val="20"/>
          <w:szCs w:val="20"/>
          <w:color w:val="auto"/>
        </w:rPr>
      </w:pPr>
      <w:r>
        <w:rPr>
          <w:rFonts w:ascii="Times New Roman" w:cs="Times New Roman" w:eastAsia="Times New Roman" w:hAnsi="Times New Roman"/>
          <w:sz w:val="22"/>
          <w:szCs w:val="22"/>
          <w:color w:val="auto"/>
        </w:rPr>
        <w:t>(iii)Consistent with the rights and remedies of a secured party under the UCC (and except as otherwise required by the UCC), the Administrative Agent may,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spacing w:after="0" w:line="190" w:lineRule="exact"/>
        <w:rPr>
          <w:sz w:val="20"/>
          <w:szCs w:val="20"/>
          <w:color w:val="auto"/>
        </w:rPr>
      </w:pPr>
    </w:p>
    <w:p>
      <w:pPr>
        <w:jc w:val="both"/>
        <w:ind w:left="760" w:firstLine="1123"/>
        <w:spacing w:after="0" w:line="235" w:lineRule="auto"/>
        <w:rPr>
          <w:sz w:val="20"/>
          <w:szCs w:val="20"/>
          <w:color w:val="auto"/>
        </w:rPr>
      </w:pPr>
      <w:r>
        <w:rPr>
          <w:rFonts w:ascii="Times New Roman" w:cs="Times New Roman" w:eastAsia="Times New Roman" w:hAnsi="Times New Roman"/>
          <w:sz w:val="22"/>
          <w:szCs w:val="22"/>
          <w:color w:val="auto"/>
        </w:rPr>
        <w:t>(iv)Upon the completion of any sale under Section 9.02(b)(iii),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spacing w:after="0" w:line="181" w:lineRule="exact"/>
        <w:rPr>
          <w:sz w:val="20"/>
          <w:szCs w:val="20"/>
          <w:color w:val="auto"/>
        </w:rPr>
      </w:pPr>
    </w:p>
    <w:p>
      <w:pPr>
        <w:jc w:val="both"/>
        <w:ind w:left="760" w:firstLine="1123"/>
        <w:spacing w:after="0" w:line="237" w:lineRule="auto"/>
        <w:rPr>
          <w:sz w:val="20"/>
          <w:szCs w:val="20"/>
          <w:color w:val="auto"/>
        </w:rPr>
      </w:pPr>
      <w:r>
        <w:rPr>
          <w:rFonts w:ascii="Times New Roman" w:cs="Times New Roman" w:eastAsia="Times New Roman" w:hAnsi="Times New Roman"/>
          <w:sz w:val="22"/>
          <w:szCs w:val="22"/>
          <w:color w:val="auto"/>
        </w:rPr>
        <w:t>(v)At any sale under Section 9.02(b)(iii), UACC or any Secured Party may bid for and purchase the property offered for sale and, upon compliance with the terms of sale, may hold, retain and dispose of such property without further accountability therefor. Any Secured Party purchasing property at a sale under Section 9.02(b)(iii) may set off the purchase price of such property against amounts owing to such Secured Party in full payment of such purchase price.</w:t>
      </w:r>
    </w:p>
    <w:p>
      <w:pPr>
        <w:spacing w:after="0" w:line="180" w:lineRule="exact"/>
        <w:rPr>
          <w:sz w:val="20"/>
          <w:szCs w:val="20"/>
          <w:color w:val="auto"/>
        </w:rPr>
      </w:pPr>
    </w:p>
    <w:p>
      <w:pPr>
        <w:jc w:val="both"/>
        <w:ind w:left="760" w:firstLine="1123"/>
        <w:spacing w:after="0" w:line="244" w:lineRule="auto"/>
        <w:rPr>
          <w:sz w:val="20"/>
          <w:szCs w:val="20"/>
          <w:color w:val="auto"/>
        </w:rPr>
      </w:pPr>
      <w:r>
        <w:rPr>
          <w:rFonts w:ascii="Times New Roman" w:cs="Times New Roman" w:eastAsia="Times New Roman" w:hAnsi="Times New Roman"/>
          <w:sz w:val="22"/>
          <w:szCs w:val="22"/>
          <w:color w:val="auto"/>
        </w:rPr>
        <w:t>(vi)The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Exercise of Remedies</w:t>
      </w:r>
      <w:r>
        <w:rPr>
          <w:rFonts w:ascii="Times New Roman" w:cs="Times New Roman" w:eastAsia="Times New Roman" w:hAnsi="Times New Roman"/>
          <w:sz w:val="22"/>
          <w:szCs w:val="22"/>
          <w:color w:val="auto"/>
        </w:rPr>
        <w:t>. No failure or delay on the part of the Administrative Agent to exercise any right, power or privilege under this Agreement and no course of dealing between the Borrower, the Secured Parties, any Agent or the Administrative Agent, on the one hand, and the Administrative Agent or one or more Agents, on the other hand, shall operate as a waiver of such right, power or privilege, nor shall any single or partial exercise of any right, power or privilege under this Agreement preclude any other or further exercise of such right, power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2" w:name="page193"/>
    <w:bookmarkEnd w:id="192"/>
    <w:p>
      <w:pPr>
        <w:jc w:val="both"/>
        <w:spacing w:after="0" w:line="237" w:lineRule="auto"/>
        <w:rPr>
          <w:sz w:val="20"/>
          <w:szCs w:val="20"/>
          <w:color w:val="auto"/>
        </w:rPr>
      </w:pPr>
      <w:r>
        <w:rPr>
          <w:rFonts w:ascii="Times New Roman" w:cs="Times New Roman" w:eastAsia="Times New Roman" w:hAnsi="Times New Roman"/>
          <w:sz w:val="22"/>
          <w:szCs w:val="22"/>
          <w:color w:val="auto"/>
        </w:rPr>
        <w:t>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Waiver of Certain Laws</w:t>
      </w:r>
      <w:r>
        <w:rPr>
          <w:rFonts w:ascii="Times New Roman" w:cs="Times New Roman" w:eastAsia="Times New Roman" w:hAnsi="Times New Roman"/>
          <w:sz w:val="22"/>
          <w:szCs w:val="22"/>
          <w:color w:val="auto"/>
        </w:rPr>
        <w:t>. 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spacing w:after="0" w:line="17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The Borrower hereby irrevocably appoints the Administrative Agent its true and lawful attorney (with full power of substitution) in its name, place and stead and at its expense, in connection with the enforcement of the rights and remedies provided for in this Article, including: (i) to give any necessary receipts or acquittance for amounts collected or received hereunder, (ii) to make all necessary transfers of the Collateral in connection with any sale or other disposition made pursuant hereto, (iii) to execute and deliver for value all necessary or appropriate bills of sale, assignments and other instruments in connection with any such sale or other disposition, the Borrower thereby ratifying and confirming all that such attorney (or any substitute) shall lawfully do hereunder and pursuant hereto and (iv) to sign any agreements, orders or other documents in connection with or pursuant to any Basic Document. Nevertheless, if so requested by the Administrative Agent, directly or through a purchaser of any of the Collateral, the Borrower shall ratify and confirm any such sale or other disposition by executing and delivering to the Administrative Agent or such purchaser all proper bills of sale, assignments, releases and other instruments as may be designated in any such request.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22"/>
          <w:szCs w:val="22"/>
          <w:color w:val="auto"/>
        </w:rPr>
        <w:t>ARTICLE 10</w:t>
      </w:r>
    </w:p>
    <w:p>
      <w:pPr>
        <w:spacing w:after="0" w:line="2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Indemnities by the Borrower and UACC</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 Party or (ii) indemnified twice for the same UACC Indemnified Amount by reason of application of the indemnity provided under Section 5.07 of the Purchase Agreement.</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Any amounts subject to the indemnification provisions of this Section and payable by the Borrower shall be paid by the Borrower solely pursuant to the provisions of Section 2.08 in the order and priority set forth therein.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(b)The indemnity obligations in this Section 10.01 shall be cumulative and in addition to any obligation that the Borrower and UACC may otherwise have and shall survive the termination of this Agreement.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2"/>
          <w:szCs w:val="22"/>
          <w:color w:val="auto"/>
        </w:rPr>
        <w:t>ARTICLE 11</w:t>
      </w:r>
    </w:p>
    <w:p>
      <w:pPr>
        <w:spacing w:after="0" w:line="232" w:lineRule="exact"/>
        <w:rPr>
          <w:sz w:val="20"/>
          <w:szCs w:val="20"/>
          <w:color w:val="auto"/>
        </w:rPr>
      </w:pPr>
    </w:p>
    <w:p>
      <w:pPr>
        <w:ind w:left="760" w:right="3120" w:firstLine="2378"/>
        <w:spacing w:after="0" w:line="434" w:lineRule="auto"/>
        <w:rPr>
          <w:sz w:val="20"/>
          <w:szCs w:val="20"/>
          <w:color w:val="auto"/>
        </w:rPr>
      </w:pPr>
      <w:r>
        <w:rPr>
          <w:rFonts w:ascii="Times New Roman" w:cs="Times New Roman" w:eastAsia="Times New Roman" w:hAnsi="Times New Roman"/>
          <w:sz w:val="22"/>
          <w:szCs w:val="22"/>
          <w:color w:val="auto"/>
        </w:rPr>
        <w:t xml:space="preserve">THE ADMINISTRATIVE AGENT AND THE AGENTS Section 11.01. </w:t>
      </w:r>
      <w:r>
        <w:rPr>
          <w:rFonts w:ascii="Times New Roman" w:cs="Times New Roman" w:eastAsia="Times New Roman" w:hAnsi="Times New Roman"/>
          <w:sz w:val="22"/>
          <w:szCs w:val="22"/>
          <w:u w:val="single" w:color="auto"/>
          <w:color w:val="auto"/>
        </w:rPr>
        <w:t>Authorization and Action</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757"/>
        <w:spacing w:after="0" w:line="234" w:lineRule="auto"/>
        <w:tabs>
          <w:tab w:leader="none" w:pos="101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Secured Party hereby designates and appoints JPMorgan (and JPMorgan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spacing w:after="0" w:line="18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(b)Each Lender hereby irrevocably designates and appoints the related Agent as the agent of such Lender under this Agreement, and each such Lender irrevocably authorizes such Agent, as the agent for such Lender, to take such action on its behalf under the provisions of the Basic Documents and to exercise such powers and perform such duties thereunder as are expressly delegated to such Agent by the terms of this Agreement, together with such other powers as are reasonably incidental thereto.</w:t>
      </w:r>
    </w:p>
    <w:p>
      <w:pPr>
        <w:spacing w:after="0" w:line="180" w:lineRule="exact"/>
        <w:rPr>
          <w:sz w:val="20"/>
          <w:szCs w:val="20"/>
          <w:color w:val="auto"/>
        </w:rPr>
      </w:pPr>
    </w:p>
    <w:p>
      <w:pPr>
        <w:jc w:val="both"/>
        <w:ind w:firstLine="757"/>
        <w:spacing w:after="0" w:line="271" w:lineRule="auto"/>
        <w:tabs>
          <w:tab w:leader="none" w:pos="101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elsewhere in this Agreement, neither the Administrative Agent nor any Agent (the Administrative Agent and each Agent being referred to in this Article as an “Agent”) shall have any duties or responsibilities, except those expressly set forth herein, or any fiduciary relationship with any Lender, and no implied covenants, functions, responsibilities, duties, obligations or liabilities shall be read into this Agreement or otherwise exist against any Agent.</w:t>
      </w:r>
    </w:p>
    <w:p>
      <w:pPr>
        <w:spacing w:after="0" w:line="14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(d)The Administrative Agent shall promptly distribute to each Agent (if such Agent is not otherwise required to receive such notice), who shall promptly distribute to each related Lender all notices, requests for consent and other information received by the Administrative Agent under this Agreement.</w:t>
      </w:r>
    </w:p>
    <w:p>
      <w:pPr>
        <w:spacing w:after="0" w:line="172"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 xml:space="preserve">Section 11.02.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Each Agent may execute any of its duties under any of the Basic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11.03.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Neither any Agent nor any of its directors, officers, agents or employees shall be</w:t>
      </w:r>
    </w:p>
    <w:p>
      <w:pPr>
        <w:spacing w:after="0" w:line="37" w:lineRule="exact"/>
        <w:rPr>
          <w:sz w:val="20"/>
          <w:szCs w:val="20"/>
          <w:color w:val="auto"/>
        </w:rPr>
      </w:pPr>
    </w:p>
    <w:p>
      <w:pPr>
        <w:ind w:firstLine="8"/>
        <w:spacing w:after="0" w:line="237" w:lineRule="auto"/>
        <w:tabs>
          <w:tab w:leader="none" w:pos="25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liable for any action lawfully taken or omitted to be taken by it or them under or in connection with this Agreement (except for its, their or such Person’s own gross negligence or willful misconduct or, in the case of any Agent, the breach of its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5" w:name="page196"/>
    <w:bookmarkEnd w:id="195"/>
    <w:p>
      <w:pPr>
        <w:jc w:val="both"/>
        <w:spacing w:after="0" w:line="259" w:lineRule="auto"/>
        <w:rPr>
          <w:sz w:val="20"/>
          <w:szCs w:val="20"/>
          <w:color w:val="auto"/>
        </w:rPr>
      </w:pPr>
      <w:r>
        <w:rPr>
          <w:rFonts w:ascii="Times New Roman" w:cs="Times New Roman" w:eastAsia="Times New Roman" w:hAnsi="Times New Roman"/>
          <w:sz w:val="20"/>
          <w:szCs w:val="20"/>
          <w:color w:val="auto"/>
        </w:rPr>
        <w:t>obligations expressly set forth in this Agreement) or (ii) responsible in any manner to any of the Secured Parties for any recitals, statements, representations or warranties made by the Borrower, the Servicer, UACC, the Backup Servicer, the Account Bank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No Agent shall be under any obligation to any Secured Party to ascertain or to inquire as to the observance or performance of any of the agreements or covenants contained in, or conditions of, this Agreement, or to inspect the properties, books or records of the Borrower. No Agent shall be deemed to have knowledge of any Termination Event or Servicer Termination Event unless it has received written notice thereof from the Borrower, the Servicer or a Secured Party.</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7" w:lineRule="auto"/>
        <w:tabs>
          <w:tab w:leader="none" w:pos="10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Agent), independent accountants and other experts selected by such Agent.</w:t>
      </w:r>
    </w:p>
    <w:p>
      <w:pPr>
        <w:spacing w:after="0" w:line="18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(b)Each Agent shall be fully justified in failing or refusing to take any action under any of the Basic Documents unless it shall first receive such advice or concurrence of the Required Agents as it deems appropriate or it shall first be indemnified to its satisfaction by, in the case of (i) the Administrative Agent, the Lenders or by the Committed Lenders or (ii) an Agent, the Lenders or by the Committed Lenders in its Lender Group, against any and all liability and expense which may be incurred by it by reason of taking or continuing to take any such action.</w:t>
      </w:r>
    </w:p>
    <w:p>
      <w:pPr>
        <w:spacing w:after="0" w:line="180" w:lineRule="exact"/>
        <w:rPr>
          <w:sz w:val="20"/>
          <w:szCs w:val="20"/>
          <w:color w:val="auto"/>
        </w:rPr>
      </w:pPr>
    </w:p>
    <w:p>
      <w:pPr>
        <w:jc w:val="both"/>
        <w:ind w:firstLine="757"/>
        <w:spacing w:after="0" w:line="244" w:lineRule="auto"/>
        <w:tabs>
          <w:tab w:leader="none" w:pos="101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in all cases be fully protected in acting, or in refraining from acting, under any of the Basic Documents in accordance with a request of the Required Agents, and such request and any action taken or failure to act pursuant thereto shall be binding upon all present and future Lenders.</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(d)Each Agent shall in all cases be fully protected in acting, or in refraining from acting, under any of the Basic Documents in accordance with a request of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and such request and any action taken or failure to act pursuant thereto shall be binding upon all present and future Lender in such Lender Group.</w:t>
      </w:r>
    </w:p>
    <w:p>
      <w:pPr>
        <w:spacing w:after="0" w:line="179" w:lineRule="exact"/>
        <w:rPr>
          <w:sz w:val="20"/>
          <w:szCs w:val="20"/>
          <w:color w:val="auto"/>
        </w:rPr>
      </w:pPr>
    </w:p>
    <w:p>
      <w:pPr>
        <w:ind w:right="20" w:firstLine="757"/>
        <w:spacing w:after="0" w:line="258" w:lineRule="auto"/>
        <w:tabs>
          <w:tab w:leader="none" w:pos="101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be deemed to have knowledge or notice of the occurrence of any breach of this Agreement or the occurrence of any Termination Event or Servicer Termination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6" w:name="page197"/>
    <w:bookmarkEnd w:id="196"/>
    <w:p>
      <w:pPr>
        <w:jc w:val="both"/>
        <w:spacing w:after="0" w:line="233" w:lineRule="auto"/>
        <w:rPr>
          <w:sz w:val="20"/>
          <w:szCs w:val="20"/>
          <w:color w:val="auto"/>
        </w:rPr>
      </w:pPr>
      <w:r>
        <w:rPr>
          <w:rFonts w:ascii="Times New Roman" w:cs="Times New Roman" w:eastAsia="Times New Roman" w:hAnsi="Times New Roman"/>
          <w:sz w:val="22"/>
          <w:szCs w:val="22"/>
          <w:color w:val="auto"/>
        </w:rPr>
        <w:t>Event unless it has received notice from the Borrower, the Servicer, the Backup Servicer or any Lender, referring to this Agreement and describing such event. In the event that the Administrative Agent receives such a notice, it shall promptly give notice thereof to each Agent, and in the event any Agent receives such a notice, it shall promptly give notice thereof to the Lenders in its Lender Group. The Administrative Agent shall take such action with respect to such event as shall be reasonably directed by the Required Agents, and each Agent shall take such action with respect to such event as shall be reasonably directed by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provided that unless and until such Agent shall have received such directions, such Agent may (but shall not be obligated to) take such action, or refrain from taking such action, with respect to such event as it shall deem advisable in the best interests of the Lenders or of the Lenders in its Lender Group, as applicable.</w:t>
      </w:r>
    </w:p>
    <w:p>
      <w:pPr>
        <w:spacing w:after="0" w:line="18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Non-Reliance on Agents and Other Lenders</w:t>
      </w:r>
      <w:r>
        <w:rPr>
          <w:rFonts w:ascii="Times New Roman" w:cs="Times New Roman" w:eastAsia="Times New Roman" w:hAnsi="Times New Roman"/>
          <w:sz w:val="22"/>
          <w:szCs w:val="22"/>
          <w:color w:val="auto"/>
        </w:rPr>
        <w:t>. Each Lender expressly acknowledges that no Agent nor any of its officers, directors, employees, agents, attorneys-in-fact or Affiliates has made any representations or warranties to it and that no act by any Agent hereafter taken, including any review of the affairs of the Borrower, UACC, the Servicer, the Backup Servicer, the Account Bank and the Custodian shall be deemed to constitute any representation or warranty by any Agent to any Lender. Each Lender represents to each Agent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Borrower, the Servicer, UACC, the Backup Servicer, the Account Bank or the Custodian and the Receivables and made its own decision to purchase its interest in the Notes hereunder and enter into this Agreement. Each Lender also represents that it will, independently and without reliance upon any Agent or any other Lender,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Servicer, UACC, the Backup Servicer, the Account Bank or the Custodian and the Receivables. Except for notices, reports and other documents received by an Agent hereunder, no Agent shall have any duty or responsibility to provide any Lender with any credit or other information concerning the business, operations, property, condition (financial or otherwise), prospects or creditworthiness of the Borrower, the Servicer, UACC, the Backup Servicer, the Account Bank or the Custodian or the Receivables which may come into the possession of such Agent or any of its officers, directors, employees, agents, attorneys-in-fact or Affiliates.</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Committed Lenders (or, in the case of a Lender Group as to which any Committed Lender is also a Conduit Lender, the related Agent for such Lender Group) (i) agree to indemnify the Administrative Agent in its capacity as such (without limiting the obligation (if any) of the Borrower or the Servicer to reimburse the Administrative Agent for any such amounts), ratably according to their respective Commitments (or, if the Commitments have terminated, Invested Percentages) and (ii) in each Lender Group agree to indemnify the Agent for such Lender Group in its capacity as such (without limiting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7" w:name="page198"/>
    <w:bookmarkEnd w:id="197"/>
    <w:p>
      <w:pPr>
        <w:jc w:val="both"/>
        <w:spacing w:after="0" w:line="233" w:lineRule="auto"/>
        <w:rPr>
          <w:sz w:val="20"/>
          <w:szCs w:val="20"/>
          <w:color w:val="auto"/>
        </w:rPr>
      </w:pPr>
      <w:r>
        <w:rPr>
          <w:rFonts w:ascii="Times New Roman" w:cs="Times New Roman" w:eastAsia="Times New Roman" w:hAnsi="Times New Roman"/>
          <w:sz w:val="22"/>
          <w:szCs w:val="22"/>
          <w:color w:val="auto"/>
        </w:rPr>
        <w:t>obligation (if any) of the Borrower and the Servicer to reimburse such Agent for any such amounts), ratably according to their respective Commitments (or, if the Commitments have terminated, Invested Percentages), in each case from and against any and all liabilities, obligations, losses, damages, penalties, actions, judgments, suits, costs, expenses or disbursements of any kind whatsoever which may at any time (including at any time following the payment of the obligations under this Agreement, including the Loans Outstanding) be imposed on, incurred by or asserted against such Agent in any way relating to or arising out of this Agreement, or any documents contemplated by or referred to herein or the transactions contemplated hereby or any action taken or omitted by the Agent under or in connection with any of the foregoing; provided that no Lender shall be liable for the payment of any portion of such liabilities, obligations, losses, damages, penalties, actions, judgments, suits, costs, expenses or disbursements of an Agent resulting from its own gross negligence or willful misconduct. The provisions of this Section shall survive the payment of the obligations under this Agreement, including the Loans Outstanding, the termination of this Agreement, and any resignation or removal of the applicable Agent.</w:t>
      </w:r>
    </w:p>
    <w:p>
      <w:pPr>
        <w:spacing w:after="0" w:line="18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Agents in their Individual Capacity</w:t>
      </w:r>
      <w:r>
        <w:rPr>
          <w:rFonts w:ascii="Times New Roman" w:cs="Times New Roman" w:eastAsia="Times New Roman" w:hAnsi="Times New Roman"/>
          <w:sz w:val="22"/>
          <w:szCs w:val="22"/>
          <w:color w:val="auto"/>
        </w:rPr>
        <w:t>. Each Agent and its Affiliates may make loans to, accept deposits from and generally engage in any kind of business with the Borrower and any other party to a Basic Document as though it were not an Agent hereunder. In addition, the Lenders acknowledge that one or more Persons which are Agents may act (i) as administrator, sponsor or agent for one or more Conduit Lenders and in such capacity act and may continue to act on behalf of each such Conduit Lender in connection with its business, and (ii) as the agent for certain financial institutions under the liquidity and credit enhancement agreements relating to this Agreement to which any one or more Conduit Lenders is party and in various other capacities relating to the business of any such Conduit Lender under various agreements. Any such Person, in its capacity as Agent, shall not, by virtue of its acting in any such other capacities, be deemed to have duties or responsibilities hereunder or be held to a standard of care in connection with the performance of its duties as an Agent other than as expressly provided in this Agreement. Any Person which is an Agent may act as an Agent without regard to and without additional duties or liabilities arising from its role as such administrator or agent or arising from its acting in any such other capacity.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 xml:space="preserve">Section 11.08. </w:t>
      </w:r>
      <w:r>
        <w:rPr>
          <w:rFonts w:ascii="Times New Roman" w:cs="Times New Roman" w:eastAsia="Times New Roman" w:hAnsi="Times New Roman"/>
          <w:sz w:val="20"/>
          <w:szCs w:val="20"/>
          <w:u w:val="single" w:color="auto"/>
          <w:color w:val="auto"/>
        </w:rPr>
        <w:t>Successor Agents</w:t>
      </w:r>
      <w:r>
        <w:rPr>
          <w:rFonts w:ascii="Times New Roman" w:cs="Times New Roman" w:eastAsia="Times New Roman" w:hAnsi="Times New Roman"/>
          <w:sz w:val="20"/>
          <w:szCs w:val="20"/>
          <w:color w:val="auto"/>
        </w:rPr>
        <w:t>. The Administrative Agent may freely assign its rights and obligations hereunder upon ten days’ notice to each Agent, the Lenders and the Borrower. The Administrative Agent may resign as Administrative Agent upon ten days’ notice to the Lenders, each Agent and the Borrower with such resignation becoming effective upon a successor agent succeeding to the rights, powers and duties of the Agent pursuant to this Section. If the Administrative Agent shall resign as Administrative Agent under this Agreement, then the Required Agents shall appoint a successor administrative agent. Any Agent may resign as Agent upon ten days’ notice to the Lenders in its Lender Group, the Administrative Agent and each other Agent and the Borrower with such resignation becoming effective upon a successor agent succeeding to the rights, powers and duties of the Agent pursuant to this Section. If an Agent shall resign as Agent under this Agreement, then (i) Owners in its Lender Group having Invested Percentages aggregating greater than 50.0% of the aggregate Invested Percentages of all Owners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8" w:name="page199"/>
    <w:bookmarkEnd w:id="198"/>
    <w:p>
      <w:pPr>
        <w:jc w:val="both"/>
        <w:spacing w:after="0" w:line="234" w:lineRule="auto"/>
        <w:rPr>
          <w:sz w:val="20"/>
          <w:szCs w:val="20"/>
          <w:color w:val="auto"/>
        </w:rPr>
      </w:pPr>
      <w:r>
        <w:rPr>
          <w:rFonts w:ascii="Times New Roman" w:cs="Times New Roman" w:eastAsia="Times New Roman" w:hAnsi="Times New Roman"/>
          <w:sz w:val="22"/>
          <w:szCs w:val="22"/>
          <w:color w:val="auto"/>
        </w:rPr>
        <w:t>in such Lender Group, and (ii) Committed Lenders and Liquidity Providers in its Lender Group having Commitments aggregating greater than 50.0% of the aggregate Commitments of all Committed Lenders and Liquidity Providers in such Lender Group shall appoint from among the Committed Lenders (other than the Conduit Lenders) in such Lender Group a successor agent for such Lender Group. Any successor administrative agent or agent shall succeed to the rights, powers and duties of resigning Agent, and the term “Administrative Agent” or “Agent,” as applicable, shall mean such successor administrative agent or agent effective upon its appointment, and the former Agent’s rights, powers and duties as Agent shall be terminated, without any other or further act or deed on the part of such former Agent or any of the parties to this Agreement. After the retiring Agent’s resignation as Agent, the provisions of this Article shall inure to its benefit as to any actions taken or omitted to be taken by it while it was Agent under this Agreement.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2"/>
          <w:szCs w:val="22"/>
          <w:color w:val="auto"/>
        </w:rPr>
        <w:t>ARTICLE 12</w:t>
      </w:r>
    </w:p>
    <w:p>
      <w:pPr>
        <w:spacing w:after="0" w:line="232" w:lineRule="exact"/>
        <w:rPr>
          <w:sz w:val="20"/>
          <w:szCs w:val="20"/>
          <w:color w:val="auto"/>
        </w:rPr>
      </w:pPr>
    </w:p>
    <w:p>
      <w:pPr>
        <w:ind w:left="760" w:right="3960" w:firstLine="3218"/>
        <w:spacing w:after="0" w:line="434" w:lineRule="auto"/>
        <w:rPr>
          <w:sz w:val="20"/>
          <w:szCs w:val="20"/>
          <w:color w:val="auto"/>
        </w:rPr>
      </w:pPr>
      <w:r>
        <w:rPr>
          <w:rFonts w:ascii="Times New Roman" w:cs="Times New Roman" w:eastAsia="Times New Roman" w:hAnsi="Times New Roman"/>
          <w:sz w:val="22"/>
          <w:szCs w:val="22"/>
          <w:color w:val="auto"/>
        </w:rPr>
        <w:t xml:space="preserve">ASSIGNMENTS; PARTICIPATIONS Section 12.01. </w:t>
      </w:r>
      <w:r>
        <w:rPr>
          <w:rFonts w:ascii="Times New Roman" w:cs="Times New Roman" w:eastAsia="Times New Roman" w:hAnsi="Times New Roman"/>
          <w:sz w:val="22"/>
          <w:szCs w:val="22"/>
          <w:u w:val="single" w:color="auto"/>
          <w:color w:val="auto"/>
        </w:rPr>
        <w:t>Assignments and Participations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757"/>
        <w:spacing w:after="0" w:line="236" w:lineRule="auto"/>
        <w:tabs>
          <w:tab w:leader="none" w:pos="101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the Notes or interest therein owned by such Lender pursuant to this Agreement will be acquired for investment only and not with a view to any public distribution thereof, and that such Lender will not offer to sell or otherwise dispose of the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Notes, such Lender has not engaged and will not engage in a general solicitation or general advertising.</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(b)Each Lender may upon at least 30 days’ notice to the Borrower, the Administrative Agent and each Agent, assign to one or more banks or other entities all or a portion of its rights and obligations under this Agreement; provided, however,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disbursements of counsel for the Administrative Agent) 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Agent or any Lender Group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0" w:name="page201"/>
    <w:bookmarkEnd w:id="200"/>
    <w:p>
      <w:pPr>
        <w:jc w:val="both"/>
        <w:ind w:firstLine="757"/>
        <w:spacing w:after="0" w:line="232" w:lineRule="auto"/>
        <w:tabs>
          <w:tab w:leader="none" w:pos="101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spacing w:after="0" w:line="18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(d)The Administrative Agent shall maintain at its address referred to herein a copy of each Assignment and Acceptance delivered to and accepted by it and a register for the recordation of the names, addresses and Commitment of each Lender and the Principal Amount of each Loan made by each Lender from time to time (the “Lender Register”). The entries in the Lender Register shall be conclusive and binding for all purposes, absent manifest error, and the Borrower and the Lenders may treat each Person whose name is recorded in the Lender Register as a Lender hereunder for all purposes of this Agreement. The Lender Register shall be available for inspection by any Agent or Lender at any reasonable time and from time to time upon reasonable prior notice.</w:t>
      </w:r>
    </w:p>
    <w:p>
      <w:pPr>
        <w:spacing w:after="0" w:line="181" w:lineRule="exact"/>
        <w:rPr>
          <w:sz w:val="20"/>
          <w:szCs w:val="20"/>
          <w:color w:val="auto"/>
        </w:rPr>
      </w:pPr>
    </w:p>
    <w:p>
      <w:pPr>
        <w:jc w:val="both"/>
        <w:ind w:firstLine="757"/>
        <w:spacing w:after="0" w:line="239" w:lineRule="auto"/>
        <w:tabs>
          <w:tab w:leader="none" w:pos="101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Sections 12.01(a) and 12.01(b),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may sell participations to one or more banks or other entities in or to all or a portion of its rights and obligations under this Agreement (including all or a portion of its Commitment and each Loan owned by it); provided, however, that (i) such Lender’s obligations under this Agreement (including its Commitment hereunder) shall remain unchanged, (ii) such Lender shall remain solely responsible to the other parties hereto for the performance of such obligations and (iii) the Administrative Agent and the other Lenders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Sections 2.13 and 2.14;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1" w:name="page202"/>
    <w:bookmarkEnd w:id="201"/>
    <w:p>
      <w:pPr>
        <w:jc w:val="both"/>
        <w:spacing w:after="0" w:line="234" w:lineRule="auto"/>
        <w:rPr>
          <w:sz w:val="20"/>
          <w:szCs w:val="20"/>
          <w:color w:val="auto"/>
        </w:rPr>
      </w:pPr>
      <w:r>
        <w:rPr>
          <w:rFonts w:ascii="Times New Roman" w:cs="Times New Roman" w:eastAsia="Times New Roman" w:hAnsi="Times New Roman"/>
          <w:sz w:val="22"/>
          <w:szCs w:val="22"/>
          <w:color w:val="auto"/>
        </w:rPr>
        <w:t>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Section 12.01.</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(g)Each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(h)Nothing herein shall prohibit (x) any Lender from pledging or assigning as collateral any of its rights under this Agreement to any Federal Reserve Bank or any other Governmental Authority in accordance with Applicable Law or (y) any Conduit Lender from pledging or granting a security interest in all or any portion of its rights (including, without limitation, any Loans and any rights to payment of principal and Interest) under this Agreement to a collateral trustee in order to comply with Rule 3a-7 under the Investment Company Act; and any such pledge or collateral assignment under this clause (h) may be made without compliance with Section 12.01(a) or 12.01(b).</w:t>
      </w:r>
    </w:p>
    <w:p>
      <w:pPr>
        <w:spacing w:after="0" w:line="179" w:lineRule="exact"/>
        <w:rPr>
          <w:sz w:val="20"/>
          <w:szCs w:val="20"/>
          <w:color w:val="auto"/>
        </w:rPr>
      </w:pPr>
    </w:p>
    <w:p>
      <w:pPr>
        <w:jc w:val="both"/>
        <w:ind w:firstLine="757"/>
        <w:spacing w:after="0" w:line="244" w:lineRule="auto"/>
        <w:tabs>
          <w:tab w:leader="none" w:pos="101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prohibit any Conduit Lender from transferring or pledging as collateral to any Support Party pursuant to a Support Facility or otherwise in connection with its commercial paper program any of its rights under this Agreement and any such transfer or pledge as collateral may be made without compliance with Section 12.01(a) or 12.01(b).</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22"/>
          <w:szCs w:val="22"/>
          <w:color w:val="auto"/>
        </w:rPr>
        <w:t>ARTICLE 13</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MUTUAL COVENANTS REGARDING CONFIDENTIALITY</w:t>
      </w:r>
    </w:p>
    <w:p>
      <w:pPr>
        <w:spacing w:after="0" w:line="20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20"/>
          <w:szCs w:val="20"/>
          <w:color w:val="auto"/>
        </w:rPr>
        <w:t xml:space="preserve">Section 13.01. </w:t>
      </w:r>
      <w:r>
        <w:rPr>
          <w:rFonts w:ascii="Times New Roman" w:cs="Times New Roman" w:eastAsia="Times New Roman" w:hAnsi="Times New Roman"/>
          <w:sz w:val="20"/>
          <w:szCs w:val="20"/>
          <w:u w:val="single" w:color="auto"/>
          <w:color w:val="auto"/>
        </w:rPr>
        <w:t>Covenants of the Borrower, the Servicer, the Backup Servicer, the Account Bank and the Custodian</w:t>
      </w:r>
      <w:r>
        <w:rPr>
          <w:rFonts w:ascii="Times New Roman" w:cs="Times New Roman" w:eastAsia="Times New Roman" w:hAnsi="Times New Roman"/>
          <w:sz w:val="20"/>
          <w:szCs w:val="20"/>
          <w:color w:val="auto"/>
        </w:rPr>
        <w:t>. Each of the Borrower, the Servicer, the Backup Servicer, the Account Bank and the Custodian severally and with respect to itself only, covenants and agrees to hold in confidence, and not disclose to any Person, the terms of this Agreement (including any fees payable in connection with this Agreement or the identity of a Lender under this Agreement), except as the Administrative Agent, the related Agent or any such Lender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Backup Servicer, the Account Bank or the Custodian, (iii) to [***]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Backup Servicer, the Account Bank and the Custodian, as applicable, will use all reasonable efforts to maintain confidentiality and will (unless otherwise prohibited by Applicable Law) notify the Agent or Lender of its intention to make any such disclosure prior to making such disclosure.</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13.02. </w:t>
      </w:r>
      <w:r>
        <w:rPr>
          <w:rFonts w:ascii="Times New Roman" w:cs="Times New Roman" w:eastAsia="Times New Roman" w:hAnsi="Times New Roman"/>
          <w:sz w:val="22"/>
          <w:szCs w:val="22"/>
          <w:u w:val="single" w:color="auto"/>
          <w:color w:val="auto"/>
        </w:rPr>
        <w:t>Covenants of the Administrative Agent, the Agents and the Lenders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5" w:lineRule="auto"/>
        <w:tabs>
          <w:tab w:leader="none" w:pos="101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covenants and agrees that it will not disclose any of the Confidential Information now or hereafter received or obtained by it without the Borrower’s prior written consent; provided, however, that (i) it may disclose any such Confidential Information to those of its employees or Affiliates directly involved in the transactions contemplated by the Basic Documents or to the Rating Agencies and (ii) any Conduit Lender (or any administrative agent on its behalf) and its officers and employees may disclose any Confidential Information to any collateral trustee appointed by such Conduit Lender to comply with Rule 3a-7 under the Investment Company Act, provided that such collateral trustee is informed of the confidential nature of such information.</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(b)Each of the Administrative Agent, each Agent and each Lender may also disclose any such Confidential Information to its Advisors who need to know such information for the purpose of assisting it in connection with the transactions contemplated by the Basic Documents. Each of the Administrative Agent, each Agent and each Lender agrees to be responsible for any breach of this Agreement by its Affiliates and Advisors, and it agrees that its Affiliates and Advisors will be advised by it of the confidential nature of such information and that it shall cause its Affiliates to be bound by this Agreement.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3" w:name="page204"/>
    <w:bookmarkEnd w:id="203"/>
    <w:p>
      <w:pPr>
        <w:jc w:val="both"/>
        <w:ind w:firstLine="757"/>
        <w:spacing w:after="0" w:line="237" w:lineRule="auto"/>
        <w:tabs>
          <w:tab w:leader="none" w:pos="101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Administrative Agent, any Agent, any Lender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(d)Each of the Administrative Agent, each Agent and each Lender acknowledges and agrees that any Confidential Information provided to it, in whatever form, is the sole property of the Borrower and UACC. Neither such Person nor its Affiliates or Advisors shall use any of the Confidential Information now or hereafter received or obtained from or through the Borrower, UACC or any of their respective Affiliates for any purpose other than for purposes of engaging in, or as otherwise contemplated by, the transactions contemplated by the Basic Documents. The Administrative Agent and each Lender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spacing w:after="0" w:line="180" w:lineRule="exact"/>
        <w:rPr>
          <w:sz w:val="20"/>
          <w:szCs w:val="20"/>
          <w:color w:val="auto"/>
        </w:rPr>
      </w:pPr>
    </w:p>
    <w:p>
      <w:pPr>
        <w:jc w:val="both"/>
        <w:ind w:firstLine="757"/>
        <w:spacing w:after="0" w:line="234" w:lineRule="auto"/>
        <w:tabs>
          <w:tab w:leader="none" w:pos="101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acknowledges that all Confidential Information is considered to be proprietary and of competitive value, and in many instances trade secrets. Each of the Administrative Agent, each Agent and each Lender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Administrative Agent, each Agent and each Lender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any Agent, a Lender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UACC in writing (unless it has been advised by an Opinion of Counsel that such notification is prohibited by Applicable Law or regulation) of such requirement so that the Borrower and/or UACC, at their sole cost and expense, may seek a protective order or other appropriate remedy and/or waive compliance with the provisions hereof. The Administrative Agent, each Agent and each Lender agrees to use its reasonable efforts, upon the written request of the Borrower or UACC,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4" w:name="page205"/>
    <w:bookmarkEnd w:id="204"/>
    <w:p>
      <w:pPr>
        <w:jc w:val="both"/>
        <w:spacing w:after="0" w:line="258" w:lineRule="auto"/>
        <w:rPr>
          <w:sz w:val="20"/>
          <w:szCs w:val="20"/>
          <w:color w:val="auto"/>
        </w:rPr>
      </w:pPr>
      <w:r>
        <w:rPr>
          <w:rFonts w:ascii="Times New Roman" w:cs="Times New Roman" w:eastAsia="Times New Roman" w:hAnsi="Times New Roman"/>
          <w:sz w:val="22"/>
          <w:szCs w:val="22"/>
          <w:color w:val="auto"/>
        </w:rPr>
        <w:t>that it is legally compelled to disclose; provided that it agrees to use reasonable efforts to obtain assurance that confidential treatment will be accorded such Confidential Information by the person or persons to whom it was disclosed.</w:t>
      </w:r>
    </w:p>
    <w:p>
      <w:pPr>
        <w:spacing w:after="0" w:line="15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the foregoing, it is understood that the Administrative Agent, each Agent and each Lender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Administrative Agent, any Agent or any Lender. Under such circumstances, the related entity agrees to provide notice to the Borrower and UACC as soon as practicable in connection with (and, if possible, before) releasing the Confidential Information to the bank examiner or other regulatory authority pursuant to such request or examination.</w:t>
      </w:r>
    </w:p>
    <w:p>
      <w:pPr>
        <w:spacing w:after="0" w:line="18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(g)It is understood and agreed that no failure or delay by the Borrower, the Servicer, the Backup Servicer, the Account Bank, the Custodian, the Administrative Agent, each Agent or any Lender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13.03. </w:t>
      </w:r>
      <w:r>
        <w:rPr>
          <w:rFonts w:ascii="Times New Roman" w:cs="Times New Roman" w:eastAsia="Times New Roman" w:hAnsi="Times New Roman"/>
          <w:sz w:val="22"/>
          <w:szCs w:val="22"/>
          <w:u w:val="single" w:color="auto"/>
          <w:color w:val="auto"/>
        </w:rPr>
        <w:t>Non-Confidentiality of Tax Treatment and Tax Structure</w:t>
      </w:r>
      <w:r>
        <w:rPr>
          <w:rFonts w:ascii="Times New Roman" w:cs="Times New Roman" w:eastAsia="Times New Roman" w:hAnsi="Times New Roman"/>
          <w:sz w:val="22"/>
          <w:szCs w:val="22"/>
          <w:color w:val="auto"/>
        </w:rPr>
        <w:t>. 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(other than limitations imposed by State or federal securities laws), the structure and tax aspects of the transactions, and all materials of any kind (including opinions or other tax analyses) that are provided to each such party related to such structure and tax aspects. In this regard, each party hereto acknowledges and agrees that this disclosure of the structure or tax aspects of the transactions is not limited in any way by an express or implied understanding or agreement, oral or written (whether or not such understanding or agreement is legally binding) except as is reasonably necessary to comply with state and federal securities laws. Furthermore, each party hereto acknowledges and agrees that it does not know or have reason to know that it use or disclosure of information relating to the structure or tax aspects of the transactions is limited in any other manner (such as where the transactions are claimed to be proprietary or exclusive) for the benefit of any other Person (other than as it may be limited by State or federal securities laws).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22"/>
          <w:szCs w:val="22"/>
          <w:color w:val="auto"/>
        </w:rPr>
        <w:t>ARTICLE 14</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0"/>
          <w:szCs w:val="20"/>
          <w:color w:val="auto"/>
        </w:rPr>
        <w:t xml:space="preserve">Section 14.01.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Except as otherwise provided in this Section and in Section 2.17, no amendment, waiver or other modification of any provision of this Agreement or any schedule or exhibit hereto shall be effective without the written agreement of the parties hereto. The Administrative Agent shall provide a copy of each such proposed amendment, waiver or other modification to each Hedge Counterparty. Notwithstanding the foregoing, no such amendment, waiver, or consent shall, without the written consent of (i) the Required Agents, (a) waive any condition set forth in Section 4.02,</w:t>
      </w:r>
    </w:p>
    <w:p>
      <w:pPr>
        <w:spacing w:after="0" w:line="1" w:lineRule="exact"/>
        <w:rPr>
          <w:sz w:val="20"/>
          <w:szCs w:val="20"/>
          <w:color w:val="auto"/>
        </w:rPr>
      </w:pPr>
    </w:p>
    <w:p>
      <w:pPr>
        <w:ind w:right="100" w:firstLine="8"/>
        <w:spacing w:after="0" w:line="231" w:lineRule="auto"/>
        <w:tabs>
          <w:tab w:leader="none" w:pos="30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of Section 2.08, (c) amend any provision of Schedule B or (d) reduce the principal or the rate of Interest on any Loans Outstanding or any fees or other amounts payable hereunder or under any other Basic Documents or (ii) all Lenders, (a) change any provision of this Section or the definition of “Required Agents”, “Termination Event” or “Servicer Termination Event” or any other provision hereof specifying the number or percentage of Lenders required to amend, waive, or otherwise modify any rights hereunder or make any determination or grant any consent hereunder or (b) amend or change the definition of “Band 1 Receivables Advance Rate,” “Band 2 Receivables Advance Rate,” “Band 3 Receivables Advance Rate, “Band 4 Receivables Advance Rate,” “Portfolio Purchase Receivables Advance Rate,” “Weighted Average Advance Rate”, “Borrowing Base”, “Maximum Borrowing Base”, “Excess Concentration Amount”, “Delinquency Ratio”, “Level I Overcollateralization Increase Event”, “Level II Overcollateralization Increase Event,” “Level III Overcollateralization Increase Event,” “Serviced Portfolio Annualized Net Loss Ratio,” “Serviced Portfolio Delinquency Ratio”, “Serviced Portfolio Extension Ratio” or any provision of this Agreement that uses any of the foregoing terms; provided, that (1) no amendment, waiver or consent shall, unless in writing and signed by the Administrative Agent in addition to the Lenders required above, affect the rights or duties of the Administrative Agent under this Agreement or any other Basic Document and (2) the Fee Letter may only be amended, or rights or privileges thereunder waived, in a writing executed by the parties thereto and with the consent of the Required Agents.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 amendment, waiver or other modification which could have a material adverse effect on the rights or obligations of any Hedge Counterparty shall be effective against such Hedge Counterparty without the prior written agreement of such Hedge Counterparty.</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14.02. </w:t>
      </w: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xml:space="preserve"> All notices and other communications provided for hereunder shall, unless otherwise stated herein, be in writing (including telex communication and communication by facsimile copy) and e-mailed,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telex, when telexed against receipt of answer back, (iii) facsimile copy, when verbal communication of receipt is obtained or (iv) e-mail, when receipt is confirmed by telephone or by reply e-mail from the recipient, except that notices and communications pursuant to Article Two shall not be effective until received with respect to any notice sent by mail or telex.</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6" w:name="page207"/>
    <w:bookmarkEnd w:id="206"/>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14.03. </w:t>
      </w:r>
      <w:r>
        <w:rPr>
          <w:rFonts w:ascii="Times New Roman" w:cs="Times New Roman" w:eastAsia="Times New Roman" w:hAnsi="Times New Roman"/>
          <w:sz w:val="22"/>
          <w:szCs w:val="22"/>
          <w:u w:val="single" w:color="auto"/>
          <w:color w:val="auto"/>
        </w:rPr>
        <w:t>No Waiver, Rights and Remedies</w:t>
      </w:r>
      <w:r>
        <w:rPr>
          <w:rFonts w:ascii="Times New Roman" w:cs="Times New Roman" w:eastAsia="Times New Roman" w:hAnsi="Times New Roman"/>
          <w:sz w:val="22"/>
          <w:szCs w:val="22"/>
          <w:color w:val="auto"/>
        </w:rPr>
        <w:t>. No failure on the part of each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14.04.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Borrower, the Servicer, the Backup Servicer, the Account Bank, the Custodian, each Agent, the Secured Parties and their respective successors and permitted assigns and each Hedge Counterparty shall be an express third-party beneficiary of this Agreement.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14.05. </w:t>
      </w:r>
      <w:r>
        <w:rPr>
          <w:rFonts w:ascii="Times New Roman" w:cs="Times New Roman" w:eastAsia="Times New Roman" w:hAnsi="Times New Roman"/>
          <w:sz w:val="22"/>
          <w:szCs w:val="22"/>
          <w:u w:val="single" w:color="auto"/>
          <w:color w:val="auto"/>
        </w:rPr>
        <w:t>Term of this Agreement</w:t>
      </w:r>
      <w:r>
        <w:rPr>
          <w:rFonts w:ascii="Times New Roman" w:cs="Times New Roman" w:eastAsia="Times New Roman" w:hAnsi="Times New Roman"/>
          <w:sz w:val="22"/>
          <w:szCs w:val="22"/>
          <w:color w:val="auto"/>
        </w:rPr>
        <w:t>. 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spacing w:after="0" w:line="176"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0"/>
          <w:szCs w:val="20"/>
          <w:color w:val="auto"/>
        </w:rPr>
        <w:t xml:space="preserve">Section 14.06. </w:t>
      </w:r>
      <w:r>
        <w:rPr>
          <w:rFonts w:ascii="Times New Roman" w:cs="Times New Roman" w:eastAsia="Times New Roman" w:hAnsi="Times New Roman"/>
          <w:sz w:val="20"/>
          <w:szCs w:val="20"/>
          <w:b w:val="1"/>
          <w:bCs w:val="1"/>
          <w:u w:val="single" w:color="auto"/>
          <w:color w:val="auto"/>
        </w:rPr>
        <w:t>GOVERNING LAW; CONSENT TO JURISDICTION; WAIVER OF OBJECTION TO VENUE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THIS AGREEMENT SHALL BE GOVERNED BY, AND CONSTRUED IN ACCORDANCE WITH, THE LAWS OF THE STATE OF NEW YORK WITHOUT REFERENCE TO ITS CONFLICTS OF LAW PROVISIONS (OTHER THAN § 5</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1401 AND § 5</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1402 OF THE NEW YORK GENERAL OBLIGATIONS LAW). EACH OF THE PARTIES</w:t>
      </w: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HERETO HEREBY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14.07.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 TO THE EXTENT PERMITTED BY APPLICABLE LAW, EACH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14.08. </w:t>
      </w:r>
      <w:r>
        <w:rPr>
          <w:rFonts w:ascii="Times New Roman" w:cs="Times New Roman" w:eastAsia="Times New Roman" w:hAnsi="Times New Roman"/>
          <w:sz w:val="22"/>
          <w:szCs w:val="22"/>
          <w:u w:val="single" w:color="auto"/>
          <w:color w:val="auto"/>
        </w:rPr>
        <w:t>Costs, Expenses and Taxes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757"/>
        <w:spacing w:after="0" w:line="258" w:lineRule="auto"/>
        <w:tabs>
          <w:tab w:leader="none" w:pos="10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rights of indemnification granted to the Administrative Agent, each Agent, the Backup Servicer, the Account Bank, the Secured Parties and its or their Affiliates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7" w:name="page208"/>
    <w:bookmarkEnd w:id="207"/>
    <w:p>
      <w:pPr>
        <w:jc w:val="both"/>
        <w:spacing w:after="0" w:line="234" w:lineRule="auto"/>
        <w:rPr>
          <w:sz w:val="20"/>
          <w:szCs w:val="20"/>
          <w:color w:val="auto"/>
        </w:rPr>
      </w:pPr>
      <w:r>
        <w:rPr>
          <w:rFonts w:ascii="Times New Roman" w:cs="Times New Roman" w:eastAsia="Times New Roman" w:hAnsi="Times New Roman"/>
          <w:sz w:val="22"/>
          <w:szCs w:val="22"/>
          <w:color w:val="auto"/>
        </w:rPr>
        <w:t>and officers, directors, employees and agents thereof under Article Ten, the Borrower agrees to pay on demand all reasonable costs and expenses of each Agent, the Backup Servicer, the Account Bank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Section 2.12(d), the reasonable fees and out-of-pocket expenses of counsel for the Backup Servicer, the Account Bank, each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(b)The Borrower shall promptly pay on demand any and all stamp, sales, excise and other taxes and fees payable or determined to be payable in connection with the execution, delivery, filing and recording of this Agreement, the other documents to be delivered hereunder or any agreement or other document providing liquidity support, credit enhancement or other similar support to a Lender in connection with this Agreement or the funding or maintenance of Loans hereunder.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14.09. </w:t>
      </w:r>
      <w:r>
        <w:rPr>
          <w:rFonts w:ascii="Times New Roman" w:cs="Times New Roman" w:eastAsia="Times New Roman" w:hAnsi="Times New Roman"/>
          <w:sz w:val="22"/>
          <w:szCs w:val="22"/>
          <w:u w:val="single" w:color="auto"/>
          <w:color w:val="auto"/>
        </w:rPr>
        <w:t>No Insolvency Proceedings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6" w:lineRule="auto"/>
        <w:tabs>
          <w:tab w:leader="none" w:pos="101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prior termination of this Agreement, no Lender shall, prior to the date which is one year and one day after the final payment of the Aggregate Unpaids,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spacing w:after="0" w:line="179"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(b)Notwithstanding any prior termination of this Agreement, each of the Borrower and the Servicer hereby agrees that it shall not institute against, or join any other person in instituting against, any Conduit Lender any Insolvency Proceeding, for one year and a day after the latest maturing Commercial Paper Note or other debt security issued by such Conduit Lender is paid.</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14.10. </w:t>
      </w:r>
      <w:r>
        <w:rPr>
          <w:rFonts w:ascii="Times New Roman" w:cs="Times New Roman" w:eastAsia="Times New Roman" w:hAnsi="Times New Roman"/>
          <w:sz w:val="22"/>
          <w:szCs w:val="22"/>
          <w:u w:val="single" w:color="auto"/>
          <w:color w:val="auto"/>
        </w:rPr>
        <w:t>Recourse Against Certain Parties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57"/>
        <w:spacing w:after="0" w:line="235" w:lineRule="auto"/>
        <w:tabs>
          <w:tab w:leader="none" w:pos="101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under or with respect to any obligation, covenant or agreement (including the payment of any fees or any other obligations) of each Agent or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the Administrative Agent, the Agents and any Secured Party contained in this Agreement and all of the other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8" w:name="page209"/>
    <w:bookmarkEnd w:id="208"/>
    <w:p>
      <w:pPr>
        <w:jc w:val="both"/>
        <w:spacing w:after="0" w:line="234" w:lineRule="auto"/>
        <w:rPr>
          <w:sz w:val="20"/>
          <w:szCs w:val="20"/>
          <w:color w:val="auto"/>
        </w:rPr>
      </w:pPr>
      <w:r>
        <w:rPr>
          <w:rFonts w:ascii="Times New Roman" w:cs="Times New Roman" w:eastAsia="Times New Roman" w:hAnsi="Times New Roman"/>
          <w:sz w:val="22"/>
          <w:szCs w:val="22"/>
          <w:color w:val="auto"/>
        </w:rPr>
        <w:t>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shall survive the termination of this Agreement.</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(b)Notwithstanding anything in this Agreement or any other Basic Document to the contrary, no Conduit Lender shall have any obligation to pay any amount required to be paid by it hereunder or thereunder in excess of any amount available to such Conduit Lender after paying or making provision for the payment of its Commercial Paper Notes. All payment obligations of any Conduit Lender hereunder are contingent upon the availability of funds in excess of the amounts necessary to pay Commercial Paper Notes; and each of the Borrower, the Servicer, the Administrative Agent, each Agent and the Secured Parties agrees that they shall not have a claim under Section 101(5) of the Bankruptcy Code if and to the extent that any such payment obligation exceeds the amount available to any Conduit Lender to pay such amounts after paying or making provision for the payment of its Commercial Paper Notes.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 The provisions of this Section shall survive the termination of this Agreement.</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14.11. </w:t>
      </w:r>
      <w:r>
        <w:rPr>
          <w:rFonts w:ascii="Times New Roman" w:cs="Times New Roman" w:eastAsia="Times New Roman" w:hAnsi="Times New Roman"/>
          <w:sz w:val="22"/>
          <w:szCs w:val="22"/>
          <w:u w:val="single" w:color="auto"/>
          <w:color w:val="auto"/>
        </w:rPr>
        <w:t>Limitations on Consequential, Indirect and Certain Other Damages</w:t>
      </w:r>
      <w:r>
        <w:rPr>
          <w:rFonts w:ascii="Times New Roman" w:cs="Times New Roman" w:eastAsia="Times New Roman" w:hAnsi="Times New Roman"/>
          <w:sz w:val="22"/>
          <w:szCs w:val="22"/>
          <w:color w:val="auto"/>
        </w:rPr>
        <w:t>. No claim can be made by the Borrower, UACC or any of their respective Affiliates against any Agent, any Secured Party, the Account Bank, the Backup Servicer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UACC, to the extent permitted by Applicable Law, hereby waives, releases and agrees not to bring any such claim for any such damages, whether or not accrued and whether or not known or suspected to exist in its favor.</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14.12. </w:t>
      </w:r>
      <w:r>
        <w:rPr>
          <w:rFonts w:ascii="Times New Roman" w:cs="Times New Roman" w:eastAsia="Times New Roman" w:hAnsi="Times New Roman"/>
          <w:sz w:val="22"/>
          <w:szCs w:val="22"/>
          <w:u w:val="single" w:color="auto"/>
          <w:color w:val="auto"/>
        </w:rPr>
        <w:t>Patriot Act Compliance</w:t>
      </w:r>
      <w:r>
        <w:rPr>
          <w:rFonts w:ascii="Times New Roman" w:cs="Times New Roman" w:eastAsia="Times New Roman" w:hAnsi="Times New Roman"/>
          <w:sz w:val="22"/>
          <w:szCs w:val="22"/>
          <w:color w:val="auto"/>
        </w:rPr>
        <w:t>. Each of the Administrative Agent, each Agent and the Account Bank hereby notifies the Borrower that pursuant to the requirements of the Patriot Act, it, and each other Lender, may be required to obtain, verify and record information that identifies the Borrower, which information includes the name and address of the Borrower, organizational documentation, director and shareholder information, and other information that will allow the Administrative Agent, such Agent, the Account Bank and each Lender to identify the Borrower in accordance with the Patriot Act. This notice is given in accordance with the requirements of the Patriot Act and is effective for the Administrative Agent, each Agent, each Lender and the Account Bank.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9" w:name="page210"/>
    <w:bookmarkEnd w:id="209"/>
    <w:p>
      <w:pPr>
        <w:jc w:val="both"/>
        <w:ind w:firstLine="749"/>
        <w:spacing w:after="0" w:line="261" w:lineRule="auto"/>
        <w:rPr>
          <w:sz w:val="20"/>
          <w:szCs w:val="20"/>
          <w:color w:val="auto"/>
        </w:rPr>
      </w:pPr>
      <w:r>
        <w:rPr>
          <w:rFonts w:ascii="Times New Roman" w:cs="Times New Roman" w:eastAsia="Times New Roman" w:hAnsi="Times New Roman"/>
          <w:sz w:val="20"/>
          <w:szCs w:val="20"/>
          <w:color w:val="auto"/>
        </w:rPr>
        <w:t xml:space="preserve">Section 14.13. </w:t>
      </w:r>
      <w:r>
        <w:rPr>
          <w:rFonts w:ascii="Times New Roman" w:cs="Times New Roman" w:eastAsia="Times New Roman" w:hAnsi="Times New Roman"/>
          <w:sz w:val="20"/>
          <w:szCs w:val="20"/>
          <w:u w:val="single" w:color="auto"/>
          <w:color w:val="auto"/>
        </w:rPr>
        <w:t>Execution in Counterparts; Severability; Integration</w:t>
      </w:r>
      <w:r>
        <w:rPr>
          <w:rFonts w:ascii="Times New Roman" w:cs="Times New Roman" w:eastAsia="Times New Roman" w:hAnsi="Times New Roman"/>
          <w:sz w:val="20"/>
          <w:szCs w:val="20"/>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w:t>
      </w:r>
    </w:p>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14.14. </w:t>
      </w:r>
      <w:r>
        <w:rPr>
          <w:rFonts w:ascii="Times New Roman" w:cs="Times New Roman" w:eastAsia="Times New Roman" w:hAnsi="Times New Roman"/>
          <w:sz w:val="20"/>
          <w:szCs w:val="20"/>
          <w:u w:val="single" w:color="auto"/>
          <w:color w:val="auto"/>
        </w:rPr>
        <w:t>Limitation of Liability of Owner Trustee</w:t>
      </w:r>
      <w:r>
        <w:rPr>
          <w:rFonts w:ascii="Times New Roman" w:cs="Times New Roman" w:eastAsia="Times New Roman" w:hAnsi="Times New Roman"/>
          <w:sz w:val="20"/>
          <w:szCs w:val="20"/>
          <w:color w:val="auto"/>
        </w:rPr>
        <w:t>. It is expressly understood and agreed by the parties hereto that</w:t>
      </w:r>
    </w:p>
    <w:p>
      <w:pPr>
        <w:spacing w:after="0" w:line="37" w:lineRule="exact"/>
        <w:rPr>
          <w:sz w:val="20"/>
          <w:szCs w:val="20"/>
          <w:color w:val="auto"/>
        </w:rPr>
      </w:pPr>
    </w:p>
    <w:p>
      <w:pPr>
        <w:jc w:val="both"/>
        <w:ind w:firstLine="8"/>
        <w:spacing w:after="0" w:line="231" w:lineRule="auto"/>
        <w:tabs>
          <w:tab w:leader="none" w:pos="25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executed and delivered by [***],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 covenants, undertakings and agreements by [***], but is made and intended for the purpose for binding only the Borrower, (iii) nothing herein contained shall be construed as creating any liability on Wells Fargo Delaware, individually or personally, to perform any covenant either expressed or implied contained herein, all such liability, if any, being expressly waived by the parties hereto and by any Person claiming by, through or under the parties hereto, (iv) [***]has made no investigation as to the accuracy or completeness of any representations and warranties made by the Borrower in this Agreement and (v) under no circumstances shall [***], be personally liable for the payment of any indebtedness or expenses of the Borrower or be liable for the breach or failure of any obligation, duty (including fiduciary duty, if any), representation, warranty or covenant made or undertaken by the Borrower under this Agreement or any other Basic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0" w:name="page211"/>
    <w:bookmarkEnd w:id="210"/>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 as of the date first above written.</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THE BORROWER:</w:t>
            </w: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UACC AUTO FINANCING TRUST IV</w:t>
            </w:r>
          </w:p>
        </w:tc>
      </w:tr>
      <w:tr>
        <w:trPr>
          <w:trHeight w:val="458"/>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By: [***], not in its individual capacity but solely as Owner Trustee</w:t>
            </w:r>
          </w:p>
        </w:tc>
      </w:tr>
      <w:tr>
        <w:trPr>
          <w:trHeight w:val="850"/>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Name: [***]</w:t>
            </w:r>
          </w:p>
        </w:tc>
      </w:tr>
      <w:tr>
        <w:trPr>
          <w:trHeight w:val="282"/>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w:t>
            </w:r>
          </w:p>
        </w:tc>
      </w:tr>
      <w:tr>
        <w:trPr>
          <w:trHeight w:val="406"/>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Address for Notices:</w:t>
            </w:r>
          </w:p>
        </w:tc>
      </w:tr>
      <w:tr>
        <w:trPr>
          <w:trHeight w:val="20"/>
        </w:trPr>
        <w:tc>
          <w:tcPr>
            <w:tcW w:w="4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1"/>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UACC Auto Financing Trust IV</w:t>
            </w:r>
          </w:p>
        </w:tc>
      </w:tr>
      <w:tr>
        <w:trPr>
          <w:trHeight w:val="282"/>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 [***]</w:t>
            </w:r>
          </w:p>
        </w:tc>
      </w:tr>
      <w:tr>
        <w:trPr>
          <w:trHeight w:val="433"/>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With a copy to:</w:t>
            </w:r>
          </w:p>
        </w:tc>
      </w:tr>
      <w:tr>
        <w:trPr>
          <w:trHeight w:val="20"/>
        </w:trPr>
        <w:tc>
          <w:tcPr>
            <w:tcW w:w="47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r>
      <w:tr>
        <w:trPr>
          <w:trHeight w:val="451"/>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United Auto Credit Corporation</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1071 Camelback Street</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Newport Beach, California 92660</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Attention: Ravi Gandhi</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Telephone No.: [***]</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Facsimile No.: [***]</w:t>
            </w:r>
          </w:p>
        </w:tc>
      </w:tr>
      <w:tr>
        <w:trPr>
          <w:trHeight w:val="282"/>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E-mail: [***]</w:t>
            </w:r>
          </w:p>
        </w:tc>
      </w:tr>
      <w:tr>
        <w:trPr>
          <w:trHeight w:val="446"/>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THE SERVICER</w:t>
            </w: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UNITED AUTO CREDIT CORPORATION</w:t>
            </w:r>
          </w:p>
        </w:tc>
      </w:tr>
      <w:tr>
        <w:trPr>
          <w:trHeight w:val="282"/>
        </w:trPr>
        <w:tc>
          <w:tcPr>
            <w:tcW w:w="4780" w:type="dxa"/>
            <w:vAlign w:val="bottom"/>
          </w:tcPr>
          <w:p>
            <w:pPr>
              <w:spacing w:after="0"/>
              <w:rPr>
                <w:sz w:val="20"/>
                <w:szCs w:val="20"/>
                <w:color w:val="auto"/>
              </w:rPr>
            </w:pPr>
            <w:r>
              <w:rPr>
                <w:rFonts w:ascii="Times New Roman" w:cs="Times New Roman" w:eastAsia="Times New Roman" w:hAnsi="Times New Roman"/>
                <w:sz w:val="22"/>
                <w:szCs w:val="22"/>
                <w:color w:val="auto"/>
              </w:rPr>
              <w:t>AND CUSTODIAN:</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08"/>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Ravi R. Gandhi</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Name: Ravi R. Gandhi</w:t>
            </w:r>
          </w:p>
        </w:tc>
      </w:tr>
      <w:tr>
        <w:trPr>
          <w:trHeight w:val="282"/>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EVP &amp; CFO</w:t>
            </w:r>
          </w:p>
        </w:tc>
      </w:tr>
      <w:tr>
        <w:trPr>
          <w:trHeight w:val="406"/>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Address for Notices:</w:t>
            </w:r>
          </w:p>
        </w:tc>
      </w:tr>
      <w:tr>
        <w:trPr>
          <w:trHeight w:val="20"/>
        </w:trPr>
        <w:tc>
          <w:tcPr>
            <w:tcW w:w="478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1"/>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United Auto Credit Corporation</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1071 Camelback Street</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Newport Beach, California 92660</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Attention: Ravi Gandhi</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Telephone No.: [***]</w:t>
            </w:r>
          </w:p>
        </w:tc>
      </w:tr>
      <w:tr>
        <w:trPr>
          <w:trHeight w:val="243"/>
        </w:trPr>
        <w:tc>
          <w:tcPr>
            <w:tcW w:w="4780" w:type="dxa"/>
            <w:vAlign w:val="bottom"/>
          </w:tcPr>
          <w:p>
            <w:pPr>
              <w:spacing w:after="0"/>
              <w:rPr>
                <w:sz w:val="21"/>
                <w:szCs w:val="21"/>
                <w:color w:val="auto"/>
              </w:rPr>
            </w:pPr>
          </w:p>
        </w:tc>
        <w:tc>
          <w:tcPr>
            <w:tcW w:w="58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Facsimile No.: [***]</w:t>
            </w:r>
          </w:p>
        </w:tc>
      </w:tr>
      <w:tr>
        <w:trPr>
          <w:trHeight w:val="282"/>
        </w:trPr>
        <w:tc>
          <w:tcPr>
            <w:tcW w:w="478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E-mail: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1" w:name="page212"/>
    <w:bookmarkEnd w:id="211"/>
    <w:p>
      <w:pPr>
        <w:ind w:right="1640"/>
        <w:spacing w:after="0" w:line="307" w:lineRule="auto"/>
        <w:rPr>
          <w:sz w:val="20"/>
          <w:szCs w:val="20"/>
          <w:color w:val="auto"/>
        </w:rPr>
      </w:pPr>
      <w:r>
        <w:rPr>
          <w:rFonts w:ascii="Times New Roman" w:cs="Times New Roman" w:eastAsia="Times New Roman" w:hAnsi="Times New Roman"/>
          <w:sz w:val="20"/>
          <w:szCs w:val="20"/>
          <w:color w:val="auto"/>
        </w:rPr>
        <w:t>THE BACKUP SERVICER AND ACCOUNT BANK:</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Times New Roman" w:cs="Times New Roman" w:eastAsia="Times New Roman" w:hAnsi="Times New Roman"/>
          <w:sz w:val="20"/>
          <w:szCs w:val="20"/>
          <w:color w:val="auto"/>
        </w:rPr>
        <w:t>[***], as Backup Servicer and Account Bank</w:t>
      </w:r>
    </w:p>
    <w:p>
      <w:pPr>
        <w:spacing w:after="0" w:line="558" w:lineRule="exact"/>
        <w:rPr>
          <w:sz w:val="20"/>
          <w:szCs w:val="20"/>
          <w:color w:val="auto"/>
        </w:rPr>
      </w:pPr>
    </w:p>
    <w:p>
      <w:pPr>
        <w:sectPr>
          <w:pgSz w:w="11900" w:h="16838" w:orient="portrait"/>
          <w:cols w:equalWidth="0" w:num="2">
            <w:col w:w="4060" w:space="720"/>
            <w:col w:w="6360"/>
          </w:cols>
          <w:pgMar w:left="420" w:top="1420" w:right="339" w:bottom="1440" w:gutter="0" w:footer="0" w:header="0"/>
        </w:sectPr>
      </w:pPr>
    </w:p>
    <w:p>
      <w:pPr>
        <w:spacing w:after="0" w:line="1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 [***]</w:t>
      </w:r>
    </w:p>
    <w:p>
      <w:pPr>
        <w:ind w:left="4780"/>
        <w:spacing w:after="0"/>
        <w:rPr>
          <w:sz w:val="20"/>
          <w:szCs w:val="20"/>
          <w:color w:val="auto"/>
        </w:rPr>
      </w:pPr>
      <w:r>
        <w:rPr>
          <w:rFonts w:ascii="Times New Roman" w:cs="Times New Roman" w:eastAsia="Times New Roman" w:hAnsi="Times New Roman"/>
          <w:sz w:val="22"/>
          <w:szCs w:val="22"/>
          <w:color w:val="auto"/>
        </w:rPr>
        <w:t>Title: [***]</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474345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20" w:right="33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ectPr>
          <w:pgSz w:w="11900" w:h="16838" w:orient="portrait"/>
          <w:cols w:equalWidth="0" w:num="2">
            <w:col w:w="4060" w:space="720"/>
            <w:col w:w="6360"/>
          </w:cols>
          <w:pgMar w:left="420" w:top="1420"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John Kuhns</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 John Kuhns</w:t>
      </w:r>
    </w:p>
    <w:p>
      <w:pPr>
        <w:ind w:left="47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Chase Tower, 7th Floor</w:t>
      </w:r>
    </w:p>
    <w:p>
      <w:pPr>
        <w:ind w:left="4780"/>
        <w:spacing w:after="0" w:line="230" w:lineRule="auto"/>
        <w:rPr>
          <w:sz w:val="20"/>
          <w:szCs w:val="20"/>
          <w:color w:val="auto"/>
        </w:rPr>
      </w:pPr>
      <w:r>
        <w:rPr>
          <w:rFonts w:ascii="Times New Roman" w:cs="Times New Roman" w:eastAsia="Times New Roman" w:hAnsi="Times New Roman"/>
          <w:sz w:val="22"/>
          <w:szCs w:val="22"/>
          <w:color w:val="auto"/>
        </w:rPr>
        <w:t>10 South Dearborn Street</w:t>
      </w:r>
    </w:p>
    <w:p>
      <w:pPr>
        <w:ind w:left="4780"/>
        <w:spacing w:after="0" w:line="230" w:lineRule="auto"/>
        <w:rPr>
          <w:sz w:val="20"/>
          <w:szCs w:val="20"/>
          <w:color w:val="auto"/>
        </w:rPr>
      </w:pPr>
      <w:r>
        <w:rPr>
          <w:rFonts w:ascii="Times New Roman" w:cs="Times New Roman" w:eastAsia="Times New Roman" w:hAnsi="Times New Roman"/>
          <w:sz w:val="22"/>
          <w:szCs w:val="22"/>
          <w:color w:val="auto"/>
        </w:rPr>
        <w:t>Mail Code IL1-0079</w:t>
      </w:r>
    </w:p>
    <w:p>
      <w:pPr>
        <w:ind w:left="4780"/>
        <w:spacing w:after="0" w:line="230" w:lineRule="auto"/>
        <w:rPr>
          <w:sz w:val="20"/>
          <w:szCs w:val="20"/>
          <w:color w:val="auto"/>
        </w:rPr>
      </w:pPr>
      <w:r>
        <w:rPr>
          <w:rFonts w:ascii="Times New Roman" w:cs="Times New Roman" w:eastAsia="Times New Roman" w:hAnsi="Times New Roman"/>
          <w:sz w:val="22"/>
          <w:szCs w:val="22"/>
          <w:color w:val="auto"/>
        </w:rPr>
        <w:t>Chicago, Illinois 60603</w:t>
      </w:r>
    </w:p>
    <w:p>
      <w:pPr>
        <w:ind w:left="4780"/>
        <w:spacing w:after="0" w:line="231" w:lineRule="auto"/>
        <w:rPr>
          <w:sz w:val="20"/>
          <w:szCs w:val="20"/>
          <w:color w:val="auto"/>
        </w:rPr>
      </w:pPr>
      <w:r>
        <w:rPr>
          <w:rFonts w:ascii="Times New Roman" w:cs="Times New Roman" w:eastAsia="Times New Roman" w:hAnsi="Times New Roman"/>
          <w:sz w:val="22"/>
          <w:szCs w:val="22"/>
          <w:color w:val="auto"/>
        </w:rPr>
        <w:t>Attention: Asset-Backed Securities Conduit Group</w:t>
      </w:r>
    </w:p>
    <w:p>
      <w:pPr>
        <w:ind w:left="4780"/>
        <w:spacing w:after="0" w:line="230" w:lineRule="auto"/>
        <w:rPr>
          <w:sz w:val="20"/>
          <w:szCs w:val="20"/>
          <w:color w:val="auto"/>
        </w:rPr>
      </w:pPr>
      <w:r>
        <w:rPr>
          <w:rFonts w:ascii="Times New Roman" w:cs="Times New Roman" w:eastAsia="Times New Roman" w:hAnsi="Times New Roman"/>
          <w:sz w:val="22"/>
          <w:szCs w:val="22"/>
          <w:color w:val="auto"/>
        </w:rPr>
        <w:t>Tel: [***]</w:t>
      </w:r>
    </w:p>
    <w:p>
      <w:pPr>
        <w:ind w:left="4780"/>
        <w:spacing w:after="0" w:line="230" w:lineRule="auto"/>
        <w:rPr>
          <w:sz w:val="20"/>
          <w:szCs w:val="20"/>
          <w:color w:val="auto"/>
        </w:rPr>
      </w:pPr>
      <w:r>
        <w:rPr>
          <w:rFonts w:ascii="Times New Roman" w:cs="Times New Roman" w:eastAsia="Times New Roman" w:hAnsi="Times New Roman"/>
          <w:sz w:val="22"/>
          <w:szCs w:val="22"/>
          <w:color w:val="auto"/>
        </w:rPr>
        <w:t>Fax: [***]</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474345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20" w:right="339" w:bottom="144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20"/>
          <w:szCs w:val="20"/>
          <w:color w:val="auto"/>
        </w:rPr>
        <w:t>TYPE OF LENDER: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[***JP Morgan Conduit***]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JPMorgan Chase Bank, N.A.,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 its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Kuhns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John Kuhns</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 $200,000,000</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474345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60" w:space="720"/>
            <w:col w:w="6360"/>
          </w:cols>
          <w:pgMar w:left="420" w:top="1420"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0"/>
          <w:szCs w:val="20"/>
          <w:color w:val="auto"/>
        </w:rPr>
        <w:t>TYPE OF LENDER: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Conduit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[***JP Morgan Conduit***]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JPMorgan Chase Bank, N.A.,</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 its attorney-in-fact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John Kuhns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John Kuhns</w:t>
      </w: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Signature Page to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474345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60" w:space="720"/>
            <w:col w:w="6360"/>
          </w:cols>
          <w:pgMar w:left="420" w:top="1420" w:right="339"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Lender Group: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Wire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Conduit Lender: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Loan Amount: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Notices and Investing Office: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Wire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Committed Lender: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Notices and Investing Office: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Wire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Provider: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 for Notices and Investing Office: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Wire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“Cost of Funds Rate”: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2"/>
          <w:szCs w:val="22"/>
          <w:color w:val="auto"/>
        </w:rPr>
        <w:t>SCHEDULE 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CONDUIT SUPPLEMENT</w:t>
      </w:r>
    </w:p>
    <w:p>
      <w:pPr>
        <w:spacing w:after="0" w:line="200" w:lineRule="exact"/>
        <w:rPr>
          <w:sz w:val="20"/>
          <w:szCs w:val="20"/>
          <w:color w:val="auto"/>
        </w:rPr>
      </w:pPr>
    </w:p>
    <w:p>
      <w:pPr>
        <w:spacing w:after="0" w:line="23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JPMorgan</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$200,000,000</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$200,000,000</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1060" w:right="260"/>
        <w:spacing w:after="0" w:line="234" w:lineRule="auto"/>
        <w:rPr>
          <w:sz w:val="20"/>
          <w:szCs w:val="20"/>
          <w:color w:val="auto"/>
        </w:rPr>
      </w:pPr>
      <w:r>
        <w:rPr>
          <w:rFonts w:ascii="Times New Roman" w:cs="Times New Roman" w:eastAsia="Times New Roman" w:hAnsi="Times New Roman"/>
          <w:sz w:val="22"/>
          <w:szCs w:val="22"/>
          <w:color w:val="auto"/>
        </w:rPr>
        <w:t xml:space="preserve">With respect to any Interest Period (or portion thereof), the per annum rate calculated to yield the “weighted average cost” (as defined below) for such Interest Period (or portion thereof) in respect to Commercial Paper Notes issued by such Conduit Lender on or after March 31, 2020;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any component of such rate is a discount rate, in calculating the Cost of Funds Rate for such Interest Period (or portion thereof), the rate resulting from converting such discount rate to an interest bearing equivalent rate per annum shall be used in calculating such component. As used in this</w:t>
      </w:r>
    </w:p>
    <w:p>
      <w:pPr>
        <w:spacing w:after="0" w:line="3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477520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00" w:space="700"/>
            <w:col w:w="6820"/>
          </w:cols>
          <w:pgMar w:left="440" w:top="1407" w:right="339" w:bottom="1440" w:gutter="0" w:footer="0" w:header="0"/>
        </w:sectPr>
      </w:pPr>
    </w:p>
    <w:bookmarkStart w:id="216" w:name="page217"/>
    <w:bookmarkEnd w:id="216"/>
    <w:p>
      <w:pPr>
        <w:ind w:left="4360"/>
        <w:spacing w:after="0" w:line="231" w:lineRule="auto"/>
        <w:rPr>
          <w:sz w:val="20"/>
          <w:szCs w:val="20"/>
          <w:color w:val="auto"/>
        </w:rPr>
      </w:pPr>
      <w:r>
        <w:rPr>
          <w:rFonts w:ascii="Times New Roman" w:cs="Times New Roman" w:eastAsia="Times New Roman" w:hAnsi="Times New Roman"/>
          <w:sz w:val="22"/>
          <w:szCs w:val="22"/>
          <w:color w:val="auto"/>
        </w:rPr>
        <w:t>definition, “weighted average cost” for any Interest Period (or portion thereof) means the sum (without duplication) of (i) the actual interest accrued during such Interest Period (or portion thereof) on outstanding Commercial Paper Notes issued by such Conduit Lender on or after March 31, 2020 (excluding any Commercial Paper Notes issued to and held by JPMorgan or any affiliate thereof, other than such Commercial Paper Note held as part of the market making activities of Conduit Lender’s Commercial Paper Note dealer), (ii) the commissions of placement agents and dealers in respect of such Commercial Paper Notes, (iii) any note issuance costs attributable to such Commercial Paper Note not constituting dealer fees or commissions, expressed as an annualized percentage of the aggregate principal component thereof, (iv) the actual interest accrued during such Interest Period (or portion thereof) on other borrowings by such Conduit Lender (as determined by its Managing Agent), including to fund small or odd dollar amounts that are not easily accommodated in the commercial paper market, which may include loans from Conduit Lender’s Managing Agent or its affiliates (such interest rate not to exceed, on any day, the Federal Funds Effective Rate in effect on such day plus 0.50%), and (v) incremental carrying costs incurred with respect to Commercial Paper Notes maturing on dates other than those on which corresponding funds are received by such Conduit Lender, minus any accrual of income net of expenses received from investment of collections received under all receivable purchase facilities funded substantially with Commercial Paper 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420" w:right="4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color w:val="auto"/>
        </w:rPr>
        <w:t>SCHEDULE B</w:t>
      </w:r>
    </w:p>
    <w:p>
      <w:pPr>
        <w:spacing w:after="0" w:line="200" w:lineRule="exact"/>
        <w:rPr>
          <w:sz w:val="20"/>
          <w:szCs w:val="20"/>
          <w:color w:val="auto"/>
        </w:rPr>
      </w:pPr>
    </w:p>
    <w:p>
      <w:pPr>
        <w:spacing w:after="0" w:line="221" w:lineRule="exact"/>
        <w:rPr>
          <w:sz w:val="20"/>
          <w:szCs w:val="20"/>
          <w:color w:val="auto"/>
        </w:rPr>
      </w:pPr>
    </w:p>
    <w:p>
      <w:pPr>
        <w:ind w:left="3183"/>
        <w:spacing w:after="0"/>
        <w:rPr>
          <w:sz w:val="20"/>
          <w:szCs w:val="20"/>
          <w:color w:val="auto"/>
        </w:rPr>
      </w:pPr>
      <w:r>
        <w:rPr>
          <w:rFonts w:ascii="Times New Roman" w:cs="Times New Roman" w:eastAsia="Times New Roman" w:hAnsi="Times New Roman"/>
          <w:sz w:val="22"/>
          <w:szCs w:val="22"/>
          <w:color w:val="auto"/>
        </w:rPr>
        <w:t>ELIGIBLE RECEIVABLE CRITERIA</w:t>
      </w:r>
    </w:p>
    <w:p>
      <w:pPr>
        <w:spacing w:after="0" w:line="313"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22"/>
          <w:szCs w:val="22"/>
          <w:color w:val="auto"/>
        </w:rPr>
        <w:t>An “Eligible Receivable” means a Receivable as to which all of the following conditions are satisfied:</w:t>
      </w:r>
    </w:p>
    <w:p>
      <w:pPr>
        <w:spacing w:after="0" w:line="205" w:lineRule="exact"/>
        <w:rPr>
          <w:sz w:val="20"/>
          <w:szCs w:val="20"/>
          <w:color w:val="auto"/>
        </w:rPr>
      </w:pPr>
    </w:p>
    <w:p>
      <w:pPr>
        <w:jc w:val="both"/>
        <w:ind w:left="3" w:firstLine="745"/>
        <w:spacing w:after="0" w:line="307" w:lineRule="auto"/>
        <w:tabs>
          <w:tab w:leader="none" w:pos="1291"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payable in Dollars in the United States and with respect to which, at the time of origination, the related Obligor provided as its most recent billing address an address located in the United States or one of its territories;</w:t>
      </w:r>
    </w:p>
    <w:p>
      <w:pPr>
        <w:spacing w:after="0" w:line="112" w:lineRule="exact"/>
        <w:rPr>
          <w:rFonts w:ascii="Times New Roman" w:cs="Times New Roman" w:eastAsia="Times New Roman" w:hAnsi="Times New Roman"/>
          <w:sz w:val="20"/>
          <w:szCs w:val="20"/>
          <w:color w:val="auto"/>
        </w:rPr>
      </w:pPr>
    </w:p>
    <w:p>
      <w:pPr>
        <w:jc w:val="both"/>
        <w:ind w:left="3" w:right="20" w:firstLine="745"/>
        <w:spacing w:after="0" w:line="244" w:lineRule="auto"/>
        <w:tabs>
          <w:tab w:leader="none" w:pos="129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Obligor is not the Originator, an Affiliate of the Originator, an employee of the Originator or any Affiliate of the Originator, the U.S. government or any State or any agency, department or instrumentality of the U.S. government or any State or other government entity;</w:t>
      </w:r>
    </w:p>
    <w:p>
      <w:pPr>
        <w:spacing w:after="0" w:line="172" w:lineRule="exact"/>
        <w:rPr>
          <w:rFonts w:ascii="Times New Roman" w:cs="Times New Roman" w:eastAsia="Times New Roman" w:hAnsi="Times New Roman"/>
          <w:sz w:val="22"/>
          <w:szCs w:val="22"/>
          <w:color w:val="auto"/>
        </w:rPr>
      </w:pPr>
    </w:p>
    <w:p>
      <w:pPr>
        <w:ind w:left="3" w:firstLine="745"/>
        <w:spacing w:after="0" w:line="258" w:lineRule="auto"/>
        <w:tabs>
          <w:tab w:leader="none" w:pos="129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if the primary Obligor has a credit bureau score obtained from Fair-Isaacs Corporation, Experian, Equifax of TransUnion LLC, the score is at least [***];</w:t>
      </w:r>
    </w:p>
    <w:p>
      <w:pPr>
        <w:spacing w:after="0" w:line="157"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29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if a Vroom Receivable, had an original Principal Balance of not less than $[***] and not more than $[***] or (ii) if not a Vroom Receivable, had an original Principal Balance of not less than $[***] and not more than $[***], and the related Obligor is required to make payments to the Post Office Boxes or the Local Bank Account under the control of the Servicer;</w:t>
      </w:r>
    </w:p>
    <w:p>
      <w:pPr>
        <w:spacing w:after="0" w:line="178"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29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 first Scheduled Payment due no more than 60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spacing w:after="0" w:line="178"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a Defaulted Receivable (a) at the time such Receivable first becomes part of the Collateral or</w:t>
      </w:r>
    </w:p>
    <w:p>
      <w:pPr>
        <w:spacing w:after="0" w:line="36" w:lineRule="exact"/>
        <w:rPr>
          <w:rFonts w:ascii="Times New Roman" w:cs="Times New Roman" w:eastAsia="Times New Roman" w:hAnsi="Times New Roman"/>
          <w:sz w:val="20"/>
          <w:szCs w:val="20"/>
          <w:color w:val="auto"/>
        </w:rPr>
      </w:pPr>
    </w:p>
    <w:p>
      <w:pPr>
        <w:ind w:left="303" w:hanging="303"/>
        <w:spacing w:after="0"/>
        <w:tabs>
          <w:tab w:leader="none" w:pos="30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related Cutoff Date;</w:t>
      </w:r>
    </w:p>
    <w:p>
      <w:pPr>
        <w:spacing w:after="0" w:line="181"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9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no more than [***]% of any related Scheduled Payment is more than [***] days past due at the time such Receivable first becomes part of the Collateral and, in the case of any Portfolio Purchase Receivables, on the date of any Securitization prepayment;</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37" w:lineRule="auto"/>
        <w:tabs>
          <w:tab w:leader="none" w:pos="129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sold and originated in the United States in the ordinary course of the Originator’s business pursuant to a transaction constituting a bona fide sale, which was created as a result of an advance by the Originator in the ordinary course of its business, directly to or for the benefit of an Obligor for the retail purchase or refinancing of the Financed Vehicle and which, to the best of the Borrower’s knowledge, was originated without fraud or misrepresentation;</w:t>
      </w:r>
    </w:p>
    <w:p>
      <w:pPr>
        <w:spacing w:after="0" w:line="200" w:lineRule="exact"/>
        <w:rPr>
          <w:sz w:val="20"/>
          <w:szCs w:val="20"/>
          <w:color w:val="auto"/>
        </w:rPr>
      </w:pPr>
    </w:p>
    <w:p>
      <w:pPr>
        <w:spacing w:after="0" w:line="385"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2"/>
          <w:szCs w:val="22"/>
          <w:color w:val="auto"/>
        </w:rPr>
        <w:t>SB-1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477520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7" w:right="339" w:bottom="1440" w:gutter="0" w:footer="0" w:header="0"/>
        </w:sectPr>
      </w:pPr>
    </w:p>
    <w:bookmarkStart w:id="218" w:name="page219"/>
    <w:bookmarkEnd w:id="218"/>
    <w:p>
      <w:pPr>
        <w:jc w:val="both"/>
        <w:ind w:left="-360" w:firstLine="745"/>
        <w:spacing w:after="0" w:line="239"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satisfies in all material respects the requirements of the Credit and Collection Policy as in effect as of the related Cutoff Date, was underwritten by the Originator in accordance with the Credit and Collection Policy, which shall have complied with, at the time of its origination, and shall remain in compliance with, all Requirements of Law, including all consumer protection laws;</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Borrower will have good and marketable title thereto and as to which there is no Lien (other than Liens arising pursuant to the related Receivable) against the related Financed Vehicle, and as to which at any time, the Administrative Agent, for the benefit of the Secured Parties, shall have a valid and perfected first priority security interest, free and clear of all Liens and rights of others;</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 of no fewer than [***] months and no more than [***] months;</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if a Band 1 Receivable, when taken together with all other Band 1 Receivables that are Eligible Receivables, does not cause the weighted average APR of all Band 1 Receivables that are Eligible Receivables to be less than [***]%; (ii) if a Band 2 Receivable, when taken together with all other Band 2 Receivables that are Eligible Receivables, does not cause the weighted average APR of all Band 2 Receivables that are Eligible Receivables to be less than [***]%; (iii) if a Band 3 Receivable, when taken together with all other Band 3 Receivables that are Eligible Receivables, does not cause the weighted average APR of all Band 3 Receivables that are Eligible Receivables to be less than [***]% or (iv) if a Band 4 Receivable, when taken together with all other Band 4 Receivables that are Eligible Receivables, does not cause the weighted average APR of all Band 4 Receivables that are Eligible Receivables to be less than [***]%;</w:t>
      </w:r>
    </w:p>
    <w:p>
      <w:pPr>
        <w:spacing w:after="0" w:line="180"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except in the case of a Portfolio Purchase Receivable, has a C-Score;</w:t>
      </w:r>
    </w:p>
    <w:p>
      <w:pPr>
        <w:spacing w:after="0" w:line="205"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 if not a Portfolio Purchase Receivable, has a maximum original term to maturity of [***] months or less, or (ii) if a Portfolio Purchase Receivable, has a maximum original term to maturity of [***] months or less;</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in the event that such Receivable is prepaid by the Obligor, a prepayment that fully pays the Principal Balance of such Receivable and any interest accrued at the related APR through the date of prepayment;</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originated in the United States by the Originator a Dealer approved by the Originator and which was sold to the Originator pursuant to a Dealer Agreement and sold to the Borrower by the Originator pursuant to the Purchase Agreement;</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92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designated for racing or use as a</w:t>
      </w:r>
    </w:p>
    <w:p>
      <w:pPr>
        <w:spacing w:after="0" w:line="200" w:lineRule="exact"/>
        <w:rPr>
          <w:sz w:val="20"/>
          <w:szCs w:val="20"/>
          <w:color w:val="auto"/>
        </w:rPr>
      </w:pPr>
    </w:p>
    <w:p>
      <w:pPr>
        <w:spacing w:after="0" w:line="38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vehicle for hire or, except in the case of an Eligible Commercial Vehicle, any other commercial use;</w:t>
      </w:r>
    </w:p>
    <w:p>
      <w:pPr>
        <w:spacing w:after="0" w:line="205" w:lineRule="exact"/>
        <w:rPr>
          <w:sz w:val="20"/>
          <w:szCs w:val="20"/>
          <w:color w:val="auto"/>
        </w:rPr>
      </w:pPr>
    </w:p>
    <w:p>
      <w:pPr>
        <w:jc w:val="both"/>
        <w:ind w:firstLine="745"/>
        <w:spacing w:after="0" w:line="244"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spacing w:after="0" w:line="172"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spacing w:after="0" w:line="178"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 Originator or the Borrower had done anything to impair the rights of the Secured Parties therein;</w:t>
      </w:r>
    </w:p>
    <w:p>
      <w:pPr>
        <w:spacing w:after="0" w:line="180" w:lineRule="exact"/>
        <w:rPr>
          <w:rFonts w:ascii="Times New Roman" w:cs="Times New Roman" w:eastAsia="Times New Roman" w:hAnsi="Times New Roman"/>
          <w:sz w:val="22"/>
          <w:szCs w:val="22"/>
          <w:color w:val="auto"/>
        </w:rPr>
      </w:pPr>
    </w:p>
    <w:p>
      <w:pPr>
        <w:jc w:val="both"/>
        <w:ind w:firstLine="745"/>
        <w:spacing w:after="0" w:line="237"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spacing w:after="0" w:line="180"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spacing w:after="0" w:line="178" w:lineRule="exact"/>
        <w:rPr>
          <w:rFonts w:ascii="Times New Roman" w:cs="Times New Roman" w:eastAsia="Times New Roman" w:hAnsi="Times New Roman"/>
          <w:sz w:val="22"/>
          <w:szCs w:val="22"/>
          <w:color w:val="auto"/>
        </w:rPr>
      </w:pPr>
    </w:p>
    <w:p>
      <w:pPr>
        <w:jc w:val="both"/>
        <w:ind w:firstLine="745"/>
        <w:spacing w:after="0" w:line="236"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except in accordance with the Credit and Collection Policy;</w:t>
      </w:r>
    </w:p>
    <w:p>
      <w:pPr>
        <w:spacing w:after="0" w:line="179"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the related Financed Vehicle is required by the terms of the related Contract to be covered by an individual physical damage insurance policy in an amount equal to the maximum insurable value of the related Financed Vehicle or the Amount Financed and the related Contract (a) if</w:t>
      </w:r>
    </w:p>
    <w:p>
      <w:pPr>
        <w:spacing w:after="0" w:line="200" w:lineRule="exact"/>
        <w:rPr>
          <w:sz w:val="20"/>
          <w:szCs w:val="20"/>
          <w:color w:val="auto"/>
        </w:rPr>
      </w:pPr>
    </w:p>
    <w:p>
      <w:pPr>
        <w:spacing w:after="0" w:line="37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220" w:name="page221"/>
    <w:bookmarkEnd w:id="220"/>
    <w:p>
      <w:pPr>
        <w:jc w:val="both"/>
        <w:spacing w:after="0" w:line="239" w:lineRule="auto"/>
        <w:rPr>
          <w:sz w:val="20"/>
          <w:szCs w:val="20"/>
          <w:color w:val="auto"/>
        </w:rPr>
      </w:pPr>
      <w:r>
        <w:rPr>
          <w:rFonts w:ascii="Times New Roman" w:cs="Times New Roman" w:eastAsia="Times New Roman" w:hAnsi="Times New Roman"/>
          <w:sz w:val="22"/>
          <w:szCs w:val="22"/>
          <w:color w:val="auto"/>
        </w:rPr>
        <w:t>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spacing w:after="0" w:line="179" w:lineRule="exact"/>
        <w:rPr>
          <w:sz w:val="20"/>
          <w:szCs w:val="20"/>
          <w:color w:val="auto"/>
        </w:rPr>
      </w:pPr>
    </w:p>
    <w:p>
      <w:pPr>
        <w:ind w:firstLine="745"/>
        <w:spacing w:after="0" w:line="258" w:lineRule="auto"/>
        <w:tabs>
          <w:tab w:leader="none" w:pos="12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constitutes “chattel paper” (including “tangible chattel paper” and “electronic chattel paper”) under and as defined in Article 9 of the UCC as then in effect in the UCC;</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Contract evidencing such Receivable, including the description of the motor vehicle and/or services contained therein, is in all respects complete, accurate and represents the entire agreement between the Originator and the Obligor;</w:t>
      </w:r>
    </w:p>
    <w:p>
      <w:pPr>
        <w:spacing w:after="0" w:line="172"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Custodian is holding the related Receivable File for the benefit of the Secured</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w:t>
      </w:r>
    </w:p>
    <w:p>
      <w:pPr>
        <w:spacing w:after="0" w:line="181"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any compromise, extension, rebate, adjustment, amendment or modification (including by the extension of time for payment or the granting of any discounts, allowances or credits) was made as permitted by the Credit and Collection Policy and [***];</w:t>
      </w:r>
    </w:p>
    <w:p>
      <w:pPr>
        <w:spacing w:after="0" w:line="172" w:lineRule="exact"/>
        <w:rPr>
          <w:rFonts w:ascii="Times New Roman" w:cs="Times New Roman" w:eastAsia="Times New Roman" w:hAnsi="Times New Roman"/>
          <w:sz w:val="22"/>
          <w:szCs w:val="22"/>
          <w:color w:val="auto"/>
        </w:rPr>
      </w:pPr>
    </w:p>
    <w:p>
      <w:pPr>
        <w:jc w:val="both"/>
        <w:ind w:firstLine="745"/>
        <w:spacing w:after="0" w:line="237" w:lineRule="auto"/>
        <w:tabs>
          <w:tab w:leader="none" w:pos="135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spacing w:after="0" w:line="180"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has not been repossessed from the Obligor on or prior to the related Cutoff Date;</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spacing w:after="0" w:line="172"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2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all proceeds on the related Contract were fully disbursed and there is no requirement for future advances thereunder and all fees and expenses in connection with the origination of the Receivable have been paid;</w:t>
      </w:r>
    </w:p>
    <w:p>
      <w:pPr>
        <w:spacing w:after="0" w:line="172" w:lineRule="exact"/>
        <w:rPr>
          <w:rFonts w:ascii="Times New Roman" w:cs="Times New Roman" w:eastAsia="Times New Roman" w:hAnsi="Times New Roman"/>
          <w:sz w:val="22"/>
          <w:szCs w:val="22"/>
          <w:color w:val="auto"/>
        </w:rPr>
      </w:pPr>
    </w:p>
    <w:p>
      <w:pPr>
        <w:jc w:val="both"/>
        <w:ind w:firstLine="745"/>
        <w:spacing w:after="0" w:line="244" w:lineRule="auto"/>
        <w:tabs>
          <w:tab w:leader="none" w:pos="1288"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provide for the substitution, exchange or addition of any Financed Vehicle to such Receivable and with respect to which the related Financed Vehicle was properly delivered to the related Obligor in good repair, without defects and in satisfactory order;</w:t>
      </w:r>
    </w:p>
    <w:p>
      <w:pPr>
        <w:spacing w:after="0" w:line="200" w:lineRule="exact"/>
        <w:rPr>
          <w:sz w:val="20"/>
          <w:szCs w:val="20"/>
          <w:color w:val="auto"/>
        </w:rPr>
      </w:pPr>
    </w:p>
    <w:p>
      <w:pPr>
        <w:spacing w:after="0" w:line="37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221" w:name="page222"/>
    <w:bookmarkEnd w:id="221"/>
    <w:p>
      <w:pPr>
        <w:jc w:val="both"/>
        <w:ind w:left="-360" w:firstLine="745"/>
        <w:spacing w:after="0" w:line="244" w:lineRule="auto"/>
        <w:tabs>
          <w:tab w:leader="none" w:pos="10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Servicer holds the Certificate of Title or the application for a Certificate of Title for the related Financed Vehicle or the Servicer will obtain within 180 days of the related Cutoff Date a Certificate of Title with respect to the Financed Vehicle as to which the Servicer holds only such application;</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101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Dealer (a) was selected by the Originator based on the Credit and Collection Policy,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33" w:lineRule="auto"/>
        <w:tabs>
          <w:tab w:leader="none" w:pos="98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spacing w:after="0" w:line="178"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if the related Financed Vehicle is titled in the State of Texas, such Financed Vehicle is a “motor vehicle” as defined in Section 501.002 of the Texas Transportation Code;</w:t>
      </w:r>
    </w:p>
    <w:p>
      <w:pPr>
        <w:spacing w:after="0" w:line="157"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has not been stamped or otherwise marked to show any interest or Lien of any other Person or any such stamp or other mark has been cancelled;</w:t>
      </w:r>
    </w:p>
    <w:p>
      <w:pPr>
        <w:spacing w:after="0" w:line="157"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meets such other reasonable criteria mutually agreed upon by the Borrower and the Administrative Agent from time to time;</w:t>
      </w:r>
    </w:p>
    <w:p>
      <w:pPr>
        <w:spacing w:after="0" w:line="157"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secured by a Financed Vehicle with a model year of [***]or later;</w:t>
      </w:r>
    </w:p>
    <w:p>
      <w:pPr>
        <w:spacing w:after="0" w:line="205"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was not noted in the records of the Originator or the Servicer as being the subject of any pending Insolvency Proceeding;</w:t>
      </w:r>
    </w:p>
    <w:p>
      <w:pPr>
        <w:spacing w:after="0" w:line="157"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928"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of such Receivable pursuant to the Purchase Agreement is valid and enforceable and does not require the consent of, or notice to, the related Obligor;</w:t>
      </w:r>
    </w:p>
    <w:p>
      <w:pPr>
        <w:spacing w:after="0" w:line="200" w:lineRule="exact"/>
        <w:rPr>
          <w:sz w:val="20"/>
          <w:szCs w:val="20"/>
          <w:color w:val="auto"/>
        </w:rPr>
      </w:pPr>
    </w:p>
    <w:p>
      <w:pPr>
        <w:spacing w:after="0" w:line="36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22" w:name="page223"/>
    <w:bookmarkEnd w:id="222"/>
    <w:p>
      <w:pPr>
        <w:jc w:val="both"/>
        <w:ind w:left="-360" w:firstLine="745"/>
        <w:spacing w:after="0" w:line="244" w:lineRule="auto"/>
        <w:tabs>
          <w:tab w:leader="none" w:pos="9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procedures that could reasonably be expected to be adverse to the interests of the Borrower or the Lenders were utilized by the Originator in selecting such Receivable for transfer to the Borrower pursuant to the Purchase Agreement;</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9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p>
    <w:p>
      <w:pPr>
        <w:spacing w:after="0" w:line="179"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Receivables that constitute tangible chattel paper, such tangible chattel paper is in the possession of the Servicer, and the Servicer (in its capacity as Custodian) is holding such tangible chattel paper solely on behalf and for the benefit of the Secured Parties.</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2" w:lineRule="auto"/>
        <w:tabs>
          <w:tab w:leader="none" w:pos="9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Receivables that constitute electronic chattel paper, (A) the Servicer has “control” of such electronic chattel paper within the meaning of Section 9-105 of the applicable UCC and the Servicer (in its capacity as Custodian) is maintaining control of such electronic chattel paper solely on behalf and for the benefit of the Secured Parties; (B) (i) only one authoritative copy of each contract that constitutes or evidences the Receivable exists, and each such authoritative copy (a) is unique, identifiable and unalterable (other than with the participation of UACC on behalf of the Secured Parties, in the case of an addition or change of an identified assignee and other than a revision that is readily identifiable as an authorized or unauthorized revision) and (b) has been communicated to and is maintained by the Servicer or a third party provider acting on behalf of UACC, (ii) the authoritative copy of the related Contract identifies only UACC as the assignee thereof, (iii) each copy of the authoritative copy of the related Contract and any copy of a copy are readily identifiable as copies that are not the authoritative copy and (iv) the Receivable has been established in a manner such that (a) all copies or revisions that add or change an identified assignee of the authoritative copy of each Contract that constitutes or evidences the Receivable must be made with the participation of UACC on behalf of the Secured Parties and (b) all revisions of the authoritative copy of each Contract that constitute or evidence the Receivable must be readily identifiable as to an authorized or unauthorized revision and (C) the Administrative Agent and the Lenders shall have received an opinion of [***], in form and substance acceptable to the Administrative Agent, regarding UACC’s “control” (within the meaning of Section 9-105 of the UCC) of Contracts that constitute “electronic chattel paper” (as defined in the UCC).</w:t>
      </w:r>
    </w:p>
    <w:p>
      <w:pPr>
        <w:spacing w:after="0" w:line="184"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92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Receivable that constitutes electronic chattel paper has been converted from tangible chattel paper, each of the following is true: (a) prior to such conversion to an electronic chattel paper, UACC or its agents had sole possession of such tangible chattel paper; (b) upon conversion or within 30 days after such conversion, each such tangible chattel paper was destroyed; (c) the destruction of such tangible chattel paper was conducted by UACC or a third party on behalf of UACC; (d) the destruction of such</w:t>
      </w:r>
    </w:p>
    <w:p>
      <w:pPr>
        <w:spacing w:after="0" w:line="200" w:lineRule="exact"/>
        <w:rPr>
          <w:sz w:val="20"/>
          <w:szCs w:val="20"/>
          <w:color w:val="auto"/>
        </w:rPr>
      </w:pPr>
    </w:p>
    <w:p>
      <w:pPr>
        <w:spacing w:after="0" w:line="38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23" w:name="page224"/>
    <w:bookmarkEnd w:id="223"/>
    <w:p>
      <w:pPr>
        <w:jc w:val="both"/>
        <w:spacing w:after="0" w:line="239" w:lineRule="auto"/>
        <w:rPr>
          <w:sz w:val="20"/>
          <w:szCs w:val="20"/>
          <w:color w:val="auto"/>
        </w:rPr>
      </w:pPr>
      <w:r>
        <w:rPr>
          <w:rFonts w:ascii="Times New Roman" w:cs="Times New Roman" w:eastAsia="Times New Roman" w:hAnsi="Times New Roman"/>
          <w:sz w:val="22"/>
          <w:szCs w:val="22"/>
          <w:color w:val="auto"/>
        </w:rPr>
        <w:t>tangible chattel paper is evidenced in a manner that is satisfactory to the Administrative Agent, whether by visual recording or certification of such third party or by any other means, and that such evidence is delivered to or made available to the Administrative Agent; and (e) at the time of or before such destruction of the tangible chattel paper, the applicable electronic chattel paper satisfied all of the requirements of paragraph 46 above.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477520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color w:val="auto"/>
        </w:rPr>
        <w:t>SCHEDULE C</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OF RECEIVABLES</w:t>
      </w:r>
    </w:p>
    <w:p>
      <w:pPr>
        <w:spacing w:after="0" w:line="3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(Original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color w:val="auto"/>
        </w:rPr>
        <w:t>SCHEDULE 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LOCATION OF RECEIVABLE FILES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1071 Camelback Street</w:t>
      </w:r>
    </w:p>
    <w:p>
      <w:pPr>
        <w:spacing w:after="0"/>
        <w:rPr>
          <w:sz w:val="20"/>
          <w:szCs w:val="20"/>
          <w:color w:val="auto"/>
        </w:rPr>
      </w:pPr>
      <w:r>
        <w:rPr>
          <w:rFonts w:ascii="Times New Roman" w:cs="Times New Roman" w:eastAsia="Times New Roman" w:hAnsi="Times New Roman"/>
          <w:sz w:val="22"/>
          <w:szCs w:val="22"/>
          <w:color w:val="auto"/>
        </w:rPr>
        <w:t>Newport Beach, California 92660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2"/>
          <w:szCs w:val="22"/>
          <w:color w:val="auto"/>
        </w:rPr>
        <w:t>SCHEDULE E</w:t>
      </w: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SCHEDULE OF DOCUMENTS</w:t>
      </w:r>
    </w:p>
    <w:p>
      <w:pPr>
        <w:spacing w:after="0" w:line="3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[CLOSING CHECKLIST TO BE ATTACHED]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2"/>
          <w:szCs w:val="22"/>
          <w:color w:val="auto"/>
        </w:rPr>
        <w:t>SCHEDULE F</w:t>
      </w:r>
    </w:p>
    <w:p>
      <w:pPr>
        <w:spacing w:after="0" w:line="200" w:lineRule="exact"/>
        <w:rPr>
          <w:sz w:val="20"/>
          <w:szCs w:val="20"/>
          <w:color w:val="auto"/>
        </w:rPr>
      </w:pPr>
    </w:p>
    <w:p>
      <w:pPr>
        <w:spacing w:after="0" w:line="2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ELIGIBLE COMMERCIAL VEHICLE CRITERIA</w:t>
      </w:r>
    </w:p>
    <w:p>
      <w:pPr>
        <w:spacing w:after="0" w:line="200" w:lineRule="exact"/>
        <w:rPr>
          <w:sz w:val="20"/>
          <w:szCs w:val="20"/>
          <w:color w:val="auto"/>
        </w:rPr>
      </w:pPr>
    </w:p>
    <w:p>
      <w:pPr>
        <w:spacing w:after="0" w:line="356" w:lineRule="exact"/>
        <w:rPr>
          <w:sz w:val="20"/>
          <w:szCs w:val="20"/>
          <w:color w:val="auto"/>
        </w:rPr>
      </w:pPr>
    </w:p>
    <w:p>
      <w:pPr>
        <w:ind w:left="960"/>
        <w:spacing w:after="0"/>
        <w:rPr>
          <w:sz w:val="20"/>
          <w:szCs w:val="20"/>
          <w:color w:val="auto"/>
        </w:rPr>
      </w:pPr>
      <w:r>
        <w:rPr>
          <w:rFonts w:ascii="Calibri" w:cs="Calibri" w:eastAsia="Calibri" w:hAnsi="Calibri"/>
          <w:sz w:val="22"/>
          <w:szCs w:val="22"/>
          <w:color w:val="auto"/>
        </w:rPr>
        <w:t>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SF-1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2"/>
          <w:szCs w:val="22"/>
          <w:color w:val="auto"/>
        </w:rPr>
        <w:t>SCHEDULE G</w:t>
      </w:r>
    </w:p>
    <w:p>
      <w:pPr>
        <w:spacing w:after="0" w:line="200" w:lineRule="exact"/>
        <w:rPr>
          <w:sz w:val="20"/>
          <w:szCs w:val="20"/>
          <w:color w:val="auto"/>
        </w:rPr>
      </w:pPr>
    </w:p>
    <w:p>
      <w:pPr>
        <w:spacing w:after="0" w:line="22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PORTFOLIO PURCHASE RECEIVABLES</w:t>
      </w:r>
    </w:p>
    <w:p>
      <w:pPr>
        <w:spacing w:after="0" w:line="39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FUNDING REQUEST</w:t>
      </w:r>
    </w:p>
    <w:p>
      <w:pPr>
        <w:spacing w:after="0" w:line="3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0"/>
          <w:szCs w:val="20"/>
          <w:color w:val="auto"/>
        </w:rPr>
        <w:t>____________, 201_</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Chase Tower, 7th Floor</w:t>
      </w:r>
    </w:p>
    <w:p>
      <w:pPr>
        <w:spacing w:after="0" w:line="230" w:lineRule="auto"/>
        <w:rPr>
          <w:sz w:val="20"/>
          <w:szCs w:val="20"/>
          <w:color w:val="auto"/>
        </w:rPr>
      </w:pPr>
      <w:r>
        <w:rPr>
          <w:rFonts w:ascii="Times New Roman" w:cs="Times New Roman" w:eastAsia="Times New Roman" w:hAnsi="Times New Roman"/>
          <w:sz w:val="22"/>
          <w:szCs w:val="22"/>
          <w:color w:val="auto"/>
        </w:rPr>
        <w:t>10 South Dearborn Street</w:t>
      </w:r>
    </w:p>
    <w:p>
      <w:pPr>
        <w:spacing w:after="0" w:line="230" w:lineRule="auto"/>
        <w:rPr>
          <w:sz w:val="20"/>
          <w:szCs w:val="20"/>
          <w:color w:val="auto"/>
        </w:rPr>
      </w:pPr>
      <w:r>
        <w:rPr>
          <w:rFonts w:ascii="Times New Roman" w:cs="Times New Roman" w:eastAsia="Times New Roman" w:hAnsi="Times New Roman"/>
          <w:sz w:val="22"/>
          <w:szCs w:val="22"/>
          <w:color w:val="auto"/>
        </w:rPr>
        <w:t>Mail Code IL1-0079</w:t>
      </w:r>
    </w:p>
    <w:p>
      <w:pPr>
        <w:spacing w:after="0" w:line="230" w:lineRule="auto"/>
        <w:rPr>
          <w:sz w:val="20"/>
          <w:szCs w:val="20"/>
          <w:color w:val="auto"/>
        </w:rPr>
      </w:pPr>
      <w:r>
        <w:rPr>
          <w:rFonts w:ascii="Times New Roman" w:cs="Times New Roman" w:eastAsia="Times New Roman" w:hAnsi="Times New Roman"/>
          <w:sz w:val="22"/>
          <w:szCs w:val="22"/>
          <w:color w:val="auto"/>
        </w:rPr>
        <w:t>Chicago, Illinois 60603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Asset-Backed Securities Conduit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5200" w:firstLine="802"/>
        <w:spacing w:after="0" w:line="434"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IV Warehouse Agreement</w:t>
      </w:r>
      <w:r>
        <w:rPr>
          <w:rFonts w:ascii="Times New Roman" w:cs="Times New Roman" w:eastAsia="Times New Roman" w:hAnsi="Times New Roman"/>
          <w:sz w:val="22"/>
          <w:szCs w:val="22"/>
          <w:color w:val="auto"/>
        </w:rPr>
        <w:t xml:space="preserve"> Ladies and Gentlemen:</w:t>
      </w:r>
    </w:p>
    <w:p>
      <w:pPr>
        <w:spacing w:after="0" w:line="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The undersigned is a Responsible Officer of UACC Auto Financing Trust IV (the “Borrower”) and is authorized to execute and deliver this Funding Request on behalf of the Borrower pursuant to the Warehouse Agreement, dated as of November 19, 2013 (as amended, restated, supplemented or otherwise modified from time to time, the “Warehouse Agreement”), among the Borrower, United Auto Credit Corporation, as servicer and as custodian, [***], as backup servicer and account bank, the Lenders from time to time party thereto, the Agents from time to time party thereto, and JPMorgan Chase Bank, N.A., as administrative agent. Capitalized terms not otherwise defined herein have the meanings ascribed thereto in the Warehouse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hereby requests that a Loan be made under the Warehouse Agreement on __________, ____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of $__________.</w:t>
      </w:r>
    </w:p>
    <w:p>
      <w:pPr>
        <w:spacing w:after="0" w:line="1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In connection with the foregoing, the undersigned hereby certifies, on behalf of the Borrower, as follows:</w:t>
      </w:r>
    </w:p>
    <w:p>
      <w:pPr>
        <w:spacing w:after="0" w:line="205" w:lineRule="exact"/>
        <w:rPr>
          <w:sz w:val="20"/>
          <w:szCs w:val="20"/>
          <w:color w:val="auto"/>
        </w:rPr>
      </w:pPr>
    </w:p>
    <w:p>
      <w:pPr>
        <w:jc w:val="both"/>
        <w:ind w:firstLine="757"/>
        <w:spacing w:after="0" w:line="237" w:lineRule="auto"/>
        <w:tabs>
          <w:tab w:leader="none" w:pos="101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Borrowing Base and the Maximum Borrowing Base (each calculated as of the previous Determination Date, or the later of, with respect to Receivables added to the Collateral following such Determination Date, but prior to or on such date of determination, the related Cutoff Date) is __________ and _________, respectively. Attached to this Funding Request is a true, complete and correct calculation of each of the Borrowing Base and the Maximum Borrowing Base and all components thereof.</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conditions applicable to the requested Loan as set forth in the Warehouse Agreement have been satisfied as of the date hereof and will remain satisfied to the date of such Loan, including: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0" w:name="page231"/>
    <w:bookmarkEnd w:id="230"/>
    <w:p>
      <w:pPr>
        <w:jc w:val="both"/>
        <w:ind w:left="740" w:firstLine="745"/>
        <w:spacing w:after="0" w:line="244" w:lineRule="auto"/>
        <w:tabs>
          <w:tab w:leader="none" w:pos="202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contained in Article Five of the Warehouse Agreement are true and correct in all respects on and as of the date hereof, before and after giving effect to the Loan and to the application of the proceeds therefrom as though made on and as of the date hereof;</w:t>
      </w:r>
    </w:p>
    <w:p>
      <w:pPr>
        <w:spacing w:after="0" w:line="172" w:lineRule="exact"/>
        <w:rPr>
          <w:rFonts w:ascii="Times New Roman" w:cs="Times New Roman" w:eastAsia="Times New Roman" w:hAnsi="Times New Roman"/>
          <w:sz w:val="22"/>
          <w:szCs w:val="22"/>
          <w:color w:val="auto"/>
        </w:rPr>
      </w:pPr>
    </w:p>
    <w:p>
      <w:pPr>
        <w:ind w:left="740" w:right="20" w:firstLine="745"/>
        <w:spacing w:after="0" w:line="258" w:lineRule="auto"/>
        <w:tabs>
          <w:tab w:leader="none" w:pos="202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or would result from such Loan or from the application of the proceeds therefrom, which constitutes a Termination Event;</w:t>
      </w:r>
    </w:p>
    <w:p>
      <w:pPr>
        <w:spacing w:after="0" w:line="157" w:lineRule="exact"/>
        <w:rPr>
          <w:rFonts w:ascii="Times New Roman" w:cs="Times New Roman" w:eastAsia="Times New Roman" w:hAnsi="Times New Roman"/>
          <w:sz w:val="22"/>
          <w:szCs w:val="22"/>
          <w:color w:val="auto"/>
        </w:rPr>
      </w:pPr>
    </w:p>
    <w:p>
      <w:pPr>
        <w:ind w:left="2020" w:hanging="535"/>
        <w:spacing w:after="0"/>
        <w:tabs>
          <w:tab w:leader="none" w:pos="202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in material compliance with each of its covenants set forth in the Warehouse Agreement;</w:t>
      </w:r>
    </w:p>
    <w:p>
      <w:pPr>
        <w:spacing w:after="0" w:line="36"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and</w:t>
      </w:r>
    </w:p>
    <w:p>
      <w:pPr>
        <w:spacing w:after="0" w:line="181" w:lineRule="exact"/>
        <w:rPr>
          <w:rFonts w:ascii="Times New Roman" w:cs="Times New Roman" w:eastAsia="Times New Roman" w:hAnsi="Times New Roman"/>
          <w:sz w:val="20"/>
          <w:szCs w:val="20"/>
          <w:color w:val="auto"/>
        </w:rPr>
      </w:pPr>
    </w:p>
    <w:p>
      <w:pPr>
        <w:ind w:left="2020" w:hanging="535"/>
        <w:spacing w:after="0"/>
        <w:tabs>
          <w:tab w:leader="none" w:pos="202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of the Borrower’s knowledge, no event has occurred which constitutes a Servicer Termination</w:t>
      </w:r>
    </w:p>
    <w:p>
      <w:pPr>
        <w:spacing w:after="0" w:line="36"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Event.</w:t>
      </w:r>
    </w:p>
    <w:p>
      <w:pPr>
        <w:spacing w:after="0" w:line="181" w:lineRule="exact"/>
        <w:rPr>
          <w:rFonts w:ascii="Times New Roman" w:cs="Times New Roman" w:eastAsia="Times New Roman" w:hAnsi="Times New Roman"/>
          <w:sz w:val="20"/>
          <w:szCs w:val="20"/>
          <w:color w:val="auto"/>
        </w:rPr>
      </w:pPr>
    </w:p>
    <w:p>
      <w:pPr>
        <w:ind w:left="-20" w:firstLine="757"/>
        <w:spacing w:after="0" w:line="258" w:lineRule="auto"/>
        <w:tabs>
          <w:tab w:leader="none" w:pos="99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Loan will not, on the Funding Date, exceed the Available Amount and the requested Loan, together with the Loans Outstanding, will not, on the Funding Date, exceed the Maximum Borrowing Base.</w:t>
      </w:r>
    </w:p>
    <w:p>
      <w:pPr>
        <w:spacing w:after="0" w:line="157" w:lineRule="exact"/>
        <w:rPr>
          <w:rFonts w:ascii="Times New Roman" w:cs="Times New Roman" w:eastAsia="Times New Roman" w:hAnsi="Times New Roman"/>
          <w:sz w:val="22"/>
          <w:szCs w:val="22"/>
          <w:color w:val="auto"/>
        </w:rPr>
      </w:pPr>
    </w:p>
    <w:p>
      <w:pPr>
        <w:jc w:val="both"/>
        <w:ind w:left="-20" w:firstLine="757"/>
        <w:spacing w:after="0" w:line="239" w:lineRule="auto"/>
        <w:tabs>
          <w:tab w:leader="none" w:pos="99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Coverage Ratio, (a) on any Funding Date, after giving effect to the inclusion of the Receivables being added to the Collateral on such Funding Date, is equal to ____%, which is equal to or less than the Weighted Average Advance Rate on such Funding Date, or (b) on the date of any Reborrowing, is equal to ___%, which is equal to or less than the Weighted Average Advance Rate on such date.</w:t>
      </w:r>
    </w:p>
    <w:p>
      <w:pPr>
        <w:spacing w:after="0" w:line="178" w:lineRule="exact"/>
        <w:rPr>
          <w:rFonts w:ascii="Times New Roman" w:cs="Times New Roman" w:eastAsia="Times New Roman" w:hAnsi="Times New Roman"/>
          <w:sz w:val="22"/>
          <w:szCs w:val="22"/>
          <w:color w:val="auto"/>
        </w:rPr>
      </w:pPr>
    </w:p>
    <w:p>
      <w:pPr>
        <w:ind w:left="-20" w:firstLine="757"/>
        <w:spacing w:after="0" w:line="258" w:lineRule="auto"/>
        <w:tabs>
          <w:tab w:leader="none" w:pos="99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hereto is a true, correct and complete Schedule A to the Purchase Agreement, reflecting all Receivables which will become part of the Collateral on the Funding Date, each Receivable reflected thereon being an Eligible Receivable.</w:t>
      </w:r>
    </w:p>
    <w:p>
      <w:pPr>
        <w:spacing w:after="0" w:line="134" w:lineRule="exact"/>
        <w:rPr>
          <w:sz w:val="20"/>
          <w:szCs w:val="20"/>
          <w:color w:val="auto"/>
        </w:rPr>
      </w:pPr>
    </w:p>
    <w:tbl>
      <w:tblPr>
        <w:tblLayout w:type="fixed"/>
        <w:tblInd w:w="740" w:type="dxa"/>
        <w:tblCellMar>
          <w:top w:w="0" w:type="dxa"/>
          <w:left w:w="0" w:type="dxa"/>
          <w:bottom w:w="0" w:type="dxa"/>
          <w:right w:w="0" w:type="dxa"/>
        </w:tblCellMar>
      </w:tblPr>
      <w:tr>
        <w:trPr>
          <w:trHeight w:val="253"/>
        </w:trPr>
        <w:tc>
          <w:tcPr>
            <w:tcW w:w="4660" w:type="dxa"/>
            <w:vAlign w:val="bottom"/>
          </w:tcPr>
          <w:p>
            <w:pPr>
              <w:spacing w:after="0"/>
              <w:rPr>
                <w:sz w:val="20"/>
                <w:szCs w:val="20"/>
                <w:color w:val="auto"/>
              </w:rPr>
            </w:pPr>
            <w:r>
              <w:rPr>
                <w:rFonts w:ascii="Times New Roman" w:cs="Times New Roman" w:eastAsia="Times New Roman" w:hAnsi="Times New Roman"/>
                <w:sz w:val="22"/>
                <w:szCs w:val="22"/>
                <w:color w:val="auto"/>
                <w:w w:val="98"/>
              </w:rPr>
              <w:t>(6)The Cutoff Date with respect to the Receivables is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 201 .</w:t>
            </w:r>
          </w:p>
        </w:tc>
      </w:tr>
      <w:tr>
        <w:trPr>
          <w:trHeight w:val="20"/>
        </w:trPr>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hanging="263"/>
        <w:spacing w:after="0"/>
        <w:tabs>
          <w:tab w:leader="none" w:pos="10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and after giving effect to the requested Loan, the Borrower is Solvent.</w:t>
      </w:r>
    </w:p>
    <w:p>
      <w:pPr>
        <w:spacing w:after="0" w:line="205" w:lineRule="exact"/>
        <w:rPr>
          <w:rFonts w:ascii="Times New Roman" w:cs="Times New Roman" w:eastAsia="Times New Roman" w:hAnsi="Times New Roman"/>
          <w:sz w:val="22"/>
          <w:szCs w:val="22"/>
          <w:color w:val="auto"/>
        </w:rPr>
      </w:pPr>
    </w:p>
    <w:p>
      <w:pPr>
        <w:ind w:left="4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UACC AUTO FINANCING TRUST IV</w:t>
      </w:r>
    </w:p>
    <w:p>
      <w:pPr>
        <w:spacing w:after="0" w:line="232" w:lineRule="exact"/>
        <w:rPr>
          <w:rFonts w:ascii="Times New Roman" w:cs="Times New Roman" w:eastAsia="Times New Roman" w:hAnsi="Times New Roman"/>
          <w:sz w:val="22"/>
          <w:szCs w:val="22"/>
          <w:color w:val="auto"/>
        </w:rPr>
      </w:pPr>
    </w:p>
    <w:p>
      <w:pPr>
        <w:ind w:left="44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-13970</wp:posOffset>
            </wp:positionV>
            <wp:extent cx="7620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6">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22"/>
          <w:szCs w:val="22"/>
          <w:color w:val="auto"/>
        </w:rPr>
        <w:t>Name:</w:t>
      </w:r>
    </w:p>
    <w:p>
      <w:pPr>
        <w:ind w:left="48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7"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w:t>
      </w:r>
    </w:p>
    <w:p>
      <w:pPr>
        <w:spacing w:after="0" w:line="313"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20"/>
          <w:szCs w:val="20"/>
          <w:color w:val="auto"/>
        </w:rPr>
        <w:t>[Date]</w:t>
      </w:r>
    </w:p>
    <w:p>
      <w:pPr>
        <w:spacing w:after="0" w:line="22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FOR VALUE RECEIVED, the undersigned, UACC AUTO FINANCING TRUST IV, a Delaware statutory trust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promises to pay to the order of JPMORGAN CHASE BANK, N.A., as agent for the Lenders (the “</w:t>
      </w:r>
      <w:r>
        <w:rPr>
          <w:rFonts w:ascii="Times New Roman" w:cs="Times New Roman" w:eastAsia="Times New Roman" w:hAnsi="Times New Roman"/>
          <w:sz w:val="22"/>
          <w:szCs w:val="22"/>
          <w:u w:val="single" w:color="auto"/>
          <w:color w:val="auto"/>
        </w:rPr>
        <w:t>Administrative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at the office of the Administrative Agent set forth in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the Borrower, United Auto Credit Corporation, as servicer and as custodian, [***], as backup servicer and account bank, the Lenders named therein, the Agents named therein and the Administrative Agent, on the Termination Date, in lawful money of the United States of America and in immediately available funds, the principal amount of [***] Dollars ($[***]),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Administrative Agent is authorized to record, on the schedules annexed hereto and made a part hereof or on other appropriate records, the date and the amount each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Administrative Agent to make any such recordation (or any error in such recordation) shall not affect the obligations of the Borrower hereunder or under the Warehouse Agreement in respect of the Loans or each Lender’s Invested Percentage thereof.</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Upon the occurrence of a Termination Event, the Administrative Agent, on behalf of the Secured Parties, shall have all of the remedies specified in the Warehouse Agreement. The Borrower hereby waives presentment, demand, protest and all notices of any kind.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2" w:name="page233"/>
    <w:bookmarkEnd w:id="232"/>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THIS NOTE SHALL BE GOVERNED BY, AND CONSTRUED AND INTERPRETED IN ACCORDANCE WITH, THE LAWS OF THE STATE OF NEW YORK WITHOUT REGARD TO PRINCIPLES OF CONFLICTS OF LAW (OTHER THAN SECTIONS 5-1401 AND 5-1402 OF THE NEW YORK GENERAL OBLIGATIONS LAW).</w:t>
      </w:r>
    </w:p>
    <w:p>
      <w:pPr>
        <w:spacing w:after="0" w:line="1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Borrower</w:t>
      </w: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33" w:name="page234"/>
    <w:bookmarkEnd w:id="233"/>
    <w:p>
      <w:pPr>
        <w:jc w:val="center"/>
        <w:ind w:right="-519"/>
        <w:spacing w:after="0"/>
        <w:rPr>
          <w:sz w:val="20"/>
          <w:szCs w:val="20"/>
          <w:color w:val="auto"/>
        </w:rPr>
      </w:pPr>
      <w:r>
        <w:rPr>
          <w:rFonts w:ascii="Times New Roman" w:cs="Times New Roman" w:eastAsia="Times New Roman" w:hAnsi="Times New Roman"/>
          <w:sz w:val="22"/>
          <w:szCs w:val="22"/>
          <w:color w:val="auto"/>
        </w:rPr>
        <w:t>Schedule 1 to</w:t>
      </w:r>
    </w:p>
    <w:p>
      <w:pPr>
        <w:spacing w:after="0" w:line="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Note</w:t>
      </w:r>
    </w:p>
    <w:p>
      <w:pPr>
        <w:spacing w:after="0" w:line="195" w:lineRule="exact"/>
        <w:rPr>
          <w:sz w:val="20"/>
          <w:szCs w:val="20"/>
          <w:color w:val="auto"/>
        </w:rPr>
      </w:pPr>
    </w:p>
    <w:p>
      <w:pPr>
        <w:spacing w:after="0"/>
        <w:tabs>
          <w:tab w:leader="none" w:pos="3320" w:val="left"/>
          <w:tab w:leader="none" w:pos="6020" w:val="left"/>
          <w:tab w:leader="none" w:pos="8940" w:val="left"/>
        </w:tabs>
        <w:rPr>
          <w:sz w:val="20"/>
          <w:szCs w:val="20"/>
          <w:color w:val="auto"/>
        </w:rPr>
      </w:pPr>
      <w:r>
        <w:rPr>
          <w:rFonts w:ascii="Times New Roman" w:cs="Times New Roman" w:eastAsia="Times New Roman" w:hAnsi="Times New Roman"/>
          <w:sz w:val="22"/>
          <w:szCs w:val="22"/>
          <w:u w:val="single" w:color="auto"/>
          <w:color w:val="auto"/>
        </w:rPr>
        <w:t>Invested Percentage of Loans</w:t>
      </w:r>
      <w:r>
        <w:rPr>
          <w:sz w:val="20"/>
          <w:szCs w:val="20"/>
          <w:color w:val="auto"/>
        </w:rPr>
        <w:tab/>
      </w:r>
      <w:r>
        <w:rPr>
          <w:rFonts w:ascii="Times New Roman" w:cs="Times New Roman" w:eastAsia="Times New Roman" w:hAnsi="Times New Roman"/>
          <w:sz w:val="22"/>
          <w:szCs w:val="22"/>
          <w:color w:val="auto"/>
        </w:rPr>
        <w:t>Interest on Loans</w:t>
      </w:r>
      <w:r>
        <w:rPr>
          <w:sz w:val="20"/>
          <w:szCs w:val="20"/>
          <w:color w:val="auto"/>
        </w:rPr>
        <w:tab/>
      </w:r>
      <w:r>
        <w:rPr>
          <w:rFonts w:ascii="Times New Roman" w:cs="Times New Roman" w:eastAsia="Times New Roman" w:hAnsi="Times New Roman"/>
          <w:sz w:val="22"/>
          <w:szCs w:val="22"/>
          <w:color w:val="auto"/>
        </w:rPr>
        <w:t>Payments on Loans</w:t>
      </w:r>
      <w:r>
        <w:rPr>
          <w:sz w:val="20"/>
          <w:szCs w:val="20"/>
          <w:color w:val="auto"/>
        </w:rPr>
        <w:tab/>
      </w:r>
      <w:r>
        <w:rPr>
          <w:rFonts w:ascii="Times New Roman" w:cs="Times New Roman" w:eastAsia="Times New Roman" w:hAnsi="Times New Roman"/>
          <w:sz w:val="20"/>
          <w:szCs w:val="20"/>
          <w:color w:val="auto"/>
        </w:rPr>
        <w:t>Notation by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19685</wp:posOffset>
            </wp:positionV>
            <wp:extent cx="520573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0">
                      <a:extLst>
                        <a:ext uri="{28A0092B-C50C-407E-A947-70E740481C1C}"/>
                      </a:extLst>
                    </a:blip>
                    <a:srcRect/>
                    <a:stretch>
                      <a:fillRect/>
                    </a:stretch>
                  </pic:blipFill>
                  <pic:spPr bwMode="auto">
                    <a:xfrm>
                      <a:off x="0" y="0"/>
                      <a:ext cx="520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477520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460" w:top="1407" w:right="9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ASSIGNMENT AND ACCEPTANCE</w:t>
      </w:r>
    </w:p>
    <w:p>
      <w:pPr>
        <w:spacing w:after="0" w:line="3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Dated __________, 201</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UACC Auto Financing Trust IV, as borrower, United Auto Credit Corporation, as servicer and as custodian, [***], as backup servicer and account bank, the lenders from time to time parties thereto and the agents from time to time parties thereto,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Capitalized terms used but not otherwise defined herein shall have the meaning given to them in the Warehouse Agreement.</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__________________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___________________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agree as follows:</w:t>
      </w:r>
    </w:p>
    <w:p>
      <w:pPr>
        <w:spacing w:after="0" w:line="205" w:lineRule="exact"/>
        <w:rPr>
          <w:sz w:val="20"/>
          <w:szCs w:val="20"/>
          <w:color w:val="auto"/>
        </w:rPr>
      </w:pPr>
    </w:p>
    <w:p>
      <w:pPr>
        <w:jc w:val="both"/>
        <w:ind w:firstLine="757"/>
        <w:spacing w:after="0" w:line="236" w:lineRule="auto"/>
        <w:tabs>
          <w:tab w:leader="none" w:pos="101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hereby sells and assigns to the Assignee, and the Assignee hereby purchases and assumes from the Assignor, that interest in and to all of the Assignor’s rights and obligations under the Warehouse Agreement as of the date hereof which represents the percentage interest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spacing w:after="0" w:line="179"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represents and warrants that it is the legal and beneficial owner of the interest being assigned by it hereunder and that such interest is free and clear of any Lien.</w:t>
      </w:r>
    </w:p>
    <w:p>
      <w:pPr>
        <w:spacing w:after="0" w:line="157"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5" w:name="page236"/>
    <w:bookmarkEnd w:id="235"/>
    <w:p>
      <w:pPr>
        <w:jc w:val="both"/>
        <w:spacing w:after="0" w:line="239" w:lineRule="auto"/>
        <w:rPr>
          <w:sz w:val="20"/>
          <w:szCs w:val="20"/>
          <w:color w:val="auto"/>
        </w:rPr>
      </w:pPr>
      <w:r>
        <w:rPr>
          <w:rFonts w:ascii="Times New Roman" w:cs="Times New Roman" w:eastAsia="Times New Roman" w:hAnsi="Times New Roman"/>
          <w:sz w:val="22"/>
          <w:szCs w:val="22"/>
          <w:color w:val="auto"/>
        </w:rPr>
        <w:t>Assignee agrees that it will perform in accordance with their terms all of the obligations which by 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spacing w:after="0" w:line="179" w:lineRule="exact"/>
        <w:rPr>
          <w:sz w:val="20"/>
          <w:szCs w:val="20"/>
          <w:color w:val="auto"/>
        </w:rPr>
      </w:pPr>
    </w:p>
    <w:p>
      <w:pPr>
        <w:jc w:val="both"/>
        <w:ind w:firstLine="757"/>
        <w:spacing w:after="0" w:line="244"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execution of this Assignment and Acceptance by the Assignor and the Assignee, it will be delivered to the Administrative Agent for acceptance. The effective date of this Assignment and Acceptance (the “</w:t>
      </w:r>
      <w:r>
        <w:rPr>
          <w:rFonts w:ascii="Times New Roman" w:cs="Times New Roman" w:eastAsia="Times New Roman" w:hAnsi="Times New Roman"/>
          <w:sz w:val="22"/>
          <w:szCs w:val="22"/>
          <w:u w:val="single" w:color="auto"/>
          <w:color w:val="auto"/>
        </w:rPr>
        <w:t>Assignment Date</w:t>
      </w:r>
      <w:r>
        <w:rPr>
          <w:rFonts w:ascii="Times New Roman" w:cs="Times New Roman" w:eastAsia="Times New Roman" w:hAnsi="Times New Roman"/>
          <w:sz w:val="22"/>
          <w:szCs w:val="22"/>
          <w:color w:val="auto"/>
        </w:rPr>
        <w:t>”) shall be the date of acceptance thereof by the Administrative Agent, unless a later date is specified in Section 3 of Schedule 1.</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coving all or the remaining portion of an assigning Assignor’s rights and obligations under the Warehouse Agreement, Assignor shall cease to be a party thereto).</w:t>
      </w:r>
    </w:p>
    <w:p>
      <w:pPr>
        <w:spacing w:after="0" w:line="179"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spacing w:after="0" w:line="176" w:lineRule="exact"/>
        <w:rPr>
          <w:rFonts w:ascii="Times New Roman" w:cs="Times New Roman" w:eastAsia="Times New Roman" w:hAnsi="Times New Roman"/>
          <w:sz w:val="22"/>
          <w:szCs w:val="22"/>
          <w:color w:val="auto"/>
        </w:rPr>
      </w:pPr>
    </w:p>
    <w:p>
      <w:pPr>
        <w:ind w:right="1100" w:firstLine="757"/>
        <w:spacing w:after="0" w:line="261" w:lineRule="auto"/>
        <w:tabs>
          <w:tab w:leader="none" w:pos="1018"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THIS ASSIGNMENT AND ACCEPTANCE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6" w:name="page237"/>
    <w:bookmarkEnd w:id="236"/>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Assignor and the Assignee have executed this Acceptance and Assignment as of the __ day of ________, 201 .</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30" w:lineRule="auto"/>
        <w:rPr>
          <w:sz w:val="20"/>
          <w:szCs w:val="20"/>
          <w:color w:val="auto"/>
        </w:rPr>
      </w:pPr>
      <w:r>
        <w:rPr>
          <w:rFonts w:ascii="Times New Roman" w:cs="Times New Roman" w:eastAsia="Times New Roman" w:hAnsi="Times New Roman"/>
          <w:sz w:val="22"/>
          <w:szCs w:val="22"/>
          <w:color w:val="auto"/>
        </w:rPr>
        <w:t>1071 Camelback Street</w:t>
      </w:r>
    </w:p>
    <w:p>
      <w:pPr>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spacing w:after="0" w:line="231" w:lineRule="auto"/>
        <w:rPr>
          <w:sz w:val="20"/>
          <w:szCs w:val="20"/>
          <w:color w:val="auto"/>
        </w:rPr>
      </w:pPr>
      <w:r>
        <w:rPr>
          <w:rFonts w:ascii="Times New Roman" w:cs="Times New Roman" w:eastAsia="Times New Roman" w:hAnsi="Times New Roman"/>
          <w:sz w:val="22"/>
          <w:szCs w:val="22"/>
          <w:color w:val="auto"/>
        </w:rPr>
        <w:t>Telephone No.: [***]</w:t>
      </w: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7" w:right="579"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58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8"/>
              </w:rPr>
              <w:t>Schedule 1</w:t>
            </w:r>
          </w:p>
        </w:tc>
        <w:tc>
          <w:tcPr>
            <w:tcW w:w="4120" w:type="dxa"/>
            <w:vAlign w:val="bottom"/>
          </w:tcPr>
          <w:p>
            <w:pPr>
              <w:spacing w:after="0"/>
              <w:rPr>
                <w:sz w:val="22"/>
                <w:szCs w:val="22"/>
                <w:color w:val="auto"/>
              </w:rPr>
            </w:pPr>
          </w:p>
        </w:tc>
      </w:tr>
      <w:tr>
        <w:trPr>
          <w:trHeight w:val="243"/>
        </w:trPr>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80" w:type="dxa"/>
            <w:vAlign w:val="bottom"/>
          </w:tcPr>
          <w:p>
            <w:pPr>
              <w:jc w:val="center"/>
              <w:ind w:left="1472"/>
              <w:spacing w:after="0" w:line="243" w:lineRule="exact"/>
              <w:rPr>
                <w:sz w:val="20"/>
                <w:szCs w:val="20"/>
                <w:color w:val="auto"/>
              </w:rPr>
            </w:pPr>
            <w:r>
              <w:rPr>
                <w:rFonts w:ascii="Times New Roman" w:cs="Times New Roman" w:eastAsia="Times New Roman" w:hAnsi="Times New Roman"/>
                <w:sz w:val="22"/>
                <w:szCs w:val="22"/>
                <w:color w:val="auto"/>
                <w:w w:val="93"/>
              </w:rPr>
              <w:t>to</w:t>
            </w:r>
          </w:p>
        </w:tc>
        <w:tc>
          <w:tcPr>
            <w:tcW w:w="4120" w:type="dxa"/>
            <w:vAlign w:val="bottom"/>
          </w:tcPr>
          <w:p>
            <w:pPr>
              <w:spacing w:after="0"/>
              <w:rPr>
                <w:sz w:val="21"/>
                <w:szCs w:val="21"/>
                <w:color w:val="auto"/>
              </w:rPr>
            </w:pPr>
          </w:p>
        </w:tc>
      </w:tr>
      <w:tr>
        <w:trPr>
          <w:trHeight w:val="243"/>
        </w:trPr>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80" w:type="dxa"/>
            <w:vAlign w:val="bottom"/>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Assignment and Acceptance</w:t>
            </w:r>
          </w:p>
        </w:tc>
        <w:tc>
          <w:tcPr>
            <w:tcW w:w="4120" w:type="dxa"/>
            <w:vAlign w:val="bottom"/>
          </w:tcPr>
          <w:p>
            <w:pPr>
              <w:spacing w:after="0"/>
              <w:rPr>
                <w:sz w:val="21"/>
                <w:szCs w:val="21"/>
                <w:color w:val="auto"/>
              </w:rPr>
            </w:pPr>
          </w:p>
        </w:tc>
      </w:tr>
      <w:tr>
        <w:trPr>
          <w:trHeight w:val="282"/>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Dated _________, 201</w:t>
            </w:r>
          </w:p>
        </w:tc>
        <w:tc>
          <w:tcPr>
            <w:tcW w:w="4120" w:type="dxa"/>
            <w:vAlign w:val="bottom"/>
          </w:tcPr>
          <w:p>
            <w:pPr>
              <w:spacing w:after="0"/>
              <w:rPr>
                <w:sz w:val="24"/>
                <w:szCs w:val="24"/>
                <w:color w:val="auto"/>
              </w:rPr>
            </w:pPr>
          </w:p>
        </w:tc>
      </w:tr>
      <w:tr>
        <w:trPr>
          <w:trHeight w:val="635"/>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Percentage Interest:</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w:t>
            </w:r>
          </w:p>
        </w:tc>
      </w:tr>
      <w:tr>
        <w:trPr>
          <w:trHeight w:val="541"/>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Assignee’s Commitment:</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485"/>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Aggregate Lender Advances Owing to the Assignee:</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541"/>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Assignment Date: _____________, 201</w:t>
            </w:r>
          </w:p>
        </w:tc>
        <w:tc>
          <w:tcPr>
            <w:tcW w:w="4120" w:type="dxa"/>
            <w:vAlign w:val="bottom"/>
          </w:tcPr>
          <w:p>
            <w:pPr>
              <w:spacing w:after="0"/>
              <w:rPr>
                <w:sz w:val="24"/>
                <w:szCs w:val="24"/>
                <w:color w:val="auto"/>
              </w:rPr>
            </w:pPr>
          </w:p>
        </w:tc>
      </w:tr>
      <w:tr>
        <w:trPr>
          <w:trHeight w:val="876"/>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6"/>
              </w:rPr>
              <w:t>C-4</w:t>
            </w:r>
          </w:p>
        </w:tc>
        <w:tc>
          <w:tcPr>
            <w:tcW w:w="4120" w:type="dxa"/>
            <w:vAlign w:val="bottom"/>
          </w:tcPr>
          <w:p>
            <w:pPr>
              <w:spacing w:after="0"/>
              <w:rPr>
                <w:sz w:val="24"/>
                <w:szCs w:val="24"/>
                <w:color w:val="auto"/>
              </w:rPr>
            </w:pPr>
          </w:p>
        </w:tc>
      </w:tr>
      <w:tr>
        <w:trPr>
          <w:trHeight w:val="750"/>
        </w:trPr>
        <w:tc>
          <w:tcPr>
            <w:tcW w:w="1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00" w:lineRule="exact"/>
        <w:rPr>
          <w:sz w:val="20"/>
          <w:szCs w:val="20"/>
          <w:color w:val="auto"/>
        </w:rPr>
      </w:pP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POWER OF ATTORNEY</w:t>
      </w:r>
    </w:p>
    <w:p>
      <w:pPr>
        <w:spacing w:after="0" w:line="31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Power of Attorney (this “</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is executed and delivered by UACC Auto Financing Trust IV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to JPMorgan Chase Bank, N.A., as Administrative Agent (“</w:t>
      </w:r>
      <w:r>
        <w:rPr>
          <w:rFonts w:ascii="Times New Roman" w:cs="Times New Roman" w:eastAsia="Times New Roman" w:hAnsi="Times New Roman"/>
          <w:sz w:val="22"/>
          <w:szCs w:val="22"/>
          <w:u w:val="single" w:color="auto"/>
          <w:color w:val="auto"/>
        </w:rPr>
        <w:t>Attorney</w:t>
      </w:r>
      <w:r>
        <w:rPr>
          <w:rFonts w:ascii="Times New Roman" w:cs="Times New Roman" w:eastAsia="Times New Roman" w:hAnsi="Times New Roman"/>
          <w:sz w:val="22"/>
          <w:szCs w:val="22"/>
          <w:color w:val="auto"/>
        </w:rPr>
        <w:t>”), pursuant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UACC Auto Financing Trust IV, as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Auto Credit Corporation, as servicer and as custodian, [***], as backup servicer and account bank, the lenders from time to time parties thereto, the agents from time to time parties thereto, and JPMorgan Chase Bank, N.A., as administrative agent. Capitalized terms used herein that are not otherwise defined shall have the meanings ascribed thereto in the Warehouse Agreement.</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w:t>
      </w:r>
    </w:p>
    <w:p>
      <w:pPr>
        <w:spacing w:after="0" w:line="18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 instruments of conveyance or transfer in connection therewith; and (f) cause the certified public accountants then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0" w:name="page241"/>
    <w:bookmarkEnd w:id="240"/>
    <w:p>
      <w:pPr>
        <w:jc w:val="both"/>
        <w:spacing w:after="0" w:line="235" w:lineRule="auto"/>
        <w:rPr>
          <w:sz w:val="20"/>
          <w:szCs w:val="20"/>
          <w:color w:val="auto"/>
        </w:rPr>
      </w:pPr>
      <w:r>
        <w:rPr>
          <w:rFonts w:ascii="Times New Roman" w:cs="Times New Roman" w:eastAsia="Times New Roman" w:hAnsi="Times New Roman"/>
          <w:sz w:val="22"/>
          <w:szCs w:val="22"/>
          <w:color w:val="auto"/>
        </w:rPr>
        <w:t>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Grantor hereby ratifies, to the extent permitted by Applicable Law, all that said attorneys shall lawfully do or cause to be done by virtue hereof.</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this Power of Attorney is executed by Grantor as of this __ day of November 2013.</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IV</w:t>
      </w: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Sworn to and subscribed before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 this __ day of November 2013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2"/>
          <w:szCs w:val="22"/>
          <w:color w:val="auto"/>
        </w:rPr>
        <w:t>EXHIBIT F</w:t>
      </w:r>
    </w:p>
    <w:p>
      <w:pPr>
        <w:spacing w:after="0" w:line="200" w:lineRule="exact"/>
        <w:rPr>
          <w:sz w:val="20"/>
          <w:szCs w:val="20"/>
          <w:color w:val="auto"/>
        </w:rPr>
      </w:pP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3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2"/>
          <w:szCs w:val="22"/>
          <w:color w:val="auto"/>
        </w:rPr>
        <w:t>EXHIBIT 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RELEASE OF DOCUMENTS</w:t>
      </w:r>
    </w:p>
    <w:p>
      <w:pPr>
        <w:spacing w:after="0" w:line="3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36969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1">
                      <a:extLst>
                        <a:ext uri="{28A0092B-C50C-407E-A947-70E740481C1C}"/>
                      </a:extLst>
                    </a:blip>
                    <a:srcRect/>
                    <a:stretch>
                      <a:fillRect/>
                    </a:stretch>
                  </pic:blipFill>
                  <pic:spPr bwMode="auto">
                    <a:xfrm>
                      <a:off x="0" y="0"/>
                      <a:ext cx="1369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36969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2">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-13970</wp:posOffset>
            </wp:positionV>
            <wp:extent cx="101981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85" w:lineRule="exact"/>
        <w:rPr>
          <w:sz w:val="20"/>
          <w:szCs w:val="20"/>
          <w:color w:val="auto"/>
        </w:rPr>
      </w:pPr>
    </w:p>
    <w:p>
      <w:pPr>
        <w:ind w:right="5200" w:firstLine="802"/>
        <w:spacing w:after="0" w:line="434"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IV Warehouse Agreement</w:t>
      </w:r>
      <w:r>
        <w:rPr>
          <w:rFonts w:ascii="Times New Roman" w:cs="Times New Roman" w:eastAsia="Times New Roman" w:hAnsi="Times New Roman"/>
          <w:sz w:val="22"/>
          <w:szCs w:val="22"/>
          <w:color w:val="auto"/>
        </w:rPr>
        <w:t xml:space="preserve"> Ladies and Gentlemen:</w:t>
      </w:r>
    </w:p>
    <w:p>
      <w:pPr>
        <w:spacing w:after="0" w:line="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UACC Auto Financing Trust IV, as borrower, United Auto Credit Corporation, as servicer (the “Servicer”) and as custodian, [***], as backup servicer and account bank, the lenders from time to time parties thereto, the agents from time to time parties thereto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undersigned, in its capacity as Servicer under the Warehouse Agreement, hereby requests (check one):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that the Custodian release to the Servicer the Receivable Files or other documents set forth on Schedule A to this</w:t>
      </w:r>
    </w:p>
    <w:p>
      <w:pPr>
        <w:spacing w:after="0" w:line="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Release of Documents. All documents so released to the Servicer shall be held by the Servicer in trust for the benefit of the Administrative Agent in accordance with the terms of the Warehouse Agreement and the Servicer agrees to return to the Custodian the Receivable File or other such documents when the Servicer’s need therefor no longer exists.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 that the Custodian permanently release to the Servicer the Receivable Files or other documents set forth on</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Schedule B to this Release of Documents and the Servicer certifies with respect to such Receivable Files that the related Receivable has been liquidated, prepaid or repaid and that all amounts received in connection with such liquidated Receivable have been credited to the Collection Account as provided in the Warehouse Agreement.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3" w:name="page244"/>
    <w:bookmarkEnd w:id="243"/>
    <w:p>
      <w:pPr>
        <w:ind w:left="760"/>
        <w:spacing w:after="0"/>
        <w:rPr>
          <w:sz w:val="20"/>
          <w:szCs w:val="20"/>
          <w:color w:val="auto"/>
        </w:rPr>
      </w:pPr>
      <w:r>
        <w:rPr>
          <w:rFonts w:ascii="Times New Roman" w:cs="Times New Roman" w:eastAsia="Times New Roman" w:hAnsi="Times New Roman"/>
          <w:sz w:val="20"/>
          <w:szCs w:val="20"/>
          <w:color w:val="auto"/>
        </w:rPr>
        <w:t>The undersigned has executed this Release of Documents as of the date first written above.</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jc w:val="center"/>
        <w:ind w:right="-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64401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5">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28130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6">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2"/>
          <w:szCs w:val="22"/>
          <w:color w:val="auto"/>
        </w:rPr>
        <w:t>Name:</w:t>
      </w:r>
    </w:p>
    <w:p>
      <w:pPr>
        <w:ind w:left="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22"/>
          <w:szCs w:val="22"/>
          <w:color w:val="auto"/>
        </w:rPr>
        <w:t>EXHIBIT 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RECEIVABLE RECEIPT</w:t>
      </w:r>
    </w:p>
    <w:p>
      <w:pPr>
        <w:spacing w:after="0" w:line="3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Chase Tower, 7th Floor</w:t>
      </w:r>
    </w:p>
    <w:p>
      <w:pPr>
        <w:spacing w:after="0" w:line="230" w:lineRule="auto"/>
        <w:rPr>
          <w:sz w:val="20"/>
          <w:szCs w:val="20"/>
          <w:color w:val="auto"/>
        </w:rPr>
      </w:pPr>
      <w:r>
        <w:rPr>
          <w:rFonts w:ascii="Times New Roman" w:cs="Times New Roman" w:eastAsia="Times New Roman" w:hAnsi="Times New Roman"/>
          <w:sz w:val="22"/>
          <w:szCs w:val="22"/>
          <w:color w:val="auto"/>
        </w:rPr>
        <w:t>10 South Dearborn Street</w:t>
      </w:r>
    </w:p>
    <w:p>
      <w:pPr>
        <w:spacing w:after="0" w:line="230" w:lineRule="auto"/>
        <w:rPr>
          <w:sz w:val="20"/>
          <w:szCs w:val="20"/>
          <w:color w:val="auto"/>
        </w:rPr>
      </w:pPr>
      <w:r>
        <w:rPr>
          <w:rFonts w:ascii="Times New Roman" w:cs="Times New Roman" w:eastAsia="Times New Roman" w:hAnsi="Times New Roman"/>
          <w:sz w:val="22"/>
          <w:szCs w:val="22"/>
          <w:color w:val="auto"/>
        </w:rPr>
        <w:t>Mail Code IL1-0079</w:t>
      </w:r>
    </w:p>
    <w:p>
      <w:pPr>
        <w:spacing w:after="0" w:line="230" w:lineRule="auto"/>
        <w:rPr>
          <w:sz w:val="20"/>
          <w:szCs w:val="20"/>
          <w:color w:val="auto"/>
        </w:rPr>
      </w:pPr>
      <w:r>
        <w:rPr>
          <w:rFonts w:ascii="Times New Roman" w:cs="Times New Roman" w:eastAsia="Times New Roman" w:hAnsi="Times New Roman"/>
          <w:sz w:val="22"/>
          <w:szCs w:val="22"/>
          <w:color w:val="auto"/>
        </w:rPr>
        <w:t>Chicago, Illinois 60603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Asset-Backed Securities Conduit Group</w:t>
      </w:r>
    </w:p>
    <w:p>
      <w:pPr>
        <w:spacing w:after="0" w:line="18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IV Warehouse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19, 2013 (as amended, restated, supplemented or otherwise modified from time to time, the “</w:t>
      </w:r>
      <w:r>
        <w:rPr>
          <w:rFonts w:ascii="Times New Roman" w:cs="Times New Roman" w:eastAsia="Times New Roman" w:hAnsi="Times New Roman"/>
          <w:sz w:val="22"/>
          <w:szCs w:val="22"/>
          <w:u w:val="single" w:color="auto"/>
          <w:color w:val="auto"/>
        </w:rPr>
        <w:t>Warehouse Agreement</w:t>
      </w:r>
      <w:r>
        <w:rPr>
          <w:rFonts w:ascii="Times New Roman" w:cs="Times New Roman" w:eastAsia="Times New Roman" w:hAnsi="Times New Roman"/>
          <w:sz w:val="22"/>
          <w:szCs w:val="22"/>
          <w:color w:val="auto"/>
        </w:rPr>
        <w:t>”), among UACC Auto Financing Trust IV, as borrower, United Auto Credit Corporation (“</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as servicer and as custodian (in such capacity, the “</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 as backup servicer and account bank, the lenders from time to time parties thereto, the agents from time to time parties thereto and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undersigned, on behalf of UACC, in its capacity as Custodian under the Warehouse Agreement, hereby acknowledges (i) delivery of the executed original counterpart of the Contracts set forth on Schedule 1 hereto, evidencing the related Receivables and (ii) stating that the executed original counterparts of the Contracts set forth on Schedule 2 hereto have not been delivered to the Custodian or are mutilated or damaged in any material respect.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2"/>
          <w:szCs w:val="22"/>
          <w:color w:val="auto"/>
        </w:rPr>
        <w:t>Schedule 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3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2"/>
          <w:szCs w:val="22"/>
          <w:color w:val="auto"/>
        </w:rPr>
        <w:t>EXHIBIT I</w:t>
      </w: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Authorized Representatives</w:t>
      </w:r>
    </w:p>
    <w:p>
      <w:pPr>
        <w:spacing w:after="0" w:line="25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[Attached]</w:t>
      </w:r>
    </w:p>
    <w:p>
      <w:pPr>
        <w:spacing w:after="0" w:line="3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58" w:lineRule="exact"/>
        <w:rPr>
          <w:sz w:val="20"/>
          <w:szCs w:val="20"/>
          <w:color w:val="auto"/>
        </w:rPr>
      </w:pPr>
    </w:p>
    <w:p>
      <w:pPr>
        <w:ind w:left="2746" w:right="200" w:hanging="2746"/>
        <w:spacing w:after="0" w:line="281" w:lineRule="auto"/>
        <w:tabs>
          <w:tab w:leader="none" w:pos="43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both (i) not material and (ii) the type that the Registrant treats as private or confidential.</w:t>
      </w:r>
    </w:p>
    <w:p>
      <w:pPr>
        <w:spacing w:after="0" w:line="153" w:lineRule="exact"/>
        <w:rPr>
          <w:sz w:val="20"/>
          <w:szCs w:val="20"/>
          <w:color w:val="auto"/>
        </w:rPr>
      </w:pPr>
    </w:p>
    <w:p>
      <w:pPr>
        <w:jc w:val="center"/>
        <w:ind w:right="194"/>
        <w:spacing w:after="0"/>
        <w:rPr>
          <w:sz w:val="20"/>
          <w:szCs w:val="20"/>
          <w:color w:val="auto"/>
        </w:rPr>
      </w:pPr>
      <w:r>
        <w:rPr>
          <w:rFonts w:ascii="Times New Roman" w:cs="Times New Roman" w:eastAsia="Times New Roman" w:hAnsi="Times New Roman"/>
          <w:sz w:val="22"/>
          <w:szCs w:val="22"/>
          <w:color w:val="auto"/>
        </w:rPr>
        <w:t>UACC AUTO FINANCING TRUST III,</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Borrower,</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Servicer and Custodian,</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Backup Servicer and Account Bank,</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the LENDERS</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the AGENTS</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1" w:lineRule="exact"/>
        <w:rPr>
          <w:sz w:val="20"/>
          <w:szCs w:val="20"/>
          <w:color w:val="auto"/>
        </w:rPr>
      </w:pPr>
    </w:p>
    <w:p>
      <w:pPr>
        <w:ind w:left="5306"/>
        <w:spacing w:after="0"/>
        <w:rPr>
          <w:sz w:val="20"/>
          <w:szCs w:val="20"/>
          <w:color w:val="auto"/>
        </w:rPr>
      </w:pPr>
      <w:r>
        <w:rPr>
          <w:rFonts w:ascii="Times New Roman" w:cs="Times New Roman" w:eastAsia="Times New Roman" w:hAnsi="Times New Roman"/>
          <w:sz w:val="22"/>
          <w:szCs w:val="22"/>
          <w:color w:val="auto"/>
        </w:rPr>
        <w:t>and</w:t>
      </w:r>
    </w:p>
    <w:p>
      <w:pPr>
        <w:spacing w:after="0" w:line="205" w:lineRule="exact"/>
        <w:rPr>
          <w:sz w:val="20"/>
          <w:szCs w:val="20"/>
          <w:color w:val="auto"/>
        </w:rPr>
      </w:pPr>
    </w:p>
    <w:p>
      <w:pPr>
        <w:ind w:left="3026"/>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406400</wp:posOffset>
            </wp:positionV>
            <wp:extent cx="242316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1">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06"/>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14" w:lineRule="exact"/>
        <w:rPr>
          <w:sz w:val="20"/>
          <w:szCs w:val="20"/>
          <w:color w:val="auto"/>
        </w:rPr>
      </w:pPr>
    </w:p>
    <w:p>
      <w:pPr>
        <w:ind w:left="4106"/>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08"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Dated as of July 16, 2013</w:t>
      </w:r>
    </w:p>
    <w:p>
      <w:pPr>
        <w:spacing w:after="0" w:line="205"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amended through November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156210</wp:posOffset>
            </wp:positionV>
            <wp:extent cx="242316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2">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2001520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6"/>
          </w:cols>
          <w:pgMar w:left="474" w:top="751"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ONE</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DEFINITIONS; CONSTRUCTION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1.01.  Definitions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1.02.  Accounting Terms and Determinations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1.03.  Computation of Time Periods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1.04.  Interpretation</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TWO</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LOANS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2.01.  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2.02.  Funding Mechanics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2.03.  Reductions of Commitments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2.04.  Extensions of Commitments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2.05.  The Notes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2.06.  Optional Principal Repayments; Interpayments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2.07.  Payments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2.08.  Settlement Procedures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2.09.  Mandatory Payments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2.10.  Payments, Computations, Etc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2.11.  Collections and Allocations; Investment of Funds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2.12.  Fees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2.13.  Increased Costs; Capital Adequacy; Illegality; Rating Requests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2.14.  Taxes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2.15.  Sharing of Payments, Etc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2.16.  The Account Bank</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THREE</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SECURITY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3.01.  Collateral and Back-Up Collateral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3.02.  Release of Collateral; No Legal Title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3.03.  Protection of Security Interest; Administrative Agent, as Attorney-in-Fact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3.04.  Assignment of the Purchase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3.05.  Waiver of Certain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889000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51"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FOUR</w:t>
      </w:r>
    </w:p>
    <w:p>
      <w:pPr>
        <w:spacing w:after="0" w:line="2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CONDITIONS OF CLOSING AND LOANS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4.01.  Conditions to Closing and Initial Loan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FIVE</w:t>
      </w:r>
    </w:p>
    <w:p>
      <w:pPr>
        <w:spacing w:after="0" w:line="2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5.01.  Representations and Warranties of the Borrower</w:t>
      </w:r>
    </w:p>
    <w:p>
      <w:pPr>
        <w:spacing w:after="0" w:line="29" w:lineRule="exact"/>
        <w:rPr>
          <w:sz w:val="20"/>
          <w:szCs w:val="20"/>
          <w:color w:val="auto"/>
        </w:rPr>
      </w:pPr>
    </w:p>
    <w:p>
      <w:pPr>
        <w:ind w:left="20" w:right="1600"/>
        <w:spacing w:after="0" w:line="263" w:lineRule="auto"/>
        <w:rPr>
          <w:sz w:val="20"/>
          <w:szCs w:val="20"/>
          <w:color w:val="auto"/>
        </w:rPr>
      </w:pPr>
      <w:r>
        <w:rPr>
          <w:rFonts w:ascii="Times New Roman" w:cs="Times New Roman" w:eastAsia="Times New Roman" w:hAnsi="Times New Roman"/>
          <w:sz w:val="22"/>
          <w:szCs w:val="22"/>
          <w:color w:val="auto"/>
        </w:rPr>
        <w:t>Section 5.02. Representations and Warranties of the Borrower Relating to this Agreement and the Receivables Section 5.03. Representations and Warranties of the Servicer Section 5.04. Retransfer of Certain Receivables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SIX</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COVENANTS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6.01.  Affirmative Covenants of the Borrower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6.02.  Negative Covenants of the Borrower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6.03.  Covenant of the Borrower Relating to the Hedging Agreement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6.04.  Affirmative Covenants of the Servicer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6.05.  Negative Covenants of the Servicer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SEVEN</w:t>
      </w:r>
    </w:p>
    <w:p>
      <w:pPr>
        <w:spacing w:after="0" w:line="23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ADMINISTRATION AND SERVICING OF RECEIVABLES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7.01.  Designation of Servicing</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7.02.  Servicing Compensation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7.03.  Duties of the Servicer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7.04.  Collection of Payments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7.05.  Payment of Certain Expenses by Servicer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7.06.  Reports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7.07.  Due Diligence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7.08.  Annual Statement as to Compliance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7.09.  Annual Independent Public Accountant’s Reports</w:t>
      </w:r>
    </w:p>
    <w:p>
      <w:pPr>
        <w:spacing w:after="0" w:line="17" w:lineRule="exact"/>
        <w:rPr>
          <w:sz w:val="20"/>
          <w:szCs w:val="20"/>
          <w:color w:val="auto"/>
        </w:rPr>
      </w:pPr>
    </w:p>
    <w:p>
      <w:pPr>
        <w:ind w:left="20" w:right="1040"/>
        <w:spacing w:after="0" w:line="263" w:lineRule="auto"/>
        <w:rPr>
          <w:sz w:val="20"/>
          <w:szCs w:val="20"/>
          <w:color w:val="auto"/>
        </w:rPr>
      </w:pPr>
      <w:r>
        <w:rPr>
          <w:rFonts w:ascii="Times New Roman" w:cs="Times New Roman" w:eastAsia="Times New Roman" w:hAnsi="Times New Roman"/>
          <w:sz w:val="22"/>
          <w:szCs w:val="22"/>
          <w:color w:val="auto"/>
        </w:rPr>
        <w:t>Section 7.10. Rights Prior to Assumption of Duties by the Backup Servicer or Designation of Successor Servicer Section 7.11. Rights After Assumption of Duties by Backup Servicer or Designation of Successor Servicer; Liability Section 7.12. Limitation on Liability of the Servicer and Others Section 7.13. The Servicer Not to Resign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7.14.  Servicer Termination Events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7.15.  Appointment of Successor Servicer</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62"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type w:val="continuous"/>
        </w:sectPr>
      </w:pPr>
    </w:p>
    <w:bookmarkStart w:id="250" w:name="page251"/>
    <w:bookmarkEnd w:id="250"/>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7.16.  Merger or Consolidation, Assumption of Obligations or Resignation of the Servicer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7.17.  Responsibilities of the Borrower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7.18.  Custody of Receivable Files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7.19.  Duties of Custodian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EIGHT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BACKUP SERVICER</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8.01.  Designation of the Backup Servicer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8.02.  Duties of the Backup Servicer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8.03.  Backup Servicing Compensation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8.04.  Backup Servicer Removal</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8.05.  Backup Servicer Not to Resign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8.06.  Monthly Backup Servicer Certificate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8.07.  Covenants of the Backup Servicer</w:t>
      </w:r>
    </w:p>
    <w:p>
      <w:pPr>
        <w:spacing w:after="0" w:line="17"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22"/>
          <w:szCs w:val="22"/>
          <w:color w:val="auto"/>
        </w:rPr>
        <w:t>Section 8.08.</w:t>
      </w:r>
      <w:r>
        <w:rPr>
          <w:sz w:val="20"/>
          <w:szCs w:val="20"/>
          <w:color w:val="auto"/>
        </w:rPr>
        <w:tab/>
      </w:r>
      <w:r>
        <w:rPr>
          <w:rFonts w:ascii="Times New Roman" w:cs="Times New Roman" w:eastAsia="Times New Roman" w:hAnsi="Times New Roman"/>
          <w:sz w:val="20"/>
          <w:szCs w:val="20"/>
          <w:color w:val="auto"/>
        </w:rPr>
        <w:t>Additional Covenants Relating to Minimum Liquidity Test…………………..113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NINE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EVENTS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9.01.  Termination Events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9.02.  Actions Upon Occurrence of the Termination Date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9.03.  Exercise of Remedies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9.04.  Waiver of Certain Laws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9.05.  Power of Attorney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TEN</w:t>
      </w:r>
    </w:p>
    <w:p>
      <w:pPr>
        <w:spacing w:after="0" w:line="2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10.01. Indemnities by the Borrower and UACC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ELEVEN</w:t>
      </w:r>
    </w:p>
    <w:p>
      <w:pPr>
        <w:spacing w:after="0" w:line="23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THE ADMINISTRATIVE AGENT AND THE AGENTS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11.01. Authorization and Action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11.02. Delegation of Duties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11.03. Exculpatory Provisions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11.04. Reliance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11.05. Non-Reliance on Agents and Other Lenders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11.06. Indemnification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11.07. Agents in their Individual Capacity</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11.08. Successor Agents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62"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type w:val="continuous"/>
        </w:sectPr>
      </w:pPr>
    </w:p>
    <w:bookmarkStart w:id="251" w:name="page252"/>
    <w:bookmarkEnd w:id="251"/>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TWELVE</w:t>
      </w:r>
    </w:p>
    <w:p>
      <w:pPr>
        <w:spacing w:after="0" w:line="2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ASSIGNMENTS; PARTICIPATIONS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12.01. Assignments and Participations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THIRTEEN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MUTUAL COVENANTS REGARDING CONFIDENTIALITY</w:t>
      </w:r>
    </w:p>
    <w:p>
      <w:pPr>
        <w:spacing w:after="0" w:line="232" w:lineRule="exact"/>
        <w:rPr>
          <w:sz w:val="20"/>
          <w:szCs w:val="20"/>
          <w:color w:val="auto"/>
        </w:rPr>
      </w:pPr>
    </w:p>
    <w:p>
      <w:pPr>
        <w:ind w:left="20" w:right="1320"/>
        <w:spacing w:after="0" w:line="269" w:lineRule="auto"/>
        <w:rPr>
          <w:sz w:val="20"/>
          <w:szCs w:val="20"/>
          <w:color w:val="auto"/>
        </w:rPr>
      </w:pPr>
      <w:r>
        <w:rPr>
          <w:rFonts w:ascii="Times New Roman" w:cs="Times New Roman" w:eastAsia="Times New Roman" w:hAnsi="Times New Roman"/>
          <w:sz w:val="22"/>
          <w:szCs w:val="22"/>
          <w:color w:val="auto"/>
        </w:rPr>
        <w:t>Section 13.01. Covenants of the Borrower, the Servicer, the Backup Servicer, the Account Bank and the Custodian Section 13.02. Covenants of the Administrative Agent, the Agents and the Lenders Section 13.03. Non-Confidentiality of Tax Treatment and Tax Structure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FOURTEEN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14.01. Amendments and Waivers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14.02. Notices, Etc</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14.03. No Waiver, Rights and Remedies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14.04. Binding Effect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14.05. Term of this Agreement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14.06. GOVERNING LAW; CONSENT TO JURISDICTION; WAIVER OF OBJECTION TO VENUE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14.07. WAIVER OF JURY TRIAL</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14.08. Costs, Expenses and Taxes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14.09. No Insolvency Proceedings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Section 14.10. Recourse Against Certain Parties</w:t>
      </w:r>
    </w:p>
    <w:p>
      <w:pPr>
        <w:spacing w:after="0" w:line="17" w:lineRule="exact"/>
        <w:rPr>
          <w:sz w:val="20"/>
          <w:szCs w:val="20"/>
          <w:color w:val="auto"/>
        </w:rPr>
      </w:pPr>
    </w:p>
    <w:p>
      <w:pPr>
        <w:ind w:left="20" w:right="4140"/>
        <w:spacing w:after="0" w:line="255" w:lineRule="auto"/>
        <w:rPr>
          <w:sz w:val="20"/>
          <w:szCs w:val="20"/>
          <w:color w:val="auto"/>
        </w:rPr>
      </w:pPr>
      <w:r>
        <w:rPr>
          <w:rFonts w:ascii="Times New Roman" w:cs="Times New Roman" w:eastAsia="Times New Roman" w:hAnsi="Times New Roman"/>
          <w:sz w:val="22"/>
          <w:szCs w:val="22"/>
          <w:color w:val="auto"/>
        </w:rPr>
        <w:t>Section 14.11. Limitations on Consequential, Indirect and Certain Other Damages Section 14.12. Patriot Act Compliance</w:t>
      </w:r>
    </w:p>
    <w:p>
      <w:pPr>
        <w:spacing w:after="0" w:line="2" w:lineRule="exact"/>
        <w:rPr>
          <w:sz w:val="20"/>
          <w:szCs w:val="20"/>
          <w:color w:val="auto"/>
        </w:rPr>
      </w:pPr>
    </w:p>
    <w:p>
      <w:pPr>
        <w:ind w:left="20" w:right="5440"/>
        <w:spacing w:after="0" w:line="322" w:lineRule="auto"/>
        <w:rPr>
          <w:sz w:val="20"/>
          <w:szCs w:val="20"/>
          <w:color w:val="auto"/>
        </w:rPr>
      </w:pPr>
      <w:r>
        <w:rPr>
          <w:rFonts w:ascii="Times New Roman" w:cs="Times New Roman" w:eastAsia="Times New Roman" w:hAnsi="Times New Roman"/>
          <w:sz w:val="20"/>
          <w:szCs w:val="20"/>
          <w:color w:val="auto"/>
        </w:rPr>
        <w:t>Section 14.13. Execution in Counterparts; Severability; Integration Section 14.14. Limitation of Liability of Owner Trustee</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5"/>
              </w:rPr>
              <w:t>SCHEDULES</w:t>
            </w:r>
          </w:p>
        </w:tc>
      </w:tr>
      <w:tr>
        <w:trPr>
          <w:trHeight w:val="41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Conduit Supplement SA-1</w:t>
            </w:r>
          </w:p>
        </w:tc>
        <w:tc>
          <w:tcPr>
            <w:tcW w:w="1940" w:type="dxa"/>
            <w:vAlign w:val="bottom"/>
          </w:tcPr>
          <w:p>
            <w:pPr>
              <w:spacing w:after="0"/>
              <w:rPr>
                <w:sz w:val="24"/>
                <w:szCs w:val="24"/>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B</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Eligible Receivable Criteria</w:t>
            </w:r>
          </w:p>
        </w:tc>
        <w:tc>
          <w:tcPr>
            <w:tcW w:w="19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SB-1</w:t>
            </w: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C</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of Receivables SC-1</w:t>
            </w: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D</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Location of Receivable Files SD-1</w:t>
            </w: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E</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of Documents  SE-1</w:t>
            </w: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Schedule F</w:t>
            </w:r>
          </w:p>
        </w:tc>
        <w:tc>
          <w:tcPr>
            <w:tcW w:w="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27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Backup Servicing Procedures</w:t>
            </w:r>
          </w:p>
        </w:tc>
        <w:tc>
          <w:tcPr>
            <w:tcW w:w="19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SF-1</w:t>
            </w: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5"/>
              </w:rPr>
              <w:t>EXHIBITS</w:t>
            </w:r>
          </w:p>
        </w:tc>
      </w:tr>
      <w:tr>
        <w:trPr>
          <w:trHeight w:val="41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Form of Funding Request</w:t>
            </w:r>
          </w:p>
        </w:tc>
        <w:tc>
          <w:tcPr>
            <w:tcW w:w="7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3"/>
              </w:rPr>
              <w:t>A-1</w:t>
            </w:r>
          </w:p>
        </w:tc>
        <w:tc>
          <w:tcPr>
            <w:tcW w:w="1460" w:type="dxa"/>
            <w:vAlign w:val="bottom"/>
          </w:tcPr>
          <w:p>
            <w:pPr>
              <w:spacing w:after="0"/>
              <w:rPr>
                <w:sz w:val="24"/>
                <w:szCs w:val="24"/>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 –</w:t>
            </w:r>
          </w:p>
        </w:tc>
        <w:tc>
          <w:tcPr>
            <w:tcW w:w="14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Note</w:t>
            </w:r>
          </w:p>
        </w:tc>
        <w:tc>
          <w:tcPr>
            <w:tcW w:w="14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B-1</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 –</w:t>
            </w:r>
          </w:p>
        </w:tc>
        <w:tc>
          <w:tcPr>
            <w:tcW w:w="3520" w:type="dxa"/>
            <w:vAlign w:val="bottom"/>
            <w:gridSpan w:val="5"/>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Assignment and Acceptance</w:t>
            </w:r>
          </w:p>
        </w:tc>
        <w:tc>
          <w:tcPr>
            <w:tcW w:w="14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D-1</w:t>
            </w: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 –</w:t>
            </w:r>
          </w:p>
        </w:tc>
        <w:tc>
          <w:tcPr>
            <w:tcW w:w="282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Power of Attorney</w:t>
            </w:r>
          </w:p>
        </w:tc>
        <w:tc>
          <w:tcPr>
            <w:tcW w:w="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E-1</w:t>
            </w:r>
          </w:p>
        </w:tc>
        <w:tc>
          <w:tcPr>
            <w:tcW w:w="146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 –</w:t>
            </w:r>
          </w:p>
        </w:tc>
        <w:tc>
          <w:tcPr>
            <w:tcW w:w="82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F-1</w:t>
            </w:r>
          </w:p>
        </w:tc>
        <w:tc>
          <w:tcPr>
            <w:tcW w:w="1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8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Release of Documents</w:t>
            </w:r>
          </w:p>
        </w:tc>
        <w:tc>
          <w:tcPr>
            <w:tcW w:w="14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G-1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8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Form of Receivable Receipt  H-1</w:t>
            </w:r>
          </w:p>
        </w:tc>
        <w:tc>
          <w:tcPr>
            <w:tcW w:w="1460" w:type="dxa"/>
            <w:vAlign w:val="bottom"/>
          </w:tcPr>
          <w:p>
            <w:pPr>
              <w:spacing w:after="0"/>
              <w:rPr>
                <w:sz w:val="21"/>
                <w:szCs w:val="2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I –</w:t>
            </w:r>
          </w:p>
        </w:tc>
        <w:tc>
          <w:tcPr>
            <w:tcW w:w="282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Authorized Representatives</w:t>
            </w: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I-1</w:t>
            </w:r>
          </w:p>
        </w:tc>
        <w:tc>
          <w:tcPr>
            <w:tcW w:w="1460" w:type="dxa"/>
            <w:vAlign w:val="bottom"/>
          </w:tcPr>
          <w:p>
            <w:pPr>
              <w:spacing w:after="0"/>
              <w:rPr>
                <w:sz w:val="24"/>
                <w:szCs w:val="24"/>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WAREHOUSE AGREEMENT</w:t>
      </w:r>
    </w:p>
    <w:p>
      <w:pPr>
        <w:spacing w:after="0" w:line="20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20"/>
          <w:szCs w:val="20"/>
          <w:color w:val="auto"/>
        </w:rPr>
        <w:t>This Amended and Restated Warehouse Agreement, dated as of July 16, 2013 (as amended, restated, supplemented or otherwise modified from time to time prior to the date of the Amendment defined below, the “Original Warehouse Agreement”), is among UACC Auto Financing Trust III, a Delaware statutory trust, as borrower (the “Borrower”), United Auto Credit Corporation, a California corporation (“UACC”), as servicer (in such capacity, the “Servicer”) and as custodian (in such capacity, the “Custodian”), [***], as backup servicer (in such capacity, the “Backup Servicer”) and account bank (in such capacity, the “Account Bank”), the lenders from time to time parties hereto (the “Lenders”), the agents for the Lender Groups (as defined herein) from time to time parties hereto (the “Agents”), and Wells Fargo Bank, National Association, as administrative agent for the Lenders and the Agents and as agent for the Secured Parties (as defined herein) (the “Administrative Agent”).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5" w:lineRule="exact"/>
        <w:rPr>
          <w:sz w:val="20"/>
          <w:szCs w:val="20"/>
          <w:color w:val="auto"/>
        </w:rPr>
      </w:pPr>
    </w:p>
    <w:p>
      <w:pPr>
        <w:ind w:right="240" w:firstLine="749"/>
        <w:spacing w:after="0" w:line="307" w:lineRule="auto"/>
        <w:rPr>
          <w:sz w:val="20"/>
          <w:szCs w:val="20"/>
          <w:color w:val="auto"/>
        </w:rPr>
      </w:pPr>
      <w:r>
        <w:rPr>
          <w:rFonts w:ascii="Times New Roman" w:cs="Times New Roman" w:eastAsia="Times New Roman" w:hAnsi="Times New Roman"/>
          <w:sz w:val="20"/>
          <w:szCs w:val="20"/>
          <w:color w:val="auto"/>
        </w:rPr>
        <w:t>WHEREAS, the Borrower was formed for the purpose of taking assignments of, and holding, various assets, including motor vehicle finance contracts, amounts received on or in respect of such finance contracts and proceeds of the foregoing;</w:t>
      </w:r>
    </w:p>
    <w:p>
      <w:pPr>
        <w:spacing w:after="0" w:line="113" w:lineRule="exact"/>
        <w:rPr>
          <w:sz w:val="20"/>
          <w:szCs w:val="20"/>
          <w:color w:val="auto"/>
        </w:rPr>
      </w:pPr>
    </w:p>
    <w:p>
      <w:pPr>
        <w:ind w:right="340" w:firstLine="749"/>
        <w:spacing w:after="0" w:line="271" w:lineRule="auto"/>
        <w:rPr>
          <w:sz w:val="20"/>
          <w:szCs w:val="20"/>
          <w:color w:val="auto"/>
        </w:rPr>
      </w:pPr>
      <w:r>
        <w:rPr>
          <w:rFonts w:ascii="Times New Roman" w:cs="Times New Roman" w:eastAsia="Times New Roman" w:hAnsi="Times New Roman"/>
          <w:sz w:val="20"/>
          <w:szCs w:val="20"/>
          <w:color w:val="auto"/>
        </w:rPr>
        <w:t>WHEREAS, pursuant to the Warehouse Agreement, dated as of May 30, 2012 (the “First Warehouse Agreement”), among the Borrower, the Servicer, the Custodian, the Backup Servicer, the Account Bank, the Lenders, the Agents and the Administrative Agent, the Borrower requested that the Lenders make loans to the Borrower from time to time, the proceeds of which will be used to finance the purchase price of motor vehicle retail installment contracts as described herein;</w:t>
      </w:r>
    </w:p>
    <w:p>
      <w:pPr>
        <w:spacing w:after="0" w:line="148" w:lineRule="exact"/>
        <w:rPr>
          <w:sz w:val="20"/>
          <w:szCs w:val="20"/>
          <w:color w:val="auto"/>
        </w:rPr>
      </w:pPr>
    </w:p>
    <w:p>
      <w:pPr>
        <w:ind w:right="360" w:firstLine="749"/>
        <w:spacing w:after="0" w:line="237" w:lineRule="auto"/>
        <w:rPr>
          <w:sz w:val="20"/>
          <w:szCs w:val="20"/>
          <w:color w:val="auto"/>
        </w:rPr>
      </w:pPr>
      <w:r>
        <w:rPr>
          <w:rFonts w:ascii="Times New Roman" w:cs="Times New Roman" w:eastAsia="Times New Roman" w:hAnsi="Times New Roman"/>
          <w:sz w:val="22"/>
          <w:szCs w:val="22"/>
          <w:color w:val="auto"/>
        </w:rPr>
        <w:t>WHEREAS, pursuant to the Original Warehouse Agreement, which amended and restated the First Warehouse Agreement, the Lenders agreed to make such certain loans to the Borrower under the conditions set forth in the Original Warehouse Agreement, the proceeds of which will be used to finance the purchase price of motor vehicle retail installment contracts as described therein; and [***] agreed to act as Backup Servicer and Account Bank, in each case upon the terms and subject to the conditions set forth therein; and</w:t>
      </w:r>
    </w:p>
    <w:p>
      <w:pPr>
        <w:spacing w:after="0" w:line="180" w:lineRule="exact"/>
        <w:rPr>
          <w:sz w:val="20"/>
          <w:szCs w:val="20"/>
          <w:color w:val="auto"/>
        </w:rPr>
      </w:pPr>
    </w:p>
    <w:p>
      <w:pPr>
        <w:ind w:right="380" w:firstLine="749"/>
        <w:spacing w:after="0" w:line="244" w:lineRule="auto"/>
        <w:rPr>
          <w:sz w:val="20"/>
          <w:szCs w:val="20"/>
          <w:color w:val="auto"/>
        </w:rPr>
      </w:pPr>
      <w:r>
        <w:rPr>
          <w:rFonts w:ascii="Times New Roman" w:cs="Times New Roman" w:eastAsia="Times New Roman" w:hAnsi="Times New Roman"/>
          <w:sz w:val="22"/>
          <w:szCs w:val="22"/>
          <w:color w:val="auto"/>
        </w:rPr>
        <w:t>WHEREAS, the parties desire to enter into Amendment No. 16 to the Original Warehouse Agreement, dated as of November 30, 2023 (the “Amendment” and, together with the Original Warehouse Agreement, this “Agreement”), among the parties hereto.</w:t>
      </w:r>
    </w:p>
    <w:p>
      <w:pPr>
        <w:spacing w:after="0" w:line="172"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254" w:name="page255"/>
    <w:bookmarkEnd w:id="254"/>
    <w:p>
      <w:pPr>
        <w:jc w:val="center"/>
        <w:ind w:right="300"/>
        <w:spacing w:after="0"/>
        <w:rPr>
          <w:sz w:val="20"/>
          <w:szCs w:val="20"/>
          <w:color w:val="auto"/>
        </w:rPr>
      </w:pPr>
      <w:r>
        <w:rPr>
          <w:rFonts w:ascii="Times New Roman" w:cs="Times New Roman" w:eastAsia="Times New Roman" w:hAnsi="Times New Roman"/>
          <w:sz w:val="22"/>
          <w:szCs w:val="22"/>
          <w:color w:val="auto"/>
        </w:rPr>
        <w:t>ARTICLE ONE</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DEFINITIONS; CONSTRUCTION</w:t>
      </w:r>
    </w:p>
    <w:p>
      <w:pPr>
        <w:spacing w:after="0" w:line="20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One.01.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Whenever used herein, unless the context otherwise requires, the following words and phrases shall have the following meanings:</w:t>
      </w:r>
    </w:p>
    <w:p>
      <w:pPr>
        <w:spacing w:after="0" w:line="15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30+ Day Delinquent Receivable</w:t>
      </w:r>
      <w:r>
        <w:rPr>
          <w:rFonts w:ascii="Times New Roman" w:cs="Times New Roman" w:eastAsia="Times New Roman" w:hAnsi="Times New Roman"/>
          <w:sz w:val="22"/>
          <w:szCs w:val="22"/>
          <w:color w:val="auto"/>
        </w:rPr>
        <w:t>” means any Receivable, other than a Defaulted Receivable, with respect to which more than 10% of any Scheduled Payment remains unpaid for more than 30 days after the related due date as of any Determination Date.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has the meaning given to such term in the recitals.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 Fee</w:t>
      </w:r>
      <w:r>
        <w:rPr>
          <w:rFonts w:ascii="Times New Roman" w:cs="Times New Roman" w:eastAsia="Times New Roman" w:hAnsi="Times New Roman"/>
          <w:sz w:val="22"/>
          <w:szCs w:val="22"/>
          <w:color w:val="auto"/>
        </w:rPr>
        <w:t>” means $[***] per month.</w:t>
      </w:r>
    </w:p>
    <w:p>
      <w:pPr>
        <w:spacing w:after="0" w:line="205"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Collateral</w:t>
      </w:r>
      <w:r>
        <w:rPr>
          <w:rFonts w:ascii="Times New Roman" w:cs="Times New Roman" w:eastAsia="Times New Roman" w:hAnsi="Times New Roman"/>
          <w:sz w:val="22"/>
          <w:szCs w:val="22"/>
          <w:color w:val="auto"/>
        </w:rPr>
        <w:t>” means, with respect to each Account, such Account, together with all cash, securities, financial assets (as defined in Section 8-102(a)(9) of the UCC) and investments and other property from time to time deposited or credited to such Account and all proceeds thereof.</w:t>
      </w:r>
    </w:p>
    <w:p>
      <w:pPr>
        <w:spacing w:after="0" w:line="172"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the Controlled Accounts Control Agreement relating to the Collection Account, the Hedge Reserve Account and the Reserve Account, dated as of the Closing Date, among the Borrower, the Servicer, the Administrative Agent and the Account Bank.</w:t>
      </w:r>
    </w:p>
    <w:p>
      <w:pPr>
        <w:spacing w:after="0" w:line="172"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Based Consolidation Event</w:t>
      </w:r>
      <w:r>
        <w:rPr>
          <w:rFonts w:ascii="Times New Roman" w:cs="Times New Roman" w:eastAsia="Times New Roman" w:hAnsi="Times New Roman"/>
          <w:sz w:val="22"/>
          <w:szCs w:val="22"/>
          <w:color w:val="auto"/>
        </w:rPr>
        <w:t>” means the consolidation, for financial and/or regulatory accounting purposes, of all or any portion of the assets and liabilities of any Conduit Lender that are subject to this Agreement or any other Basic Document with all or any portion of the assets and liabilities of an Affected Party. An Accounting Based Consolidation Event shall be deemed to occur on any date any Affected Party shall acknowledge in writing that any such consolidation of the assets and liabilities of any Conduit Lender has occurred.</w:t>
      </w:r>
    </w:p>
    <w:p>
      <w:pPr>
        <w:spacing w:after="0" w:line="180"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the Collection Account, the Hedge Reserve Account, the Local Bank Account and the Reserve Account.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Amount</w:t>
      </w:r>
      <w:r>
        <w:rPr>
          <w:rFonts w:ascii="Times New Roman" w:cs="Times New Roman" w:eastAsia="Times New Roman" w:hAnsi="Times New Roman"/>
          <w:sz w:val="22"/>
          <w:szCs w:val="22"/>
          <w:color w:val="auto"/>
        </w:rPr>
        <w:t>” has the meaning given to such term in Section 2.14(a).</w:t>
      </w:r>
    </w:p>
    <w:p>
      <w:pPr>
        <w:spacing w:after="0" w:line="205"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Commitment</w:t>
      </w:r>
      <w:r>
        <w:rPr>
          <w:rFonts w:ascii="Times New Roman" w:cs="Times New Roman" w:eastAsia="Times New Roman" w:hAnsi="Times New Roman"/>
          <w:sz w:val="22"/>
          <w:szCs w:val="22"/>
          <w:color w:val="auto"/>
        </w:rPr>
        <w:t>” means, on any day, with respect to a Liquidity Provider for a Conduit Lender that is not a Committed Lender, such Liquidity Provider’s Commitment minus the aggregate outstanding principal amount of its Support Advances to such Conduit Lender (but excluding the portion of any such Support Advances made to fund such Conduit Lender’s obligations to pay interest, fees or other similar amounts relating to the funding of its making or maintaining its purchases hereunder).</w:t>
      </w:r>
    </w:p>
    <w:p>
      <w:pPr>
        <w:spacing w:after="0" w:line="18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Daily Simple SOFR</w:t>
      </w:r>
      <w:r>
        <w:rPr>
          <w:rFonts w:ascii="Times New Roman" w:cs="Times New Roman" w:eastAsia="Times New Roman" w:hAnsi="Times New Roman"/>
          <w:sz w:val="22"/>
          <w:szCs w:val="22"/>
          <w:color w:val="auto"/>
        </w:rPr>
        <w:t>” means, for any day (a “SOFR Rate Day”), a rate per annum equal to the greater of (a) the sum of (i) SOFR for the day (such day, a “SOFR Determination Day”) that is five U.S. Government Securities Business Days prior to, if such</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55" w:name="page256"/>
    <w:bookmarkEnd w:id="255"/>
    <w:p>
      <w:pPr>
        <w:ind w:right="120"/>
        <w:spacing w:after="0" w:line="258" w:lineRule="auto"/>
        <w:rPr>
          <w:sz w:val="20"/>
          <w:szCs w:val="20"/>
          <w:color w:val="auto"/>
        </w:rPr>
      </w:pPr>
      <w:r>
        <w:rPr>
          <w:rFonts w:ascii="Times New Roman" w:cs="Times New Roman" w:eastAsia="Times New Roman" w:hAnsi="Times New Roman"/>
          <w:sz w:val="20"/>
          <w:szCs w:val="20"/>
          <w:color w:val="auto"/>
        </w:rPr>
        <w:t>SOFR Rate Day is (A) a U.S. Government Securities Business Day, such SOFR Rate Day or (B) is not a U.S. Government Securities Business Day, the U.S. Government Securities Business Day immediately preceding such SOFR Rate Day, in each case, as such SOFR is published by the SOFR Administrator on the SOFR Administrator’s Website; provided, that if by 5:00 p.m., New York City time, on the U.S. Government Securities Business Day immediately following any SOFR Determination Day, SOFR in respect of such SOFR Determination Day has not been published on the SOFR Administrator’s Website and a Benchmark Replacement Date with respect to Adjusted Daily Simple SOFR has not occurred, then SOFR for such SOFR Determination Day will be SOFR as published in respect of the first preceding U.S. Government Securities Business Day for which such SOFR was published on the SOFR Administrator’s Website; provided further that SOFR as determined pursuant to this proviso shall be utilized for purposes of calculation of Adjusted Daily Simple SOFR for no more than three consecutive SOFR Rate Days and (ii) the SOFR Adjustment and (b) the Floor. Any change in Adjusted Daily Simple SOFR due to a change in SOFR shall be effective from and including the effective date of such change in SOFR without notice to the Borrower.</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Advance Rate</w:t>
      </w:r>
      <w:r>
        <w:rPr>
          <w:rFonts w:ascii="Times New Roman" w:cs="Times New Roman" w:eastAsia="Times New Roman" w:hAnsi="Times New Roman"/>
          <w:sz w:val="20"/>
          <w:szCs w:val="20"/>
          <w:color w:val="auto"/>
        </w:rPr>
        <w:t>” means, with respect to any day, (i) so long as the Termination Date has not occurred and (a) no Overcollateralization Increase Event has occurred or an Overcollateralization Increase Event has occurred that has been cured, (1) before July 31, 2024, with respect to all Receivables funded by a related Loan made before December 31, 2023, the lesser of (A) [***]% and (B) the weighted average advance rate of the Contracts relating to such Receivables made by UACC to the Dealers, as of the dates such Contracts were made, minus [***]% or (2) (x) on or after July 31, 2024, for all Receivables or (y) with respect to all Receivables funded by a related Loan made on or after December 31, 2023, the lesser of (A) [***]% and (B) the weighted average advance rate of the Contracts relating to such Receivables made by UACC to the Dealers, as of the dates such Contracts were made, minus 6.5%, (b) an Overcollateralization Increase Event has occurred that has not been cured, [***]%, or</w:t>
      </w:r>
    </w:p>
    <w:p>
      <w:pPr>
        <w:spacing w:after="0" w:line="3" w:lineRule="exact"/>
        <w:rPr>
          <w:sz w:val="20"/>
          <w:szCs w:val="20"/>
          <w:color w:val="auto"/>
        </w:rPr>
      </w:pPr>
    </w:p>
    <w:p>
      <w:pPr>
        <w:ind w:right="20" w:firstLine="8"/>
        <w:spacing w:after="0" w:line="237" w:lineRule="auto"/>
        <w:tabs>
          <w:tab w:leader="none" w:pos="29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Commitment Termination Date and prior to the Facility Turbo Date, [***]%, or (ii) following the occurrence of the Termination Date, [***]%.</w:t>
      </w:r>
    </w:p>
    <w:p>
      <w:pPr>
        <w:spacing w:after="0" w:line="17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means accountants, attorneys, consultants, advisors, credit enhancers, liquidity providers and Persons similar to the foregoing and the respective directors, officers, employees and managers of each of the foregoing.</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Party</w:t>
      </w:r>
      <w:r>
        <w:rPr>
          <w:rFonts w:ascii="Times New Roman" w:cs="Times New Roman" w:eastAsia="Times New Roman" w:hAnsi="Times New Roman"/>
          <w:sz w:val="22"/>
          <w:szCs w:val="22"/>
          <w:color w:val="auto"/>
        </w:rPr>
        <w:t>” has the meaning given to such term in Section 2.13(a).</w:t>
      </w:r>
    </w:p>
    <w:p>
      <w:pPr>
        <w:spacing w:after="0" w:line="205"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the agent for a particular Lender Group and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all agents for all Lender Groups.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56" w:name="page257"/>
    <w:bookmarkEnd w:id="25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means, as of any day, the sum of the Commitments of each Lender.</w:t>
      </w:r>
    </w:p>
    <w:p>
      <w:pPr>
        <w:spacing w:after="0" w:line="205" w:lineRule="exact"/>
        <w:rPr>
          <w:sz w:val="20"/>
          <w:szCs w:val="20"/>
          <w:color w:val="auto"/>
        </w:rPr>
      </w:pPr>
    </w:p>
    <w:p>
      <w:pPr>
        <w:ind w:right="8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Net Principal Balance</w:t>
      </w:r>
      <w:r>
        <w:rPr>
          <w:rFonts w:ascii="Times New Roman" w:cs="Times New Roman" w:eastAsia="Times New Roman" w:hAnsi="Times New Roman"/>
          <w:sz w:val="22"/>
          <w:szCs w:val="22"/>
          <w:color w:val="auto"/>
        </w:rPr>
        <w:t>” means, as of any day, (i) the aggregate Net Principal Balance of all Eligible Receivables minus (ii) the Excess Concentration Amount.</w:t>
      </w:r>
    </w:p>
    <w:p>
      <w:pPr>
        <w:spacing w:after="0" w:line="157"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Unpaids</w:t>
      </w:r>
      <w:r>
        <w:rPr>
          <w:rFonts w:ascii="Times New Roman" w:cs="Times New Roman" w:eastAsia="Times New Roman" w:hAnsi="Times New Roman"/>
          <w:sz w:val="22"/>
          <w:szCs w:val="22"/>
          <w:color w:val="auto"/>
        </w:rPr>
        <w:t>” means, as of any day, an amount equal to the sum of (i) the Loans Outstanding, (ii) all accrued but unpaid Interest and (iii) all Unused Fees and other Obligations owed (whether due or accrued) by the Borrower to the Secured Parties, the Backup Servicer, the Account Bank and the Custodian (if other than UACC) under this Agreement and the other Basic Documents.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jc w:val="both"/>
        <w:ind w:right="60"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Rate</w:t>
      </w:r>
      <w:r>
        <w:rPr>
          <w:rFonts w:ascii="Times New Roman" w:cs="Times New Roman" w:eastAsia="Times New Roman" w:hAnsi="Times New Roman"/>
          <w:sz w:val="20"/>
          <w:szCs w:val="20"/>
          <w:color w:val="auto"/>
        </w:rPr>
        <w:t>” means, with respect to any Loan and an Interest Period, an interest rate per annum equal to the higher of Adjusted Daily Simple SOFR or the Base Rate; provided, however, that the “Alternative Rate” shall be the Base Rate if at the time such rate is selected the relevant Lender has notified the Administrative Agent that a SOFR Disruption Event has occurred.</w:t>
      </w:r>
    </w:p>
    <w:p>
      <w:pPr>
        <w:spacing w:after="0" w:line="139" w:lineRule="exact"/>
        <w:rPr>
          <w:sz w:val="20"/>
          <w:szCs w:val="20"/>
          <w:color w:val="auto"/>
        </w:rPr>
      </w:pPr>
    </w:p>
    <w:p>
      <w:pPr>
        <w:ind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Amended and Restated Warehouse Agreement</w:t>
      </w:r>
      <w:r>
        <w:rPr>
          <w:rFonts w:ascii="Times New Roman" w:cs="Times New Roman" w:eastAsia="Times New Roman" w:hAnsi="Times New Roman"/>
          <w:sz w:val="20"/>
          <w:szCs w:val="20"/>
          <w:color w:val="auto"/>
        </w:rPr>
        <w:t>” means the Amended and Restated Warehouse Agreement, dated as of July 16, 2013, among the parties to the First Warehouse Agreement, which amended and restated the First Warehouse Agreement.</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has the meaning given to such term in the recitals.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means November 30, 2023.</w:t>
      </w:r>
    </w:p>
    <w:p>
      <w:pPr>
        <w:spacing w:after="0" w:line="205" w:lineRule="exact"/>
        <w:rPr>
          <w:sz w:val="20"/>
          <w:szCs w:val="20"/>
          <w:color w:val="auto"/>
        </w:rPr>
      </w:pPr>
    </w:p>
    <w:p>
      <w:pPr>
        <w:jc w:val="both"/>
        <w:ind w:right="3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means the period commencing on the earlier to occur of (i) the Commitment Termination Date and (ii) the Termination Date, and ending on the date on which the Loans Outstanding have been reduced to zero and all other Aggregate Unpaids have been paid in full.</w:t>
      </w:r>
    </w:p>
    <w:p>
      <w:pPr>
        <w:spacing w:after="0" w:line="172"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Amount Financed</w:t>
      </w:r>
      <w:r>
        <w:rPr>
          <w:rFonts w:ascii="Times New Roman" w:cs="Times New Roman" w:eastAsia="Times New Roman" w:hAnsi="Times New Roman"/>
          <w:sz w:val="20"/>
          <w:szCs w:val="20"/>
          <w:color w:val="auto"/>
        </w:rPr>
        <w:t>” 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spacing w:after="0" w:line="139"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Percentage Rate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“Annual Percentage Rate” or “APR” shall refer to such reduced rate.</w:t>
      </w:r>
    </w:p>
    <w:p>
      <w:pPr>
        <w:spacing w:after="0" w:line="180"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(i) the U.S. Foreign Corrupt Practices Act of 1977, (ii) the U.K. Bribery Act 2010 and (iii) any other anti-bribery or anti-corruption laws, regulations 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22"/>
          <w:szCs w:val="22"/>
          <w:color w:val="auto"/>
        </w:rPr>
        <w:t>ordinances in any jurisdiction in which the Borrower or any member of the Borrowing Group is located or doing business.</w:t>
      </w:r>
    </w:p>
    <w:p>
      <w:pPr>
        <w:spacing w:after="0" w:line="205" w:lineRule="exact"/>
        <w:rPr>
          <w:sz w:val="20"/>
          <w:szCs w:val="20"/>
          <w:color w:val="auto"/>
        </w:rPr>
      </w:pPr>
    </w:p>
    <w:p>
      <w:pPr>
        <w:jc w:val="both"/>
        <w:ind w:right="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the Applicable Law in any jurisdiction in which the Borrower or any member of the Borrowing Group is located or doing business that relates to money laundering, any predicate crime to money laundering, or any financial record keeping and reporting requirements related thereto.</w:t>
      </w:r>
    </w:p>
    <w:p>
      <w:pPr>
        <w:spacing w:after="0" w:line="172"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and the Exchange Act), and applicable judgments, decrees, injunctions, writs, orders or line actions of any court, arbitrator or other administrative, judicial or quasi-judicial tribunal or agency of competent jurisdiction.</w:t>
      </w:r>
    </w:p>
    <w:p>
      <w:pPr>
        <w:spacing w:after="0" w:line="179" w:lineRule="exact"/>
        <w:rPr>
          <w:sz w:val="20"/>
          <w:szCs w:val="20"/>
          <w:color w:val="auto"/>
        </w:rPr>
      </w:pPr>
    </w:p>
    <w:p>
      <w:pPr>
        <w:ind w:right="6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means an assignment and acceptance agreement between a Lender and an Eligible Assignee, in substantially the form of Exhibit C hereto.</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with respect to any Person other than a natural person, any officer of such Person, including any president, vice president, executive vice president, assistant vice president, treasurer, assistant treasurer, secretary or assistant secretary or any other officer performing functions similar to those performed by such officers.</w:t>
      </w:r>
    </w:p>
    <w:p>
      <w:pPr>
        <w:spacing w:after="0" w:line="172"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Representative</w:t>
      </w:r>
      <w:r>
        <w:rPr>
          <w:rFonts w:ascii="Times New Roman" w:cs="Times New Roman" w:eastAsia="Times New Roman" w:hAnsi="Times New Roman"/>
          <w:sz w:val="22"/>
          <w:szCs w:val="22"/>
          <w:color w:val="auto"/>
        </w:rPr>
        <w:t>” means, with respect to the Borrower, (i) any president or any executive vice president of UACC and (ii) any officer, employee or director of UACC listed as an Authorized Representative in Exhibit I hereto (which shall remain in effect until UACC or the Borrower notifies the Administrative Agent of any change by delivery of an updated form), in each case, as attorney-in-fact for the Borrower.</w:t>
      </w:r>
    </w:p>
    <w:p>
      <w:pPr>
        <w:spacing w:after="0" w:line="17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means, as of any day, the positive amount, if any, by which the Facility Amount exceeds the Loans Outstanding on such day.</w:t>
      </w:r>
    </w:p>
    <w:p>
      <w:pPr>
        <w:spacing w:after="0" w:line="157"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Funds</w:t>
      </w:r>
      <w:r>
        <w:rPr>
          <w:rFonts w:ascii="Times New Roman" w:cs="Times New Roman" w:eastAsia="Times New Roman" w:hAnsi="Times New Roman"/>
          <w:sz w:val="20"/>
          <w:szCs w:val="20"/>
          <w:color w:val="auto"/>
        </w:rPr>
        <w:t>” means, for any Payment Date and the related Collection Period, the sum of (i) Collections on deposit in the Collection Account, to the extent received during or in respect of the related Collection Period, (ii) any Reserve Account Withdrawal Amount, (iii) any Monthly Accrued Interest Payment Amount made by UACC pursuant to Section 6.04(o) and (iv) investments earnings pursuant to Section 2.11(f) in excess of the Reserve Account Required Amount described in Section 2.11(f).</w:t>
      </w:r>
    </w:p>
    <w:p>
      <w:pPr>
        <w:spacing w:after="0" w:line="148"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Funds Shortfall</w:t>
      </w:r>
      <w:r>
        <w:rPr>
          <w:rFonts w:ascii="Times New Roman" w:cs="Times New Roman" w:eastAsia="Times New Roman" w:hAnsi="Times New Roman"/>
          <w:sz w:val="22"/>
          <w:szCs w:val="22"/>
          <w:color w:val="auto"/>
        </w:rPr>
        <w:t>” means, for any Payment Date and the related Collection Period, the positive excess, if any, of (i) the amount necessary to make all distributions required to be made pursuant to clauses (i) through (v) of Section 2.08 over (ii) Available Funds (without taking into account any Reserve Account Withdrawal Amount).</w:t>
      </w:r>
    </w:p>
    <w:p>
      <w:pPr>
        <w:spacing w:after="0" w:line="17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 as applicable, (i) if such Benchmark is a term rate, any tenor for such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58" w:name="page259"/>
    <w:bookmarkEnd w:id="258"/>
    <w:p>
      <w:pPr>
        <w:spacing w:after="0" w:line="237" w:lineRule="auto"/>
        <w:rPr>
          <w:sz w:val="20"/>
          <w:szCs w:val="20"/>
          <w:color w:val="auto"/>
        </w:rPr>
      </w:pPr>
      <w:r>
        <w:rPr>
          <w:rFonts w:ascii="Times New Roman" w:cs="Times New Roman" w:eastAsia="Times New Roman" w:hAnsi="Times New Roman"/>
          <w:sz w:val="22"/>
          <w:szCs w:val="22"/>
          <w:color w:val="auto"/>
        </w:rPr>
        <w:t>Benchmark (or component thereof) that is or may be used for determining the length of an interest period pursuant to this Agreement or (ii)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14.15(c)(iv).</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 Termination Notice</w:t>
      </w:r>
      <w:r>
        <w:rPr>
          <w:rFonts w:ascii="Times New Roman" w:cs="Times New Roman" w:eastAsia="Times New Roman" w:hAnsi="Times New Roman"/>
          <w:sz w:val="22"/>
          <w:szCs w:val="22"/>
          <w:color w:val="auto"/>
        </w:rPr>
        <w:t>” has the meaning given to such term in Section 8.04.</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Servicing Fee</w:t>
      </w:r>
      <w:r>
        <w:rPr>
          <w:rFonts w:ascii="Times New Roman" w:cs="Times New Roman" w:eastAsia="Times New Roman" w:hAnsi="Times New Roman"/>
          <w:sz w:val="22"/>
          <w:szCs w:val="22"/>
          <w:color w:val="auto"/>
        </w:rPr>
        <w:t>” means the fee payable to the Backup Servicer on each Payment Date in accordance with Section 2.12(b) in an amount equal to $[***] per month.</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Code (Title 11 of the United States Code).</w:t>
      </w:r>
    </w:p>
    <w:p>
      <w:pPr>
        <w:spacing w:after="0" w:line="205"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at any time, the highest of (i) [***], (ii) [***]plus [***]%, (iii) the SOFR Rate and (iv) the Cost of Funds Rate; each change in the Base Rate shall take effect simultaneously with the corresponding change or changes in [***],</w:t>
      </w:r>
    </w:p>
    <w:p>
      <w:pPr>
        <w:spacing w:after="0" w:line="2" w:lineRule="exact"/>
        <w:rPr>
          <w:sz w:val="20"/>
          <w:szCs w:val="20"/>
          <w:color w:val="auto"/>
        </w:rPr>
      </w:pPr>
    </w:p>
    <w:p>
      <w:pPr>
        <w:jc w:val="both"/>
        <w:ind w:right="40" w:firstLine="8"/>
        <w:spacing w:after="0" w:line="235" w:lineRule="auto"/>
        <w:tabs>
          <w:tab w:leader="none" w:pos="52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Adjusted Daily Simple SOFR, as applicable (provided that clause (iii) above shall not be applicable during any period in which Adjusted Daily Simple SOFR is unavailable or unascertainable). Notwithstanding the foregoing, in no event shall the Base Rate be less than the Floor.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any Loan bearing interest at a rate based upon the Base Rate as provided in Section 2.07(c).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w:t>
      </w:r>
      <w:r>
        <w:rPr>
          <w:rFonts w:ascii="Times New Roman" w:cs="Times New Roman" w:eastAsia="Times New Roman" w:hAnsi="Times New Roman"/>
          <w:sz w:val="22"/>
          <w:szCs w:val="22"/>
          <w:color w:val="auto"/>
        </w:rPr>
        <w:t>” means the second Basel Accord issued by the Basel Committee on Banking Supervision.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III</w:t>
      </w:r>
      <w:r>
        <w:rPr>
          <w:rFonts w:ascii="Times New Roman" w:cs="Times New Roman" w:eastAsia="Times New Roman" w:hAnsi="Times New Roman"/>
          <w:sz w:val="22"/>
          <w:szCs w:val="22"/>
          <w:color w:val="auto"/>
        </w:rPr>
        <w:t>” means the third Basel Accord issued by the Basel Committee on Banking Supervision.</w:t>
      </w:r>
    </w:p>
    <w:p>
      <w:pPr>
        <w:spacing w:after="0" w:line="205"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Basic Documents</w:t>
      </w:r>
      <w:r>
        <w:rPr>
          <w:rFonts w:ascii="Times New Roman" w:cs="Times New Roman" w:eastAsia="Times New Roman" w:hAnsi="Times New Roman"/>
          <w:sz w:val="22"/>
          <w:szCs w:val="22"/>
          <w:color w:val="auto"/>
        </w:rPr>
        <w:t>” means this Agreement, each Note, the Purchase Agreement, each Transfer Agreement, the Fee Letter, the Intercreditor Agreement, the Intercreditor Party Supplement, the Trust Agreement, the Account Control Agreement, the ICA Account Control Agreement, all Hedging Agreements and any other document, certificate, opinion, agreement or writing the execution of which is necessary or incidental to carrying out the transactions contemplated by this Agreement or any of the other foregoing documents.</w:t>
      </w:r>
    </w:p>
    <w:p>
      <w:pPr>
        <w:spacing w:after="0" w:line="180"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means, initially, Adjusted Daily Simple SOFR; provided, that if a Benchmark Transition Event has occurred with respect to Adjusted Daily Simple SOFR or the then-current Benchmark, then “Benchmark” means the applicable Benchmark Replacement to the extent that such Benchmark Replacement has replaced such prior benchmark rate pursuant to Section 14.15(c)(i).</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59" w:name="page260"/>
    <w:bookmarkEnd w:id="259"/>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sum of (i) the alternate benchmark rate that has been selected by the Lender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provided, that if such Benchmark Replacement as so determined would be less than the Floor, such Benchmark Replacement will be deemed to be the Floor for the purposes of this Agreement and the other Basic Documents.</w:t>
      </w:r>
    </w:p>
    <w:p>
      <w:pPr>
        <w:spacing w:after="0" w:line="208"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Lender and the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208" w:lineRule="exact"/>
        <w:rPr>
          <w:sz w:val="20"/>
          <w:szCs w:val="20"/>
          <w:color w:val="auto"/>
        </w:rPr>
      </w:pPr>
    </w:p>
    <w:p>
      <w:pPr>
        <w:ind w:left="760" w:right="160" w:firstLine="883"/>
        <w:spacing w:after="0" w:line="239" w:lineRule="auto"/>
        <w:tabs>
          <w:tab w:leader="none" w:pos="207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8" w:lineRule="exact"/>
        <w:rPr>
          <w:rFonts w:ascii="Times New Roman" w:cs="Times New Roman" w:eastAsia="Times New Roman" w:hAnsi="Times New Roman"/>
          <w:sz w:val="22"/>
          <w:szCs w:val="22"/>
          <w:color w:val="auto"/>
        </w:rPr>
      </w:pPr>
    </w:p>
    <w:p>
      <w:pPr>
        <w:ind w:left="760" w:right="100" w:firstLine="816"/>
        <w:spacing w:after="0" w:line="236" w:lineRule="auto"/>
        <w:tabs>
          <w:tab w:leader="none" w:pos="201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w:t>
      </w:r>
    </w:p>
    <w:p>
      <w:pPr>
        <w:spacing w:after="0" w:line="14" w:lineRule="exact"/>
        <w:rPr>
          <w:sz w:val="20"/>
          <w:szCs w:val="20"/>
          <w:color w:val="auto"/>
        </w:rPr>
      </w:pPr>
    </w:p>
    <w:p>
      <w:pPr>
        <w:ind w:right="460" w:firstLine="8"/>
        <w:spacing w:after="0" w:line="282" w:lineRule="auto"/>
        <w:tabs>
          <w:tab w:leader="none" w:pos="25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(ii) above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0" w:name="page261"/>
    <w:bookmarkEnd w:id="260"/>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84" w:lineRule="exact"/>
        <w:rPr>
          <w:sz w:val="20"/>
          <w:szCs w:val="20"/>
          <w:color w:val="auto"/>
        </w:rPr>
      </w:pPr>
    </w:p>
    <w:p>
      <w:pPr>
        <w:ind w:left="760" w:right="20" w:firstLine="603"/>
        <w:spacing w:after="0" w:line="237" w:lineRule="auto"/>
        <w:tabs>
          <w:tab w:leader="none" w:pos="1798"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0" w:lineRule="exact"/>
        <w:rPr>
          <w:rFonts w:ascii="Times New Roman" w:cs="Times New Roman" w:eastAsia="Times New Roman" w:hAnsi="Times New Roman"/>
          <w:sz w:val="22"/>
          <w:szCs w:val="22"/>
          <w:color w:val="auto"/>
        </w:rPr>
      </w:pPr>
    </w:p>
    <w:p>
      <w:pPr>
        <w:ind w:left="760" w:right="100" w:firstLine="534"/>
        <w:spacing w:after="0" w:line="234" w:lineRule="auto"/>
        <w:tabs>
          <w:tab w:leader="none" w:pos="1729"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22"/>
          <w:szCs w:val="22"/>
          <w:color w:val="auto"/>
        </w:rPr>
      </w:pPr>
    </w:p>
    <w:p>
      <w:pPr>
        <w:ind w:left="760" w:right="320" w:firstLine="465"/>
        <w:spacing w:after="0" w:line="244" w:lineRule="auto"/>
        <w:tabs>
          <w:tab w:leader="none" w:pos="166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208"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7" w:lineRule="exact"/>
        <w:rPr>
          <w:sz w:val="20"/>
          <w:szCs w:val="20"/>
          <w:color w:val="auto"/>
        </w:rPr>
      </w:pPr>
    </w:p>
    <w:p>
      <w:pPr>
        <w:ind w:right="18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(i) beginning at the time that a Benchmark Replacement Date has occurred if, at such time, no Benchmark Replacement has replaced the then-current Benchmark for all purposes hereunder and under any Basic Document in accordance with Section 14.15(c) and (ii) ending at the time that a Benchmark Replacement has replaced the then-current Benchmark for all purposes hereunder and under any Basic Document in accordance with Section 14.15(c).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1" w:name="page262"/>
    <w:bookmarkEnd w:id="261"/>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5"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(i) employee benefit plans (as defined in Section 3(3) of ERISA) that are subject to Title I of ERISA, (ii) plans described in Section 4975(e)(1) of the Code, including individual retirement accounts or Keogh Plans that are not exempt under Section 4975(g) of the Code and (iii) any entities whose underlying assets include plan assets by reason of a plan’s investment in such entities.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Basic Documents</w:t>
      </w:r>
      <w:r>
        <w:rPr>
          <w:rFonts w:ascii="Times New Roman" w:cs="Times New Roman" w:eastAsia="Times New Roman" w:hAnsi="Times New Roman"/>
          <w:sz w:val="22"/>
          <w:szCs w:val="22"/>
          <w:color w:val="auto"/>
        </w:rPr>
        <w:t>” means all Basic Documents to which the Borrower is a party or by which it is bound.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Amounts</w:t>
      </w:r>
      <w:r>
        <w:rPr>
          <w:rFonts w:ascii="Times New Roman" w:cs="Times New Roman" w:eastAsia="Times New Roman" w:hAnsi="Times New Roman"/>
          <w:sz w:val="22"/>
          <w:szCs w:val="22"/>
          <w:color w:val="auto"/>
        </w:rPr>
        <w:t>” has the meaning given to such term in Section 10.01(a).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Party</w:t>
      </w:r>
      <w:r>
        <w:rPr>
          <w:rFonts w:ascii="Times New Roman" w:cs="Times New Roman" w:eastAsia="Times New Roman" w:hAnsi="Times New Roman"/>
          <w:sz w:val="22"/>
          <w:szCs w:val="22"/>
          <w:color w:val="auto"/>
        </w:rPr>
        <w:t>” has the meaning given to such term in Section 10.01(a).</w:t>
      </w:r>
    </w:p>
    <w:p>
      <w:pPr>
        <w:spacing w:after="0" w:line="20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means the bank account of the Borrower, as notified to the Administrative Agent from time to time in writing by the Borrower, into which all Principal Amounts shall be deposited, which account, as of the Closing Date, is in the name UACC Auto Financing Trust III, at the Local Bank.</w:t>
      </w:r>
    </w:p>
    <w:p>
      <w:pPr>
        <w:spacing w:after="0" w:line="172"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as of any day, an amount equal to the lesser of (i) the product of the applicable Advance Rate and the Aggregate Net Principal Balance, and (ii) the Aggregate Commitment.</w:t>
      </w:r>
    </w:p>
    <w:p>
      <w:pPr>
        <w:spacing w:after="0" w:line="157"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Group</w:t>
      </w:r>
      <w:r>
        <w:rPr>
          <w:rFonts w:ascii="Times New Roman" w:cs="Times New Roman" w:eastAsia="Times New Roman" w:hAnsi="Times New Roman"/>
          <w:sz w:val="22"/>
          <w:szCs w:val="22"/>
          <w:color w:val="auto"/>
        </w:rPr>
        <w:t>” means (i) the Borrower, (ii) the parent of Borrower, (iii) any affiliate or subsidiary of Borrower, (iv) any guarantor, (v) the owner of any collateral securing any part of the credit, any guaranty, or this Agreement, and (vi) any officer, director or agent acting on behalf of any of the parties referred to in items (i) through (iv) with respect to the credit, this Agreement or any of the other loan documents.</w:t>
      </w:r>
    </w:p>
    <w:p>
      <w:pPr>
        <w:spacing w:after="0" w:line="179" w:lineRule="exact"/>
        <w:rPr>
          <w:sz w:val="20"/>
          <w:szCs w:val="20"/>
          <w:color w:val="auto"/>
        </w:rPr>
      </w:pPr>
    </w:p>
    <w:p>
      <w:pPr>
        <w:jc w:val="both"/>
        <w:ind w:right="3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means such amount or amounts as shall compensate any Lender for any loss, cost or expense (but excluding lost profits) incurred by such Lender (as reasonably determined by such Lender) as a result of any prepayment of a Loan (and interest thereon).</w:t>
      </w:r>
    </w:p>
    <w:p>
      <w:pPr>
        <w:spacing w:after="0" w:line="172"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a Sunday on which commercial banking institutions are not required or authorized to be closed in Los Angeles, California, New York, New York, Minneapolis, Minnesota and Charlotte, North Carolina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any unrestricted and unencumbered, immediately available funds in Dollars.</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2" w:name="page263"/>
    <w:bookmarkEnd w:id="262"/>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Burn</w:t>
      </w:r>
      <w:r>
        <w:rPr>
          <w:rFonts w:ascii="Times New Roman" w:cs="Times New Roman" w:eastAsia="Times New Roman" w:hAnsi="Times New Roman"/>
          <w:sz w:val="22"/>
          <w:szCs w:val="22"/>
          <w:color w:val="auto"/>
        </w:rPr>
        <w:t>” means, for any date of determination, the difference between the available Cash and Cash Equivalents of Vroom, Inc. and its Subsidiaries for the last two public reporting periods.</w:t>
      </w:r>
    </w:p>
    <w:p>
      <w:pPr>
        <w:spacing w:after="0" w:line="157"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unrestricted and unencumbered (i) securities issued or directly and fully guaranteed or insured by the United States or any agency or instrumentality thereof (provided that the full faith and credit of the United States is pledged) having maturities of not more than one year from the date of acquisition, (ii) commercial paper maturing no more than 90 days from the date of creation thereof and currently having the highest rating obtainable from either Standard &amp; Poor’s or Moody’s, (iii) certificates of deposit maturing no more than 90 days from the date of creation thereof issued by banks or savings and loan associations the deposits of which are insured by the FDIC, each having combined capital, surplus and undivided profits of not less than $500,000,000 and having a rating of at least A-1 from Standard &amp; Poor’s and at least P-1 from Moody’s (unless they are in amounts not exceeding the maximum amounts of FDIC insurance thereunder), (iv) time deposits maturing no more than 30 days from the date of creation thereof with banks or savings and loan associations the deposits of which are insured by the FDIC and in amounts not exceeding the maximum amounts of FDIC insurance thereunder, (v) fully collateralized repurchase agreements with a term of not more than 30 days from the date of acquisition thereof for securities described in clause (i) above and entered into with (a) a financial institution satisfying the criteria described in clause (iii) above or (b) a primary dealer in U.S. Government Securities having (or being a member of a consolidated group having) at such date of acquisition, a rating of at least A-1 from Standard &amp; Poor’s and at least P-1 from Moody’s and (vi) investments in money market funds substantially all of whose assets are comprised of securities of the types described in clauses (i) through (v) above and currently having the highest rating obtainable from either Standard &amp; Poor’s or Moody’s.</w:t>
      </w:r>
    </w:p>
    <w:p>
      <w:pPr>
        <w:spacing w:after="0" w:line="186" w:lineRule="exact"/>
        <w:rPr>
          <w:sz w:val="20"/>
          <w:szCs w:val="20"/>
          <w:color w:val="auto"/>
        </w:rPr>
      </w:pPr>
    </w:p>
    <w:p>
      <w:pPr>
        <w:ind w:right="60" w:firstLine="749"/>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 of Title</w:t>
      </w:r>
      <w:r>
        <w:rPr>
          <w:rFonts w:ascii="Times New Roman" w:cs="Times New Roman" w:eastAsia="Times New Roman" w:hAnsi="Times New Roman"/>
          <w:sz w:val="20"/>
          <w:szCs w:val="20"/>
          <w:color w:val="auto"/>
        </w:rPr>
        <w:t>” 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spacing w:after="0" w:line="154"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failure of Vroom, Inc. or any successor thereto approved by the Administrative Agent (such approval to not be unreasonably withheld, conditioned or delayed), collectively, to maintain directly or indirectly, (i) control of the board of directors (or similar governing body) and (ii) own beneficial ownership of more than 50% of the equity interests (having ordinary voting power on an as-converted fully-diluted basis) of Vroom Finance Holdings LLC, UACC and the Borrower.</w:t>
      </w:r>
    </w:p>
    <w:p>
      <w:pPr>
        <w:spacing w:after="0" w:line="180"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any Receivable or Serviced Portfolio Receivable required to be charged off in accordance with the Credit and Collection Policy.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3" w:name="page264"/>
    <w:bookmarkEnd w:id="26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May 30, 2012, the effective date of the First Warehouse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given to such term in Section 3.01(a).</w:t>
      </w:r>
    </w:p>
    <w:p>
      <w:pPr>
        <w:spacing w:after="0" w:line="205"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Coverage Ratio</w:t>
      </w:r>
      <w:r>
        <w:rPr>
          <w:rFonts w:ascii="Times New Roman" w:cs="Times New Roman" w:eastAsia="Times New Roman" w:hAnsi="Times New Roman"/>
          <w:sz w:val="22"/>
          <w:szCs w:val="22"/>
          <w:color w:val="auto"/>
        </w:rPr>
        <w:t>” means, as of any day, the percentage equivalent of a fraction, the numerator of which equals all Loans Outstanding as of the last day of the most recent Collection Period minus any amounts to be distributed pursuant to Section 2.08(vi) on the related Payment Date and the denominator of which equals the Aggregate Net Principal Balance as of the last day of such Collection Period.</w:t>
      </w:r>
    </w:p>
    <w:p>
      <w:pPr>
        <w:spacing w:after="0" w:line="17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Coverage Ratio Failure</w:t>
      </w:r>
      <w:r>
        <w:rPr>
          <w:rFonts w:ascii="Times New Roman" w:cs="Times New Roman" w:eastAsia="Times New Roman" w:hAnsi="Times New Roman"/>
          <w:sz w:val="20"/>
          <w:szCs w:val="20"/>
          <w:color w:val="auto"/>
        </w:rPr>
        <w:t>” means the circumstance in which (i) all Loans Outstanding as of the last day of the most recent Collection Period minus any amounts to be distributed pursuant to Section 2.08(vi) on the related Payment Date exceeds the Borrowing Base as of the last day of such Collection Period and (ii) the Collateral Coverage Ratio as of the last day of such Collection Period exceeds (a) the sum of the minimum Collateral Coverage Ratio as of the last day of the second preceding Collection Period through the last day of the seventh preceding Collection Period and [***]% or (b) [***]%.</w:t>
      </w:r>
    </w:p>
    <w:p>
      <w:pPr>
        <w:spacing w:after="0" w:line="15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means a segregated account established by the Servicer with the Account Bank, in the name of the Borrower, for the benefit of the Secured Parties, into which all Collections shall be deposited.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means, with respect to any Payment Date, the immediately preceding calendar month, except for the first Payment Date, in which case such term means the period beginning on the initial Cutoff Date to and including the last day of June 2012.</w:t>
      </w:r>
    </w:p>
    <w:p>
      <w:pPr>
        <w:spacing w:after="0" w:line="172"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with respect to any Collection Period and the related Payment Date, (i) all cash collections or other cash proceeds of any Receivable received by the Borrower, the Servicer and the Backup Servicer in its capacity as Successor Servicer (including from the Originator) from or on behalf of any Obligor in payment of any amounts owed in respect of such Receivable, including all Release Amounts or Release Price amounts deposited in the Collection Account pursuant to Section 5.04,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and (iii) all payments received by or on behalf of the Borrower pursuant to any Hedging Agreement or Hedge Transaction.</w:t>
      </w:r>
    </w:p>
    <w:p>
      <w:pPr>
        <w:spacing w:after="0" w:line="18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Paper Notes</w:t>
      </w:r>
      <w:r>
        <w:rPr>
          <w:rFonts w:ascii="Times New Roman" w:cs="Times New Roman" w:eastAsia="Times New Roman" w:hAnsi="Times New Roman"/>
          <w:sz w:val="22"/>
          <w:szCs w:val="22"/>
          <w:color w:val="auto"/>
        </w:rPr>
        <w:t>” means any short-term promissory notes issued by a Conduit Lender with respect to financing any Loan hereunder.</w:t>
      </w:r>
    </w:p>
    <w:p>
      <w:pPr>
        <w:spacing w:after="0" w:line="157"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w:t>
      </w:r>
      <w:r>
        <w:rPr>
          <w:rFonts w:ascii="Times New Roman" w:cs="Times New Roman" w:eastAsia="Times New Roman" w:hAnsi="Times New Roman"/>
          <w:sz w:val="22"/>
          <w:szCs w:val="22"/>
          <w:color w:val="auto"/>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64" w:name="page265"/>
    <w:bookmarkEnd w:id="264"/>
    <w:p>
      <w:pPr>
        <w:ind w:right="220"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Proposed Extension Date</w:t>
      </w:r>
      <w:r>
        <w:rPr>
          <w:rFonts w:ascii="Times New Roman" w:cs="Times New Roman" w:eastAsia="Times New Roman" w:hAnsi="Times New Roman"/>
          <w:sz w:val="20"/>
          <w:szCs w:val="20"/>
          <w:color w:val="auto"/>
        </w:rPr>
        <w:t>” means the earlier of (i) a date no more than 30 days prior to each anniversary of the Effective Date and (ii) each date upon which the Aggregate Commitment has been increased above $100,000,000.00.</w:t>
      </w:r>
    </w:p>
    <w:p>
      <w:pPr>
        <w:spacing w:after="0" w:line="126"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the earlier of (i) July 21, 2025 or such later date to which the Commitment Termination Date may be extended in accordance with Section 2.04(a) and (ii) the Termination Date.</w:t>
      </w:r>
    </w:p>
    <w:p>
      <w:pPr>
        <w:spacing w:after="0" w:line="15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Lender</w:t>
      </w:r>
      <w:r>
        <w:rPr>
          <w:rFonts w:ascii="Times New Roman" w:cs="Times New Roman" w:eastAsia="Times New Roman" w:hAnsi="Times New Roman"/>
          <w:sz w:val="22"/>
          <w:szCs w:val="22"/>
          <w:color w:val="auto"/>
        </w:rPr>
        <w:t>” means any Lender that is designated as a Committed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has the meaning given to such term in Section 6.03(g).</w:t>
      </w:r>
    </w:p>
    <w:p>
      <w:pPr>
        <w:spacing w:after="0" w:line="205" w:lineRule="exact"/>
        <w:rPr>
          <w:sz w:val="20"/>
          <w:szCs w:val="20"/>
          <w:color w:val="auto"/>
        </w:rPr>
      </w:pPr>
    </w:p>
    <w:p>
      <w:pPr>
        <w:ind w:right="9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Limits</w:t>
      </w:r>
      <w:r>
        <w:rPr>
          <w:rFonts w:ascii="Times New Roman" w:cs="Times New Roman" w:eastAsia="Times New Roman" w:hAnsi="Times New Roman"/>
          <w:sz w:val="22"/>
          <w:szCs w:val="22"/>
          <w:color w:val="auto"/>
        </w:rPr>
        <w:t>” means that, as of any day, based on the aggregate Net Principal Balance of the Eligible Receivables:</w:t>
      </w:r>
    </w:p>
    <w:p>
      <w:pPr>
        <w:spacing w:after="0" w:line="157" w:lineRule="exact"/>
        <w:rPr>
          <w:sz w:val="20"/>
          <w:szCs w:val="20"/>
          <w:color w:val="auto"/>
        </w:rPr>
      </w:pPr>
    </w:p>
    <w:p>
      <w:pPr>
        <w:ind w:left="760" w:right="40" w:firstLine="883"/>
        <w:spacing w:after="0" w:line="234" w:lineRule="auto"/>
        <w:tabs>
          <w:tab w:leader="none" w:pos="2078"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the billing addresses of the related Obligors, (a) the State having the highest aggregate Net Principal Balance of the Receivables does not account for more than either [***]% of the aggregate Net Principal Balance for any State other than the State of California, or [***]% of the aggregate Net Principal Balance in case of the State of California, (b) each of the two States (including California if not included in (a) herein) having the second and third highest aggregate Net Principal Balance of the Receivables does not account for more than [***]% of the aggregate Net Principal Balance, (c) the State (including California if not included in (a) herein) having the fourth highest aggregate Net Principal Balance of the Receivables does not account for more than [***]% of the aggregate Net Principal Balance and (d) no other State’s (including California if not included in (a) herein) aggregate Net Principal Balance of the Receivables accounts for more than [***]% of the aggregate Net Principal Balance;</w:t>
      </w:r>
    </w:p>
    <w:p>
      <w:pPr>
        <w:spacing w:after="0" w:line="180" w:lineRule="exact"/>
        <w:rPr>
          <w:rFonts w:ascii="Times New Roman" w:cs="Times New Roman" w:eastAsia="Times New Roman" w:hAnsi="Times New Roman"/>
          <w:sz w:val="22"/>
          <w:szCs w:val="22"/>
          <w:color w:val="auto"/>
        </w:rPr>
      </w:pPr>
    </w:p>
    <w:p>
      <w:pPr>
        <w:ind w:left="760" w:right="500" w:firstLine="816"/>
        <w:spacing w:after="0" w:line="258" w:lineRule="auto"/>
        <w:tabs>
          <w:tab w:leader="none" w:pos="2011"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has original terms greater than [***] months related to Financed Vehicles with mileages greater than [***] miles;</w:t>
      </w:r>
    </w:p>
    <w:p>
      <w:pPr>
        <w:spacing w:after="0" w:line="157" w:lineRule="exact"/>
        <w:rPr>
          <w:rFonts w:ascii="Times New Roman" w:cs="Times New Roman" w:eastAsia="Times New Roman" w:hAnsi="Times New Roman"/>
          <w:sz w:val="22"/>
          <w:szCs w:val="22"/>
          <w:color w:val="auto"/>
        </w:rPr>
      </w:pPr>
    </w:p>
    <w:p>
      <w:pPr>
        <w:ind w:left="760" w:right="60" w:firstLine="745"/>
        <w:spacing w:after="0" w:line="244" w:lineRule="auto"/>
        <w:tabs>
          <w:tab w:leader="none" w:pos="194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relates to primary Obligors who do not have credit bureau scores or who have credit bureau scores equal to zero as of the time of origination of the related Contract;</w:t>
      </w:r>
    </w:p>
    <w:p>
      <w:pPr>
        <w:spacing w:after="0" w:line="172" w:lineRule="exact"/>
        <w:rPr>
          <w:rFonts w:ascii="Times New Roman" w:cs="Times New Roman" w:eastAsia="Times New Roman" w:hAnsi="Times New Roman"/>
          <w:sz w:val="22"/>
          <w:szCs w:val="22"/>
          <w:color w:val="auto"/>
        </w:rPr>
      </w:pPr>
    </w:p>
    <w:p>
      <w:pPr>
        <w:ind w:left="760" w:right="20" w:firstLine="759"/>
        <w:spacing w:after="0" w:line="237" w:lineRule="auto"/>
        <w:tabs>
          <w:tab w:leader="none" w:pos="195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Dealer (other than Vroom) accounts for more than [***]% of the aggregate Net Principal Balance of the Eligible Receivables, (b) each of the Dealers (other than Vroom) having the first, second and third highest aggregate Net Principal Balance of Eligible Receivables does not account for more than [***]% of the Aggregate Net Principal Balance and (c) no other Dealer (other than Vroom) had an aggregate Net Principal Balance of the Eligible Receivables of more than [***]% of the Aggregate Net Principal Balance;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5" w:name="page266"/>
    <w:bookmarkEnd w:id="265"/>
    <w:p>
      <w:pPr>
        <w:ind w:left="760" w:right="720" w:firstLine="829"/>
        <w:spacing w:after="0" w:line="258" w:lineRule="auto"/>
        <w:tabs>
          <w:tab w:leader="none" w:pos="2024"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represent Receivables that have been subject to a Permitted Modification;</w:t>
      </w:r>
    </w:p>
    <w:p>
      <w:pPr>
        <w:spacing w:after="0" w:line="157" w:lineRule="exact"/>
        <w:rPr>
          <w:rFonts w:ascii="Times New Roman" w:cs="Times New Roman" w:eastAsia="Times New Roman" w:hAnsi="Times New Roman"/>
          <w:sz w:val="22"/>
          <w:szCs w:val="22"/>
          <w:color w:val="auto"/>
        </w:rPr>
      </w:pPr>
    </w:p>
    <w:p>
      <w:pPr>
        <w:ind w:left="760" w:right="500" w:firstLine="759"/>
        <w:spacing w:after="0" w:line="258" w:lineRule="auto"/>
        <w:tabs>
          <w:tab w:leader="none" w:pos="1954"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are 30+ Day Delinquent Receivables;</w:t>
      </w:r>
    </w:p>
    <w:p>
      <w:pPr>
        <w:spacing w:after="0" w:line="157" w:lineRule="exact"/>
        <w:rPr>
          <w:rFonts w:ascii="Times New Roman" w:cs="Times New Roman" w:eastAsia="Times New Roman" w:hAnsi="Times New Roman"/>
          <w:sz w:val="22"/>
          <w:szCs w:val="22"/>
          <w:color w:val="auto"/>
        </w:rPr>
      </w:pPr>
    </w:p>
    <w:p>
      <w:pPr>
        <w:ind w:left="760" w:right="340" w:firstLine="690"/>
        <w:spacing w:after="0" w:line="258" w:lineRule="auto"/>
        <w:tabs>
          <w:tab w:leader="none" w:pos="1885"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had an original Principal Balance equal to or greater than $[***]; and</w:t>
      </w:r>
    </w:p>
    <w:p>
      <w:pPr>
        <w:spacing w:after="0" w:line="157" w:lineRule="exact"/>
        <w:rPr>
          <w:rFonts w:ascii="Times New Roman" w:cs="Times New Roman" w:eastAsia="Times New Roman" w:hAnsi="Times New Roman"/>
          <w:sz w:val="22"/>
          <w:szCs w:val="22"/>
          <w:color w:val="auto"/>
        </w:rPr>
      </w:pPr>
    </w:p>
    <w:p>
      <w:pPr>
        <w:ind w:left="760" w:right="260" w:firstLine="621"/>
        <w:spacing w:after="0" w:line="258" w:lineRule="auto"/>
        <w:tabs>
          <w:tab w:leader="none" w:pos="2248"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has original terms greater than [***] months.</w:t>
      </w:r>
    </w:p>
    <w:p>
      <w:pPr>
        <w:spacing w:after="0" w:line="15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Lender</w:t>
      </w:r>
      <w:r>
        <w:rPr>
          <w:rFonts w:ascii="Times New Roman" w:cs="Times New Roman" w:eastAsia="Times New Roman" w:hAnsi="Times New Roman"/>
          <w:sz w:val="22"/>
          <w:szCs w:val="22"/>
          <w:color w:val="auto"/>
        </w:rPr>
        <w:t>” means any Lender that is designated as a Conduit Lender in the Conduit Supplement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2" w:lineRule="exact"/>
        <w:rPr>
          <w:sz w:val="20"/>
          <w:szCs w:val="20"/>
          <w:color w:val="auto"/>
        </w:rPr>
      </w:pPr>
    </w:p>
    <w:p>
      <w:pPr>
        <w:jc w:val="both"/>
        <w:ind w:right="320"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Conduit Supplement</w:t>
      </w:r>
      <w:r>
        <w:rPr>
          <w:rFonts w:ascii="Times New Roman" w:cs="Times New Roman" w:eastAsia="Times New Roman" w:hAnsi="Times New Roman"/>
          <w:sz w:val="20"/>
          <w:szCs w:val="20"/>
          <w:color w:val="auto"/>
        </w:rPr>
        <w:t>” means, for each Lender Group, the information set forth in Schedule A to this Agreement for such Lender Group, as it may be amended or otherwise modified from time to time by such Lender Group, with, in the case of changes to the Facility Amount, Commitment and the definition of Cost of Funds Rate, the consent of the Borrower.</w:t>
      </w:r>
    </w:p>
    <w:p>
      <w:pPr>
        <w:spacing w:after="0" w:line="139"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information with respect to the Borrower or UACC, their respective businesses or financial condition, the Receivables or Serviced Portfolio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developed independently by such Person or (d) is or was lawfully and independently provided to such Person from a third party who is not known by such Person to be subject to an obligation of confidentiality or otherwise prohibited from transmitting such information.</w:t>
      </w:r>
    </w:p>
    <w:p>
      <w:pPr>
        <w:spacing w:after="0" w:line="176" w:lineRule="exact"/>
        <w:rPr>
          <w:sz w:val="20"/>
          <w:szCs w:val="20"/>
          <w:color w:val="auto"/>
        </w:rPr>
      </w:pPr>
    </w:p>
    <w:p>
      <w:pPr>
        <w:jc w:val="both"/>
        <w:ind w:right="300" w:firstLine="74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either the use or administration of Adjusted Daily Simple SOFR or the use, administration, adoption or implementation of any Benchmark Replacement, any technical, administrative or operational changes (including changes to the definition of “Base Rate,” the definition of “Business Day,” the definition of “U.S.</w:t>
      </w:r>
    </w:p>
    <w:p>
      <w:pPr>
        <w:spacing w:after="0" w:line="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6" w:name="page267"/>
    <w:bookmarkEnd w:id="266"/>
    <w:p>
      <w:pPr>
        <w:spacing w:after="0" w:line="236" w:lineRule="auto"/>
        <w:rPr>
          <w:sz w:val="20"/>
          <w:szCs w:val="20"/>
          <w:color w:val="auto"/>
        </w:rPr>
      </w:pPr>
      <w:r>
        <w:rPr>
          <w:rFonts w:ascii="Times New Roman" w:cs="Times New Roman" w:eastAsia="Times New Roman" w:hAnsi="Times New Roman"/>
          <w:sz w:val="22"/>
          <w:szCs w:val="22"/>
          <w:color w:val="auto"/>
        </w:rPr>
        <w:t>technical, administrative or operational matters) that the Lender decides may be appropriate to reflect the adoption and implementation of any such rate or to permit the use and administration thereof by the Lender in a manner substantially consistent with market practice (or, if the Lender decides that adoption of any portion of such market practice is not administratively feasible or if the Lender determines that no market practice for the administration of any such rate exists, in such other manner of administration as the Lender decides is reasonably necessary in connection with the administration of this Agreement and the other Basic Documents).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Continued Errors</w:t>
      </w:r>
      <w:r>
        <w:rPr>
          <w:rFonts w:ascii="Times New Roman" w:cs="Times New Roman" w:eastAsia="Times New Roman" w:hAnsi="Times New Roman"/>
          <w:sz w:val="22"/>
          <w:szCs w:val="22"/>
          <w:color w:val="auto"/>
        </w:rPr>
        <w:t>” has the meaning given to such term in Section 7.10(e).</w:t>
      </w:r>
    </w:p>
    <w:p>
      <w:pPr>
        <w:spacing w:after="0" w:line="205" w:lineRule="exact"/>
        <w:rPr>
          <w:sz w:val="20"/>
          <w:szCs w:val="20"/>
          <w:color w:val="auto"/>
        </w:rPr>
      </w:pPr>
    </w:p>
    <w:p>
      <w:pPr>
        <w:ind w:right="48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retail installment sale contract executed by an Obligor for a Financed Vehicle under which an extension of credit by the Originator is made in the ordinary course of business to such Obligor and which is secured by the related Financed Vehicle which the Borrower acquires all right, title or interest to from UACC pursuant to the Purchase Agreement or a related Transfer Agreement.</w:t>
      </w:r>
    </w:p>
    <w:p>
      <w:pPr>
        <w:spacing w:after="0" w:line="17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spacing w:after="0" w:line="172"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Cost of Funds Rate</w:t>
      </w:r>
      <w:r>
        <w:rPr>
          <w:rFonts w:ascii="Times New Roman" w:cs="Times New Roman" w:eastAsia="Times New Roman" w:hAnsi="Times New Roman"/>
          <w:sz w:val="22"/>
          <w:szCs w:val="22"/>
          <w:color w:val="auto"/>
        </w:rPr>
        <w:t>” means, with respect to (i) a Conduit Lender, the rate identified as its “Cost of Funds Rate” in the Conduit Supplement for the related Lender Group and (ii) a Committed Lender, (a) Adjusted Daily Simple SOFR or (b) if Adjusted Daily Simple SOFR is not available due to a SOFR Disruption Event, the Alternative Rate.</w:t>
      </w:r>
    </w:p>
    <w:p>
      <w:pPr>
        <w:spacing w:after="0" w:line="172" w:lineRule="exact"/>
        <w:rPr>
          <w:sz w:val="20"/>
          <w:szCs w:val="20"/>
          <w:color w:val="auto"/>
        </w:rPr>
      </w:pPr>
    </w:p>
    <w:p>
      <w:pPr>
        <w:ind w:right="5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Modification</w:t>
      </w:r>
      <w:r>
        <w:rPr>
          <w:rFonts w:ascii="Times New Roman" w:cs="Times New Roman" w:eastAsia="Times New Roman" w:hAnsi="Times New Roman"/>
          <w:sz w:val="22"/>
          <w:szCs w:val="22"/>
          <w:color w:val="auto"/>
        </w:rPr>
        <w:t>” means for any Contract, a modification of the APR or the number or amount of Scheduled Payments or an extension of more than two Scheduled Payments (unless required by Applicable Law or court order issued pursuant to Insolvency Proceedings involving the related Obligor).</w:t>
      </w:r>
    </w:p>
    <w:p>
      <w:pPr>
        <w:spacing w:after="0" w:line="172"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Cram Down Loss</w:t>
      </w:r>
      <w:r>
        <w:rPr>
          <w:rFonts w:ascii="Times New Roman" w:cs="Times New Roman" w:eastAsia="Times New Roman" w:hAnsi="Times New Roman"/>
          <w:sz w:val="22"/>
          <w:szCs w:val="22"/>
          <w:color w:val="auto"/>
        </w:rPr>
        <w:t>” 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lower of the contract rate or the rate of interest specified by the court in such order) of the Scheduled Payments as so modified or restructured. A “Cram Down Loss” shall be deemed to have occurred on the date such order is entered.</w:t>
      </w:r>
    </w:p>
    <w:p>
      <w:pPr>
        <w:spacing w:after="0" w:line="179"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means, with respect to the initial Servicer, the credit and collection policies of the Servicer or, with respect to any Successor Servicer, the customary credit and collection policies of such Successor Servicer. The Credit and Collection Policy, as in effect on the Effective Date, [***].</w:t>
      </w:r>
    </w:p>
    <w:p>
      <w:pPr>
        <w:spacing w:after="0" w:line="172"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Facility</w:t>
      </w:r>
      <w:r>
        <w:rPr>
          <w:rFonts w:ascii="Times New Roman" w:cs="Times New Roman" w:eastAsia="Times New Roman" w:hAnsi="Times New Roman"/>
          <w:sz w:val="22"/>
          <w:szCs w:val="22"/>
          <w:color w:val="auto"/>
        </w:rPr>
        <w:t>” means any of the committed loan facilities, lines of credit, letters of credit and other forms of credit enhancement available to the Conduit Lenders that are not Liquidity Facilities.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7" w:name="page268"/>
    <w:bookmarkEnd w:id="267"/>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Provider</w:t>
      </w:r>
      <w:r>
        <w:rPr>
          <w:rFonts w:ascii="Times New Roman" w:cs="Times New Roman" w:eastAsia="Times New Roman" w:hAnsi="Times New Roman"/>
          <w:sz w:val="22"/>
          <w:szCs w:val="22"/>
          <w:color w:val="auto"/>
        </w:rPr>
        <w:t>” means any provider of a Credit Facility or a Liquidity Facility.</w:t>
      </w:r>
    </w:p>
    <w:p>
      <w:pPr>
        <w:spacing w:after="0" w:line="205"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means, (i) so long as no Custodian Termination Event has occurred, UACC, acting directly as Custodian and/or [***] as an agent of UACC, and (ii) following the occurrence of a Custodian Termination Event, [***] or a different successor custodian appointed pursuant to Section 7.19(g).</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Fee</w:t>
      </w:r>
      <w:r>
        <w:rPr>
          <w:rFonts w:ascii="Times New Roman" w:cs="Times New Roman" w:eastAsia="Times New Roman" w:hAnsi="Times New Roman"/>
          <w:sz w:val="22"/>
          <w:szCs w:val="22"/>
          <w:color w:val="auto"/>
        </w:rPr>
        <w:t>” means the fee payable to the Custodian on each Payment Date in accordance with Section 2.12(b), in an amount equal to, if the Custodian is (i) UACC, $0 (as the Servicing Fee covers the compensation of UACC as Custodian), and (ii) any entity other than UACC, the amount agreed upon by such Custodian, the Borrower and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Termination Event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Cutoff Date</w:t>
      </w:r>
      <w:r>
        <w:rPr>
          <w:rFonts w:ascii="Times New Roman" w:cs="Times New Roman" w:eastAsia="Times New Roman" w:hAnsi="Times New Roman"/>
          <w:sz w:val="22"/>
          <w:szCs w:val="22"/>
          <w:color w:val="auto"/>
        </w:rPr>
        <w:t>” means, with respect to Receivables transferred to the Borrower on each Funding Date, such date as shall be identified as the Cutoff Date in the related Funding Request.</w:t>
      </w:r>
    </w:p>
    <w:p>
      <w:pPr>
        <w:spacing w:after="0" w:line="157"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w:t>
      </w:r>
      <w:r>
        <w:rPr>
          <w:rFonts w:ascii="Times New Roman" w:cs="Times New Roman" w:eastAsia="Times New Roman" w:hAnsi="Times New Roman"/>
          <w:sz w:val="22"/>
          <w:szCs w:val="22"/>
          <w:color w:val="auto"/>
        </w:rPr>
        <w:t>” 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 provided, that, Vroom shall be considered to be a “Dealer” for purposes of this Agreement so long as a Dealer Agreement is in effect between it and the Originator.</w:t>
      </w:r>
    </w:p>
    <w:p>
      <w:pPr>
        <w:spacing w:after="0" w:line="179"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 Agreement</w:t>
      </w:r>
      <w:r>
        <w:rPr>
          <w:rFonts w:ascii="Times New Roman" w:cs="Times New Roman" w:eastAsia="Times New Roman" w:hAnsi="Times New Roman"/>
          <w:sz w:val="22"/>
          <w:szCs w:val="22"/>
          <w:color w:val="auto"/>
        </w:rPr>
        <w:t>” 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related Receivables sold by such Dealer, including that such Dealer has all applicable licenses and approvals to originate Receivables that are Eligible Receivables, and (ii) the agreement of such Dealer to repurchase Contracts and any related Receivable with respect to which one or more of such representations and warranties has been breached.</w:t>
      </w:r>
    </w:p>
    <w:p>
      <w:pPr>
        <w:spacing w:after="0" w:line="179" w:lineRule="exact"/>
        <w:rPr>
          <w:sz w:val="20"/>
          <w:szCs w:val="20"/>
          <w:color w:val="auto"/>
        </w:rPr>
      </w:pPr>
    </w:p>
    <w:p>
      <w:pPr>
        <w:ind w:right="6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means (i) the SOFR Rate or (ii) if Adjusted Daily Simple SOFR is not available, the sum of (a) the greatest of (1) [***], (2) [***] plus [***]% and (3) the Cost of Funds Rate and (b) [***]%.</w:t>
      </w:r>
    </w:p>
    <w:p>
      <w:pPr>
        <w:spacing w:after="0" w:line="157"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with respect to any Collection Period, a Receivable for which, as of the last day of such Collection Period, (i) the Servicer has repossessed the related Financed Vehicle and either (a) the Servicer has sold and received proceeds on each sale for such Financed Vehicle and received the proceeds of such sale or (b) 90 days have passed since repossession, (ii) the Servicer has determined in good faith that it has received all amounts it expects to recover, (iii) 10% or more of a scheduled payment became 121 or more days delinquent (or 211 or more days delinquent, in the case of a repossessed Financed Vehicle) or (iv) the Servicer has settled or charged off such Receivable.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8" w:name="page269"/>
    <w:bookmarkEnd w:id="268"/>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aggregate Principal Balance of all Eligible Receivables as of such Determination Date.</w:t>
      </w:r>
    </w:p>
    <w:p>
      <w:pPr>
        <w:spacing w:after="0" w:line="179" w:lineRule="exact"/>
        <w:rPr>
          <w:sz w:val="20"/>
          <w:szCs w:val="20"/>
          <w:color w:val="auto"/>
        </w:rPr>
      </w:pPr>
    </w:p>
    <w:p>
      <w:pPr>
        <w:ind w:right="320"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Delinquent Receivable</w:t>
      </w:r>
      <w:r>
        <w:rPr>
          <w:rFonts w:ascii="Times New Roman" w:cs="Times New Roman" w:eastAsia="Times New Roman" w:hAnsi="Times New Roman"/>
          <w:sz w:val="20"/>
          <w:szCs w:val="20"/>
          <w:color w:val="auto"/>
        </w:rPr>
        <w:t>” means any Receivable, other than a Defaulted Receivable, with respect to which more than 10% of any Scheduled Payment remains unpaid for more than 60 days after the related due date as of any Determination Date.</w:t>
      </w:r>
    </w:p>
    <w:p>
      <w:pPr>
        <w:spacing w:after="0" w:line="113"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Derivative</w:t>
      </w:r>
      <w:r>
        <w:rPr>
          <w:rFonts w:ascii="Times New Roman" w:cs="Times New Roman" w:eastAsia="Times New Roman" w:hAnsi="Times New Roman"/>
          <w:sz w:val="22"/>
          <w:szCs w:val="22"/>
          <w:color w:val="auto"/>
        </w:rPr>
        <w:t>” means any (i) exchange-traded or over-the-counter forward, future, option, swap, cap, collar, floor or foreign exchange contract or any combination of the foregoing,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spacing w:after="0" w:line="17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means, with respect to any Payment Date and the related Collection Period, the last day of such Collection Period.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Dissenting Lender</w:t>
      </w:r>
      <w:r>
        <w:rPr>
          <w:rFonts w:ascii="Times New Roman" w:cs="Times New Roman" w:eastAsia="Times New Roman" w:hAnsi="Times New Roman"/>
          <w:sz w:val="20"/>
          <w:szCs w:val="20"/>
          <w:color w:val="auto"/>
        </w:rPr>
        <w:t>” means a Non-Extending Lender from the date of its refusal notice or the end of the Election Period.</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means The Dodd-Frank Wall Street Reform and Consumer Protection Act (Pub.L. 111-203, H.R.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4173)</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0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Date Change</w:t>
      </w:r>
      <w:r>
        <w:rPr>
          <w:rFonts w:ascii="Times New Roman" w:cs="Times New Roman" w:eastAsia="Times New Roman" w:hAnsi="Times New Roman"/>
          <w:sz w:val="22"/>
          <w:szCs w:val="22"/>
          <w:color w:val="auto"/>
        </w:rPr>
        <w:t>” means, with respect to any Contract, a change in the due date for the related Scheduled Payments; provided, that the aggregate number of days such due date may change pursuant to one or more Permitted Due Date Changes may not exceed 31 days.</w:t>
      </w:r>
    </w:p>
    <w:p>
      <w:pPr>
        <w:spacing w:after="0" w:line="172" w:lineRule="exact"/>
        <w:rPr>
          <w:sz w:val="20"/>
          <w:szCs w:val="20"/>
          <w:color w:val="auto"/>
        </w:rPr>
      </w:pPr>
    </w:p>
    <w:p>
      <w:pPr>
        <w:jc w:val="both"/>
        <w:ind w:right="4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with respect to a particular action, date or event, as applicable, (i) the Closing Date, (ii) the effective date of the Amended and Restated Warehouse Agreement, (iii) the effective date of each amendment to the Original Warehouse Agreement, other than the Amendment, or (iii) the Amendment Effective Date.</w:t>
      </w:r>
    </w:p>
    <w:p>
      <w:pPr>
        <w:spacing w:after="0" w:line="138" w:lineRule="exact"/>
        <w:rPr>
          <w:sz w:val="20"/>
          <w:szCs w:val="20"/>
          <w:color w:val="auto"/>
        </w:rPr>
      </w:pPr>
    </w:p>
    <w:p>
      <w:pPr>
        <w:ind w:left="7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Election Period</w:t>
      </w:r>
      <w:r>
        <w:rPr>
          <w:rFonts w:ascii="Times New Roman" w:cs="Times New Roman" w:eastAsia="Times New Roman" w:hAnsi="Times New Roman"/>
          <w:sz w:val="20"/>
          <w:szCs w:val="20"/>
          <w:color w:val="auto"/>
        </w:rPr>
        <w:t>” means the 60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period following the date of a request for an extension pursuant to Section 2.04(a).</w:t>
      </w:r>
    </w:p>
    <w:p>
      <w:pPr>
        <w:spacing w:after="0" w:line="2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Chattel Paper</w:t>
      </w:r>
      <w:r>
        <w:rPr>
          <w:rFonts w:ascii="Times New Roman" w:cs="Times New Roman" w:eastAsia="Times New Roman" w:hAnsi="Times New Roman"/>
          <w:sz w:val="22"/>
          <w:szCs w:val="22"/>
          <w:color w:val="auto"/>
        </w:rPr>
        <w:t>” means “electronic chattel paper” under and as defined in Article 9 of the UCC.</w:t>
      </w:r>
    </w:p>
    <w:p>
      <w:pPr>
        <w:spacing w:after="0" w:line="205" w:lineRule="exact"/>
        <w:rPr>
          <w:sz w:val="20"/>
          <w:szCs w:val="20"/>
          <w:color w:val="auto"/>
        </w:rPr>
      </w:pPr>
    </w:p>
    <w:p>
      <w:pPr>
        <w:jc w:val="both"/>
        <w:ind w:right="4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Vault</w:t>
      </w:r>
      <w:r>
        <w:rPr>
          <w:rFonts w:ascii="Times New Roman" w:cs="Times New Roman" w:eastAsia="Times New Roman" w:hAnsi="Times New Roman"/>
          <w:sz w:val="22"/>
          <w:szCs w:val="22"/>
          <w:color w:val="auto"/>
        </w:rPr>
        <w:t>” means the Electronic Chattel Paper vault system maintained and provided by the Electronic Vault Provider pursuant to the Electronic Vault 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9" w:name="page270"/>
    <w:bookmarkEnd w:id="269"/>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Vault Agreement</w:t>
      </w:r>
      <w:r>
        <w:rPr>
          <w:rFonts w:ascii="Times New Roman" w:cs="Times New Roman" w:eastAsia="Times New Roman" w:hAnsi="Times New Roman"/>
          <w:sz w:val="22"/>
          <w:szCs w:val="22"/>
          <w:color w:val="auto"/>
        </w:rPr>
        <w:t>” means the agreement relating to the use and management of the Electronic Vault between the Electronic Vault Provider and UACC.</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Vault Provider</w:t>
      </w:r>
      <w:r>
        <w:rPr>
          <w:rFonts w:ascii="Times New Roman" w:cs="Times New Roman" w:eastAsia="Times New Roman" w:hAnsi="Times New Roman"/>
          <w:sz w:val="22"/>
          <w:szCs w:val="22"/>
          <w:color w:val="auto"/>
        </w:rPr>
        <w:t>” means [***] or its Affiliates.</w:t>
      </w:r>
    </w:p>
    <w:p>
      <w:pPr>
        <w:spacing w:after="0" w:line="171" w:lineRule="exact"/>
        <w:rPr>
          <w:sz w:val="20"/>
          <w:szCs w:val="20"/>
          <w:color w:val="auto"/>
        </w:rPr>
      </w:pPr>
    </w:p>
    <w:p>
      <w:pPr>
        <w:ind w:firstLine="749"/>
        <w:spacing w:after="0" w:line="26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Person (i) whose short-term rating is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whose obligations under this Agreement are guaranteed by a Person whose short-term rating is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(ii) who is either a multi-seller commercial paper conduit or an Affiliate of a Lender, an Agent or the Administrative Agent or (iii) who is acceptable to the Administrative Agent, Standard &amp; Poor’s and Moody’s; provided that, so long as no Termination Event or Servicer Termination Event has occurred and is continuing, such Person, if not an Affiliate of the Lender, an Agent or the Administrative Agent, shall be acceptable to the Borrower.</w:t>
      </w:r>
    </w:p>
    <w:p>
      <w:pPr>
        <w:spacing w:after="0" w:line="179"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Commercial Vehicles</w:t>
      </w:r>
      <w:r>
        <w:rPr>
          <w:rFonts w:ascii="Times New Roman" w:cs="Times New Roman" w:eastAsia="Times New Roman" w:hAnsi="Times New Roman"/>
          <w:sz w:val="22"/>
          <w:szCs w:val="22"/>
          <w:color w:val="auto"/>
        </w:rPr>
        <w:t>” means Ford, Chevrolet, Dodge or imported trucks with (i) a GVWF “Gross Vehicle Weight Rating” of no more than 14,500 lbs. and (ii) cab and chassis bodies limited to stake body, stake body with lift gate, dump body, cube van, cargo van, Ford transit or other equivalent small commercial vehicles (excluding tow trucks, bobtails, slidebacks, flatbed carriers, food trucks and other catering vehicles).</w:t>
      </w:r>
    </w:p>
    <w:p>
      <w:pPr>
        <w:spacing w:after="0" w:line="179"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means, on any day, any Receivable (i) for which the related Receivable File is in the possession of the Servicer or the Custodian, (ii) which is identified on the Schedule of Receivables delivered by the Borrower to the Administrative Agent as part of a Funding Request, (iii) which satisfies each of the eligibility requirements set forth on Schedule B hereto, (iv) for which, if any Covered Modification has been made with respect to the related Contract, such modification is a Permitted Modification and (v) for which any Due Date Change is a Permitted Due Date Change.</w:t>
      </w:r>
    </w:p>
    <w:p>
      <w:pPr>
        <w:spacing w:after="0" w:line="180"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and the regulations promulgated and rulings issued thereunder.</w:t>
      </w:r>
    </w:p>
    <w:p>
      <w:pPr>
        <w:spacing w:after="0" w:line="157"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(i) any corporation which is a member of the same controlled group of corporations (within the meaning of Section 414(b) of the Code) as the Borrower, (ii) a trade or business (whether or not incorporated) under common control (within the meaning of Section 414(c) of the Code) with the Borrower or (iii) a member of the same affiliated service group (within the meaning of Section 414(m) of the Code) as the Borrower, any corporation described in clause (i) above or any trade or business described in clause (ii) above.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Errors</w:t>
      </w:r>
      <w:r>
        <w:rPr>
          <w:rFonts w:ascii="Times New Roman" w:cs="Times New Roman" w:eastAsia="Times New Roman" w:hAnsi="Times New Roman"/>
          <w:sz w:val="22"/>
          <w:szCs w:val="22"/>
          <w:color w:val="auto"/>
        </w:rPr>
        <w:t>” has the meaning given to such term in Section 7.10(e).</w:t>
      </w:r>
    </w:p>
    <w:p>
      <w:pPr>
        <w:spacing w:after="0" w:line="205"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Concentration Amount</w:t>
      </w:r>
      <w:r>
        <w:rPr>
          <w:rFonts w:ascii="Times New Roman" w:cs="Times New Roman" w:eastAsia="Times New Roman" w:hAnsi="Times New Roman"/>
          <w:sz w:val="22"/>
          <w:szCs w:val="22"/>
          <w:color w:val="auto"/>
        </w:rPr>
        <w:t>” means, with respect to any day, without duplication, the aggregate Net Principal Balance of Receivables that cause one or more of the Concentration Limits to not be met; provided, however, that the Excess Concentration Amount will be $0 (i) for two full Collection Periods following a Securitization or (ii) until the Loans Outstanding first exceed $[***] following the Closing Date.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70" w:name="page271"/>
    <w:bookmarkEnd w:id="270"/>
    <w:p>
      <w:pPr>
        <w:ind w:right="100" w:firstLine="749"/>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Spread Percentage</w:t>
      </w:r>
      <w:r>
        <w:rPr>
          <w:rFonts w:ascii="Times New Roman" w:cs="Times New Roman" w:eastAsia="Times New Roman" w:hAnsi="Times New Roman"/>
          <w:sz w:val="20"/>
          <w:szCs w:val="20"/>
          <w:color w:val="auto"/>
        </w:rPr>
        <w:t>” means, with respect to any Payment Date and the related Collection Period, an annualized percentage equal to (i) the weighted average APR of all Eligible Receivables during such Collection Period minus (ii) the sum of</w:t>
      </w:r>
    </w:p>
    <w:p>
      <w:pPr>
        <w:spacing w:after="0" w:line="2" w:lineRule="exact"/>
        <w:rPr>
          <w:sz w:val="20"/>
          <w:szCs w:val="20"/>
          <w:color w:val="auto"/>
        </w:rPr>
      </w:pPr>
    </w:p>
    <w:p>
      <w:pPr>
        <w:ind w:firstLine="8"/>
        <w:spacing w:after="0" w:line="233" w:lineRule="auto"/>
        <w:tabs>
          <w:tab w:leader="none" w:pos="29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so long as no Hedging Agreement is in place, the weighted average rate used to calculate Interest pursuant to Section 2.07 multiplied by [***] and (2) if a Hedging Agreement is in place, the lesser of such weighted average rate used to calculate Interest multiplied by [***] or the strike rate (or similar concept) of such Hedging Agreement and (b) the sum of (1) the Servicing Fee Rate and (2) the Unused Fee Rate, each multiplied by [***], and (3) the annual rate used to calculate the compensation paid to the Backup Servicer and the Custodian (if other than UACC).</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w:t>
      </w:r>
    </w:p>
    <w:p>
      <w:pPr>
        <w:spacing w:after="0" w:line="205"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(i) net income Taxes, franchise Taxes (imposed in lieu of net income Taxes) and branch profits Taxes, in each case imposed on any Lender or the Administrative Agent as a result of a present or former connection between such Lender (including any applicable lending office) or the Administrative Agent and the jurisdiction of the Governmental Authority imposing such Tax or any political subdivision or taxing authority thereof or therein (other than any such connection arising solely from such Lender’s or the Administrative Agent’s having executed, delivered, or performed its obligations or received a payment under, or enforced, this Agreement), (ii) any Taxes that result from a Lender’s failure to comply with the requirements of Section 2.14(d), (iii) in the case of any Non-U.S. Lender, any withholding Taxes that are imposed on amounts payable to such Non-U.S. Lender at the time such Non-U.S. Lender becomes a party to this Agreement or changes the applicable lending office with respect to this Agreement and (iv) any Taxes under FATCA.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Receivables</w:t>
      </w:r>
      <w:r>
        <w:rPr>
          <w:rFonts w:ascii="Times New Roman" w:cs="Times New Roman" w:eastAsia="Times New Roman" w:hAnsi="Times New Roman"/>
          <w:sz w:val="22"/>
          <w:szCs w:val="22"/>
          <w:color w:val="auto"/>
        </w:rPr>
        <w:t>” means the Receivables that become a part of the Collateral in connection with the Initial Loan.</w:t>
      </w:r>
    </w:p>
    <w:p>
      <w:pPr>
        <w:spacing w:after="0" w:line="205" w:lineRule="exact"/>
        <w:rPr>
          <w:sz w:val="20"/>
          <w:szCs w:val="20"/>
          <w:color w:val="auto"/>
        </w:rPr>
      </w:pPr>
    </w:p>
    <w:p>
      <w:pPr>
        <w:ind w:right="320" w:firstLine="803"/>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Amount</w:t>
      </w:r>
      <w:r>
        <w:rPr>
          <w:rFonts w:ascii="Times New Roman" w:cs="Times New Roman" w:eastAsia="Times New Roman" w:hAnsi="Times New Roman"/>
          <w:sz w:val="22"/>
          <w:szCs w:val="22"/>
          <w:color w:val="auto"/>
        </w:rPr>
        <w:t>” means (i) prior to the Termination Date, the lesser of the Aggregate Commitment on such day and $[***], and (ii) on and after the Termination Date, the Loans Outstanding.</w:t>
      </w:r>
    </w:p>
    <w:p>
      <w:pPr>
        <w:spacing w:after="0" w:line="157"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Turbo Date</w:t>
      </w:r>
      <w:r>
        <w:rPr>
          <w:rFonts w:ascii="Times New Roman" w:cs="Times New Roman" w:eastAsia="Times New Roman" w:hAnsi="Times New Roman"/>
          <w:sz w:val="22"/>
          <w:szCs w:val="22"/>
          <w:color w:val="auto"/>
        </w:rPr>
        <w:t>” means (a) if the Minimum Liquidity Test is satisfied, the date that is the [***] anniversary of the Commitment Termination Date, (b) if, at any time prior to such [***] anniversary, the Minimum Liquidity Test is not satisfied, the later of (i) the Commitment Termination Date and (ii) the date on which the Minimum Liquidity Test is not satisfied, or (c) the [***] Payment Date, if the Borrower fails to reduce the Borrowing Base to the Target Borrowing Base on or prior to the [***] Payment Date.</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date following the Termination Date on which the Aggregate Unpaids have been indefeasibly paid in full.</w:t>
      </w:r>
    </w:p>
    <w:p>
      <w:pPr>
        <w:spacing w:after="0" w:line="157"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 166/167 Rules</w:t>
      </w:r>
      <w:r>
        <w:rPr>
          <w:rFonts w:ascii="Times New Roman" w:cs="Times New Roman" w:eastAsia="Times New Roman" w:hAnsi="Times New Roman"/>
          <w:sz w:val="22"/>
          <w:szCs w:val="22"/>
          <w:color w:val="auto"/>
        </w:rPr>
        <w:t>” 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December 15, 2009, by the Federal Accounting Standard Board.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1" w:name="page272"/>
    <w:bookmarkEnd w:id="271"/>
    <w:p>
      <w:pPr>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in effect on the Closing Date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w:t>
      </w:r>
    </w:p>
    <w:p>
      <w:pPr>
        <w:spacing w:after="0" w:line="179"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period, a fluctuating interest rate per annum (rounded upwards, if necessary, to the nearest 1/100 of 1%) equal for each day during such period to the weighted average of the federal funds rates as reported in Federal Reserve Board Statistical Release H.15(519) or any successor or substitute publication selected by the Administrative Agent (or, if such day is not a Business Day, for the preceding Business Day), or, if for any reason such rate is not available on any day, the rate determined, in the sole opinion of the Administrative Agent, to be the rate at which federal funds are being offered for sale in the national federal funds market at 9:00 a.m., Charlotte, North Carolina time, on such day.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dated as of December 12, 2022, among the Borrower, the Servicer and the Administrative Agent, setting forth the Unused Fee Rate, the Upfront Fee and the SOFR Margin.</w:t>
      </w:r>
    </w:p>
    <w:p>
      <w:pPr>
        <w:spacing w:after="0" w:line="15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Financed Vehicle</w:t>
      </w:r>
      <w:r>
        <w:rPr>
          <w:rFonts w:ascii="Times New Roman" w:cs="Times New Roman" w:eastAsia="Times New Roman" w:hAnsi="Times New Roman"/>
          <w:sz w:val="22"/>
          <w:szCs w:val="22"/>
          <w:color w:val="auto"/>
        </w:rPr>
        <w:t>” means, with respect to a Receivable or a Serviced Portfolio Receivable, any new or used automobile, light-duty truck, minivan, sport utility vehicle or other passenger vehicle (including any Eligible Commercial Vehicle), together with all accessions thereto, securing the related Obligor’s Indebtedness thereunder.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Warehouse Agreement</w:t>
      </w:r>
      <w:r>
        <w:rPr>
          <w:rFonts w:ascii="Times New Roman" w:cs="Times New Roman" w:eastAsia="Times New Roman" w:hAnsi="Times New Roman"/>
          <w:sz w:val="22"/>
          <w:szCs w:val="22"/>
          <w:color w:val="auto"/>
        </w:rPr>
        <w:t>” has the meaning given to such term in the recitals.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Event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Formation Documents</w:t>
      </w:r>
      <w:r>
        <w:rPr>
          <w:rFonts w:ascii="Times New Roman" w:cs="Times New Roman" w:eastAsia="Times New Roman" w:hAnsi="Times New Roman"/>
          <w:sz w:val="22"/>
          <w:szCs w:val="22"/>
          <w:color w:val="auto"/>
        </w:rPr>
        <w:t>” means, with respect to (i) the Borrower, the Trust Agreement and certificate of trust and (ii) UACC, its articles of incorporation and bylaws.</w:t>
      </w:r>
    </w:p>
    <w:p>
      <w:pPr>
        <w:spacing w:after="0" w:line="157" w:lineRule="exact"/>
        <w:rPr>
          <w:sz w:val="20"/>
          <w:szCs w:val="20"/>
          <w:color w:val="auto"/>
        </w:rPr>
      </w:pPr>
    </w:p>
    <w:p>
      <w:pPr>
        <w:ind w:right="5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each Business Day on which a Loan is made and Receivables are added to the Collateral in connection with such Loan.</w:t>
      </w:r>
    </w:p>
    <w:p>
      <w:pPr>
        <w:spacing w:after="0" w:line="157"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Request</w:t>
      </w:r>
      <w:r>
        <w:rPr>
          <w:rFonts w:ascii="Times New Roman" w:cs="Times New Roman" w:eastAsia="Times New Roman" w:hAnsi="Times New Roman"/>
          <w:sz w:val="22"/>
          <w:szCs w:val="22"/>
          <w:color w:val="auto"/>
        </w:rPr>
        <w:t>” means a written notice from the Borrower requesting a Loan and including the items required by Section 2.01(b), substantially in the form of Exhibit A 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0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with respect to any Person, any nation or government, any State or other political subdivision thereof, any entity exercising executive, legislative, judicial, regulatory or administrative functions of or pertaining to government, any central bank and any court or arbitrator having jurisdiction over such Person.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72" w:name="page273"/>
    <w:bookmarkEnd w:id="272"/>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Breakage Costs</w:t>
      </w:r>
      <w:r>
        <w:rPr>
          <w:rFonts w:ascii="Times New Roman" w:cs="Times New Roman" w:eastAsia="Times New Roman" w:hAnsi="Times New Roman"/>
          <w:sz w:val="22"/>
          <w:szCs w:val="22"/>
          <w:color w:val="auto"/>
        </w:rPr>
        <w:t>” means, with respect to any Hedge Transaction, any amount payable by the Borrower to the related Hedge Counterparty upon the early termination of such Hedge Transaction or any portion thereof.</w:t>
      </w:r>
    </w:p>
    <w:p>
      <w:pPr>
        <w:spacing w:after="0" w:line="157"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w:t>
      </w:r>
      <w:r>
        <w:rPr>
          <w:rFonts w:ascii="Times New Roman" w:cs="Times New Roman" w:eastAsia="Times New Roman" w:hAnsi="Times New Roman"/>
          <w:sz w:val="22"/>
          <w:szCs w:val="22"/>
          <w:color w:val="auto"/>
        </w:rPr>
        <w:t>” means all of the rights of the Borrower, whether now existing or hereafter acquired, in and to all Hedging Agreements, Hedge Transactions, the Hedge Reserve Account and all present and future amounts payable by all Hedge Counterparties to the Borrower under or in connection with such Hedging Agreements and Hedge Transactions with such Hedge Counterparties.</w:t>
      </w:r>
    </w:p>
    <w:p>
      <w:pPr>
        <w:spacing w:after="0" w:line="179"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Counterparty</w:t>
      </w:r>
      <w:r>
        <w:rPr>
          <w:rFonts w:ascii="Times New Roman" w:cs="Times New Roman" w:eastAsia="Times New Roman" w:hAnsi="Times New Roman"/>
          <w:sz w:val="22"/>
          <w:szCs w:val="22"/>
          <w:color w:val="auto"/>
        </w:rPr>
        <w:t>” means any entity that (i) on the date of entering into any Hedging Agreement, is either a Lender or an Affiliate of a Lender or (ii) on the date of entering into any Hedge Transaction (a) is an interest rate swap dealer that has been approved in writing by the Administrative Agent (which approval shall not be unreasonably withheld), (b) whose debt ratings meet each of the Long-Term Rating Requirement and the Short-Term Rating Requirement and (c) agrees that in the event that Moody’s or Standard &amp; Poor’s reduces its long-term unsecured debt rating below the Long-Term Rating Requirement or its short-term unsecured debt rating below the Short-Term Rating Requirement, it shall (1) transfer its rights and obligations under each Hedge Transaction to another entity that meets the requirements of this definition and has entered into a Hedging Agreement with the Borrower on or prior to the date of such transfer or (2) post collateral in an amount satisfactory to the Administrative Agent in its sole discretion. Each Hedge Counterparty must consent to the assignment of the Borrower’s rights under the Hedging Agreement to the Administrative Agent pursuant to Section 6.03(b).</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w:t>
      </w:r>
      <w:r>
        <w:rPr>
          <w:rFonts w:ascii="Times New Roman" w:cs="Times New Roman" w:eastAsia="Times New Roman" w:hAnsi="Times New Roman"/>
          <w:sz w:val="22"/>
          <w:szCs w:val="22"/>
          <w:color w:val="auto"/>
        </w:rPr>
        <w:t>” has the meaning given to such term in Section 6.03(b).</w:t>
      </w:r>
    </w:p>
    <w:p>
      <w:pPr>
        <w:spacing w:after="0" w:line="20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 Amount</w:t>
      </w:r>
      <w:r>
        <w:rPr>
          <w:rFonts w:ascii="Times New Roman" w:cs="Times New Roman" w:eastAsia="Times New Roman" w:hAnsi="Times New Roman"/>
          <w:sz w:val="22"/>
          <w:szCs w:val="22"/>
          <w:color w:val="auto"/>
        </w:rPr>
        <w:t>” means, as of any date of determination, the amount of funds on deposit in the Hedge Reserve Account.</w:t>
      </w:r>
    </w:p>
    <w:p>
      <w:pPr>
        <w:spacing w:after="0" w:line="157"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Reserve Account Required Amount</w:t>
      </w:r>
      <w:r>
        <w:rPr>
          <w:rFonts w:ascii="Times New Roman" w:cs="Times New Roman" w:eastAsia="Times New Roman" w:hAnsi="Times New Roman"/>
          <w:sz w:val="22"/>
          <w:szCs w:val="22"/>
          <w:color w:val="auto"/>
        </w:rPr>
        <w:t>” means, effective from and after the date on which the Hedge Reserve Account is required to be established pursuant to Section 6.03(b) and as of any date of determination thereafter, if either (i) the Excess Spread Percentage is less than [***]% or (ii) the Minimum Liquidity Test is not satisfied, the product of (x) [***] and (y) the most recent Hedge Quote, as received by the Borrower and made available to the Administrative Agent and the Lenders pursuant to Section 6.03(c) hereof.</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Threshold</w:t>
      </w:r>
      <w:r>
        <w:rPr>
          <w:rFonts w:ascii="Times New Roman" w:cs="Times New Roman" w:eastAsia="Times New Roman" w:hAnsi="Times New Roman"/>
          <w:sz w:val="22"/>
          <w:szCs w:val="22"/>
          <w:color w:val="auto"/>
        </w:rPr>
        <w:t>” means the strike rate used to calculate the Hedge Reserve Account Required Amount pursuant to the definition thereof minus [***]%.</w:t>
      </w:r>
    </w:p>
    <w:p>
      <w:pPr>
        <w:spacing w:after="0" w:line="15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Transaction</w:t>
      </w:r>
      <w:r>
        <w:rPr>
          <w:rFonts w:ascii="Times New Roman" w:cs="Times New Roman" w:eastAsia="Times New Roman" w:hAnsi="Times New Roman"/>
          <w:sz w:val="22"/>
          <w:szCs w:val="22"/>
          <w:color w:val="auto"/>
        </w:rPr>
        <w:t>” means each transaction between the Borrower and a Hedge Counterparty entered into pursuant to Section 6.03(a), which transaction shall be governed by a Hedging Agreement.</w:t>
      </w:r>
    </w:p>
    <w:p>
      <w:pPr>
        <w:spacing w:after="0" w:line="157" w:lineRule="exact"/>
        <w:rPr>
          <w:sz w:val="20"/>
          <w:szCs w:val="20"/>
          <w:color w:val="auto"/>
        </w:rPr>
      </w:pPr>
    </w:p>
    <w:p>
      <w:pPr>
        <w:ind w:right="24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Quote</w:t>
      </w:r>
      <w:r>
        <w:rPr>
          <w:rFonts w:ascii="Times New Roman" w:cs="Times New Roman" w:eastAsia="Times New Roman" w:hAnsi="Times New Roman"/>
          <w:sz w:val="22"/>
          <w:szCs w:val="22"/>
          <w:color w:val="auto"/>
        </w:rPr>
        <w:t>” means the most recently quoted purchase price for a Hedging Agreement, as received by the Borrower (or the initial Servicer on behalf of the Borrower) from a Hedge Counterparty for an Interest rate cap with a strike rate (to be determined by the Borrower or the initial Servicer on behalf of the Borrower) not to exceed the lowest Interest rate that would cause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73" w:name="page274"/>
    <w:bookmarkEnd w:id="273"/>
    <w:p>
      <w:pPr>
        <w:ind w:right="120"/>
        <w:spacing w:after="0" w:line="235" w:lineRule="auto"/>
        <w:rPr>
          <w:sz w:val="20"/>
          <w:szCs w:val="20"/>
          <w:color w:val="auto"/>
        </w:rPr>
      </w:pPr>
      <w:r>
        <w:rPr>
          <w:rFonts w:ascii="Times New Roman" w:cs="Times New Roman" w:eastAsia="Times New Roman" w:hAnsi="Times New Roman"/>
          <w:sz w:val="22"/>
          <w:szCs w:val="22"/>
          <w:color w:val="auto"/>
        </w:rPr>
        <w:t>the Excess Spread Percentage (pursuant to clause (ii)(a)(1) of the definition thereof) to fall below [***]%, and a notional amount equal to the excess of (x) the Loans Outstanding during the immediately preceding calendar month, as of any date of determination, over (y) the aggregate notional amount of all other Hedge Transactions to which the Borrower is then a party and that amortizes using an assumed rate of Prepayments on the Receivables for each Collection Period based upon the “Absolute Prepayment Model” applied in accordance with the market standards for asset-backed securities transactions of not greater than [***]%. For the purposes of this definition, the quoted purchase price for a Hedging Agreement shall be in effect until the immediately succeeding date on which it is received pursuant to Section 6.03(c) hereof.</w:t>
      </w:r>
    </w:p>
    <w:p>
      <w:pPr>
        <w:spacing w:after="0" w:line="181" w:lineRule="exact"/>
        <w:rPr>
          <w:sz w:val="20"/>
          <w:szCs w:val="20"/>
          <w:color w:val="auto"/>
        </w:rPr>
      </w:pPr>
    </w:p>
    <w:p>
      <w:pPr>
        <w:ind w:right="2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each agreement between the Borrower and a Hedge Counterparty which governs one or more Hedge Transactions entered into pursuant to Section 6.03(a), which shall consist of a “Master Agreement” in a form published by the International Swaps and Derivatives Association, Inc., together with a “Schedule” thereto and each “Confirmation” thereunder confirming the specific terms of each such Hedge Transaction, in form and substance satisfactory to the Administrative Agent.</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ICA Account Control Agreement</w:t>
      </w:r>
      <w:r>
        <w:rPr>
          <w:rFonts w:ascii="Times New Roman" w:cs="Times New Roman" w:eastAsia="Times New Roman" w:hAnsi="Times New Roman"/>
          <w:sz w:val="22"/>
          <w:szCs w:val="22"/>
          <w:color w:val="auto"/>
        </w:rPr>
        <w:t>” means the Deposit Account Control Agreement relating to the Collateral Account (as defined therein, and subject to the Intercreditor Agreement), dated as of February 2, 2011, among UACC Auto Financing Trust, UACC and [***].</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Illegality Notice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14.15(b)</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18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and any day, all indebtedness for borrowed money for which such Person is primarily liable or liable as a guarantor or co-signor; provided, that, with respect to UACC, Indebtedness shall not include the principal amount of any asset-backed securities issued in a transaction where UACC is the issuer or the sponsor, which asset-backed securities are (i) treated as debt for U.S. federal income tax purposes and (ii) owned or held by UACC or by one or more of its Affiliates.</w:t>
      </w:r>
    </w:p>
    <w:p>
      <w:pPr>
        <w:spacing w:after="0" w:line="180" w:lineRule="exact"/>
        <w:rPr>
          <w:sz w:val="20"/>
          <w:szCs w:val="20"/>
          <w:color w:val="auto"/>
        </w:rPr>
      </w:pPr>
    </w:p>
    <w:p>
      <w:pPr>
        <w:ind w:right="11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means all Borrower Indemnified Amounts, UACC Indemnified Amounts and Seller Indemnified Amounts.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means the Borrower Indemnified Parties, UACC Indemnified Parties and the Seller Indemnified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Ineligible Receivable</w:t>
      </w:r>
      <w:r>
        <w:rPr>
          <w:rFonts w:ascii="Times New Roman" w:cs="Times New Roman" w:eastAsia="Times New Roman" w:hAnsi="Times New Roman"/>
          <w:sz w:val="22"/>
          <w:szCs w:val="22"/>
          <w:color w:val="auto"/>
        </w:rPr>
        <w:t>” means a Receivable that is not an Eligible Receivable.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means the first Loan made on or after the Closing Date.</w:t>
      </w:r>
    </w:p>
    <w:p>
      <w:pPr>
        <w:spacing w:after="0" w:line="205"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means, with respect to any Person, (i)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(ii) the commencement by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4" w:name="page275"/>
    <w:bookmarkEnd w:id="274"/>
    <w:p>
      <w:pPr>
        <w:ind w:right="80"/>
        <w:spacing w:after="0" w:line="236" w:lineRule="auto"/>
        <w:rPr>
          <w:sz w:val="20"/>
          <w:szCs w:val="20"/>
          <w:color w:val="auto"/>
        </w:rPr>
      </w:pPr>
      <w:r>
        <w:rPr>
          <w:rFonts w:ascii="Times New Roman" w:cs="Times New Roman" w:eastAsia="Times New Roman" w:hAnsi="Times New Roman"/>
          <w:sz w:val="22"/>
          <w:szCs w:val="22"/>
          <w:color w:val="auto"/>
        </w:rPr>
        <w:t>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7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Laws</w:t>
      </w:r>
      <w:r>
        <w:rPr>
          <w:rFonts w:ascii="Times New Roman" w:cs="Times New Roman" w:eastAsia="Times New Roman" w:hAnsi="Times New Roman"/>
          <w:sz w:val="22"/>
          <w:szCs w:val="22"/>
          <w:color w:val="auto"/>
        </w:rPr>
        <w:t>” 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spacing w:after="0" w:line="17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spacing w:after="0" w:line="17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means any “instrument” (as defined in Article 9 of the UCC), other than an instrument that constitutes part of chattel paper.</w:t>
      </w:r>
    </w:p>
    <w:p>
      <w:pPr>
        <w:spacing w:after="0" w:line="15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Policy</w:t>
      </w:r>
      <w:r>
        <w:rPr>
          <w:rFonts w:ascii="Times New Roman" w:cs="Times New Roman" w:eastAsia="Times New Roman" w:hAnsi="Times New Roman"/>
          <w:sz w:val="22"/>
          <w:szCs w:val="22"/>
          <w:color w:val="auto"/>
        </w:rPr>
        <w:t>” 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means any amounts payable or any payments made under any Insurance Policy.</w:t>
      </w:r>
    </w:p>
    <w:p>
      <w:pPr>
        <w:spacing w:after="0" w:line="205" w:lineRule="exact"/>
        <w:rPr>
          <w:sz w:val="20"/>
          <w:szCs w:val="20"/>
          <w:color w:val="auto"/>
        </w:rPr>
      </w:pPr>
    </w:p>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that certain Intercreditor Agreement, dated as of February 2, 2011, among [***], UACC, UACC Auto Financing Trust and each of the intercreditor parties thereto.</w:t>
      </w:r>
    </w:p>
    <w:p>
      <w:pPr>
        <w:spacing w:after="0" w:line="157"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Party Supplement</w:t>
      </w:r>
      <w:r>
        <w:rPr>
          <w:rFonts w:ascii="Times New Roman" w:cs="Times New Roman" w:eastAsia="Times New Roman" w:hAnsi="Times New Roman"/>
          <w:sz w:val="22"/>
          <w:szCs w:val="22"/>
          <w:color w:val="auto"/>
        </w:rPr>
        <w:t>” means the Intercreditor Party Supplement, dated as of the Closing Date, among the Borrower, the Administrative Agent and the parties to the Intercreditor Agreement.</w:t>
      </w:r>
    </w:p>
    <w:p>
      <w:pPr>
        <w:spacing w:after="0" w:line="157"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means Collections on deposit in the Collection Account that are used to repay at least $[***] in principal amount of Loans Outstanding pursuant to Section 2.06(e).</w:t>
      </w:r>
    </w:p>
    <w:p>
      <w:pPr>
        <w:spacing w:after="0" w:line="157" w:lineRule="exact"/>
        <w:rPr>
          <w:sz w:val="20"/>
          <w:szCs w:val="20"/>
          <w:color w:val="auto"/>
        </w:rPr>
      </w:pPr>
    </w:p>
    <w:p>
      <w:pPr>
        <w:ind w:right="180" w:firstLine="74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means, for any Interest Period and each Loan outstanding during such Interest Period, interest on the outstanding Principal Amount of such Loan computed pursuant to Section 2.07; provided, however,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75" w:name="page276"/>
    <w:bookmarkEnd w:id="275"/>
    <w:p>
      <w:pPr>
        <w:jc w:val="both"/>
        <w:ind w:right="5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a Collection Period; provided, however, that any Interest Period that commences before the Facility Termination Date that would otherwise end after the Facility Termination Date shall end on the Facility Termination Date.</w:t>
      </w:r>
    </w:p>
    <w:p>
      <w:pPr>
        <w:spacing w:after="0" w:line="172"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Invested Percentage</w:t>
      </w:r>
      <w:r>
        <w:rPr>
          <w:rFonts w:ascii="Times New Roman" w:cs="Times New Roman" w:eastAsia="Times New Roman" w:hAnsi="Times New Roman"/>
          <w:sz w:val="22"/>
          <w:szCs w:val="22"/>
          <w:color w:val="auto"/>
        </w:rPr>
        <w:t>” means, for a Lender on any day, the percentage equivalent of (i) the sum of (a) the portion of the Loans Outstanding (if any) funded by such Lender on or prior to such day, plus (b) any portion of the Loans Outstanding acquired by such Lender on or prior to such day as an assignee from another Lender pursuant to an Assignment and Acceptance, minus (c) any portion of the Loans Outstanding assigned by such Lender to an assignee on or prior to such day pursuant to an Assignment and Acceptance, divided by (ii) the Loans Outstanding on such day.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05"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as applicable, a Conduit Lender, a Liquidity Provider or a Committed Lender,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all of the foregoing Persons.</w:t>
      </w:r>
    </w:p>
    <w:p>
      <w:pPr>
        <w:spacing w:after="0" w:line="15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Advance</w:t>
      </w:r>
      <w:r>
        <w:rPr>
          <w:rFonts w:ascii="Times New Roman" w:cs="Times New Roman" w:eastAsia="Times New Roman" w:hAnsi="Times New Roman"/>
          <w:sz w:val="22"/>
          <w:szCs w:val="22"/>
          <w:color w:val="auto"/>
        </w:rPr>
        <w:t>” means, with respect to a Conduit Lender or Committed Lender, such Lender’s Lender Percentage of the Principal Amount of a particular Loan to be made to the Borrower on a Funding Date.</w:t>
      </w:r>
    </w:p>
    <w:p>
      <w:pPr>
        <w:spacing w:after="0" w:line="157"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w:t>
      </w:r>
      <w:r>
        <w:rPr>
          <w:rFonts w:ascii="Times New Roman" w:cs="Times New Roman" w:eastAsia="Times New Roman" w:hAnsi="Times New Roman"/>
          <w:sz w:val="22"/>
          <w:szCs w:val="22"/>
          <w:color w:val="auto"/>
        </w:rPr>
        <w:t>” means each group of Lenders consisting of (i) a Conduit Lender, (ii) an Agent, (iii) the Liquidity Providers, if applicable, with respect to such Conduit Lender, and/or (iv) if applicable, any Committed Lenders, whether directly or as assignees of such Conduit Lender or any such Liquidity Providers.</w:t>
      </w:r>
    </w:p>
    <w:p>
      <w:pPr>
        <w:spacing w:after="0" w:line="17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Percentage</w:t>
      </w:r>
      <w:r>
        <w:rPr>
          <w:rFonts w:ascii="Times New Roman" w:cs="Times New Roman" w:eastAsia="Times New Roman" w:hAnsi="Times New Roman"/>
          <w:sz w:val="22"/>
          <w:szCs w:val="22"/>
          <w:color w:val="auto"/>
        </w:rPr>
        <w:t>” means, with respect to a Committed Lender or Conduit Lender, its Commitment or Maximum Loan Amount, as the case may be, as a percentage of the Aggregate Commitment.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Register</w:t>
      </w:r>
      <w:r>
        <w:rPr>
          <w:rFonts w:ascii="Times New Roman" w:cs="Times New Roman" w:eastAsia="Times New Roman" w:hAnsi="Times New Roman"/>
          <w:sz w:val="22"/>
          <w:szCs w:val="22"/>
          <w:color w:val="auto"/>
        </w:rPr>
        <w:t>” has the meaning given to such term in Section 12.01(d).</w:t>
      </w:r>
    </w:p>
    <w:p>
      <w:pPr>
        <w:spacing w:after="0" w:line="205"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Termination Date</w:t>
      </w:r>
      <w:r>
        <w:rPr>
          <w:rFonts w:ascii="Times New Roman" w:cs="Times New Roman" w:eastAsia="Times New Roman" w:hAnsi="Times New Roman"/>
          <w:sz w:val="22"/>
          <w:szCs w:val="22"/>
          <w:color w:val="auto"/>
        </w:rPr>
        <w:t>” means, for a Lender who is (i) a Committed Lender or a Liquidity Provider, the Commitment Termination Date for such Lender, or (ii) a Conduit Lender that is not a Committed Lender, the latest Commitment Termination Date for any of its Liquidity Providers.</w:t>
      </w:r>
    </w:p>
    <w:p>
      <w:pPr>
        <w:spacing w:after="0" w:line="172"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means, with respect to any Person as of any day, the ratio of such Person’s total Indebtedness (less the sum of such Person’s (i) unrestricted cash on hand in excess of $[***] and (ii) restricted cash used for any prefunding of Securitizations) to its Tangible Net Worth, in each case, as of the last day of the immediately preceding calendar quarter.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6" w:name="page277"/>
    <w:bookmarkEnd w:id="27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charge, claim, security interest or encumbrance of any kind.</w:t>
      </w:r>
    </w:p>
    <w:p>
      <w:pPr>
        <w:spacing w:after="0" w:line="205"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w:t>
      </w:r>
      <w:r>
        <w:rPr>
          <w:rFonts w:ascii="Times New Roman" w:cs="Times New Roman" w:eastAsia="Times New Roman" w:hAnsi="Times New Roman"/>
          <w:sz w:val="22"/>
          <w:szCs w:val="22"/>
          <w:color w:val="auto"/>
        </w:rPr>
        <w:t>” means the sum of (i) all available Cash and Cash Equivalents of Vroom, Inc. and its Subsidiaries, (ii) the aggregate principal amount committed and available to be drawn by Vroom, Inc. and its Subsidiaries taking into account all borrowing base requirements (including but not limited to the availability of unencumbered assets that are available and eligible to be pledged to any warehouse facility, as necessary), and limitations or other restrictions and (iii) the net proceeds expected to be received (after giving effect to any expected repayments of Indebtedness using such proceeds) of any capital markets offering, including ABS issuances, of Vroom, Inc. and its Subsidiaries, that has priced but not yet closed, until the earliest of (a) the closing date of such capital markets offering, (b) the date on which such capital markets offering was terminated without closing or (c) the first Business Day following the scheduled closing thereof.</w:t>
      </w:r>
    </w:p>
    <w:p>
      <w:pPr>
        <w:spacing w:after="0" w:line="184"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Facilities</w:t>
      </w:r>
      <w:r>
        <w:rPr>
          <w:rFonts w:ascii="Times New Roman" w:cs="Times New Roman" w:eastAsia="Times New Roman" w:hAnsi="Times New Roman"/>
          <w:sz w:val="22"/>
          <w:szCs w:val="22"/>
          <w:color w:val="auto"/>
        </w:rPr>
        <w:t>” means each of the committed loan facilities, lines of credit and other financial accommodations available to a Conduit Lender to support the liquidity of such Conduit Lender’s Commercial Paper Notes.</w:t>
      </w:r>
    </w:p>
    <w:p>
      <w:pPr>
        <w:spacing w:after="0" w:line="157"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Percentage</w:t>
      </w:r>
      <w:r>
        <w:rPr>
          <w:rFonts w:ascii="Times New Roman" w:cs="Times New Roman" w:eastAsia="Times New Roman" w:hAnsi="Times New Roman"/>
          <w:sz w:val="22"/>
          <w:szCs w:val="22"/>
          <w:color w:val="auto"/>
        </w:rPr>
        <w:t>” means, for a Liquidity Provider, such Liquidity Provider’s Adjusted Commitment with respect to the related Conduit Lender as a percentage of the aggregate Adjusted Commitments of all Liquidity Providers for such Conduit Lender.</w:t>
      </w:r>
    </w:p>
    <w:p>
      <w:pPr>
        <w:spacing w:after="0" w:line="172"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Liquidity Provider</w:t>
      </w:r>
      <w:r>
        <w:rPr>
          <w:rFonts w:ascii="Times New Roman" w:cs="Times New Roman" w:eastAsia="Times New Roman" w:hAnsi="Times New Roman"/>
          <w:sz w:val="22"/>
          <w:szCs w:val="22"/>
          <w:color w:val="auto"/>
        </w:rPr>
        <w:t>” means, with respect to a Conduit Lender that is not a Committed Lender, each Lender identified as a Liquidity Provider for such Conduit Lender in the Conduit Supplement or in the Assignment and Acceptance pursuant to which such Conduit Lender became a party hereto, and any Eligible Assignee of such Lender to the extent such Eligible Assignee has assumed, pursuant to an Assignment and Acceptance, the Commitment of such Lender. In the event that a Liquidity Provider acquires a portion of the Loans Outstanding from its related Conduit Lender by an Assignment and Acceptance, such Liquidity Provider shall thereupon become a Committed Lender holding a Commitment in an amount equal to the Loans Outstanding so acquired and cease to be a Liquidity Provider in respect of such Commitment.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has the meaning given to such term in Section 2.01(a).</w:t>
      </w:r>
    </w:p>
    <w:p>
      <w:pPr>
        <w:spacing w:after="0" w:line="205"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Loan-to-Value Ratio</w:t>
      </w:r>
      <w:r>
        <w:rPr>
          <w:rFonts w:ascii="Times New Roman" w:cs="Times New Roman" w:eastAsia="Times New Roman" w:hAnsi="Times New Roman"/>
          <w:sz w:val="22"/>
          <w:szCs w:val="22"/>
          <w:color w:val="auto"/>
        </w:rPr>
        <w:t>” 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79" w:lineRule="exact"/>
        <w:rPr>
          <w:sz w:val="20"/>
          <w:szCs w:val="20"/>
          <w:color w:val="auto"/>
        </w:rPr>
      </w:pPr>
    </w:p>
    <w:p>
      <w:pPr>
        <w:ind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 Outstanding</w:t>
      </w:r>
      <w:r>
        <w:rPr>
          <w:rFonts w:ascii="Times New Roman" w:cs="Times New Roman" w:eastAsia="Times New Roman" w:hAnsi="Times New Roman"/>
          <w:sz w:val="20"/>
          <w:szCs w:val="20"/>
          <w:color w:val="auto"/>
        </w:rPr>
        <w:t>” means, on any day, the aggregate Principal Amount of Loans made on or prior to such day, reduced from time to time by payments and distributions in respect of principal of such Loans in accordance with the terms hereof.</w:t>
      </w:r>
    </w:p>
    <w:p>
      <w:pPr>
        <w:spacing w:after="0" w:line="11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w:t>
      </w:r>
      <w:r>
        <w:rPr>
          <w:rFonts w:ascii="Times New Roman" w:cs="Times New Roman" w:eastAsia="Times New Roman" w:hAnsi="Times New Roman"/>
          <w:sz w:val="22"/>
          <w:szCs w:val="22"/>
          <w:color w:val="auto"/>
        </w:rPr>
        <w:t>” means [***] or, so long as no Termination Event or Servicer Termination Event shall have occurred and is continuing, any other bank selected by the Servicer (and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77" w:name="page278"/>
    <w:bookmarkEnd w:id="277"/>
    <w:p>
      <w:pPr>
        <w:ind w:right="640"/>
        <w:spacing w:after="0" w:line="258" w:lineRule="auto"/>
        <w:rPr>
          <w:sz w:val="20"/>
          <w:szCs w:val="20"/>
          <w:color w:val="auto"/>
        </w:rPr>
      </w:pPr>
      <w:r>
        <w:rPr>
          <w:rFonts w:ascii="Times New Roman" w:cs="Times New Roman" w:eastAsia="Times New Roman" w:hAnsi="Times New Roman"/>
          <w:sz w:val="22"/>
          <w:szCs w:val="22"/>
          <w:color w:val="auto"/>
        </w:rPr>
        <w:t>consented to by the Administrative Agent, such consent not to be unreasonably withheld, conditioned or delayed) that is a Qualified Institution.</w:t>
      </w:r>
    </w:p>
    <w:p>
      <w:pPr>
        <w:spacing w:after="0" w:line="157" w:lineRule="exact"/>
        <w:rPr>
          <w:sz w:val="20"/>
          <w:szCs w:val="20"/>
          <w:color w:val="auto"/>
        </w:rPr>
      </w:pPr>
    </w:p>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 Account</w:t>
      </w:r>
      <w:r>
        <w:rPr>
          <w:rFonts w:ascii="Times New Roman" w:cs="Times New Roman" w:eastAsia="Times New Roman" w:hAnsi="Times New Roman"/>
          <w:sz w:val="22"/>
          <w:szCs w:val="22"/>
          <w:color w:val="auto"/>
        </w:rPr>
        <w:t>” means a bank account established and maintained by the Servicer at the Local Bank for the benefit of the Secured Parties pursuant to the Intercreditor Agreement and the Intercreditor Party Supplement.</w:t>
      </w:r>
    </w:p>
    <w:p>
      <w:pPr>
        <w:spacing w:after="0" w:line="15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Rating Requirement</w:t>
      </w:r>
      <w:r>
        <w:rPr>
          <w:rFonts w:ascii="Times New Roman" w:cs="Times New Roman" w:eastAsia="Times New Roman" w:hAnsi="Times New Roman"/>
          <w:sz w:val="22"/>
          <w:szCs w:val="22"/>
          <w:color w:val="auto"/>
        </w:rPr>
        <w:t>” means, with respect to any Person, that such Person has a long-term unsecured debt rating of not less than A by Standard &amp; Poor’s and not less than A2 by Moody’s.</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w:t>
      </w:r>
    </w:p>
    <w:p>
      <w:pPr>
        <w:spacing w:after="0" w:line="1" w:lineRule="exact"/>
        <w:rPr>
          <w:sz w:val="20"/>
          <w:szCs w:val="20"/>
          <w:color w:val="auto"/>
        </w:rPr>
      </w:pPr>
    </w:p>
    <w:p>
      <w:pPr>
        <w:ind w:right="40" w:firstLine="8"/>
        <w:spacing w:after="0" w:line="235" w:lineRule="auto"/>
        <w:tabs>
          <w:tab w:leader="none" w:pos="36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spacing w:after="0" w:line="177" w:lineRule="exact"/>
        <w:rPr>
          <w:sz w:val="20"/>
          <w:szCs w:val="20"/>
          <w:color w:val="auto"/>
        </w:rPr>
      </w:pPr>
    </w:p>
    <w:p>
      <w:pPr>
        <w:ind w:right="6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the Payment Date occurring in the 78th calendar month following the month in which the Commitment Termination Date occurred.</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Lawful Rate</w:t>
      </w:r>
      <w:r>
        <w:rPr>
          <w:rFonts w:ascii="Times New Roman" w:cs="Times New Roman" w:eastAsia="Times New Roman" w:hAnsi="Times New Roman"/>
          <w:sz w:val="22"/>
          <w:szCs w:val="22"/>
          <w:color w:val="auto"/>
        </w:rPr>
        <w:t>” means the highest rate of interest permissible under Applicable Law.</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Loan Amount</w:t>
      </w:r>
      <w:r>
        <w:rPr>
          <w:rFonts w:ascii="Times New Roman" w:cs="Times New Roman" w:eastAsia="Times New Roman" w:hAnsi="Times New Roman"/>
          <w:sz w:val="22"/>
          <w:szCs w:val="22"/>
          <w:color w:val="auto"/>
        </w:rPr>
        <w:t>” means, for any Conduit Lender, the aggregate Commitments of its Liquidity Providers.</w:t>
      </w:r>
    </w:p>
    <w:p>
      <w:pPr>
        <w:spacing w:after="0" w:line="205" w:lineRule="exact"/>
        <w:rPr>
          <w:sz w:val="20"/>
          <w:szCs w:val="20"/>
          <w:color w:val="auto"/>
        </w:rPr>
      </w:pPr>
    </w:p>
    <w:p>
      <w:pPr>
        <w:jc w:val="both"/>
        <w:ind w:right="48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Liquidity Test</w:t>
      </w:r>
      <w:r>
        <w:rPr>
          <w:rFonts w:ascii="Times New Roman" w:cs="Times New Roman" w:eastAsia="Times New Roman" w:hAnsi="Times New Roman"/>
          <w:sz w:val="22"/>
          <w:szCs w:val="22"/>
          <w:color w:val="auto"/>
        </w:rPr>
        <w:t>” means a test that is satisfied if, as of the date of determination, Liquidity is equal to the greater of (i) [***] the Quarterly Cash Burn for the most recent calendar quarter (subject to a maximum for this clause (i) of $[***]) and (ii) $[***].</w:t>
      </w:r>
    </w:p>
    <w:p>
      <w:pPr>
        <w:spacing w:after="0" w:line="172"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Accrued Interest Payment Amount</w:t>
      </w:r>
      <w:r>
        <w:rPr>
          <w:rFonts w:ascii="Times New Roman" w:cs="Times New Roman" w:eastAsia="Times New Roman" w:hAnsi="Times New Roman"/>
          <w:sz w:val="22"/>
          <w:szCs w:val="22"/>
          <w:color w:val="auto"/>
        </w:rPr>
        <w:t>” means, with respect to any Payment Date and the related Collection Period during which an Interpayment is made, an amount equal to the sum of, without duplication, (i) the amount, if any, by which Collections for such Collection Period are not sufficient to make the Interest payments described in clause (iv) of Section 2.08 on such Payment Date and (ii) an amount equal to Interest on the Loans repaid by such Interpayment through the end of the related Interest Period.</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Backup Servicer Certificate</w:t>
      </w:r>
      <w:r>
        <w:rPr>
          <w:rFonts w:ascii="Times New Roman" w:cs="Times New Roman" w:eastAsia="Times New Roman" w:hAnsi="Times New Roman"/>
          <w:sz w:val="22"/>
          <w:szCs w:val="22"/>
          <w:color w:val="auto"/>
        </w:rPr>
        <w:t>” means a monthly report of the Backup Servicer in the form agreed upon among the Backup Servicer, the Borrower and the Administrative Agent.</w:t>
      </w:r>
    </w:p>
    <w:p>
      <w:pPr>
        <w:spacing w:after="0" w:line="157" w:lineRule="exact"/>
        <w:rPr>
          <w:sz w:val="20"/>
          <w:szCs w:val="20"/>
          <w:color w:val="auto"/>
        </w:rPr>
      </w:pPr>
    </w:p>
    <w:p>
      <w:pPr>
        <w:ind w:right="200"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Monthly Principal Payment Amount</w:t>
      </w:r>
      <w:r>
        <w:rPr>
          <w:rFonts w:ascii="Times New Roman" w:cs="Times New Roman" w:eastAsia="Times New Roman" w:hAnsi="Times New Roman"/>
          <w:sz w:val="20"/>
          <w:szCs w:val="20"/>
          <w:color w:val="auto"/>
        </w:rPr>
        <w:t>” means, with respect to any Payment Date and the related Collection Period, the amount, if any, necessary to reduce the Loans Outstanding to the Borrowing Base as of the last day of such Collection Period.</w:t>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78" w:name="page279"/>
    <w:bookmarkEnd w:id="278"/>
    <w:p>
      <w:pPr>
        <w:ind w:right="3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means a monthly statement of the Servicer delivered on each Reporting Date with respect to the immediately preceding Collection Period, [***], which may be modified from time to time as mutually agreed by the Servicer and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05"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which is or was at any time during the current year or the immediately preceding five years contributed to by the Borrower or any ERISA Affiliate on behalf of its employees.</w:t>
      </w:r>
    </w:p>
    <w:p>
      <w:pPr>
        <w:spacing w:after="0" w:line="1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Principal Balance</w:t>
      </w:r>
      <w:r>
        <w:rPr>
          <w:rFonts w:ascii="Times New Roman" w:cs="Times New Roman" w:eastAsia="Times New Roman" w:hAnsi="Times New Roman"/>
          <w:sz w:val="22"/>
          <w:szCs w:val="22"/>
          <w:color w:val="auto"/>
        </w:rPr>
        <w:t>” means on any day with respect to all of the Receivables or a specified portion of the</w:t>
      </w:r>
    </w:p>
    <w:p>
      <w:pPr>
        <w:spacing w:after="0" w:line="1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Receivables, as indicated by the context, the aggregate Principal Balance of all such Receivables that are Eligible Receivables.</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Non-Excluded Taxes</w:t>
      </w:r>
      <w:r>
        <w:rPr>
          <w:rFonts w:ascii="Times New Roman" w:cs="Times New Roman" w:eastAsia="Times New Roman" w:hAnsi="Times New Roman"/>
          <w:sz w:val="22"/>
          <w:szCs w:val="22"/>
          <w:color w:val="auto"/>
        </w:rPr>
        <w:t>” means (i) Taxes other than Excluded Taxes and (ii) Other Taxes.</w:t>
      </w:r>
    </w:p>
    <w:p>
      <w:pPr>
        <w:spacing w:after="0" w:line="205"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means, after its respective Commitment Termination Date, each Committed Lender or Liquidity Provider that has declined to extend such Commitment Termination Date in accordance with Section 2.04, to the extent not replaced pursuant to Section 2.04(b).</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Lender</w:t>
      </w:r>
      <w:r>
        <w:rPr>
          <w:rFonts w:ascii="Times New Roman" w:cs="Times New Roman" w:eastAsia="Times New Roman" w:hAnsi="Times New Roman"/>
          <w:sz w:val="22"/>
          <w:szCs w:val="22"/>
          <w:color w:val="auto"/>
        </w:rPr>
        <w:t>” means a Lender that is not a “U.S. Person” as defined in Code Section 7701(a)(30).</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has the meaning given to such term in Section 2.05(a).</w:t>
      </w:r>
    </w:p>
    <w:p>
      <w:pPr>
        <w:spacing w:after="0" w:line="20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loans, advances, debts, liabilities, indemnities and obligations for monetary amounts owing by the Borrower to the Secured Parties, the Agents, the Backup Servicer, the Account Bank,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any Hedging Agreement or any other Basic Document, whether or not evidenced by any separate note, agreement or other instrument, including all principal, interest (including interest that accrues after the commencement against the Borrower of any action under the Bankruptcy Code), amounts payable pursuant to Section</w:t>
      </w:r>
    </w:p>
    <w:p>
      <w:pPr>
        <w:spacing w:after="0" w:line="6" w:lineRule="exact"/>
        <w:rPr>
          <w:sz w:val="20"/>
          <w:szCs w:val="20"/>
          <w:color w:val="auto"/>
        </w:rPr>
      </w:pPr>
    </w:p>
    <w:p>
      <w:pPr>
        <w:jc w:val="both"/>
        <w:ind w:right="80"/>
        <w:spacing w:after="0" w:line="235" w:lineRule="auto"/>
        <w:rPr>
          <w:sz w:val="20"/>
          <w:szCs w:val="20"/>
          <w:color w:val="auto"/>
        </w:rPr>
      </w:pPr>
      <w:r>
        <w:rPr>
          <w:rFonts w:ascii="Times New Roman" w:cs="Times New Roman" w:eastAsia="Times New Roman" w:hAnsi="Times New Roman"/>
          <w:sz w:val="22"/>
          <w:szCs w:val="22"/>
          <w:color w:val="auto"/>
        </w:rPr>
        <w:t>2.13, Breakage Costs, Hedge Breakage Costs, Indemnified Amounts, fees, including any and all arrangement fees, loan fees and Unused Fees, and any and all other fees, expenses, costs or other sums (including attorney fees and disbursements) chargeable to the Borrower under the Basic Documents.</w:t>
      </w:r>
    </w:p>
    <w:p>
      <w:pPr>
        <w:spacing w:after="0" w:line="17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each Person obligated to make payments pursuant to a Receivable or Serviced Portfolio Receivable, including any guarantor thereof.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by any officer of the Borrower, the Servicer, the Originator, the Backup Servicer or the Custodian, as the case may be, and delivered to the Administrative Agent.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79" w:name="page280"/>
    <w:bookmarkEnd w:id="279"/>
    <w:p>
      <w:pPr>
        <w:ind w:right="2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with respect to any Person, a written opinion of counsel, who is reasonably acceptable to the Administrative Agent.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UACC.</w:t>
      </w:r>
    </w:p>
    <w:p>
      <w:pPr>
        <w:spacing w:after="0" w:line="205"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recording, stamp, documentary, excise, transfer, property or similar taxes, charges or levies arising from any payment made under this Agreement or from the execution, delivery or enforcement of, this Agreement.</w:t>
      </w:r>
    </w:p>
    <w:p>
      <w:pPr>
        <w:spacing w:after="0" w:line="172" w:lineRule="exact"/>
        <w:rPr>
          <w:sz w:val="20"/>
          <w:szCs w:val="20"/>
          <w:color w:val="auto"/>
        </w:rPr>
      </w:pPr>
    </w:p>
    <w:p>
      <w:pPr>
        <w:ind w:right="20"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Warehouse Agreements</w:t>
      </w:r>
      <w:r>
        <w:rPr>
          <w:rFonts w:ascii="Times New Roman" w:cs="Times New Roman" w:eastAsia="Times New Roman" w:hAnsi="Times New Roman"/>
          <w:sz w:val="20"/>
          <w:szCs w:val="20"/>
          <w:color w:val="auto"/>
        </w:rPr>
        <w:t>” means all warehouse agreements, credit agreements, funding agreements or similar agreements of UACC and its Affiliates, other than this Agreement, that are secured or collateralized by motor vehicle receivables.</w:t>
      </w:r>
    </w:p>
    <w:p>
      <w:pPr>
        <w:spacing w:after="0" w:line="11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Overcollateralization Increase Events</w:t>
      </w:r>
      <w:r>
        <w:rPr>
          <w:rFonts w:ascii="Times New Roman" w:cs="Times New Roman" w:eastAsia="Times New Roman" w:hAnsi="Times New Roman"/>
          <w:sz w:val="20"/>
          <w:szCs w:val="20"/>
          <w:color w:val="auto"/>
        </w:rPr>
        <w:t>” means, that as of any Payment Date, any of the following events occurs: (i) the arithmetic mean of the Serviced Portfolio Delinquency Ratio for the related Collection Period and the two previous Collection Periods exceeds [***]%; (ii)(a) with respect to Payment Dates occurring in the months of April through October, the arithmetic mean of the Serviced Portfolio Annualized Net Loss Ratio for the related Collection Period and the two previous Collection Periods exceeds [***]% and (b) with respect to all other Payment Dates, the arithmetic mean of the Serviced Portfolio Annualized Net Loss Ratio for the related Collection Period and the two previous Collection Periods exceeds [***]%; (iii) the Excess Spread Percentage for the related Collection Period is less than [***]%; (iv) the arithmetic mean of the Serviced Portfolio Extension Ratio for the related Collection Period and the two previous Collection Periods exceeds [***]%; provided, that (a) with respect to the May 2020 Collection Period, the Serviced Portfolio Extension Ratio shall not exceed [***]% and no three month average Serviced Portfolio Extension Ratio shall apply, (b) with respect to the June 2020 Collection Period, the Serviced Portfolio Extension Ratio shall not exceed [***]% and no three month average Serviced Portfolio Extension Ratio shall apply, and (c) with respect to July 2020 Collection Period, the Collection Periods to be tested shall only be June and July; or (v) the arithmetic mean of the Serviced Portfolio Annualized Default Ratio for the related Collection Period and the two previous Collection Periods exceeds [***]%. Notwithstanding the foregoing, any Overcollateralization Increase Event may be cured and deemed not to exist if for three consecutive Payment Dates following a Payment Date on which such Overcollateralization Increase Event occurred,</w:t>
      </w:r>
    </w:p>
    <w:p>
      <w:pPr>
        <w:spacing w:after="0" w:line="230" w:lineRule="exact"/>
        <w:rPr>
          <w:sz w:val="20"/>
          <w:szCs w:val="20"/>
          <w:color w:val="auto"/>
        </w:rPr>
      </w:pPr>
    </w:p>
    <w:p>
      <w:pPr>
        <w:ind w:right="520" w:firstLine="8"/>
        <w:spacing w:after="0" w:line="237" w:lineRule="auto"/>
        <w:tabs>
          <w:tab w:leader="none" w:pos="293"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Overcollateralization Increase Event shall not exist and (b) no other Overcollateralization Increase Event shall have occurred.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Trustee</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w:t>
      </w:r>
      <w:r>
        <w:rPr>
          <w:rFonts w:ascii="Times New Roman" w:cs="Times New Roman" w:eastAsia="Times New Roman" w:hAnsi="Times New Roman"/>
          <w:sz w:val="22"/>
          <w:szCs w:val="22"/>
          <w:color w:val="auto"/>
        </w:rPr>
        <w:t>” means the Lenders that are owners of record of the Notes or, with respect to any Note held by an Agent hereunder as nominee on behalf of Lenders in the related Lender Group, the Lenders that are beneficial owners of such Note as reflected on the books of such Agent in accordance with this Agreement and the other Basic Documents.</w:t>
      </w:r>
    </w:p>
    <w:p>
      <w:pPr>
        <w:spacing w:after="0" w:line="17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w:t>
      </w:r>
      <w:r>
        <w:rPr>
          <w:rFonts w:ascii="Times New Roman" w:cs="Times New Roman" w:eastAsia="Times New Roman" w:hAnsi="Times New Roman"/>
          <w:sz w:val="22"/>
          <w:szCs w:val="22"/>
          <w:color w:val="auto"/>
        </w:rPr>
        <w:t>” means the occurrence of the election of one or more Non-Extending Lenders after the Commitment Termination Date to not extend its Commitment, unless such Non-Extending Lender is replaced pursuant to Section 2.04(b) or unless the Termination Date shall have occurred.</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0" w:name="page281"/>
    <w:bookmarkEnd w:id="280"/>
    <w:p>
      <w:pPr>
        <w:ind w:right="7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 Amount</w:t>
      </w:r>
      <w:r>
        <w:rPr>
          <w:rFonts w:ascii="Times New Roman" w:cs="Times New Roman" w:eastAsia="Times New Roman" w:hAnsi="Times New Roman"/>
          <w:sz w:val="22"/>
          <w:szCs w:val="22"/>
          <w:color w:val="auto"/>
        </w:rPr>
        <w:t>” means the portion of Loans Outstanding payable in connection with a Partial Expiration Event.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USA PATRIOT Act (Title III of Pub. L. 107-56 (signed into law October 26, 2001)).</w:t>
      </w:r>
    </w:p>
    <w:p>
      <w:pPr>
        <w:spacing w:after="0" w:line="205" w:lineRule="exact"/>
        <w:rPr>
          <w:sz w:val="20"/>
          <w:szCs w:val="20"/>
          <w:color w:val="auto"/>
        </w:rPr>
      </w:pPr>
    </w:p>
    <w:p>
      <w:pPr>
        <w:ind w:firstLine="749"/>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(i) on and after the Closing Date through February 26, 2015, the 15th day of each calendar month or, if any such day is not a Business Day, the next succeeding Business Day, commencing July 16, 2012 and (ii) on and after February 27, 2015,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or, if any such day is not a Business Day, the next succeeding Business Day, commencing March 12, 2015.</w:t>
      </w:r>
    </w:p>
    <w:p>
      <w:pPr>
        <w:spacing w:after="0" w:line="178" w:lineRule="exact"/>
        <w:rPr>
          <w:sz w:val="20"/>
          <w:szCs w:val="20"/>
          <w:color w:val="auto"/>
        </w:rPr>
      </w:pPr>
    </w:p>
    <w:p>
      <w:pPr>
        <w:ind w:right="4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on behalf of its employees.</w:t>
      </w:r>
    </w:p>
    <w:p>
      <w:pPr>
        <w:spacing w:after="0" w:line="172"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Due Date Changes</w:t>
      </w:r>
      <w:r>
        <w:rPr>
          <w:rFonts w:ascii="Times New Roman" w:cs="Times New Roman" w:eastAsia="Times New Roman" w:hAnsi="Times New Roman"/>
          <w:sz w:val="22"/>
          <w:szCs w:val="22"/>
          <w:color w:val="auto"/>
        </w:rPr>
        <w:t>” means, for any Contract, a change in the due date for the related Scheduled Payments that changes the due date by more than 19 but less than 31 days.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any of the following types of investments:</w:t>
      </w:r>
    </w:p>
    <w:p>
      <w:pPr>
        <w:spacing w:after="0" w:line="205" w:lineRule="exact"/>
        <w:rPr>
          <w:sz w:val="20"/>
          <w:szCs w:val="20"/>
          <w:color w:val="auto"/>
        </w:rPr>
      </w:pPr>
    </w:p>
    <w:p>
      <w:pPr>
        <w:jc w:val="both"/>
        <w:ind w:left="760" w:right="180" w:firstLine="883"/>
        <w:spacing w:after="0" w:line="307" w:lineRule="auto"/>
        <w:tabs>
          <w:tab w:leader="none" w:pos="2078"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obligations of the United States, the full and timely payment of which are backed by the full faith and credit of the United States and which have a maturity of not more than 270 days from the date of acquisition;</w:t>
      </w:r>
    </w:p>
    <w:p>
      <w:pPr>
        <w:spacing w:after="0" w:line="112" w:lineRule="exact"/>
        <w:rPr>
          <w:rFonts w:ascii="Times New Roman" w:cs="Times New Roman" w:eastAsia="Times New Roman" w:hAnsi="Times New Roman"/>
          <w:sz w:val="20"/>
          <w:szCs w:val="20"/>
          <w:color w:val="auto"/>
        </w:rPr>
      </w:pPr>
    </w:p>
    <w:p>
      <w:pPr>
        <w:ind w:left="760" w:right="20" w:firstLine="816"/>
        <w:spacing w:after="0" w:line="264" w:lineRule="exact"/>
        <w:tabs>
          <w:tab w:leader="none" w:pos="2011" w:val="left"/>
        </w:tabs>
        <w:numPr>
          <w:ilvl w:val="2"/>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w:t>
      </w:r>
    </w:p>
    <w:p>
      <w:pPr>
        <w:spacing w:after="0" w:line="146" w:lineRule="exact"/>
        <w:rPr>
          <w:rFonts w:ascii="Times New Roman" w:cs="Times New Roman" w:eastAsia="Times New Roman" w:hAnsi="Times New Roman"/>
          <w:sz w:val="22"/>
          <w:szCs w:val="22"/>
          <w:color w:val="auto"/>
        </w:rPr>
      </w:pPr>
    </w:p>
    <w:p>
      <w:pPr>
        <w:ind w:left="760" w:right="820" w:firstLine="745"/>
        <w:spacing w:after="0" w:line="307" w:lineRule="auto"/>
        <w:tabs>
          <w:tab w:leader="none" w:pos="19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obligations with a term of not more than ten days for underlying securities of the types described in clauses (i) and (ii) above entered into with any bank of the type described in clause (ii) above;</w:t>
      </w:r>
    </w:p>
    <w:p>
      <w:pPr>
        <w:spacing w:after="0" w:line="78" w:lineRule="exact"/>
        <w:rPr>
          <w:rFonts w:ascii="Times New Roman" w:cs="Times New Roman" w:eastAsia="Times New Roman" w:hAnsi="Times New Roman"/>
          <w:sz w:val="20"/>
          <w:szCs w:val="20"/>
          <w:color w:val="auto"/>
        </w:rPr>
      </w:pPr>
    </w:p>
    <w:p>
      <w:pPr>
        <w:ind w:left="1960" w:hanging="441"/>
        <w:spacing w:after="0" w:line="253" w:lineRule="exact"/>
        <w:tabs>
          <w:tab w:leader="none" w:pos="196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253" w:lineRule="exact"/>
        <w:rPr>
          <w:rFonts w:ascii="Times New Roman" w:cs="Times New Roman" w:eastAsia="Times New Roman" w:hAnsi="Times New Roman"/>
          <w:sz w:val="22"/>
          <w:szCs w:val="22"/>
          <w:color w:val="auto"/>
        </w:rPr>
      </w:pPr>
    </w:p>
    <w:p>
      <w:pPr>
        <w:ind w:left="760" w:right="340" w:firstLine="829"/>
        <w:spacing w:after="0" w:line="258" w:lineRule="auto"/>
        <w:tabs>
          <w:tab w:leader="none" w:pos="2024" w:val="left"/>
        </w:tabs>
        <w:numPr>
          <w:ilvl w:val="2"/>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registered under the Investment Company Act having a rating, at the time of such investment, of not less than Aaa by Moody’s and AAAm by Standard &amp; Poor’s;</w:t>
      </w:r>
    </w:p>
    <w:p>
      <w:pPr>
        <w:spacing w:after="0" w:line="157" w:lineRule="exact"/>
        <w:rPr>
          <w:rFonts w:ascii="Times New Roman" w:cs="Times New Roman" w:eastAsia="Times New Roman" w:hAnsi="Times New Roman"/>
          <w:sz w:val="22"/>
          <w:szCs w:val="22"/>
          <w:color w:val="auto"/>
        </w:rPr>
      </w:pPr>
    </w:p>
    <w:p>
      <w:pPr>
        <w:ind w:left="760" w:right="260" w:firstLine="759"/>
        <w:spacing w:after="0" w:line="239" w:lineRule="auto"/>
        <w:tabs>
          <w:tab w:leader="none" w:pos="195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81" w:name="page282"/>
    <w:bookmarkEnd w:id="281"/>
    <w:p>
      <w:pPr>
        <w:ind w:left="760" w:right="140"/>
        <w:spacing w:after="0" w:line="285" w:lineRule="exact"/>
        <w:rPr>
          <w:sz w:val="20"/>
          <w:szCs w:val="20"/>
          <w:color w:val="auto"/>
        </w:rPr>
      </w:pPr>
      <w:r>
        <w:rPr>
          <w:rFonts w:ascii="Times New Roman" w:cs="Times New Roman" w:eastAsia="Times New Roman" w:hAnsi="Times New Roman"/>
          <w:sz w:val="22"/>
          <w:szCs w:val="22"/>
          <w:color w:val="auto"/>
        </w:rPr>
        <w:t>or the commitment to make such investment, is entered into, the short-term debt rating of such depository institution or trust company shall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 and</w:t>
      </w: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(vii) any other investments approved in writing by the Administrative Agent;</w:t>
      </w:r>
    </w:p>
    <w:p>
      <w:pPr>
        <w:spacing w:after="0" w:line="20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provided, that each of the Permitted Investments may be purchased by the Administrative Agent or through an Affiliate of the Account Bank.</w:t>
      </w:r>
    </w:p>
    <w:p>
      <w:pPr>
        <w:spacing w:after="0" w:line="157" w:lineRule="exact"/>
        <w:rPr>
          <w:sz w:val="20"/>
          <w:szCs w:val="20"/>
          <w:color w:val="auto"/>
        </w:rPr>
      </w:pPr>
    </w:p>
    <w:p>
      <w:pPr>
        <w:ind w:right="20"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means (i) Liens in favor of any Agent or the Administrative Agent, as agent for the Secured Parties, created pursuant to this Agreement or any other Basic Document and (ii) Liens for taxes and assessments that are not yet due and payable or that are being contested in good faith, provided that they have been fully reserved for in accordance with GAAP.</w:t>
      </w:r>
    </w:p>
    <w:p>
      <w:pPr>
        <w:spacing w:after="0" w:line="139"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Modification</w:t>
      </w:r>
      <w:r>
        <w:rPr>
          <w:rFonts w:ascii="Times New Roman" w:cs="Times New Roman" w:eastAsia="Times New Roman" w:hAnsi="Times New Roman"/>
          <w:sz w:val="22"/>
          <w:szCs w:val="22"/>
          <w:color w:val="auto"/>
        </w:rPr>
        <w:t>” means, for any Contract, a Covered Modification that (i) is permitted by the Credit and Collection Policy, (ii) relates to a Contract for which there has not previously been a Covered Modification and (iii) does not extend the time for payment of any Scheduled Payment for longer than the period covering three successive Scheduled Payments on such Contract at the time of such extension.</w:t>
      </w:r>
    </w:p>
    <w:p>
      <w:pPr>
        <w:spacing w:after="0" w:line="179"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spacing w:after="0" w:line="17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w:t>
      </w:r>
      <w:r>
        <w:rPr>
          <w:rFonts w:ascii="Times New Roman" w:cs="Times New Roman" w:eastAsia="Times New Roman" w:hAnsi="Times New Roman"/>
          <w:sz w:val="22"/>
          <w:szCs w:val="22"/>
          <w:color w:val="auto"/>
        </w:rPr>
        <w:t>” means one or more post office boxes established and maintained by the Servicer for the benefit of the Secured Parties pursuant to the Intercreditor Agreement and the Intercreditor Party Supplement.</w:t>
      </w:r>
    </w:p>
    <w:p>
      <w:pPr>
        <w:spacing w:after="0" w:line="157"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 Processor</w:t>
      </w:r>
      <w:r>
        <w:rPr>
          <w:rFonts w:ascii="Times New Roman" w:cs="Times New Roman" w:eastAsia="Times New Roman" w:hAnsi="Times New Roman"/>
          <w:sz w:val="22"/>
          <w:szCs w:val="22"/>
          <w:color w:val="auto"/>
        </w:rPr>
        <w:t>” means [***] and any other Person that may from time to time perform lockbox services with respect to one or more Post Office Boxes.</w:t>
      </w:r>
    </w:p>
    <w:p>
      <w:pPr>
        <w:spacing w:after="0" w:line="157"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means a Power of Attorney of the Borrower appointing the Administrative Agent as its lawful attorney in accordance with Section 9.05, in substantially the form of Exhibit E.</w:t>
      </w:r>
    </w:p>
    <w:p>
      <w:pPr>
        <w:spacing w:after="0" w:line="15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on any day, the rate of interest most recently announced by [***] as its prime commercial rate for Dollar-denominated loans made in the United States.</w:t>
      </w:r>
    </w:p>
    <w:p>
      <w:pPr>
        <w:spacing w:after="0" w:line="157"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means, with respect to any Loan, the aggregate amount advanced by the Lenders on the Funding Date in respect of such Loan.</w:t>
      </w:r>
    </w:p>
    <w:p>
      <w:pPr>
        <w:spacing w:after="0" w:line="157"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Balance</w:t>
      </w:r>
      <w:r>
        <w:rPr>
          <w:rFonts w:ascii="Times New Roman" w:cs="Times New Roman" w:eastAsia="Times New Roman" w:hAnsi="Times New Roman"/>
          <w:sz w:val="22"/>
          <w:szCs w:val="22"/>
          <w:color w:val="auto"/>
        </w:rPr>
        <w:t>” means, with respect to a Receivable or Serviced Portfolio Receivable, as of the close of business on a Determination Date, the Amount Financed of such Receivable or Serviced Portfolio Receivable minus the sum of the following related amounts, without duplication, (i) that portion of all Scheduled Payments actually received on or prior to such day allocable to principal using the Simple Interest Method, (ii) any payment of the Release</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82" w:name="page283"/>
    <w:bookmarkEnd w:id="282"/>
    <w:p>
      <w:pPr>
        <w:ind w:right="260"/>
        <w:spacing w:after="0" w:line="244" w:lineRule="auto"/>
        <w:rPr>
          <w:sz w:val="20"/>
          <w:szCs w:val="20"/>
          <w:color w:val="auto"/>
        </w:rPr>
      </w:pPr>
      <w:r>
        <w:rPr>
          <w:rFonts w:ascii="Times New Roman" w:cs="Times New Roman" w:eastAsia="Times New Roman" w:hAnsi="Times New Roman"/>
          <w:sz w:val="22"/>
          <w:szCs w:val="22"/>
          <w:color w:val="auto"/>
        </w:rPr>
        <w:t>Price or Release Amount with respect to a Receivable allocable to principal, (iii) any Cram Down Loss, (iv) any prepayment in full or any partial prepayment applied in reduction of principal and (v) any reduction or forgiveness of principal pursuant to a Permitted Modification.</w:t>
      </w:r>
    </w:p>
    <w:p>
      <w:pPr>
        <w:spacing w:after="0" w:line="17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the Purchase and Contribution Agreement, dated as of May 30, 2012, between UACC and the Borrower, and each Transfer Agreement.</w:t>
      </w:r>
    </w:p>
    <w:p>
      <w:pPr>
        <w:spacing w:after="0" w:line="157" w:lineRule="exact"/>
        <w:rPr>
          <w:sz w:val="20"/>
          <w:szCs w:val="20"/>
          <w:color w:val="auto"/>
        </w:rPr>
      </w:pPr>
    </w:p>
    <w:p>
      <w:pPr>
        <w:jc w:val="both"/>
        <w:ind w:right="4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w:t>
      </w:r>
      <w:r>
        <w:rPr>
          <w:rFonts w:ascii="Times New Roman" w:cs="Times New Roman" w:eastAsia="Times New Roman" w:hAnsi="Times New Roman"/>
          <w:sz w:val="22"/>
          <w:szCs w:val="22"/>
          <w:color w:val="auto"/>
        </w:rPr>
        <w:t>” 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spacing w:after="0" w:line="179" w:lineRule="exact"/>
        <w:rPr>
          <w:sz w:val="20"/>
          <w:szCs w:val="20"/>
          <w:color w:val="auto"/>
        </w:rPr>
      </w:pPr>
    </w:p>
    <w:p>
      <w:pPr>
        <w:ind w:right="320"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Quarterly Cash Burn</w:t>
      </w:r>
      <w:r>
        <w:rPr>
          <w:rFonts w:ascii="Times New Roman" w:cs="Times New Roman" w:eastAsia="Times New Roman" w:hAnsi="Times New Roman"/>
          <w:sz w:val="20"/>
          <w:szCs w:val="20"/>
          <w:color w:val="auto"/>
        </w:rPr>
        <w:t>” means the sum of the Cash Burn, on a rolling basis, for the quarterly periods ending on March 31, June 30, September 30, and December 31 of each calendar year, beginning in the period ending on December 31, 2022.</w:t>
      </w:r>
    </w:p>
    <w:p>
      <w:pPr>
        <w:spacing w:after="0" w:line="11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means a data tape, which shall include as to each Receivable such information as shall be agreed upon by the Administrative Agent and the Servicer, including such information as the Administrative Agent may reasonably request from time to time to satisfy or fulfill regulatory requirements applicable to the Secured Parties, including capital treatment under Basel II or Basel III.</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any nationally recognized statistical ratings organization acceptable to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1"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Request</w:t>
      </w:r>
      <w:r>
        <w:rPr>
          <w:rFonts w:ascii="Times New Roman" w:cs="Times New Roman" w:eastAsia="Times New Roman" w:hAnsi="Times New Roman"/>
          <w:sz w:val="22"/>
          <w:szCs w:val="22"/>
          <w:color w:val="auto"/>
        </w:rPr>
        <w:t>” means a written request by the Administrative Agent to the Borrower and the Servicer, stating that the Administrative Agent intends to request that one or more Rating Agencies publicly issue a rating of at least the Required Rating to the transactions contemplated by this Agreement.</w:t>
      </w:r>
    </w:p>
    <w:p>
      <w:pPr>
        <w:spacing w:after="0" w:line="172" w:lineRule="exact"/>
        <w:rPr>
          <w:sz w:val="20"/>
          <w:szCs w:val="20"/>
          <w:color w:val="auto"/>
        </w:rPr>
      </w:pPr>
    </w:p>
    <w:p>
      <w:pPr>
        <w:ind w:right="18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Reborrowing</w:t>
      </w:r>
      <w:r>
        <w:rPr>
          <w:rFonts w:ascii="Times New Roman" w:cs="Times New Roman" w:eastAsia="Times New Roman" w:hAnsi="Times New Roman"/>
          <w:sz w:val="22"/>
          <w:szCs w:val="22"/>
          <w:color w:val="auto"/>
        </w:rPr>
        <w:t>” means, to the extent that any portion of the Loans has been repaid in connection with a repayment pursuant to Section 2.06, the reborrowing by the Borrower of all or a portion of such repaid amounts otherwise subject to and in accordance with the terms hereof.</w:t>
      </w:r>
    </w:p>
    <w:p>
      <w:pPr>
        <w:spacing w:after="0" w:line="172"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refinancing or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spacing w:after="0" w:line="181" w:lineRule="exact"/>
        <w:rPr>
          <w:sz w:val="20"/>
          <w:szCs w:val="20"/>
          <w:color w:val="auto"/>
        </w:rPr>
      </w:pPr>
    </w:p>
    <w:p>
      <w:pPr>
        <w:jc w:val="both"/>
        <w:ind w:right="38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File</w:t>
      </w:r>
      <w:r>
        <w:rPr>
          <w:rFonts w:ascii="Times New Roman" w:cs="Times New Roman" w:eastAsia="Times New Roman" w:hAnsi="Times New Roman"/>
          <w:sz w:val="22"/>
          <w:szCs w:val="22"/>
          <w:color w:val="auto"/>
        </w:rPr>
        <w:t>” means, with respect to each Receivable and the related Contract, the original Contract, all original copies or electronic copies of instruments modifying the terms and conditions of such Receivable or Contract and the original endorsements or assignments of such</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0"/>
          <w:szCs w:val="20"/>
          <w:color w:val="auto"/>
        </w:rPr>
        <w:t>Contract (or, in the case of Receivables evidenced by Electronic Chattel Paper, a non-authoritative copy clearly labeled as such).</w:t>
      </w:r>
    </w:p>
    <w:p>
      <w:pPr>
        <w:spacing w:after="0" w:line="22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Receipt</w:t>
      </w:r>
      <w:r>
        <w:rPr>
          <w:rFonts w:ascii="Times New Roman" w:cs="Times New Roman" w:eastAsia="Times New Roman" w:hAnsi="Times New Roman"/>
          <w:sz w:val="22"/>
          <w:szCs w:val="22"/>
          <w:color w:val="auto"/>
        </w:rPr>
        <w:t>” means the receivable receipt substantially in the form attached hereto as Exhibit H executed by the Servicer on behalf of the Administrative Agent.</w:t>
      </w:r>
    </w:p>
    <w:p>
      <w:pPr>
        <w:spacing w:after="0" w:line="15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with respect to any Contract, all documents, books, records and other information (including computer programs, tapes, disks, punch cards, data processing software and related property and rights) maintained with respect to any related item of Collateral and the related Obligor.</w:t>
      </w:r>
    </w:p>
    <w:p>
      <w:pPr>
        <w:spacing w:after="0" w:line="172" w:lineRule="exact"/>
        <w:rPr>
          <w:sz w:val="20"/>
          <w:szCs w:val="20"/>
          <w:color w:val="auto"/>
        </w:rPr>
      </w:pPr>
    </w:p>
    <w:p>
      <w:pPr>
        <w:ind w:right="70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Recoveries</w:t>
      </w:r>
      <w:r>
        <w:rPr>
          <w:rFonts w:ascii="Times New Roman" w:cs="Times New Roman" w:eastAsia="Times New Roman" w:hAnsi="Times New Roman"/>
          <w:sz w:val="22"/>
          <w:szCs w:val="22"/>
          <w:color w:val="auto"/>
        </w:rPr>
        <w:t>” means, with respect to any Defaulted Receivable and Collection Period, all monies collected from whatever source during such Collection Period in respect of such Defaulted Receivable, including Insurance Proceeds but excluding payment of the related Release Price or Release Amount, net of any amounts required by Applicable Law to be remitted to the related Obligor and net of the Servicer’s expenses (other than overhead) incurred in connection with the liquidation of such Defaulted Receivable and the related Financed Vehicle.</w:t>
      </w:r>
    </w:p>
    <w:p>
      <w:pPr>
        <w:spacing w:after="0" w:line="18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 of Titles</w:t>
      </w:r>
      <w:r>
        <w:rPr>
          <w:rFonts w:ascii="Times New Roman" w:cs="Times New Roman" w:eastAsia="Times New Roman" w:hAnsi="Times New Roman"/>
          <w:sz w:val="22"/>
          <w:szCs w:val="22"/>
          <w:color w:val="auto"/>
        </w:rPr>
        <w:t>” means, with respect to any State, the governmental agency or body responsible for the registration of, and the issuance of certificates of title relating to, motor vehicles and liens thereon.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AB</w:t>
      </w:r>
      <w:r>
        <w:rPr>
          <w:rFonts w:ascii="Times New Roman" w:cs="Times New Roman" w:eastAsia="Times New Roman" w:hAnsi="Times New Roman"/>
          <w:sz w:val="22"/>
          <w:szCs w:val="22"/>
          <w:color w:val="auto"/>
        </w:rPr>
        <w:t>” means Regulation AB under the Securities Act.</w:t>
      </w:r>
    </w:p>
    <w:p>
      <w:pPr>
        <w:spacing w:after="0" w:line="205" w:lineRule="exact"/>
        <w:rPr>
          <w:sz w:val="20"/>
          <w:szCs w:val="20"/>
          <w:color w:val="auto"/>
        </w:rPr>
      </w:pPr>
    </w:p>
    <w:p>
      <w:pPr>
        <w:ind w:right="38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Amount</w:t>
      </w:r>
      <w:r>
        <w:rPr>
          <w:rFonts w:ascii="Times New Roman" w:cs="Times New Roman" w:eastAsia="Times New Roman" w:hAnsi="Times New Roman"/>
          <w:sz w:val="22"/>
          <w:szCs w:val="22"/>
          <w:color w:val="auto"/>
        </w:rPr>
        <w:t>” means, as of the related Release Date, the deposit amount for a retransfer of Receivables under Section 5.04(b), in an amount equal to (i) the related Aggregate Unpaids minus (ii) the related amount, if any, available in the Collection Account and the Reserve Account on such Payment Date.</w:t>
      </w:r>
    </w:p>
    <w:p>
      <w:pPr>
        <w:spacing w:after="0" w:line="172"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means a Payment Date specified by the Borrower in connection with the retransfer of the Receivables under Section 5.04(b).</w:t>
      </w:r>
    </w:p>
    <w:p>
      <w:pPr>
        <w:spacing w:after="0" w:line="157"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Price</w:t>
      </w:r>
      <w:r>
        <w:rPr>
          <w:rFonts w:ascii="Times New Roman" w:cs="Times New Roman" w:eastAsia="Times New Roman" w:hAnsi="Times New Roman"/>
          <w:sz w:val="22"/>
          <w:szCs w:val="22"/>
          <w:color w:val="auto"/>
        </w:rPr>
        <w:t>” means an amount equal to the Principal Balance of each Receivable retransferred pursuant to Sections 5.04(a) and 5.04(c), plus accrued interest on such Receivable (at the related APR) through the date of such retransfer or repurchase, all Breakage Costs, if any, arising out of or relating to such retransfer or repurchase, and all Hedge Breakage Costs, if any, due to the relevant Hedge Counterparties for any termination in whole or in part of one or more transactions related to the relevant Hedging Agreement, as required by the terms of any Hedging Agreement.</w:t>
      </w:r>
    </w:p>
    <w:p>
      <w:pPr>
        <w:spacing w:after="0" w:line="180"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FRB or the Federal Reserve Bank of New York, or a committee officially endorsed or convened by the FRB or the Federal Reserve Bank of New York, or any successor thereto.</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for which the 30-day notice provision has not been waived.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Date</w:t>
      </w:r>
      <w:r>
        <w:rPr>
          <w:rFonts w:ascii="Times New Roman" w:cs="Times New Roman" w:eastAsia="Times New Roman" w:hAnsi="Times New Roman"/>
          <w:sz w:val="22"/>
          <w:szCs w:val="22"/>
          <w:color w:val="auto"/>
        </w:rPr>
        <w:t>” means the date which is two Business Days prior to any Payment Date.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84" w:name="page285"/>
    <w:bookmarkEnd w:id="284"/>
    <w:p>
      <w:pPr>
        <w:ind w:right="120" w:firstLine="749"/>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Hedging Period</w:t>
      </w:r>
      <w:r>
        <w:rPr>
          <w:rFonts w:ascii="Times New Roman" w:cs="Times New Roman" w:eastAsia="Times New Roman" w:hAnsi="Times New Roman"/>
          <w:sz w:val="20"/>
          <w:szCs w:val="20"/>
          <w:color w:val="auto"/>
        </w:rPr>
        <w:t>” means any of the following periods: (a) the period commencing on the Amortization Period and ending on the Facility Termination Date; (b) the period commencing on the occurrence of a (i) Collateral Coverage Ratio Failure and ending on the Facility Termination Date, (ii) an Overcollateralization Increase Event, or (iii) a Termination Event; or</w:t>
      </w:r>
    </w:p>
    <w:p>
      <w:pPr>
        <w:spacing w:after="0" w:line="2" w:lineRule="exact"/>
        <w:rPr>
          <w:sz w:val="20"/>
          <w:szCs w:val="20"/>
          <w:color w:val="auto"/>
        </w:rPr>
      </w:pPr>
    </w:p>
    <w:p>
      <w:pPr>
        <w:ind w:right="380" w:firstLine="8"/>
        <w:spacing w:after="0" w:line="237" w:lineRule="auto"/>
        <w:tabs>
          <w:tab w:leader="none" w:pos="29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commencing on the date on which Daily Simple SOFR exceeds the Hedge Threshold and ending on the date on which Daily Simple SOFR is less than or equal to the Hedge Threshold.</w:t>
      </w:r>
    </w:p>
    <w:p>
      <w:pPr>
        <w:spacing w:after="0" w:line="178"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 particular time, Lenders with aggregate Commitments in excess of [***]% of the Aggregate Commitment.</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Rating</w:t>
      </w:r>
      <w:r>
        <w:rPr>
          <w:rFonts w:ascii="Times New Roman" w:cs="Times New Roman" w:eastAsia="Times New Roman" w:hAnsi="Times New Roman"/>
          <w:sz w:val="22"/>
          <w:szCs w:val="22"/>
          <w:color w:val="auto"/>
        </w:rPr>
        <w:t>” means, with respect to any Rating Agency, a long-term unsecured debt rating of BBB or its equivalent issued by such Rating Agency.</w:t>
      </w:r>
    </w:p>
    <w:p>
      <w:pPr>
        <w:spacing w:after="0" w:line="157"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 upon such Person or to which such Person is subject, whether federal, State or local (including usury laws, the Federal Truth in Lending Act, Regulations U and T of the Federal Reserve Board and Regulations B, X and Z of the Consumer Financial Protection Bureau).</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means a segregated account established by the Servicer with the Account Bank, for the benefit of the Secured Parties.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Amount</w:t>
      </w:r>
      <w:r>
        <w:rPr>
          <w:rFonts w:ascii="Times New Roman" w:cs="Times New Roman" w:eastAsia="Times New Roman" w:hAnsi="Times New Roman"/>
          <w:sz w:val="22"/>
          <w:szCs w:val="22"/>
          <w:color w:val="auto"/>
        </w:rPr>
        <w:t>” means on any day, the amount on deposit in the Reserve Account.</w:t>
      </w:r>
    </w:p>
    <w:p>
      <w:pPr>
        <w:spacing w:after="0" w:line="205"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Required Amount</w:t>
      </w:r>
      <w:r>
        <w:rPr>
          <w:rFonts w:ascii="Times New Roman" w:cs="Times New Roman" w:eastAsia="Times New Roman" w:hAnsi="Times New Roman"/>
          <w:sz w:val="22"/>
          <w:szCs w:val="22"/>
          <w:color w:val="auto"/>
        </w:rPr>
        <w:t>” means, on any day, if the Loans Outstanding are (i) $[***], $[***] and (ii) greater than $[***], the greater of (a) $[***] and (b) the product of (1) [***]% and (2) the highest aggregate Principal Balance of the Receivables included in the Collateral since the later of the Closing Date or the most recent Securitization Date.</w:t>
      </w:r>
    </w:p>
    <w:p>
      <w:pPr>
        <w:spacing w:after="0" w:line="172"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Withdrawal Amount</w:t>
      </w:r>
      <w:r>
        <w:rPr>
          <w:rFonts w:ascii="Times New Roman" w:cs="Times New Roman" w:eastAsia="Times New Roman" w:hAnsi="Times New Roman"/>
          <w:sz w:val="22"/>
          <w:szCs w:val="22"/>
          <w:color w:val="auto"/>
        </w:rPr>
        <w:t>” means, with respect to any Payment Date (i) during the Revolving Period on which an Available Funds Shortfall exists, an amount equal to the lesser of (a) the Reserve Account Amount and (b) the Available Funds Shortfall and (ii) following the occurrence of (a) a Facility Turbo Date so long as no Foreclosure Event has occurred, all or a portion of the Reserve Account Amount, as designated by the Administrative Agent pursuant to Section 2.11(d), or (b) a Foreclosure Event, the Reserve Account Amount.</w:t>
      </w:r>
    </w:p>
    <w:p>
      <w:pPr>
        <w:spacing w:after="0" w:line="180" w:lineRule="exact"/>
        <w:rPr>
          <w:sz w:val="20"/>
          <w:szCs w:val="20"/>
          <w:color w:val="auto"/>
        </w:rPr>
      </w:pPr>
    </w:p>
    <w:p>
      <w:pPr>
        <w:ind w:right="20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when used with respect to (i) any Person other than the Borrower, any officer of such Person, including any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5" w:name="page286"/>
    <w:bookmarkEnd w:id="285"/>
    <w:p>
      <w:pPr>
        <w:ind w:right="100"/>
        <w:spacing w:after="0" w:line="258" w:lineRule="auto"/>
        <w:rPr>
          <w:sz w:val="20"/>
          <w:szCs w:val="20"/>
          <w:color w:val="auto"/>
        </w:rPr>
      </w:pPr>
      <w:r>
        <w:rPr>
          <w:rFonts w:ascii="Times New Roman" w:cs="Times New Roman" w:eastAsia="Times New Roman" w:hAnsi="Times New Roman"/>
          <w:sz w:val="22"/>
          <w:szCs w:val="22"/>
          <w:color w:val="auto"/>
        </w:rPr>
        <w:t>a party, and (ii) the Borrower, any Authorized Representative or officer of the Owner Trustee having direct responsibility for the Owner Trustee’s duties under the Trust Agreement.</w:t>
      </w:r>
    </w:p>
    <w:p>
      <w:pPr>
        <w:spacing w:after="0" w:line="157"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means the period commencing on the Closing Date and ending on the earlier to occur of (i) the Commitment Termination Date and (ii) the day immediately preceding the Termination Date.</w:t>
      </w:r>
    </w:p>
    <w:p>
      <w:pPr>
        <w:spacing w:after="0" w:line="15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and all economic or financial sanctions, sectoral sanctions, secondary sanctions, trade embargoes and restrictions and anti-terrorism laws imposed, administered or enforced from time to time by (i) the United States, including those administered by the U.S. Department of the Treasury’s Office of Foreign Assets Control (OFAC), the U.S. Department of State, the U.S. Department of Commerce, or through any existing or future statute or Executive Order, (ii) the United Nations Security Council, (iii) the European Union, (iv) the United Kingdom or (v) any other Governmental Authority with jurisdiction over Borrower or any member of the Borrowing Group.</w:t>
      </w:r>
    </w:p>
    <w:p>
      <w:pPr>
        <w:spacing w:after="0" w:line="179" w:lineRule="exact"/>
        <w:rPr>
          <w:sz w:val="20"/>
          <w:szCs w:val="20"/>
          <w:color w:val="auto"/>
        </w:rPr>
      </w:pPr>
    </w:p>
    <w:p>
      <w:pPr>
        <w:ind w:right="220" w:firstLine="74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Target</w:t>
      </w:r>
      <w:r>
        <w:rPr>
          <w:rFonts w:ascii="Times New Roman" w:cs="Times New Roman" w:eastAsia="Times New Roman" w:hAnsi="Times New Roman"/>
          <w:sz w:val="20"/>
          <w:szCs w:val="20"/>
          <w:color w:val="auto"/>
        </w:rPr>
        <w:t>” means any target of Sanctions, including (i) Persons on any list of targets identified or designated pursuant to any Sanctions, (ii) Persons, countries, or territories that are the target of any territorial or country-based Sanctions program, (iii) Persons that are a target of Sanctions due to their ownership or control by any Sanctioned Target(s) or (iv) otherwise a target of Sanctions, including vessels and aircraft, that are designated under any Sanctions program.</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Documents</w:t>
      </w:r>
      <w:r>
        <w:rPr>
          <w:rFonts w:ascii="Times New Roman" w:cs="Times New Roman" w:eastAsia="Times New Roman" w:hAnsi="Times New Roman"/>
          <w:sz w:val="22"/>
          <w:szCs w:val="22"/>
          <w:color w:val="auto"/>
        </w:rPr>
        <w:t>” means the schedule of documents attached hereto as Schedule E.</w:t>
      </w:r>
    </w:p>
    <w:p>
      <w:pPr>
        <w:spacing w:after="0" w:line="205"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Receivables</w:t>
      </w:r>
      <w:r>
        <w:rPr>
          <w:rFonts w:ascii="Times New Roman" w:cs="Times New Roman" w:eastAsia="Times New Roman" w:hAnsi="Times New Roman"/>
          <w:sz w:val="22"/>
          <w:szCs w:val="22"/>
          <w:color w:val="auto"/>
        </w:rPr>
        <w:t>” means the schedule of Receivables attached hereto as Schedule C, as updated from time to time in connection with each Funding Request.</w:t>
      </w:r>
    </w:p>
    <w:p>
      <w:pPr>
        <w:spacing w:after="0" w:line="157" w:lineRule="exact"/>
        <w:rPr>
          <w:sz w:val="20"/>
          <w:szCs w:val="20"/>
          <w:color w:val="auto"/>
        </w:rPr>
      </w:pPr>
    </w:p>
    <w:p>
      <w:pPr>
        <w:ind w:right="5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means regularly scheduled payments to be made by an Obligor pursuant to the terms of the related Contract.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means (i) the Administrative Agent, (ii) each Lender and (iii) each Hedge Counterparty.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w:t>
      </w:r>
    </w:p>
    <w:p>
      <w:pPr>
        <w:spacing w:after="0" w:line="205"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means (i) any sale, lease or other transfer by the Borrower or a Special Purpose Affiliate of all or a portion of the Collateral or (ii) any other asset securitization, secured loan or similar transaction involving all or a portion of the Collateral, provided, that no adverse selection procedures were used by the Borrower or such Special Purpose Affiliate with respect to such Collateral.</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Date</w:t>
      </w:r>
      <w:r>
        <w:rPr>
          <w:rFonts w:ascii="Times New Roman" w:cs="Times New Roman" w:eastAsia="Times New Roman" w:hAnsi="Times New Roman"/>
          <w:sz w:val="22"/>
          <w:szCs w:val="22"/>
          <w:color w:val="auto"/>
        </w:rPr>
        <w:t>” means the date upon which a Securitization is consummated.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Amounts</w:t>
      </w:r>
      <w:r>
        <w:rPr>
          <w:rFonts w:ascii="Times New Roman" w:cs="Times New Roman" w:eastAsia="Times New Roman" w:hAnsi="Times New Roman"/>
          <w:sz w:val="22"/>
          <w:szCs w:val="22"/>
          <w:color w:val="auto"/>
        </w:rPr>
        <w:t>” has the meaning given to such term in Section 5.07 of the Purchase Agreement.</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86" w:name="page287"/>
    <w:bookmarkEnd w:id="28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has the meaning given to such term in Section 5.07 of the Purchase Agreement.</w:t>
      </w:r>
    </w:p>
    <w:p>
      <w:pPr>
        <w:spacing w:after="0" w:line="205"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w:t>
      </w:r>
      <w:r>
        <w:rPr>
          <w:rFonts w:ascii="Times New Roman" w:cs="Times New Roman" w:eastAsia="Times New Roman" w:hAnsi="Times New Roman"/>
          <w:sz w:val="22"/>
          <w:szCs w:val="22"/>
          <w:color w:val="auto"/>
        </w:rPr>
        <w:t>” means all motor vehicle receivables that have been originated or purchased by UACC or an Affiliate thereof and are serviced by UACC or an Affiliate thereof, including motor vehicle receivables that have been securitized in a transaction for which UACC, the Borrower or any of their respective Affiliates is the sponsor.</w:t>
      </w:r>
    </w:p>
    <w:p>
      <w:pPr>
        <w:spacing w:after="0" w:line="172" w:lineRule="exact"/>
        <w:rPr>
          <w:sz w:val="20"/>
          <w:szCs w:val="20"/>
          <w:color w:val="auto"/>
        </w:rPr>
      </w:pPr>
    </w:p>
    <w:p>
      <w:pPr>
        <w:ind w:right="1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Annualized Default Ratio</w:t>
      </w:r>
      <w:r>
        <w:rPr>
          <w:rFonts w:ascii="Times New Roman" w:cs="Times New Roman" w:eastAsia="Times New Roman" w:hAnsi="Times New Roman"/>
          <w:sz w:val="22"/>
          <w:szCs w:val="22"/>
          <w:color w:val="auto"/>
        </w:rPr>
        <w:t>” means, with respect to any Payment Date and the related Collection Period, the product of (i) 12 and (ii) the percentage equivalent of a fraction, (a) the numerator of which equals the aggregate Principal Balance of all Serviced Portfolio Receivables that became Serviced Portfolio Defaulted Receivables during such Collection Period and (b) the denominator of which equals the aggregate Principal Balance of all Serviced Portfolio Receivables as of the related Determination Date.</w:t>
      </w:r>
    </w:p>
    <w:p>
      <w:pPr>
        <w:spacing w:after="0" w:line="180" w:lineRule="exact"/>
        <w:rPr>
          <w:sz w:val="20"/>
          <w:szCs w:val="20"/>
          <w:color w:val="auto"/>
        </w:rPr>
      </w:pPr>
    </w:p>
    <w:p>
      <w:pPr>
        <w:ind w:right="4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Annualized Net Loss Ratio</w:t>
      </w:r>
      <w:r>
        <w:rPr>
          <w:rFonts w:ascii="Times New Roman" w:cs="Times New Roman" w:eastAsia="Times New Roman" w:hAnsi="Times New Roman"/>
          <w:sz w:val="22"/>
          <w:szCs w:val="22"/>
          <w:color w:val="auto"/>
        </w:rPr>
        <w:t>” means, with respect to any Payment Date and the related Collection Period, the product of (i) 12 and (ii) the percentage equivalent of a fraction, (a) the numerator of which equals the aggregate Serviced Portfolio Net Losses for such Collection Period and (b) the denominator of which equals the aggregate Principal Balance of all Serviced Portfolio Receivables as of the related Determination Date.</w:t>
      </w:r>
    </w:p>
    <w:p>
      <w:pPr>
        <w:spacing w:after="0" w:line="179"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Defaulted Receivable</w:t>
      </w:r>
      <w:r>
        <w:rPr>
          <w:rFonts w:ascii="Times New Roman" w:cs="Times New Roman" w:eastAsia="Times New Roman" w:hAnsi="Times New Roman"/>
          <w:sz w:val="22"/>
          <w:szCs w:val="22"/>
          <w:color w:val="auto"/>
        </w:rPr>
        <w:t>” means any Serviced Portfolio Receivable (i) with respect to which more than 10% of any scheduled monthly payment remains unpaid for more than 120 days after the related due date as of any Determination Date, (ii) with respect to which 90 days have elapsed since the related Financed Vehicle was repossessed and any applicable redemption period has expired or (iii) that is a Charged-off Receivable.</w:t>
      </w:r>
    </w:p>
    <w:p>
      <w:pPr>
        <w:spacing w:after="0" w:line="179"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Serviced Portfolio Delinquent Receivables as of the last day of such Collection Period and (ii) the denominator of which equals the aggregate Principal Balance of all Serviced Portfolio Receivables as of such last day.</w:t>
      </w:r>
    </w:p>
    <w:p>
      <w:pPr>
        <w:spacing w:after="0" w:line="179"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Delinquent Receivable</w:t>
      </w:r>
      <w:r>
        <w:rPr>
          <w:rFonts w:ascii="Times New Roman" w:cs="Times New Roman" w:eastAsia="Times New Roman" w:hAnsi="Times New Roman"/>
          <w:sz w:val="22"/>
          <w:szCs w:val="22"/>
          <w:color w:val="auto"/>
        </w:rPr>
        <w:t>” means any Serviced Portfolio Receivable, (i) in respect of which more than 10% of any scheduled monthly payment remains unpaid for more than 60 days after the related due date as of any Determination Date and (ii) that is not a Serviced Portfolio Defaulted Receivable.</w:t>
      </w:r>
    </w:p>
    <w:p>
      <w:pPr>
        <w:spacing w:after="0" w:line="172"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Extended Receivable</w:t>
      </w:r>
      <w:r>
        <w:rPr>
          <w:rFonts w:ascii="Times New Roman" w:cs="Times New Roman" w:eastAsia="Times New Roman" w:hAnsi="Times New Roman"/>
          <w:sz w:val="22"/>
          <w:szCs w:val="22"/>
          <w:color w:val="auto"/>
        </w:rPr>
        <w:t>” means any Serviced Portfolio Receivable for which (i) an extension or payment deferment excluding any Covered Modification and (ii) due date change for greater than 19 days was granted during the related Collection Period.</w:t>
      </w:r>
    </w:p>
    <w:p>
      <w:pPr>
        <w:spacing w:after="0" w:line="17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Two-Payment Extended Receivable</w:t>
      </w:r>
      <w:r>
        <w:rPr>
          <w:rFonts w:ascii="Times New Roman" w:cs="Times New Roman" w:eastAsia="Times New Roman" w:hAnsi="Times New Roman"/>
          <w:sz w:val="22"/>
          <w:szCs w:val="22"/>
          <w:color w:val="auto"/>
        </w:rPr>
        <w:t>” means any Serviced Portfolio Extended Receivable for which an extension or payment deferment relating to two monthly payments (including, if applicable, a 2 consecutive monthly payments extension) was made (or is in effect) pursuant to the Credit and Collection Policy.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7" w:name="page288"/>
    <w:bookmarkEnd w:id="287"/>
    <w:p>
      <w:pPr>
        <w:ind w:right="120" w:firstLine="74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Serviced Portfolio Extension Ratio</w:t>
      </w:r>
      <w:r>
        <w:rPr>
          <w:rFonts w:ascii="Times New Roman" w:cs="Times New Roman" w:eastAsia="Times New Roman" w:hAnsi="Times New Roman"/>
          <w:sz w:val="20"/>
          <w:szCs w:val="20"/>
          <w:color w:val="auto"/>
        </w:rPr>
        <w:t>” means, with respect to any Payment Date and the related Collection Period, the percentage equivalent of a fraction, (i) the numerator of which equals the aggregate Principal Balance of all Serviced Portfolio Receivables that were Serviced Portfolio Extended Receivables during such Collection Period and (ii) the denominator of which equals the daily average aggregate Principal Balance of all Serviced Portfolio Receivables during such Collection Period.</w:t>
      </w:r>
    </w:p>
    <w:p>
      <w:pPr>
        <w:spacing w:after="0" w:line="148"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Two-Payment Extension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Serviced Portfolio Receivables that were Serviced Portfolio Two-Payment Extended Receivables during such Collection Period and (ii) the denominator of which equals the daily average aggregate Principal Balance of all Serviced Portfolio Receivables during such Collection Period.</w:t>
      </w:r>
    </w:p>
    <w:p>
      <w:pPr>
        <w:spacing w:after="0" w:line="180"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Serviced Portfolio Receivables that first became Serviced Portfolio Defaulted Receivables during such Collection Period minus (ii) all Serviced Portfolio Recoveries received by the Servicer during such Collection Period.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Receivable</w:t>
      </w:r>
      <w:r>
        <w:rPr>
          <w:rFonts w:ascii="Times New Roman" w:cs="Times New Roman" w:eastAsia="Times New Roman" w:hAnsi="Times New Roman"/>
          <w:sz w:val="22"/>
          <w:szCs w:val="22"/>
          <w:color w:val="auto"/>
        </w:rPr>
        <w:t>” means any motor vehicle receivable included in the Serviced Portfolio.</w:t>
      </w:r>
    </w:p>
    <w:p>
      <w:pPr>
        <w:spacing w:after="0" w:line="205"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Recoveries</w:t>
      </w:r>
      <w:r>
        <w:rPr>
          <w:rFonts w:ascii="Times New Roman" w:cs="Times New Roman" w:eastAsia="Times New Roman" w:hAnsi="Times New Roman"/>
          <w:sz w:val="22"/>
          <w:szCs w:val="22"/>
          <w:color w:val="auto"/>
        </w:rPr>
        <w:t>” means, with respect to any Payment Date and the related Collection Period, all monies collected from whatever source during such Collection Period in respect of such Serviced Portfolio Defaulted Receivables, including insurance proceeds, net of any amounts required by Applicable Law to be remitted to the related Obligor and net of the Servicer’s expenses (other than overhead) incurred in connection with the liquidation of such Serviced Portfolio Defaulted Receivables and the related Financed Vehicles.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Basic Documents</w:t>
      </w:r>
      <w:r>
        <w:rPr>
          <w:rFonts w:ascii="Times New Roman" w:cs="Times New Roman" w:eastAsia="Times New Roman" w:hAnsi="Times New Roman"/>
          <w:sz w:val="22"/>
          <w:szCs w:val="22"/>
          <w:color w:val="auto"/>
        </w:rPr>
        <w:t>” means all Basic Documents to which the Servicer is a party or by which it is bound.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File</w:t>
      </w:r>
      <w:r>
        <w:rPr>
          <w:rFonts w:ascii="Times New Roman" w:cs="Times New Roman" w:eastAsia="Times New Roman" w:hAnsi="Times New Roman"/>
          <w:sz w:val="22"/>
          <w:szCs w:val="22"/>
          <w:color w:val="auto"/>
        </w:rPr>
        <w:t>” means, with respect to a Receivable, each of the following documents:</w:t>
      </w:r>
    </w:p>
    <w:p>
      <w:pPr>
        <w:spacing w:after="0" w:line="205" w:lineRule="exact"/>
        <w:rPr>
          <w:sz w:val="20"/>
          <w:szCs w:val="20"/>
          <w:color w:val="auto"/>
        </w:rPr>
      </w:pPr>
    </w:p>
    <w:p>
      <w:pPr>
        <w:ind w:left="2460" w:hanging="454"/>
        <w:spacing w:after="0"/>
        <w:tabs>
          <w:tab w:leader="none" w:pos="24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Event</w:t>
      </w:r>
      <w:r>
        <w:rPr>
          <w:rFonts w:ascii="Times New Roman" w:cs="Times New Roman" w:eastAsia="Times New Roman" w:hAnsi="Times New Roman"/>
          <w:sz w:val="22"/>
          <w:szCs w:val="22"/>
          <w:color w:val="auto"/>
        </w:rPr>
        <w:t>” has the meaning given to such term in Section 7.14.</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Notice</w:t>
      </w:r>
      <w:r>
        <w:rPr>
          <w:rFonts w:ascii="Times New Roman" w:cs="Times New Roman" w:eastAsia="Times New Roman" w:hAnsi="Times New Roman"/>
          <w:sz w:val="22"/>
          <w:szCs w:val="22"/>
          <w:color w:val="auto"/>
        </w:rPr>
        <w:t>” has the meaning given to such term in Section 7.14.</w:t>
      </w:r>
    </w:p>
    <w:p>
      <w:pPr>
        <w:spacing w:after="0" w:line="205"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means the fee payable to the Servicer on each Payment Date in accordance with Section 2.12(b) in an amount equal to the product of (i) one-twelfth, (ii) the Servicing Fee Rate and (iii) the daily average aggregate Principal Balance of the Receivables during the related Collection Period; provided, that if UACC is no longer the Servicer, the “Servicing Fee” shall be adjusted by the Administrative Agent at the request of the Servicer to</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2"/>
          <w:szCs w:val="22"/>
          <w:color w:val="auto"/>
        </w:rPr>
        <w:t>reflect the then market rates for the servicing of motor vehicles receivables similar to the Receivables.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Rate</w:t>
      </w:r>
      <w:r>
        <w:rPr>
          <w:rFonts w:ascii="Times New Roman" w:cs="Times New Roman" w:eastAsia="Times New Roman" w:hAnsi="Times New Roman"/>
          <w:sz w:val="22"/>
          <w:szCs w:val="22"/>
          <w:color w:val="auto"/>
        </w:rPr>
        <w:t>” means [***]% per annum.</w:t>
      </w:r>
    </w:p>
    <w:p>
      <w:pPr>
        <w:spacing w:after="0" w:line="205" w:lineRule="exact"/>
        <w:rPr>
          <w:sz w:val="20"/>
          <w:szCs w:val="20"/>
          <w:color w:val="auto"/>
        </w:rPr>
      </w:pPr>
    </w:p>
    <w:p>
      <w:pPr>
        <w:ind w:right="200" w:firstLine="749"/>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Rating Requirement</w:t>
      </w:r>
      <w:r>
        <w:rPr>
          <w:rFonts w:ascii="Times New Roman" w:cs="Times New Roman" w:eastAsia="Times New Roman" w:hAnsi="Times New Roman"/>
          <w:sz w:val="22"/>
          <w:szCs w:val="22"/>
          <w:color w:val="auto"/>
        </w:rPr>
        <w:t>” means, with respect to any Person, that such Person has a short-term unsecured debt rating of not less than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not less than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14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Contract</w:t>
      </w:r>
      <w:r>
        <w:rPr>
          <w:rFonts w:ascii="Times New Roman" w:cs="Times New Roman" w:eastAsia="Times New Roman" w:hAnsi="Times New Roman"/>
          <w:sz w:val="22"/>
          <w:szCs w:val="22"/>
          <w:color w:val="auto"/>
        </w:rPr>
        <w:t>” means any Contract under which the portion of a payment allocable to interest and the portion allocable to principal are determined in accordance with the Simple Interest Method.</w:t>
      </w:r>
    </w:p>
    <w:p>
      <w:pPr>
        <w:spacing w:after="0" w:line="15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Method</w:t>
      </w:r>
      <w:r>
        <w:rPr>
          <w:rFonts w:ascii="Times New Roman" w:cs="Times New Roman" w:eastAsia="Times New Roman" w:hAnsi="Times New Roman"/>
          <w:sz w:val="22"/>
          <w:szCs w:val="22"/>
          <w:color w:val="auto"/>
        </w:rPr>
        <w:t>” 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a percentage equal to 0.10% per annum.</w:t>
      </w:r>
    </w:p>
    <w:p>
      <w:pPr>
        <w:spacing w:after="0" w:line="232" w:lineRule="exact"/>
        <w:rPr>
          <w:sz w:val="20"/>
          <w:szCs w:val="20"/>
          <w:color w:val="auto"/>
        </w:rPr>
      </w:pPr>
    </w:p>
    <w:p>
      <w:pPr>
        <w:ind w:right="6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84" w:lineRule="exact"/>
        <w:rPr>
          <w:sz w:val="20"/>
          <w:szCs w:val="20"/>
          <w:color w:val="auto"/>
        </w:rPr>
      </w:pPr>
    </w:p>
    <w:p>
      <w:pPr>
        <w:ind w:right="48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Determination Day</w:t>
      </w:r>
      <w:r>
        <w:rPr>
          <w:rFonts w:ascii="Times New Roman" w:cs="Times New Roman" w:eastAsia="Times New Roman" w:hAnsi="Times New Roman"/>
          <w:sz w:val="22"/>
          <w:szCs w:val="22"/>
          <w:color w:val="auto"/>
        </w:rPr>
        <w:t>” has the meaning specified in the definition of “Adjusted Daily Simple SOFR”.</w:t>
      </w:r>
    </w:p>
    <w:p>
      <w:pPr>
        <w:spacing w:after="0" w:line="232"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Disruption Event</w:t>
      </w:r>
      <w:r>
        <w:rPr>
          <w:rFonts w:ascii="Times New Roman" w:cs="Times New Roman" w:eastAsia="Times New Roman" w:hAnsi="Times New Roman"/>
          <w:sz w:val="22"/>
          <w:szCs w:val="22"/>
          <w:color w:val="auto"/>
        </w:rPr>
        <w:t>” means, with respect to a Lender Advance as to which Interest accrues or is to accrue at a rate based upon the Adjusted Daily Simple SOFR, for any reason (i) the Lender shall determine (which determination shall be conclusive and binding absent manifest error) that reasonable and adequate means do not exist for ascertaining Adjusted Daily Simple SOFR pursuant to the definition thereof or (ii) the Lender shall determine (which determination shall be conclusive and binding absent manifest error) that Adjusted Daily Simple SOFR does not adequately and fairly reflect the cost to the Lender of making or maintaining such Loans.</w:t>
      </w:r>
    </w:p>
    <w:p>
      <w:pPr>
        <w:spacing w:after="0" w:line="206"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any Loan bearing interest at a rate based on Adjusted Daily Simple SOFR (other than pursuant to the Adjusted Daily Simple SOFR component of the definition of “Base Rate”), as provided in Section 2.07(c).</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Margin</w:t>
      </w:r>
      <w:r>
        <w:rPr>
          <w:rFonts w:ascii="Times New Roman" w:cs="Times New Roman" w:eastAsia="Times New Roman" w:hAnsi="Times New Roman"/>
          <w:sz w:val="22"/>
          <w:szCs w:val="22"/>
          <w:color w:val="auto"/>
        </w:rPr>
        <w:t>” has the meaning given to such term in the Fee Letter.</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9" w:name="page290"/>
    <w:bookmarkEnd w:id="289"/>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w:t>
      </w:r>
      <w:r>
        <w:rPr>
          <w:rFonts w:ascii="Times New Roman" w:cs="Times New Roman" w:eastAsia="Times New Roman" w:hAnsi="Times New Roman"/>
          <w:sz w:val="22"/>
          <w:szCs w:val="22"/>
          <w:color w:val="auto"/>
        </w:rPr>
        <w:t>” means, for any day or Interest Period, an interest rate per annum equal to the sum of (i) Adjusted Daily Simple SOFR and (ii) the SOFR Margin.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has the meaning specified in the definition of “Adjusted Daily Simple SOFR”.</w:t>
      </w:r>
    </w:p>
    <w:p>
      <w:pPr>
        <w:spacing w:after="0" w:line="232"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a business or a transaction, for which such Person’s property would constitute unreasonably small capital.</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Purpose Affiliate</w:t>
      </w:r>
      <w:r>
        <w:rPr>
          <w:rFonts w:ascii="Times New Roman" w:cs="Times New Roman" w:eastAsia="Times New Roman" w:hAnsi="Times New Roman"/>
          <w:sz w:val="22"/>
          <w:szCs w:val="22"/>
          <w:color w:val="auto"/>
        </w:rPr>
        <w:t>” means any bankruptcy-remote special purpose entity that is an Affiliate of the Borrower and was created for the purpose of one or more Securitizations.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&amp; Poor’s</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means any state of the United States or the District of Columbia.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Loan</w:t>
      </w:r>
      <w:r>
        <w:rPr>
          <w:rFonts w:ascii="Times New Roman" w:cs="Times New Roman" w:eastAsia="Times New Roman" w:hAnsi="Times New Roman"/>
          <w:sz w:val="22"/>
          <w:szCs w:val="22"/>
          <w:color w:val="auto"/>
        </w:rPr>
        <w:t>” means each Loan made following the Initial Loan.</w:t>
      </w:r>
    </w:p>
    <w:p>
      <w:pPr>
        <w:spacing w:after="0" w:line="20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Receivable</w:t>
      </w:r>
      <w:r>
        <w:rPr>
          <w:rFonts w:ascii="Times New Roman" w:cs="Times New Roman" w:eastAsia="Times New Roman" w:hAnsi="Times New Roman"/>
          <w:sz w:val="22"/>
          <w:szCs w:val="22"/>
          <w:color w:val="auto"/>
        </w:rPr>
        <w:t>” means each Receivable that becomes a part of the Collateral on a Funding Date other than the Funding Date relating to the Initial Loan.</w:t>
      </w:r>
    </w:p>
    <w:p>
      <w:pPr>
        <w:spacing w:after="0" w:line="157" w:lineRule="exact"/>
        <w:rPr>
          <w:sz w:val="20"/>
          <w:szCs w:val="20"/>
          <w:color w:val="auto"/>
        </w:rPr>
      </w:pPr>
    </w:p>
    <w:p>
      <w:pPr>
        <w:ind w:right="7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means a subservicer appointed by the Servicer and acceptable to the Administrative Agent for the servicing and administration of the Receivables.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Servicer</w:t>
      </w:r>
      <w:r>
        <w:rPr>
          <w:rFonts w:ascii="Times New Roman" w:cs="Times New Roman" w:eastAsia="Times New Roman" w:hAnsi="Times New Roman"/>
          <w:sz w:val="22"/>
          <w:szCs w:val="22"/>
          <w:color w:val="auto"/>
        </w:rPr>
        <w:t>” has the meaning given to such term in Section 7.15(b).</w:t>
      </w:r>
    </w:p>
    <w:p>
      <w:pPr>
        <w:spacing w:after="0" w:line="205" w:lineRule="exact"/>
        <w:rPr>
          <w:sz w:val="20"/>
          <w:szCs w:val="20"/>
          <w:color w:val="auto"/>
        </w:rPr>
      </w:pPr>
    </w:p>
    <w:p>
      <w:pPr>
        <w:jc w:val="both"/>
        <w:ind w:right="380"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 Advances</w:t>
      </w:r>
      <w:r>
        <w:rPr>
          <w:rFonts w:ascii="Times New Roman" w:cs="Times New Roman" w:eastAsia="Times New Roman" w:hAnsi="Times New Roman"/>
          <w:sz w:val="20"/>
          <w:szCs w:val="20"/>
          <w:color w:val="auto"/>
        </w:rPr>
        <w:t>” means, with respect to a Liquidity Provider and the related Conduit Lender, any participation or other interest held by such Liquidity Provider in such Conduit Lender’s Invested Percentage in the Loans Outstanding which were purchased from such Conduit Lender pursuant to a Support Facility and any loans or other advances made by such</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90" w:name="page291"/>
    <w:bookmarkEnd w:id="290"/>
    <w:p>
      <w:pPr>
        <w:jc w:val="both"/>
        <w:ind w:right="200"/>
        <w:spacing w:after="0" w:line="258" w:lineRule="auto"/>
        <w:rPr>
          <w:sz w:val="20"/>
          <w:szCs w:val="20"/>
          <w:color w:val="auto"/>
        </w:rPr>
      </w:pPr>
      <w:r>
        <w:rPr>
          <w:rFonts w:ascii="Times New Roman" w:cs="Times New Roman" w:eastAsia="Times New Roman" w:hAnsi="Times New Roman"/>
          <w:sz w:val="22"/>
          <w:szCs w:val="22"/>
          <w:color w:val="auto"/>
        </w:rPr>
        <w:t>Liquidity Provider to such Conduit Lender pursuant to a Support Facility to fund such Conduit Lender’s making or maintaining its advances hereunder.</w:t>
      </w:r>
    </w:p>
    <w:p>
      <w:pPr>
        <w:spacing w:after="0" w:line="157"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Facility</w:t>
      </w:r>
      <w:r>
        <w:rPr>
          <w:rFonts w:ascii="Times New Roman" w:cs="Times New Roman" w:eastAsia="Times New Roman" w:hAnsi="Times New Roman"/>
          <w:sz w:val="22"/>
          <w:szCs w:val="22"/>
          <w:color w:val="auto"/>
        </w:rPr>
        <w:t>” means any liquidity or credit support agreement (including any letter of credit, surety bond, swap or loan or purchase facility) with, or for the benefit of, a Conduit Lender which relates to this Agreement or the Conduit Lender’s commercial paper program (including any agreement to purchase an assignment of or participation in the Notes).</w:t>
      </w:r>
    </w:p>
    <w:p>
      <w:pPr>
        <w:spacing w:after="0" w:line="17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 Party</w:t>
      </w:r>
      <w:r>
        <w:rPr>
          <w:rFonts w:ascii="Times New Roman" w:cs="Times New Roman" w:eastAsia="Times New Roman" w:hAnsi="Times New Roman"/>
          <w:sz w:val="22"/>
          <w:szCs w:val="22"/>
          <w:color w:val="auto"/>
        </w:rPr>
        <w:t>” means any bank, insurance company or other financial institution extending or having a commitment to extend funds to or for the account of a Conduit Lender (including by agreement to purchase an assignment of or participation in the Notes) under a Support Facility. Each Liquidity Provider for a Conduit Lender shall be deemed to be a Support Party for such Conduit Lender.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Chattel Paper</w:t>
      </w:r>
      <w:r>
        <w:rPr>
          <w:rFonts w:ascii="Times New Roman" w:cs="Times New Roman" w:eastAsia="Times New Roman" w:hAnsi="Times New Roman"/>
          <w:sz w:val="22"/>
          <w:szCs w:val="22"/>
          <w:color w:val="auto"/>
        </w:rPr>
        <w:t>” means “tangible chattel paper” under and as defined in Article 9 of the UCC.</w:t>
      </w:r>
    </w:p>
    <w:p>
      <w:pPr>
        <w:spacing w:after="0" w:line="205" w:lineRule="exact"/>
        <w:rPr>
          <w:sz w:val="20"/>
          <w:szCs w:val="20"/>
          <w:color w:val="auto"/>
        </w:rPr>
      </w:pPr>
    </w:p>
    <w:p>
      <w:pPr>
        <w:ind w:right="4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w:t>
      </w:r>
      <w:r>
        <w:rPr>
          <w:rFonts w:ascii="Times New Roman" w:cs="Times New Roman" w:eastAsia="Times New Roman" w:hAnsi="Times New Roman"/>
          <w:sz w:val="22"/>
          <w:szCs w:val="22"/>
          <w:color w:val="auto"/>
        </w:rPr>
        <w:t>” means, with respect to any Person, the net worth of such Person calculated in accordance with GAAP, after subtracting therefrom the aggregate amount of such Person’s intangible assets, including goodwill, franchises, licenses, patents, trademarks, tradenames, copyrights and service marks.</w:t>
      </w:r>
    </w:p>
    <w:p>
      <w:pPr>
        <w:spacing w:after="0" w:line="172"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Advance Rate</w:t>
      </w:r>
      <w:r>
        <w:rPr>
          <w:rFonts w:ascii="Times New Roman" w:cs="Times New Roman" w:eastAsia="Times New Roman" w:hAnsi="Times New Roman"/>
          <w:sz w:val="20"/>
          <w:szCs w:val="20"/>
          <w:color w:val="auto"/>
        </w:rPr>
        <w:t>” means, with respect to any day, (i) so long as the Termination Date has not occurred and (a) no Overcollateralization Increase Event has occurred or an Overcollateralization Increase Event has occurred that has been cured, with respect to all Receivables, the lesser of (A) [***]% and (B) the weighted average advance rate of the Contracts relating to such Receivables made by UACC to the Dealers, as of the dates such Contracts were made, minus [***]% or (b)(1) an Overcollateralization Increase Event has occurred that has not been cured, [***]% or (2) on or after the Commitment Termination Date and prior to the Facility Turbo Date, [***]%, or (ii) following the occurrence of the Termination Date, [***]%.</w:t>
      </w:r>
    </w:p>
    <w:p>
      <w:pPr>
        <w:spacing w:after="0" w:line="154"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Borrowing Base</w:t>
      </w:r>
      <w:r>
        <w:rPr>
          <w:rFonts w:ascii="Times New Roman" w:cs="Times New Roman" w:eastAsia="Times New Roman" w:hAnsi="Times New Roman"/>
          <w:sz w:val="22"/>
          <w:szCs w:val="22"/>
          <w:color w:val="auto"/>
        </w:rPr>
        <w:t>” means, as of any day, an amount equal to the lesser of (i) the product of the applicable Target Advance Rate and the Aggregate Net Principal Balance, and (ii) the Aggregate Commitment.</w:t>
      </w:r>
    </w:p>
    <w:p>
      <w:pPr>
        <w:spacing w:after="0" w:line="157"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Monthly Principal Payment Amount</w:t>
      </w:r>
      <w:r>
        <w:rPr>
          <w:rFonts w:ascii="Times New Roman" w:cs="Times New Roman" w:eastAsia="Times New Roman" w:hAnsi="Times New Roman"/>
          <w:sz w:val="22"/>
          <w:szCs w:val="22"/>
          <w:color w:val="auto"/>
        </w:rPr>
        <w:t>” means, solely with respect to the Payment Dates occurring in the months of August 2024 through January 2025 and the related Collection Periods, the amount, if any, necessary to reduce the Loans Outstanding to the Target Borrowing Base as of the last day of such Collection Period.</w:t>
      </w:r>
    </w:p>
    <w:p>
      <w:pPr>
        <w:spacing w:after="0" w:line="172"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present or future taxes, levies, imposts, duties, charges, assessments or fees of any nature (including interest, penalties and additions thereto) that are imposed by any Government Authority.</w:t>
      </w:r>
    </w:p>
    <w:p>
      <w:pPr>
        <w:spacing w:after="0" w:line="157" w:lineRule="exact"/>
        <w:rPr>
          <w:sz w:val="20"/>
          <w:szCs w:val="20"/>
          <w:color w:val="auto"/>
        </w:rPr>
      </w:pPr>
    </w:p>
    <w:p>
      <w:pPr>
        <w:jc w:val="both"/>
        <w:ind w:right="6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earliest to occur of (i) the occurrence of the latest Lender Termination Date, (ii) the Facility Turbo Date, (iii) the Business Day designated by the Borrower to the Lenders as the Termination Date at any time following 60 days’ prior written notice, (iv)</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91" w:name="page292"/>
    <w:bookmarkEnd w:id="291"/>
    <w:p>
      <w:pPr>
        <w:spacing w:after="0" w:line="258" w:lineRule="auto"/>
        <w:rPr>
          <w:sz w:val="20"/>
          <w:szCs w:val="20"/>
          <w:color w:val="auto"/>
        </w:rPr>
      </w:pPr>
      <w:r>
        <w:rPr>
          <w:rFonts w:ascii="Times New Roman" w:cs="Times New Roman" w:eastAsia="Times New Roman" w:hAnsi="Times New Roman"/>
          <w:sz w:val="22"/>
          <w:szCs w:val="22"/>
          <w:color w:val="auto"/>
        </w:rPr>
        <w:t>the occurrence of a Foreclosure Event and (v) the automatic occurrence, or the declaration of the occurrence, of the Termination Date pursuant to Section 9.01(b).</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has the meaning given to such term in Section 9.01(a).</w:t>
      </w:r>
    </w:p>
    <w:p>
      <w:pPr>
        <w:spacing w:after="0" w:line="20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Data File</w:t>
      </w:r>
      <w:r>
        <w:rPr>
          <w:rFonts w:ascii="Times New Roman" w:cs="Times New Roman" w:eastAsia="Times New Roman" w:hAnsi="Times New Roman"/>
          <w:sz w:val="22"/>
          <w:szCs w:val="22"/>
          <w:color w:val="auto"/>
        </w:rPr>
        <w:t>” means a test data file, which shall include the loan master file, the transaction history file and all other files necessary to carry out the servicing obligations hereunder.</w:t>
      </w:r>
    </w:p>
    <w:p>
      <w:pPr>
        <w:spacing w:after="0" w:line="157"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means a Transfer Agreement in substantially the form attached to the Purchase Agreement as Exhibit A, executed by the Borrower and UACC in connection with a transfer of Receivables and the related Collateral on any Funding Date.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Expenses</w:t>
      </w:r>
      <w:r>
        <w:rPr>
          <w:rFonts w:ascii="Times New Roman" w:cs="Times New Roman" w:eastAsia="Times New Roman" w:hAnsi="Times New Roman"/>
          <w:sz w:val="22"/>
          <w:szCs w:val="22"/>
          <w:color w:val="auto"/>
        </w:rPr>
        <w:t>” has the meaning given to such term in Section 7.15(e).</w:t>
      </w:r>
    </w:p>
    <w:p>
      <w:pPr>
        <w:spacing w:after="0" w:line="20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Agreement</w:t>
      </w:r>
      <w:r>
        <w:rPr>
          <w:rFonts w:ascii="Times New Roman" w:cs="Times New Roman" w:eastAsia="Times New Roman" w:hAnsi="Times New Roman"/>
          <w:sz w:val="22"/>
          <w:szCs w:val="22"/>
          <w:color w:val="auto"/>
        </w:rPr>
        <w:t>” means the Amended and Restated Trust Agreement, dated as of May 30, 2012, between UACC, as depositor, and the Owner Trustee.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Amounts</w:t>
      </w:r>
      <w:r>
        <w:rPr>
          <w:rFonts w:ascii="Times New Roman" w:cs="Times New Roman" w:eastAsia="Times New Roman" w:hAnsi="Times New Roman"/>
          <w:sz w:val="22"/>
          <w:szCs w:val="22"/>
          <w:color w:val="auto"/>
        </w:rPr>
        <w:t>” has the meaning given to such term in Section 10.01(b).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Party</w:t>
      </w:r>
      <w:r>
        <w:rPr>
          <w:rFonts w:ascii="Times New Roman" w:cs="Times New Roman" w:eastAsia="Times New Roman" w:hAnsi="Times New Roman"/>
          <w:sz w:val="22"/>
          <w:szCs w:val="22"/>
          <w:color w:val="auto"/>
        </w:rPr>
        <w:t>” has the meaning given to such term in Section 10.01(b).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applicable jurisdiction.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205"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Termination Event</w:t>
      </w:r>
      <w:r>
        <w:rPr>
          <w:rFonts w:ascii="Times New Roman" w:cs="Times New Roman" w:eastAsia="Times New Roman" w:hAnsi="Times New Roman"/>
          <w:sz w:val="22"/>
          <w:szCs w:val="22"/>
          <w:color w:val="auto"/>
        </w:rPr>
        <w:t>” means any event that, with the giving of notice or the lapse of time, or both, would become a Termination Event.</w:t>
      </w:r>
    </w:p>
    <w:p>
      <w:pPr>
        <w:spacing w:after="0" w:line="15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w:t>
      </w:r>
      <w:r>
        <w:rPr>
          <w:rFonts w:ascii="Times New Roman" w:cs="Times New Roman" w:eastAsia="Times New Roman" w:hAnsi="Times New Roman"/>
          <w:sz w:val="22"/>
          <w:szCs w:val="22"/>
          <w:color w:val="auto"/>
        </w:rPr>
        <w:t xml:space="preserve"> ” means, with respect to any Payment Date and the related Collection Period, the fee payable by the Borrower pursuant to the Fee Letter on such Payment Date in an amount equal to the product of (i) the Unused Fee Rate and (ii) the Aggregate Commitment minus the average daily Loans Outstanding during such Collection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 Rate</w:t>
      </w:r>
      <w:r>
        <w:rPr>
          <w:rFonts w:ascii="Times New Roman" w:cs="Times New Roman" w:eastAsia="Times New Roman" w:hAnsi="Times New Roman"/>
          <w:sz w:val="22"/>
          <w:szCs w:val="22"/>
          <w:color w:val="auto"/>
        </w:rPr>
        <w:t>” has the meaning set forth in the Fee Letter.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Upfront Fee</w:t>
      </w:r>
      <w:r>
        <w:rPr>
          <w:rFonts w:ascii="Times New Roman" w:cs="Times New Roman" w:eastAsia="Times New Roman" w:hAnsi="Times New Roman"/>
          <w:sz w:val="22"/>
          <w:szCs w:val="22"/>
          <w:color w:val="auto"/>
        </w:rPr>
        <w:t>” has the meaning given to such term in the Fee Letter.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the regulations adopted to implement Section 619 of the Dodd-Frank Act.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w:t>
      </w:r>
      <w:r>
        <w:rPr>
          <w:rFonts w:ascii="Times New Roman" w:cs="Times New Roman" w:eastAsia="Times New Roman" w:hAnsi="Times New Roman"/>
          <w:sz w:val="22"/>
          <w:szCs w:val="22"/>
          <w:color w:val="auto"/>
        </w:rPr>
        <w:t>” means Vroom Automotive, LLC, a Texas limited liability company.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 Fargo Bank</w:t>
      </w:r>
      <w:r>
        <w:rPr>
          <w:rFonts w:ascii="Times New Roman" w:cs="Times New Roman" w:eastAsia="Times New Roman" w:hAnsi="Times New Roman"/>
          <w:sz w:val="22"/>
          <w:szCs w:val="22"/>
          <w:color w:val="auto"/>
        </w:rPr>
        <w:t>” means Wells Fargo Bank, National Association.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45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7" w:right="519" w:bottom="1440" w:gutter="0" w:footer="0" w:header="0"/>
        </w:sectPr>
      </w:pPr>
    </w:p>
    <w:bookmarkStart w:id="292" w:name="page293"/>
    <w:bookmarkEnd w:id="292"/>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One.02. </w:t>
      </w:r>
      <w:r>
        <w:rPr>
          <w:rFonts w:ascii="Times New Roman" w:cs="Times New Roman" w:eastAsia="Times New Roman" w:hAnsi="Times New Roman"/>
          <w:sz w:val="22"/>
          <w:szCs w:val="22"/>
          <w:u w:val="single" w:color="auto"/>
          <w:color w:val="auto"/>
        </w:rPr>
        <w:t>Accounting Terms and Determinations</w:t>
      </w:r>
      <w:r>
        <w:rPr>
          <w:rFonts w:ascii="Times New Roman" w:cs="Times New Roman" w:eastAsia="Times New Roman" w:hAnsi="Times New Roman"/>
          <w:sz w:val="22"/>
          <w:szCs w:val="22"/>
          <w:color w:val="auto"/>
        </w:rPr>
        <w:t>. 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spacing w:after="0" w:line="17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One.03. </w:t>
      </w:r>
      <w:r>
        <w:rPr>
          <w:rFonts w:ascii="Times New Roman" w:cs="Times New Roman" w:eastAsia="Times New Roman" w:hAnsi="Times New Roman"/>
          <w:sz w:val="22"/>
          <w:szCs w:val="22"/>
          <w:u w:val="single" w:color="auto"/>
          <w:color w:val="auto"/>
        </w:rPr>
        <w:t>Computation of Time Periods</w:t>
      </w:r>
      <w:r>
        <w:rPr>
          <w:rFonts w:ascii="Times New Roman" w:cs="Times New Roman" w:eastAsia="Times New Roman" w:hAnsi="Times New Roman"/>
          <w:sz w:val="22"/>
          <w:szCs w:val="22"/>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172" w:lineRule="exact"/>
        <w:rPr>
          <w:sz w:val="20"/>
          <w:szCs w:val="20"/>
          <w:color w:val="auto"/>
        </w:rPr>
      </w:pPr>
    </w:p>
    <w:p>
      <w:pPr>
        <w:ind w:right="120"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One.04.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reproducing words in a visible form; and (x) the term “proceeds” has the meaning set forth in the applicable UCC.</w:t>
      </w:r>
    </w:p>
    <w:p>
      <w:pPr>
        <w:spacing w:after="0" w:line="184"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20"/>
          <w:szCs w:val="20"/>
          <w:color w:val="auto"/>
        </w:rPr>
        <w:t xml:space="preserve">Section One.05. </w:t>
      </w: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The Lenders do not warrant or accept any responsibility for, and shall not have any liability with respect to, (a) the continuation of, administration of, submission of, calculation of or any other matter related to the Benchmark,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14.15(c), will be similar to, or produce the same value or economic equivalence of, or have the same volume or liquidity as, the Benchmark or any other Benchmark prior to its discontinuance or unavailability, or (b) the effect, implementation or composition of any Conforming Changes. The Lenders and their Affiliates or other related entities may engage in transactions that affect the calculation of the Benchmark, any alternative, successor or replacement rate (including any Benchmark Replacement) or any relevant adjustments thereto and such transactions may be adverse to the Borrower. The Lenders may select information sources or services in their reasonable discretion to ascertain the Benchmark, any component definition thereof or rates referred to in the definition thereof, in each case pursuant to the terms of this Agreement,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3" w:name="page294"/>
    <w:bookmarkEnd w:id="293"/>
    <w:p>
      <w:pPr>
        <w:jc w:val="center"/>
        <w:ind w:right="280"/>
        <w:spacing w:after="0"/>
        <w:rPr>
          <w:sz w:val="20"/>
          <w:szCs w:val="20"/>
          <w:color w:val="auto"/>
        </w:rPr>
      </w:pPr>
      <w:r>
        <w:rPr>
          <w:rFonts w:ascii="Times New Roman" w:cs="Times New Roman" w:eastAsia="Times New Roman" w:hAnsi="Times New Roman"/>
          <w:sz w:val="22"/>
          <w:szCs w:val="22"/>
          <w:color w:val="auto"/>
        </w:rPr>
        <w:t>ARTICLE TWO</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LOANS</w:t>
      </w:r>
    </w:p>
    <w:p>
      <w:pPr>
        <w:spacing w:after="0" w:line="205"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Two.01.</w:t>
      </w:r>
      <w:r>
        <w:rPr>
          <w:sz w:val="20"/>
          <w:szCs w:val="20"/>
          <w:color w:val="auto"/>
        </w:rPr>
        <w:tab/>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60" w:firstLine="757"/>
        <w:spacing w:after="0" w:line="239" w:lineRule="auto"/>
        <w:tabs>
          <w:tab w:leader="none" w:pos="11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herein, including this Section and Article Four, the Borrower may from time to time on any Business Day during the Revolving Period, request that each Conduit Lender and Committed Lender make an advance (each, a “Loan”) in the amount of each such Conduit Lender’s or Committed Lender’s Lender Advance, to the Borrower on a Funding Date.</w:t>
      </w:r>
    </w:p>
    <w:p>
      <w:pPr>
        <w:spacing w:after="0" w:line="178" w:lineRule="exact"/>
        <w:rPr>
          <w:rFonts w:ascii="Times New Roman" w:cs="Times New Roman" w:eastAsia="Times New Roman" w:hAnsi="Times New Roman"/>
          <w:sz w:val="22"/>
          <w:szCs w:val="22"/>
          <w:color w:val="auto"/>
        </w:rPr>
      </w:pPr>
    </w:p>
    <w:p>
      <w:pPr>
        <w:ind w:right="20" w:firstLine="757"/>
        <w:spacing w:after="0" w:line="239" w:lineRule="auto"/>
        <w:tabs>
          <w:tab w:leader="none" w:pos="11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12:00 p.m., New York City time, one Business Day prior to the proposed Funding Date, the Borrower shall notify the Administrative Agent and the Agents of such proposed Funding Date and Loan by delivering to the Administrative Agent and the Agents (with a copy to the Account Bank), in form and substance satisfactory to the Administrative Agent:</w:t>
      </w:r>
    </w:p>
    <w:p>
      <w:pPr>
        <w:spacing w:after="0" w:line="178" w:lineRule="exact"/>
        <w:rPr>
          <w:rFonts w:ascii="Times New Roman" w:cs="Times New Roman" w:eastAsia="Times New Roman" w:hAnsi="Times New Roman"/>
          <w:sz w:val="22"/>
          <w:szCs w:val="22"/>
          <w:color w:val="auto"/>
        </w:rPr>
      </w:pPr>
    </w:p>
    <w:p>
      <w:pPr>
        <w:ind w:left="760" w:firstLine="883"/>
        <w:spacing w:after="0" w:line="237" w:lineRule="auto"/>
        <w:tabs>
          <w:tab w:leader="none" w:pos="2078"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Funding Request, which will include, among other things, the proposed Funding Date, a calculation of the Borrowing Base (calculated as of the previous Determination Date or, with respect to Receivables added to the Collateral following such Determination Date, but prior to or on such date of determination, the related Cutoff Date) and the Principal Amount of the Loan requested, which shall be in an amount at least equal to $[***] (except the Initial Loan, which shall be in a minimum amount of $[***]) or integral multiples of $[***] in excess thereof; and</w:t>
      </w:r>
    </w:p>
    <w:p>
      <w:pPr>
        <w:spacing w:after="0" w:line="180" w:lineRule="exact"/>
        <w:rPr>
          <w:rFonts w:ascii="Times New Roman" w:cs="Times New Roman" w:eastAsia="Times New Roman" w:hAnsi="Times New Roman"/>
          <w:sz w:val="22"/>
          <w:szCs w:val="22"/>
          <w:color w:val="auto"/>
        </w:rPr>
      </w:pPr>
    </w:p>
    <w:p>
      <w:pPr>
        <w:ind w:left="760" w:right="60" w:firstLine="816"/>
        <w:spacing w:after="0" w:line="258" w:lineRule="auto"/>
        <w:tabs>
          <w:tab w:leader="none" w:pos="2011"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updated Schedule of Receivables that includes each Receivable that is the subject of the proposed Loan (other than in the case of a Reborrowing).</w:t>
      </w:r>
    </w:p>
    <w:p>
      <w:pPr>
        <w:spacing w:after="0" w:line="157" w:lineRule="exact"/>
        <w:rPr>
          <w:rFonts w:ascii="Times New Roman" w:cs="Times New Roman" w:eastAsia="Times New Roman" w:hAnsi="Times New Roman"/>
          <w:sz w:val="22"/>
          <w:szCs w:val="22"/>
          <w:color w:val="auto"/>
        </w:rPr>
      </w:pPr>
    </w:p>
    <w:p>
      <w:pPr>
        <w:ind w:right="80" w:firstLine="757"/>
        <w:spacing w:after="0" w:line="236" w:lineRule="auto"/>
        <w:tabs>
          <w:tab w:leader="none" w:pos="11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by the Administrative Agent and the Agents of a Funding Request, and prior to the earlier to occur of the Lender Termination Date and the Termination Date (i) each Conduit Lender may, in its sole discretion, make its Lender Advance of any Loan requested by the Borrower pursuant to Section 2.01(b) and if such Conduit Lender determines not to make its Lender Advance, the related Liquidity Provider shall make such Lender Advance pursuant to Section 2.02(b), and (ii) each Committed Lender severally agrees to make its Lender Advance of any Loan requested by the Borrower, in each case subject to the conditions contained herein, in an aggregate amount equal to the Loan so requested.</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w:t>
      </w:r>
    </w:p>
    <w:p>
      <w:pPr>
        <w:spacing w:after="0" w:line="205" w:lineRule="exact"/>
        <w:rPr>
          <w:rFonts w:ascii="Times New Roman" w:cs="Times New Roman" w:eastAsia="Times New Roman" w:hAnsi="Times New Roman"/>
          <w:sz w:val="22"/>
          <w:szCs w:val="22"/>
          <w:color w:val="auto"/>
        </w:rPr>
      </w:pPr>
    </w:p>
    <w:p>
      <w:pPr>
        <w:ind w:left="760" w:right="460" w:firstLine="883"/>
        <w:spacing w:after="0" w:line="307" w:lineRule="auto"/>
        <w:tabs>
          <w:tab w:leader="none" w:pos="2078"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Committed Lender be required on any date to fund a Principal Amount that would cause its Lender Percentage of the Loans Outstanding, determined after giving effect to such funding, to exceed its Commitment;</w:t>
      </w:r>
    </w:p>
    <w:p>
      <w:pPr>
        <w:spacing w:after="0" w:line="112" w:lineRule="exact"/>
        <w:rPr>
          <w:rFonts w:ascii="Times New Roman" w:cs="Times New Roman" w:eastAsia="Times New Roman" w:hAnsi="Times New Roman"/>
          <w:sz w:val="20"/>
          <w:szCs w:val="20"/>
          <w:color w:val="auto"/>
        </w:rPr>
      </w:pPr>
    </w:p>
    <w:p>
      <w:pPr>
        <w:ind w:left="760" w:right="260" w:firstLine="816"/>
        <w:spacing w:after="0" w:line="258" w:lineRule="auto"/>
        <w:tabs>
          <w:tab w:leader="none" w:pos="2011"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Liquidity Provider be required on any date to advance funds with respect to the Principal Amount of a Loan, to the extent such Lender Advance would result in 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4" w:name="page295"/>
    <w:bookmarkEnd w:id="294"/>
    <w:p>
      <w:pPr>
        <w:ind w:left="760" w:right="340"/>
        <w:spacing w:after="0" w:line="258" w:lineRule="auto"/>
        <w:rPr>
          <w:sz w:val="20"/>
          <w:szCs w:val="20"/>
          <w:color w:val="auto"/>
        </w:rPr>
      </w:pPr>
      <w:r>
        <w:rPr>
          <w:rFonts w:ascii="Times New Roman" w:cs="Times New Roman" w:eastAsia="Times New Roman" w:hAnsi="Times New Roman"/>
          <w:sz w:val="22"/>
          <w:szCs w:val="22"/>
          <w:color w:val="auto"/>
        </w:rPr>
        <w:t>Invested Percentage of the Loans Outstanding, determined after giving effect to such advance, exceeding its Adjusted Commitment;</w:t>
      </w:r>
    </w:p>
    <w:p>
      <w:pPr>
        <w:spacing w:after="0" w:line="157" w:lineRule="exact"/>
        <w:rPr>
          <w:sz w:val="20"/>
          <w:szCs w:val="20"/>
          <w:color w:val="auto"/>
        </w:rPr>
      </w:pPr>
    </w:p>
    <w:p>
      <w:pPr>
        <w:ind w:left="760" w:right="220" w:firstLine="745"/>
        <w:spacing w:after="0" w:line="239" w:lineRule="auto"/>
        <w:tabs>
          <w:tab w:leader="none" w:pos="194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requested hereunder, nor shall any Lender be obligated to fund its Lender Advance of any Loan, to the extent that after giving effect to such Loan, the Loans Outstanding would exceed the Borrowing Base (calculated as of the previous Determination Date or, with respect to any Receivables added to the Collateral following such Determination Date, but prior to or on such date of determination, the related Cutoff Date);</w:t>
      </w:r>
    </w:p>
    <w:p>
      <w:pPr>
        <w:spacing w:after="0" w:line="178" w:lineRule="exact"/>
        <w:rPr>
          <w:rFonts w:ascii="Times New Roman" w:cs="Times New Roman" w:eastAsia="Times New Roman" w:hAnsi="Times New Roman"/>
          <w:sz w:val="22"/>
          <w:szCs w:val="22"/>
          <w:color w:val="auto"/>
        </w:rPr>
      </w:pPr>
    </w:p>
    <w:p>
      <w:pPr>
        <w:ind w:left="760" w:right="100" w:firstLine="759"/>
        <w:spacing w:after="0" w:line="258" w:lineRule="auto"/>
        <w:tabs>
          <w:tab w:leader="none" w:pos="195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Conduit Lender in a related Lender Group be required to fund their respective Lender Advance in excess of the related Maximum Loan Amount;</w:t>
      </w:r>
    </w:p>
    <w:p>
      <w:pPr>
        <w:spacing w:after="0" w:line="157" w:lineRule="exact"/>
        <w:rPr>
          <w:rFonts w:ascii="Times New Roman" w:cs="Times New Roman" w:eastAsia="Times New Roman" w:hAnsi="Times New Roman"/>
          <w:sz w:val="22"/>
          <w:szCs w:val="22"/>
          <w:color w:val="auto"/>
        </w:rPr>
      </w:pPr>
    </w:p>
    <w:p>
      <w:pPr>
        <w:ind w:left="760" w:right="660" w:firstLine="829"/>
        <w:spacing w:after="0" w:line="258" w:lineRule="auto"/>
        <w:tabs>
          <w:tab w:leader="none" w:pos="2024" w:val="left"/>
        </w:tabs>
        <w:numPr>
          <w:ilvl w:val="2"/>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made during the Amortization Period or the Principal Amount of any Loan exceed the Available Amount on the related Funding Date;</w:t>
      </w:r>
    </w:p>
    <w:p>
      <w:pPr>
        <w:spacing w:after="0" w:line="157"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one Loan be funded on any Business Day or more than five Loans be made in any calendar</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 or</w:t>
      </w:r>
    </w:p>
    <w:p>
      <w:pPr>
        <w:spacing w:after="0" w:line="181" w:lineRule="exact"/>
        <w:rPr>
          <w:rFonts w:ascii="Times New Roman" w:cs="Times New Roman" w:eastAsia="Times New Roman" w:hAnsi="Times New Roman"/>
          <w:sz w:val="22"/>
          <w:szCs w:val="22"/>
          <w:color w:val="auto"/>
        </w:rPr>
      </w:pPr>
    </w:p>
    <w:p>
      <w:pPr>
        <w:ind w:left="760" w:right="120" w:firstLine="690"/>
        <w:spacing w:after="0" w:line="239" w:lineRule="auto"/>
        <w:tabs>
          <w:tab w:leader="none" w:pos="1885"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funded, unless the Collateral Coverage Ratio, after taking into account the Receivables being added to the Collateral on such Funding Date, is less than or equal to the related Collateral Coverage Ratio as of the end of the most recent Collection Period, provided, however, that such Loan may be funded in an amount up to but not exceeding the Borrowing Base.</w:t>
      </w:r>
    </w:p>
    <w:p>
      <w:pPr>
        <w:spacing w:after="0" w:line="179"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Two.02.</w:t>
      </w:r>
      <w:r>
        <w:rPr>
          <w:sz w:val="20"/>
          <w:szCs w:val="20"/>
          <w:color w:val="auto"/>
        </w:rPr>
        <w:tab/>
      </w:r>
      <w:r>
        <w:rPr>
          <w:rFonts w:ascii="Times New Roman" w:cs="Times New Roman" w:eastAsia="Times New Roman" w:hAnsi="Times New Roman"/>
          <w:sz w:val="20"/>
          <w:szCs w:val="20"/>
          <w:u w:val="single" w:color="auto"/>
          <w:color w:val="auto"/>
        </w:rPr>
        <w:t>Funding Mechanics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5" w:lineRule="auto"/>
        <w:tabs>
          <w:tab w:leader="none" w:pos="11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Funding Request is delivered to the Administrative Agent or the applicable Agents after 12:00 p.m., New York City time, one Business Day prior to the proposed Funding Date, such Funding Request shall be deemed to be received prior to 12:00 p.m., New York City time, on the next succeeding Business Day and the proposed Funding Date of such proposed Loan shall be deemed to be the Business Day following such deemed receipt. Each Funding Request shall include a representation by the Borrower that (i) the requested Loan will not, on the Funding Date, exceed the Available Amount and (ii) all conditions precedent to the making of such Loan have been (or prior to the making of such Loan on the Funding Date will be) satisfied. Any Funding Request shall be irrevocable.</w:t>
      </w:r>
    </w:p>
    <w:p>
      <w:pPr>
        <w:spacing w:after="0" w:line="180" w:lineRule="exact"/>
        <w:rPr>
          <w:rFonts w:ascii="Times New Roman" w:cs="Times New Roman" w:eastAsia="Times New Roman" w:hAnsi="Times New Roman"/>
          <w:sz w:val="22"/>
          <w:szCs w:val="22"/>
          <w:color w:val="auto"/>
        </w:rPr>
      </w:pPr>
    </w:p>
    <w:p>
      <w:pPr>
        <w:ind w:right="140" w:firstLine="757"/>
        <w:spacing w:after="0" w:line="234" w:lineRule="auto"/>
        <w:tabs>
          <w:tab w:leader="none" w:pos="118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Conduit Lender shall notify the Agent for its Lender Group by 10:00 a.m., New York City time, on the applicable Funding Date whether it has elected to make its Lender Advance offered to it pursuant to Section 2.01. In the event that a Conduit Lender shall not have timely provided such notice, such Conduit Lender shall be deemed to have elected not to make its Lender Advance of such Loan. Such Agent shall then notify each Liquidity Provider for such Conduit Lender by 11:00 a.m., New York City time, on the applicable Funding Date if such Conduit Lender has not elected to advance its entire Lender Percentage of the Loan, which notice shall specify (i) the identity of such Conduit Lender, (ii) the portion of the Loan that such Conduit Lender has not elected to advance as provided above and (iii) the respective Liquidity Percentages of such Liquidity Providers on such Funding Date (as determined by such Agent in good faith; for purposes of such determination, such Agent shall be entitled to rely conclusively</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5" w:name="page296"/>
    <w:bookmarkEnd w:id="295"/>
    <w:p>
      <w:pPr>
        <w:ind w:right="160"/>
        <w:spacing w:after="0" w:line="237" w:lineRule="auto"/>
        <w:rPr>
          <w:sz w:val="20"/>
          <w:szCs w:val="20"/>
          <w:color w:val="auto"/>
        </w:rPr>
      </w:pPr>
      <w:r>
        <w:rPr>
          <w:rFonts w:ascii="Times New Roman" w:cs="Times New Roman" w:eastAsia="Times New Roman" w:hAnsi="Times New Roman"/>
          <w:sz w:val="22"/>
          <w:szCs w:val="22"/>
          <w:color w:val="auto"/>
        </w:rPr>
        <w:t>on the most recent information provided by such Conduit Lender or its agent or by the agent for its Support Parties). Subject to receiving such notice and to the satisfaction of the applicable conditions set forth in Article Four, each of such Conduit Lender’s Liquidity Providers shall make available on the applicable Funding Date in an amount equal to its Liquidity Percentage of the portion of the Loan that such Conduit Lender has not elected to fund, in an amount equal to its share of the Principal Amount to be funded.</w:t>
      </w:r>
    </w:p>
    <w:p>
      <w:pPr>
        <w:spacing w:after="0" w:line="180" w:lineRule="exact"/>
        <w:rPr>
          <w:sz w:val="20"/>
          <w:szCs w:val="20"/>
          <w:color w:val="auto"/>
        </w:rPr>
      </w:pPr>
    </w:p>
    <w:p>
      <w:pPr>
        <w:ind w:right="40" w:firstLine="757"/>
        <w:spacing w:after="0" w:line="233" w:lineRule="auto"/>
        <w:tabs>
          <w:tab w:leader="none" w:pos="11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Lender Advance of a Loan shall be made available to the Agent for its Lender Group, subject to the fulfillment of the applicable conditions set forth in Article Four, at or prior to 1:00 p.m., New York City time, on the applicable Funding Date, by deposit of immediately available funds to an account of such Agent. Such Agent shall promptly notify the Borrower and the Administrative Agent in the event that any Lender either fails to make such funds available to such Agent before such time or notifies such Agent that it will not make such funds available to such Agent before such time. Subject to (i) such Agent’s receipt of such funds and (ii) the fulfillment of the applicable conditions set forth in Article Four, as determined by such Agent, such Agent will not later than 3:00 p.m., New York City time, on such Funding Date make such funds available, in the same type of funds received, by wire transfer thereof to the Borrower’s Account. If any Lender makes available to the related Agent funds for any Loan to be made by such Lender as provided in the foregoing provisions of this Article, and such funds are not made available to the Borrower by such Agent because the conditions to the applicable Loan set forth in Article Four are not satisfied or waived in accordance with the terms hereof, such Agent shall return such funds (in like funds as received from such Lender) to such Lender, without interest.</w:t>
      </w:r>
    </w:p>
    <w:p>
      <w:pPr>
        <w:spacing w:after="0" w:line="181" w:lineRule="exact"/>
        <w:rPr>
          <w:rFonts w:ascii="Times New Roman" w:cs="Times New Roman" w:eastAsia="Times New Roman" w:hAnsi="Times New Roman"/>
          <w:sz w:val="22"/>
          <w:szCs w:val="22"/>
          <w:color w:val="auto"/>
        </w:rPr>
      </w:pPr>
    </w:p>
    <w:p>
      <w:pPr>
        <w:ind w:firstLine="757"/>
        <w:spacing w:after="0" w:line="232" w:lineRule="auto"/>
        <w:tabs>
          <w:tab w:leader="none" w:pos="11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notwithstanding the fulfillment of the applicable conditions set forth in Article Four with respect to a Loan, a Conduit Lender elected to make an advance on a Funding Date but failed to make its Lender Advance available to the Agent for its Lender Group when required by Section 2.02(c), such Conduit Lender shall be deemed to have rescinded its election to make such advance, and neither the Borrower nor any other party shall have any claim against such Conduit Lender by reason of its failure to timely make such advance. In any such case, such Agent shall give notice of such failure not later than 1:30 p.m., New York City time, on the Funding Date to each Liquidity Provider for such Conduit Lender, the Administrative Agent and the Borrower, which notice shall specify (i) the identity of such Conduit Lender, (ii) the amount of the Lender Advance which it had elected but failed to make and (iii) the respective Liquidity Percentages of such Liquidity Providers on such Funding Date (as determined by such Agent in good faith; for purposes of such determination, such Agent shall be entitled to rely conclusively on the most recent information provided by such Conduit Lender or its agent or by the agent for its Support Parties). Subject to receiving such notice, each of such Conduit Lender’s Liquidity Providers shall advance a portion of the Principal Amount in an amount equal to its Liquidity Percentage of the amount described in clause (ii) above, at or before 2:00 p.m., New York City time, on such Funding Date and otherwise in accordance with Section 2.01(d). Subject to such Agent’s receipt of such funds, such Agent will not later than 3:00 p.m., New York City time, on such Funding Date make such funds available, in the same type of funds received, by wire transfer thereof to the Borrower’s Account.</w:t>
      </w:r>
    </w:p>
    <w:p>
      <w:pPr>
        <w:spacing w:after="0" w:line="188" w:lineRule="exact"/>
        <w:rPr>
          <w:sz w:val="20"/>
          <w:szCs w:val="20"/>
          <w:color w:val="auto"/>
        </w:rPr>
      </w:pPr>
    </w:p>
    <w:p>
      <w:pPr>
        <w:ind w:right="1000" w:firstLine="749"/>
        <w:spacing w:after="0" w:line="258" w:lineRule="auto"/>
        <w:rPr>
          <w:sz w:val="20"/>
          <w:szCs w:val="20"/>
          <w:color w:val="auto"/>
        </w:rPr>
      </w:pPr>
      <w:r>
        <w:rPr>
          <w:rFonts w:ascii="Times New Roman" w:cs="Times New Roman" w:eastAsia="Times New Roman" w:hAnsi="Times New Roman"/>
          <w:sz w:val="22"/>
          <w:szCs w:val="22"/>
          <w:color w:val="auto"/>
        </w:rPr>
        <w:t>The failure of any Lender to make any Loan required to be made by it shall not relieve any other Lender of its obligations hereunder; provided, that the Commitments of the Lenders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2"/>
          <w:szCs w:val="22"/>
          <w:color w:val="auto"/>
        </w:rPr>
        <w:t>are several and no Lender shall be responsible for any other Lender’s failure to make Loans as required.</w:t>
      </w:r>
    </w:p>
    <w:p>
      <w:pPr>
        <w:spacing w:after="0" w:line="205"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Two.03.</w:t>
      </w:r>
      <w:r>
        <w:rPr>
          <w:sz w:val="20"/>
          <w:szCs w:val="20"/>
          <w:color w:val="auto"/>
        </w:rPr>
        <w:tab/>
      </w:r>
      <w:r>
        <w:rPr>
          <w:rFonts w:ascii="Times New Roman" w:cs="Times New Roman" w:eastAsia="Times New Roman" w:hAnsi="Times New Roman"/>
          <w:sz w:val="20"/>
          <w:szCs w:val="20"/>
          <w:u w:val="single" w:color="auto"/>
          <w:color w:val="auto"/>
        </w:rPr>
        <w:t>Reductions of Commitments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4" w:lineRule="auto"/>
        <w:tabs>
          <w:tab w:leader="none" w:pos="11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Borrower may, upon at least five Business Days’ prior written notice to the Administrative Agent, each Agent and each Hedge Counterparty (with a copy to the Account Bank), reduce the Facility Amount, which shall be applied, unless otherwise consented to by the Administrative Agent and the Agents, pro rata to the Commitments. Each Agent shall promptly deliver a copy of any notice referred to in the preceding sentence to each Lender in its Lender Group. Each partial reduction shall be in a minimum aggregate amount of $[***] or integral multiples of $[***] in excess thereof. Reductions of the Facility Amount pursuant to this Section shall be allocated (i) to the Commitment of each Committed Lender and the Maximum Loan Amount of each Conduit Lender, pro rata based on the Lender Percentage represented by such Commitment or Maximum Loan Amount and (ii) to the aggregate Commitments of Liquidity Providers for each Conduit Lender pro rata based on their respective Liquidity Percentages. Any request for a reduction in the Facility Amount shall be irrevocable and the Borrower shall deliver no more than four such requests in any 12-month period.</w:t>
      </w:r>
    </w:p>
    <w:p>
      <w:pPr>
        <w:spacing w:after="0" w:line="176" w:lineRule="exact"/>
        <w:rPr>
          <w:rFonts w:ascii="Times New Roman" w:cs="Times New Roman" w:eastAsia="Times New Roman" w:hAnsi="Times New Roman"/>
          <w:sz w:val="22"/>
          <w:szCs w:val="22"/>
          <w:color w:val="auto"/>
        </w:rPr>
      </w:pPr>
    </w:p>
    <w:p>
      <w:pPr>
        <w:ind w:firstLine="757"/>
        <w:spacing w:after="0" w:line="233" w:lineRule="auto"/>
        <w:tabs>
          <w:tab w:leader="none" w:pos="11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reduction of the Facility Amount, the Borrower shall remit to each Agent for payment to each Lender, (i) instructions regarding such reduction (with a copy to the Administrative Agent) and (ii) cash in an amount sufficient to pay the Aggregate Unpaids with respect to such reduction, including any associated Breakage Costs and Hedge Breakage Costs; provided, however, that no such reduction shall be given effect unless the Borrower has complied with the terms of any Hedging Agreement requiring that any Hedge Transaction related thereto be terminated in whole or in part as a result of any such reduction in the Loans Outstanding and the Borrower has paid all Hedge Breakage Costs due to the relevant Hedge Counterparty for any such termination. Upon receipt of any such amounts, each Agent shall apply such amounts first to the pro rata reduction of the Loans Outstanding, second to the payment of the remaining Aggregate Unpaids with respect thereto, including any Breakage Costs, by paying such amounts to the Lenders pro rata, based on their respective Lender Percentages, and third to pay any Hedge Breakage Costs related to such reduction of the Loans Outstanding due to the relevant Hedge Counterparty.</w:t>
      </w:r>
    </w:p>
    <w:p>
      <w:pPr>
        <w:spacing w:after="0" w:line="184" w:lineRule="exact"/>
        <w:rPr>
          <w:rFonts w:ascii="Times New Roman" w:cs="Times New Roman" w:eastAsia="Times New Roman" w:hAnsi="Times New Roman"/>
          <w:sz w:val="22"/>
          <w:szCs w:val="22"/>
          <w:color w:val="auto"/>
        </w:rPr>
      </w:pPr>
    </w:p>
    <w:p>
      <w:pPr>
        <w:ind w:right="40" w:firstLine="757"/>
        <w:spacing w:after="0" w:line="244" w:lineRule="auto"/>
        <w:tabs>
          <w:tab w:leader="none" w:pos="118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Lender Termination Date for a Committed Lender or Liquidity Provider, the Commitment of such Lender shall be automatically reduced to zero. On the Termination Date, the Commitments of all Lenders shall be automatically reduced to zero.</w:t>
      </w:r>
    </w:p>
    <w:p>
      <w:pPr>
        <w:spacing w:after="0" w:line="172"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Two.04.</w:t>
      </w:r>
      <w:r>
        <w:rPr>
          <w:sz w:val="20"/>
          <w:szCs w:val="20"/>
          <w:color w:val="auto"/>
        </w:rPr>
        <w:tab/>
      </w:r>
      <w:r>
        <w:rPr>
          <w:rFonts w:ascii="Times New Roman" w:cs="Times New Roman" w:eastAsia="Times New Roman" w:hAnsi="Times New Roman"/>
          <w:sz w:val="20"/>
          <w:szCs w:val="20"/>
          <w:u w:val="single" w:color="auto"/>
          <w:color w:val="auto"/>
        </w:rPr>
        <w:t>Extensions of Commitments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40" w:firstLine="757"/>
        <w:spacing w:after="0" w:line="236" w:lineRule="auto"/>
        <w:tabs>
          <w:tab w:leader="none" w:pos="118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Termination Event has occurred, the Borrower may request in writing, before the Commitment Proposed Extension Date, through the Agents (with a copy to the Administrative Agent), that each Committed Lender and Liquidity Provider extend its Commitment Termination Date for an additional 364-day period as herein provided, which request may be granted or denied by each Committed Lender and Liquidity Provider in its sole discretion. Upon receipt of any such request, each Agent shall notify each Committed Lender and Liquidity Provider in its Lender Group. On or before the last day of the Election Period,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97" w:name="page298"/>
    <w:bookmarkEnd w:id="297"/>
    <w:p>
      <w:pPr>
        <w:spacing w:after="0" w:line="257" w:lineRule="auto"/>
        <w:rPr>
          <w:sz w:val="20"/>
          <w:szCs w:val="20"/>
          <w:color w:val="auto"/>
        </w:rPr>
      </w:pPr>
      <w:r>
        <w:rPr>
          <w:rFonts w:ascii="Times New Roman" w:cs="Times New Roman" w:eastAsia="Times New Roman" w:hAnsi="Times New Roman"/>
          <w:sz w:val="20"/>
          <w:szCs w:val="20"/>
          <w:color w:val="auto"/>
        </w:rPr>
        <w:t>each Committed Lender and Liquidity Provider shall notify the Agent for its Lender Group of its willingness or refusal to so extend its Commitment Termination Date, provided that the failure of any Committed Lender or Liquidity Provider to timely respond shall be deemed to be its refusal to so extend, and such Agent shall notify the Borrower and the Administrative Agent of such willingness or refusal by the Committed Lenders and Liquidity Providers not later than the Business Day following the last day of the Election Period. No Liquidity Provider may consent to an extension of its Commitment Termination Date without the consent of each Conduit Lender, if any, for which it acts as a Liquidity Provider. If (i) one or more Committed Lenders or Liquidity Providers have agreed to extend the Commitment Termination Date and (ii) at the end of the applicable Election Period, no Termination Event shall have occurred and be continuing, the Commitment Termination Date then in effect for each such Committed Lender and Liquidity Provider shall be extended to the date which is 364 days following the last day of the Election Period or, if such day is not a Business Day, the next preceding Business Day (or any other date as agreed upon by the Borrower and each Committed Lender and Liquidity Provider); provided, that if not all Committed Lenders and Liquidity Providers have agreed to such extension, the Borrower may elect, by notice to each Agent (with a copy to the Administrative Agent) delivered not later than five Business Days after the end of the Election Period, not to have such extension become effective.</w:t>
      </w:r>
    </w:p>
    <w:p>
      <w:pPr>
        <w:spacing w:after="0" w:line="170" w:lineRule="exact"/>
        <w:rPr>
          <w:sz w:val="20"/>
          <w:szCs w:val="20"/>
          <w:color w:val="auto"/>
        </w:rPr>
      </w:pPr>
    </w:p>
    <w:p>
      <w:pPr>
        <w:ind w:right="20" w:firstLine="757"/>
        <w:spacing w:after="0" w:line="233" w:lineRule="auto"/>
        <w:tabs>
          <w:tab w:leader="none" w:pos="118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two Business Days following the end of an Election Period, the Agent for each Lender Group shall notify each other Lender in such Lender Group, the Administrative Agent and the Borrower of the identity of any Dissenting Lender and the amount of its Commitment. Such Agent, the Borrower and, if the Dissenting Lender is a Liquidity Provider, the affected Conduit Lender may (but shall not be required to) request one or more other Lenders in such Lender Group, with the consent of the Agent for such Lender Group (which shall not be unreasonably withheld) and, if the Dissenting Lender is a Liquidity Provider, the affected Conduit Lender in its sole discretion, or seek another financial institution reasonably acceptable to such Agent and, if the Dissenting Lender is a Liquidity Provider acceptable to the affected Conduit Lender in its sole discretion,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Agent for its Lender Group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spacing w:after="0" w:line="181" w:lineRule="exact"/>
        <w:rPr>
          <w:rFonts w:ascii="Times New Roman" w:cs="Times New Roman" w:eastAsia="Times New Roman" w:hAnsi="Times New Roman"/>
          <w:sz w:val="22"/>
          <w:szCs w:val="22"/>
          <w:color w:val="auto"/>
        </w:rPr>
      </w:pPr>
    </w:p>
    <w:p>
      <w:pPr>
        <w:ind w:right="60" w:firstLine="757"/>
        <w:spacing w:after="0" w:line="234" w:lineRule="auto"/>
        <w:tabs>
          <w:tab w:leader="none" w:pos="118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 and in no event shall a Liquidity Provider be required on any date to purchase a portion of the Loans Outstanding which would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298" w:name="page299"/>
    <w:bookmarkEnd w:id="298"/>
    <w:p>
      <w:pPr>
        <w:ind w:right="260"/>
        <w:spacing w:after="0" w:line="258" w:lineRule="auto"/>
        <w:rPr>
          <w:sz w:val="20"/>
          <w:szCs w:val="20"/>
          <w:color w:val="auto"/>
        </w:rPr>
      </w:pPr>
      <w:r>
        <w:rPr>
          <w:rFonts w:ascii="Times New Roman" w:cs="Times New Roman" w:eastAsia="Times New Roman" w:hAnsi="Times New Roman"/>
          <w:sz w:val="22"/>
          <w:szCs w:val="22"/>
          <w:color w:val="auto"/>
        </w:rPr>
        <w:t>cause its Invested Percentage of the Loans Outstanding, determined after giving effect to such purchase, to exceed its Adjusted Commitment.</w:t>
      </w:r>
    </w:p>
    <w:p>
      <w:pPr>
        <w:spacing w:after="0" w:line="157" w:lineRule="exact"/>
        <w:rPr>
          <w:sz w:val="20"/>
          <w:szCs w:val="20"/>
          <w:color w:val="auto"/>
        </w:rPr>
      </w:pPr>
    </w:p>
    <w:p>
      <w:pPr>
        <w:ind w:right="120" w:firstLine="757"/>
        <w:spacing w:after="0" w:line="237" w:lineRule="auto"/>
        <w:tabs>
          <w:tab w:leader="none" w:pos="118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 Termination Event, if a Partial Expiration Event has occurred, the related Agent shall give notice to the Borrower and the Servicer (with a copy to the Administrative Agent) to apply any Collections in accordance with Section 2.08(vi)(B), to the pro rata repayment of such amounts owing to any Non-Extending Lender as of the date of the related Partial Expiration Event, commencing no later than the first Payment Date which is at least two Business Days following the Lender Termination Date for the Non-Extending Lender, specifying the amounts thereof.</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Two.05.</w:t>
      </w:r>
      <w:r>
        <w:rPr>
          <w:sz w:val="20"/>
          <w:szCs w:val="20"/>
          <w:color w:val="auto"/>
        </w:rPr>
        <w:tab/>
      </w:r>
      <w:r>
        <w:rPr>
          <w:rFonts w:ascii="Times New Roman" w:cs="Times New Roman" w:eastAsia="Times New Roman" w:hAnsi="Times New Roman"/>
          <w:sz w:val="20"/>
          <w:szCs w:val="20"/>
          <w:u w:val="single" w:color="auto"/>
          <w:color w:val="auto"/>
        </w:rPr>
        <w:t>The Notes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6" w:lineRule="auto"/>
        <w:tabs>
          <w:tab w:leader="none" w:pos="11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made by the Lenders hereunder shall be evidenced by one or more duly executed promissory notes payable to the order of the Persons specified by the Owners, in an aggregate principal amount of Loans Outstanding not to exceed the Aggregate Commitment, in substantially the form of Exhibit B hereto (each, a “Note” and collectively, the “Notes”). Each Note shall be dated the effective date of the Amended and Restated Warehouse Agreement and shall otherwise be duly completed. The maturity date of each Note shall be the Facility Turbo Date or such later date as to which the related Agent, with the consent of each Lender, shall notify the Borrower in writing.</w:t>
      </w:r>
    </w:p>
    <w:p>
      <w:pPr>
        <w:spacing w:after="0" w:line="179" w:lineRule="exact"/>
        <w:rPr>
          <w:rFonts w:ascii="Times New Roman" w:cs="Times New Roman" w:eastAsia="Times New Roman" w:hAnsi="Times New Roman"/>
          <w:sz w:val="22"/>
          <w:szCs w:val="22"/>
          <w:color w:val="auto"/>
        </w:rPr>
      </w:pPr>
    </w:p>
    <w:p>
      <w:pPr>
        <w:ind w:right="180" w:firstLine="757"/>
        <w:spacing w:after="0" w:line="236" w:lineRule="auto"/>
        <w:tabs>
          <w:tab w:leader="none" w:pos="11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is hereby authorized to enter notations (which may be computer generated) on a schedule attached to the Note with respect to each Lender Advance made by each Lender in its Lender Group hereunder, regarding (i) the date and principal amount thereof and (ii) each payment and repayment of principal thereof and any such recordation shall constitute prima facie evidence of the accuracy of the information so recorded. The failure of an Agent to make any such notation on the schedule attached to the Note shall not limit or otherwise affect the obligation of the Borrower to repay the Loans in accordance with their respective terms as set forth herein.</w:t>
      </w:r>
    </w:p>
    <w:p>
      <w:pPr>
        <w:spacing w:after="0" w:line="179" w:lineRule="exact"/>
        <w:rPr>
          <w:rFonts w:ascii="Times New Roman" w:cs="Times New Roman" w:eastAsia="Times New Roman" w:hAnsi="Times New Roman"/>
          <w:sz w:val="22"/>
          <w:szCs w:val="22"/>
          <w:color w:val="auto"/>
        </w:rPr>
      </w:pPr>
    </w:p>
    <w:p>
      <w:pPr>
        <w:ind w:right="320" w:firstLine="757"/>
        <w:spacing w:after="0" w:line="258" w:lineRule="auto"/>
        <w:tabs>
          <w:tab w:leader="none" w:pos="118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Facility Termination Date, each Agent shall mark each Note for its Lender Group “Paid” and return it to the Borrower.</w:t>
      </w:r>
    </w:p>
    <w:p>
      <w:pPr>
        <w:spacing w:after="0" w:line="15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Two.06.</w:t>
      </w:r>
      <w:r>
        <w:rPr>
          <w:sz w:val="20"/>
          <w:szCs w:val="20"/>
          <w:color w:val="auto"/>
        </w:rPr>
        <w:tab/>
      </w:r>
      <w:r>
        <w:rPr>
          <w:rFonts w:ascii="Times New Roman" w:cs="Times New Roman" w:eastAsia="Times New Roman" w:hAnsi="Times New Roman"/>
          <w:sz w:val="20"/>
          <w:szCs w:val="20"/>
          <w:u w:val="single" w:color="auto"/>
          <w:color w:val="auto"/>
        </w:rPr>
        <w:t>Optional Principal Repayments; Interpayments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40" w:firstLine="757"/>
        <w:spacing w:after="0" w:line="234" w:lineRule="auto"/>
        <w:tabs>
          <w:tab w:leader="none" w:pos="118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the Borrower may prepay all or a portion of the Loans Outstanding, whether or not in connection with a Securitization but prior to the occurrence of a Termination Date, on at least two Business Days’ prior notice to the Administrative Agent, the Agents and each Hedge Counterparty; provided that (i) the amount prepaid is at least $[***]or integral multiples of $[***] in excess thereof (unless otherwise agreed to in writing by the Administrative Agent); (ii) the Borrower pays to the Administrative Agent, for the account of the Secured Parties, on the date of any such prepayment (a) accrued Interest with respect to the portion of the Loans Outstanding to be prepaid through the date of prepayment or Securitization Date, as applicable, as calculated by the Administrative Agent, and (b) all other Aggregate Unpaids (including all Breakage Costs, all Hedge Breakage Costs and any other amounts payable by the Borrower under or with respect to any Hedging Agreement) payable under this Agreement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99" w:name="page300"/>
    <w:bookmarkEnd w:id="299"/>
    <w:p>
      <w:pPr>
        <w:spacing w:after="0" w:line="235" w:lineRule="auto"/>
        <w:rPr>
          <w:sz w:val="20"/>
          <w:szCs w:val="20"/>
          <w:color w:val="auto"/>
        </w:rPr>
      </w:pPr>
      <w:r>
        <w:rPr>
          <w:rFonts w:ascii="Times New Roman" w:cs="Times New Roman" w:eastAsia="Times New Roman" w:hAnsi="Times New Roman"/>
          <w:sz w:val="22"/>
          <w:szCs w:val="22"/>
          <w:color w:val="auto"/>
        </w:rPr>
        <w:t>through the date of such prepayment or Securitization Date, as applicable, including any fees or other amounts payable pursuant to Section 10.01; (iii) the Borrower certifies that following such prepayment, the Borrower will be in compliance with the provisions of this Agreement; (iv) no such reduction shall be given effect unless the Borrower has complied with the terms of any Hedging Agreement requiring one or more Hedge Transactions be terminated in whole or in part as a result of any such reduction; and (v) the Borrower has paid all Hedge Breakage Costs due to the relevant Hedge Counterparty for such termination. Any notice of a prepayment shall be irrevocable. Each Agent shall provide prompt notice to the Lenders in its Lender Group following receipt of any notice of intent to prepay or effect a Securitization.</w:t>
      </w:r>
    </w:p>
    <w:p>
      <w:pPr>
        <w:spacing w:after="0" w:line="181" w:lineRule="exact"/>
        <w:rPr>
          <w:sz w:val="20"/>
          <w:szCs w:val="20"/>
          <w:color w:val="auto"/>
        </w:rPr>
      </w:pPr>
    </w:p>
    <w:p>
      <w:pPr>
        <w:ind w:right="20" w:firstLine="757"/>
        <w:spacing w:after="0" w:line="235" w:lineRule="auto"/>
        <w:tabs>
          <w:tab w:leader="none" w:pos="11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related prepayment date or Securitization Date, as applicable, the following shall be true and correct and the Borrower shall be deemed to have certified that after giving effect to such prepayment or Securitization and the release to the Borrower of the related Receivables, (A) no adverse selection procedures shall have been used by the Borrower with respect to the Receivables that will remain part of the Collateral after giving effect to such prepayment or Securitization, (B) with respect to a Securitization only, the representations and warranties contained in Section 5.01 and 5.02 are true and correct in all material respects, except to the extent relating to an earlier date and (C) a Termination Date has not occurred nor will an Unmatured Termination Event or a Termination Event result from such prepayment or Securitization.</w:t>
      </w:r>
    </w:p>
    <w:p>
      <w:pPr>
        <w:spacing w:after="0" w:line="180" w:lineRule="exact"/>
        <w:rPr>
          <w:rFonts w:ascii="Times New Roman" w:cs="Times New Roman" w:eastAsia="Times New Roman" w:hAnsi="Times New Roman"/>
          <w:sz w:val="22"/>
          <w:szCs w:val="22"/>
          <w:color w:val="auto"/>
        </w:rPr>
      </w:pPr>
    </w:p>
    <w:p>
      <w:pPr>
        <w:jc w:val="both"/>
        <w:ind w:right="100" w:firstLine="757"/>
        <w:spacing w:after="0" w:line="244" w:lineRule="auto"/>
        <w:tabs>
          <w:tab w:leader="none" w:pos="11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related prepayment date or Securitization Date, as applicable, the Borrower shall have delivered to each Agent and the Administrative Agent a list specifying all Contracts relating to the Receivables not to be released pursuant to such prepayment or Securitization.</w:t>
      </w:r>
    </w:p>
    <w:p>
      <w:pPr>
        <w:spacing w:after="0" w:line="172" w:lineRule="exact"/>
        <w:rPr>
          <w:rFonts w:ascii="Times New Roman" w:cs="Times New Roman" w:eastAsia="Times New Roman" w:hAnsi="Times New Roman"/>
          <w:sz w:val="22"/>
          <w:szCs w:val="22"/>
          <w:color w:val="auto"/>
        </w:rPr>
      </w:pPr>
    </w:p>
    <w:p>
      <w:pPr>
        <w:ind w:right="160" w:firstLine="757"/>
        <w:spacing w:after="0" w:line="239" w:lineRule="auto"/>
        <w:tabs>
          <w:tab w:leader="none" w:pos="11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the reasonable out-of-pocket legal fees and expenses of the Account Bank, the Administrative Agent, the Agents and the Lenders in connection with any prepayment or Securitization (including expenses incurred in connection with the release of the Lien of the Administrative Agent, the Agents, the Lenders and any other party having such an interest in the Receivables in connection with such prepayment or Securitization).</w:t>
      </w:r>
    </w:p>
    <w:p>
      <w:pPr>
        <w:spacing w:after="0" w:line="178" w:lineRule="exact"/>
        <w:rPr>
          <w:rFonts w:ascii="Times New Roman" w:cs="Times New Roman" w:eastAsia="Times New Roman" w:hAnsi="Times New Roman"/>
          <w:sz w:val="22"/>
          <w:szCs w:val="22"/>
          <w:color w:val="auto"/>
        </w:rPr>
      </w:pPr>
    </w:p>
    <w:p>
      <w:pPr>
        <w:ind w:right="160" w:firstLine="757"/>
        <w:spacing w:after="0" w:line="237" w:lineRule="auto"/>
        <w:tabs>
          <w:tab w:leader="none" w:pos="118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2.06(a), the Borrower may, prior to the occurrence of a Termination Event, and only if approved by the Administrative Agent in its sole discretion, subject to the payment of all amounts set forth in Section 2.06(a), prepay all or any portion of the Loans Outstanding on any Business Day by making an Interpayment. On the Payment Date relating to the Collection Period during which an Interpayment is made, if required by the Administrative Agent, UACC shall deposit into the Collection Account an amount equal to the Monthly Accrued Interest Payment Amount.</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Two.07.</w:t>
      </w:r>
      <w:r>
        <w:rPr>
          <w:sz w:val="20"/>
          <w:szCs w:val="20"/>
          <w:color w:val="auto"/>
        </w:rPr>
        <w:tab/>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160" w:firstLine="757"/>
        <w:spacing w:after="0" w:line="280" w:lineRule="auto"/>
        <w:tabs>
          <w:tab w:leader="none" w:pos="118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Interest on the unpaid Principal Amount of each Loan for the period from the related Funding Date until the date that such Loan shall be paid in full. Interest shall accrue during each Interest Period and be payable on the Loans Outstanding on each Payment Date in accordance with Section 2.08, unless earlier paid pursuant to Section 2.06.</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00" w:name="page301"/>
    <w:bookmarkEnd w:id="300"/>
    <w:p>
      <w:pPr>
        <w:ind w:right="40" w:firstLine="757"/>
        <w:spacing w:after="0" w:line="258" w:lineRule="auto"/>
        <w:tabs>
          <w:tab w:leader="none" w:pos="11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Invested Percentage of the Loans Outstanding shall bear interest for each Interest Period at a rate per annum equal to such Lender’s Cost of Funds Rate for such Interest Period plus the SOFR Margin.</w:t>
      </w:r>
    </w:p>
    <w:p>
      <w:pPr>
        <w:spacing w:after="0" w:line="157" w:lineRule="exact"/>
        <w:rPr>
          <w:rFonts w:ascii="Times New Roman" w:cs="Times New Roman" w:eastAsia="Times New Roman" w:hAnsi="Times New Roman"/>
          <w:sz w:val="22"/>
          <w:szCs w:val="22"/>
          <w:color w:val="auto"/>
        </w:rPr>
      </w:pPr>
    </w:p>
    <w:p>
      <w:pPr>
        <w:ind w:right="100" w:firstLine="757"/>
        <w:spacing w:after="0" w:line="236" w:lineRule="auto"/>
        <w:tabs>
          <w:tab w:leader="none" w:pos="11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in an applicable Conduit Supplement, Interest calculated by reference to (i) the Cost of Funds Rate with respect to any Conduit Lender, the SOFR Margin and Adjusted Daily Simple SOFR (other than pursuant to the Adjusted Daily Simple SOFR component of the definition of “Base Rate”) shall be calculated on the basis of a 360-day year for the actual days elapsed and (ii) the Base Rate shall be calculated on the basis of a 365- or 366-day year, as applicable, for the actual days elapsed. Periodic fees or other periodic amounts payable hereunder shall be calculated, unless otherwise specified in the applicable Conduit Supplement, on the basis of a 360-day year and for the actual days elapsed.</w:t>
      </w:r>
    </w:p>
    <w:p>
      <w:pPr>
        <w:spacing w:after="0" w:line="179" w:lineRule="exact"/>
        <w:rPr>
          <w:rFonts w:ascii="Times New Roman" w:cs="Times New Roman" w:eastAsia="Times New Roman" w:hAnsi="Times New Roman"/>
          <w:sz w:val="22"/>
          <w:szCs w:val="22"/>
          <w:color w:val="auto"/>
        </w:rPr>
      </w:pPr>
    </w:p>
    <w:p>
      <w:pPr>
        <w:ind w:right="20" w:firstLine="757"/>
        <w:spacing w:after="0" w:line="259" w:lineRule="auto"/>
        <w:tabs>
          <w:tab w:leader="none" w:pos="118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of and Interest on the Notes shall be paid as provided herein and in the Notes. In the case of Notes held by an Agent as agent for its Lender Group, such Agent shall allocate to the members of its Lender Group each payment in respect of the Notes received by such Agent as provided herein. Payments in respect of principal and Interest (including pursuant to Section 2.06) shall be allocated and applied to Owners of such Note based on their respective Invested Percentages, or in any such case in such other proportions as each affected Lender may agree upon in writing from time to time with such Agent and the Borrower; provided that from and after the Lender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2.08(vi)(B) in reduction of the Partial Expiration Event Amount shall be allocated and applied to Non-Extending Lenders and related Conduit Lenders pro rata based on their respective Lender Percentages.</w:t>
      </w:r>
    </w:p>
    <w:p>
      <w:pPr>
        <w:spacing w:after="0" w:line="161" w:lineRule="exact"/>
        <w:rPr>
          <w:rFonts w:ascii="Times New Roman" w:cs="Times New Roman" w:eastAsia="Times New Roman" w:hAnsi="Times New Roman"/>
          <w:sz w:val="20"/>
          <w:szCs w:val="20"/>
          <w:color w:val="auto"/>
        </w:rPr>
      </w:pPr>
    </w:p>
    <w:p>
      <w:pPr>
        <w:ind w:right="140" w:firstLine="757"/>
        <w:spacing w:after="0" w:line="236" w:lineRule="auto"/>
        <w:tabs>
          <w:tab w:leader="none" w:pos="11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before 3:00 p.m., New York City time, on the second Business Day after each Determination Date, each Conduit Lender shall notify the Agent for its Lender Group of (i) its Cost of Funds Rate in effect for the related Interest Period, and (ii) if applicable, the date on which the Alternative Rate became applicable to its Invested Percentage of the Loans Outstanding or a portion thereof. Each determination by a Conduit Lender of its applicable Cost of Funds Rate pursuant to this Agreement shall be conclusive and binding on the Lenders, each Agent, the Borrower, the Servicer, the Backup Servicer and the Custodian, in the absence of manifest error.</w:t>
      </w:r>
    </w:p>
    <w:p>
      <w:pPr>
        <w:spacing w:after="0" w:line="179" w:lineRule="exact"/>
        <w:rPr>
          <w:rFonts w:ascii="Times New Roman" w:cs="Times New Roman" w:eastAsia="Times New Roman" w:hAnsi="Times New Roman"/>
          <w:sz w:val="22"/>
          <w:szCs w:val="22"/>
          <w:color w:val="auto"/>
        </w:rPr>
      </w:pPr>
    </w:p>
    <w:p>
      <w:pPr>
        <w:ind w:firstLine="757"/>
        <w:spacing w:after="0" w:line="234" w:lineRule="auto"/>
        <w:tabs>
          <w:tab w:leader="none" w:pos="118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before 4:00 p.m., New York City time, on the second Business Day after each Determination Date, the Agent for each Lender Group shall notify the Administrative Agent of (i) the applicable Cost of Funds Rates for such Lender Group and the related Interest Period and, if applicable, the dates on which the Alternative Rate was applicable to the Invested Percentage of the Loans Outstanding owed to any member of its Lender Group and (ii) the Alternative Rate and the Base Rate, if applicable, for such Lender Group and the related Interest Period. At or before 5:00 p.m., New York City time, on the day that is two Business Days after each Determination Date, the Agents shall then notify the Borrower of all such rates. For such purposes, the Agents may rely conclusively on notices from Lenders as to the interest rate or rates from time to time applicable to their respective Invested Percentage of the Loans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01" w:name="page302"/>
    <w:bookmarkEnd w:id="301"/>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Outstanding. Each determination of the Cost of Funds Rate, the Alternative Rate and the Base Rate by the Administrative Agent or an Agent pursuant to any provision of this Agreement shall be conclusive and binding on the Lenders and the Borrower in the absence of manifest error.</w:t>
      </w:r>
    </w:p>
    <w:p>
      <w:pPr>
        <w:spacing w:after="0" w:line="172" w:lineRule="exact"/>
        <w:rPr>
          <w:sz w:val="20"/>
          <w:szCs w:val="20"/>
          <w:color w:val="auto"/>
        </w:rPr>
      </w:pPr>
    </w:p>
    <w:p>
      <w:pPr>
        <w:ind w:right="240" w:firstLine="757"/>
        <w:spacing w:after="0" w:line="234" w:lineRule="auto"/>
        <w:tabs>
          <w:tab w:leader="none" w:pos="118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lawfully have received, had the Interest due been calculated from the Closing Date at the Maximum Lawful Rate.</w:t>
      </w:r>
    </w:p>
    <w:p>
      <w:pPr>
        <w:spacing w:after="0" w:line="184" w:lineRule="exact"/>
        <w:rPr>
          <w:sz w:val="20"/>
          <w:szCs w:val="20"/>
          <w:color w:val="auto"/>
        </w:rPr>
      </w:pPr>
    </w:p>
    <w:p>
      <w:pPr>
        <w:jc w:val="both"/>
        <w:ind w:right="1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Two.08. </w:t>
      </w:r>
      <w:r>
        <w:rPr>
          <w:rFonts w:ascii="Times New Roman" w:cs="Times New Roman" w:eastAsia="Times New Roman" w:hAnsi="Times New Roman"/>
          <w:sz w:val="22"/>
          <w:szCs w:val="22"/>
          <w:u w:val="single" w:color="auto"/>
          <w:color w:val="auto"/>
        </w:rPr>
        <w:t>Settlement Procedures</w:t>
      </w:r>
      <w:r>
        <w:rPr>
          <w:rFonts w:ascii="Times New Roman" w:cs="Times New Roman" w:eastAsia="Times New Roman" w:hAnsi="Times New Roman"/>
          <w:sz w:val="22"/>
          <w:szCs w:val="22"/>
          <w:color w:val="auto"/>
        </w:rPr>
        <w:t>. On each Payment Date, the Servicer shall instruct the Account Bank to pay to the following Persons, from the Collection Account to the extent of Available Funds, the following amounts in the following order of priority, as set forth in the Monthly Report:</w:t>
      </w:r>
    </w:p>
    <w:p>
      <w:pPr>
        <w:spacing w:after="0" w:line="172" w:lineRule="exact"/>
        <w:rPr>
          <w:sz w:val="20"/>
          <w:szCs w:val="20"/>
          <w:color w:val="auto"/>
        </w:rPr>
      </w:pPr>
    </w:p>
    <w:p>
      <w:pPr>
        <w:ind w:left="760" w:firstLine="883"/>
        <w:spacing w:after="0" w:line="237" w:lineRule="auto"/>
        <w:tabs>
          <w:tab w:leader="none" w:pos="2078"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spacing w:after="0" w:line="180" w:lineRule="exact"/>
        <w:rPr>
          <w:rFonts w:ascii="Times New Roman" w:cs="Times New Roman" w:eastAsia="Times New Roman" w:hAnsi="Times New Roman"/>
          <w:sz w:val="22"/>
          <w:szCs w:val="22"/>
          <w:color w:val="auto"/>
        </w:rPr>
      </w:pPr>
    </w:p>
    <w:p>
      <w:pPr>
        <w:ind w:left="760" w:right="200" w:firstLine="816"/>
        <w:spacing w:after="0" w:line="236" w:lineRule="auto"/>
        <w:tabs>
          <w:tab w:leader="none" w:pos="2011"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pro rata, (A) to the extent not paid for by UACC, to the Backup Servicer, so long as the Backup Servicer has not been appointed to serve as successor to the Servicer hereunder, the accrued and unpaid Backup Servicing Fee to the Backup Servicer, together with its expenses, which expenses, except as otherwise provided in Section 7.10(b), shall not exceed $[***] per annum, together with any Transition Expenses not paid for by the predecessor Servicer pursuant to Section 7.15(e) and (B) to the Account Bank, an amount equal to any accrued and unpaid Account Bank Fee, together with its expenses;</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extent not paid for by UACC, to the Custodian, the accrued and unpaid Custodian Fee;</w:t>
      </w:r>
    </w:p>
    <w:p>
      <w:pPr>
        <w:spacing w:after="0" w:line="205" w:lineRule="exact"/>
        <w:rPr>
          <w:rFonts w:ascii="Times New Roman" w:cs="Times New Roman" w:eastAsia="Times New Roman" w:hAnsi="Times New Roman"/>
          <w:sz w:val="22"/>
          <w:szCs w:val="22"/>
          <w:color w:val="auto"/>
        </w:rPr>
      </w:pPr>
    </w:p>
    <w:p>
      <w:pPr>
        <w:ind w:left="760" w:right="60" w:firstLine="759"/>
        <w:spacing w:after="0" w:line="236" w:lineRule="auto"/>
        <w:tabs>
          <w:tab w:leader="none" w:pos="1954"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(A) to each Agent for the ratable payment to each Lender in an amount equal to any accrued and unpaid (1) Interest on the Loans (plus the Unused Fee), (2) Breakage Costs relating to any Loans and (3) all other Aggregate Unpaids allocable to the Loans Outstanding (other than the principal amount of the Loans Outstanding) then due under this Agreement to the Administrative Agent, the Agents, the Lenders, the Affected Parties or the Indemnified Parties, for the payment thereof, (B) to the Hedge Counterparty, (1) any payments required under any Hedge Agreement and (2) any Hedge</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02" w:name="page303"/>
    <w:bookmarkEnd w:id="302"/>
    <w:p>
      <w:pPr>
        <w:ind w:left="760" w:right="120"/>
        <w:spacing w:after="0" w:line="258" w:lineRule="auto"/>
        <w:rPr>
          <w:sz w:val="20"/>
          <w:szCs w:val="20"/>
          <w:color w:val="auto"/>
        </w:rPr>
      </w:pPr>
      <w:r>
        <w:rPr>
          <w:rFonts w:ascii="Times New Roman" w:cs="Times New Roman" w:eastAsia="Times New Roman" w:hAnsi="Times New Roman"/>
          <w:sz w:val="22"/>
          <w:szCs w:val="22"/>
          <w:color w:val="auto"/>
        </w:rPr>
        <w:t>Breakage Costs due but not paid and (C) to the Successor Servicer, any unpaid Transition Expenses payable pursuant to Section 7.15(e), to the extent not paid pursuant to clause (ii) above;</w:t>
      </w:r>
    </w:p>
    <w:p>
      <w:pPr>
        <w:spacing w:after="0" w:line="157" w:lineRule="exact"/>
        <w:rPr>
          <w:sz w:val="20"/>
          <w:szCs w:val="20"/>
          <w:color w:val="auto"/>
        </w:rPr>
      </w:pPr>
    </w:p>
    <w:p>
      <w:pPr>
        <w:ind w:left="760" w:right="140" w:firstLine="829"/>
        <w:spacing w:after="0" w:line="258" w:lineRule="auto"/>
        <w:tabs>
          <w:tab w:leader="none" w:pos="2024" w:val="left"/>
        </w:tabs>
        <w:numPr>
          <w:ilvl w:val="3"/>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to each Agent for the ratable payment to each Lender, in an amount equal to the Monthly Principal Payment Amount or, if applicable, the Target Monthly Principal Payment Amount;</w:t>
      </w:r>
    </w:p>
    <w:p>
      <w:pPr>
        <w:spacing w:after="0" w:line="157" w:lineRule="exact"/>
        <w:rPr>
          <w:rFonts w:ascii="Times New Roman" w:cs="Times New Roman" w:eastAsia="Times New Roman" w:hAnsi="Times New Roman"/>
          <w:sz w:val="22"/>
          <w:szCs w:val="22"/>
          <w:color w:val="auto"/>
        </w:rPr>
      </w:pPr>
    </w:p>
    <w:p>
      <w:pPr>
        <w:ind w:left="760" w:right="160" w:firstLine="759"/>
        <w:spacing w:after="0" w:line="258" w:lineRule="auto"/>
        <w:tabs>
          <w:tab w:leader="none" w:pos="1954"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to the Hedge Reserve Account, the amount (if any) necessary to cause the Hedge Account Reserve Amount to be equal to the Hedge Account Required Amount;</w:t>
      </w:r>
    </w:p>
    <w:p>
      <w:pPr>
        <w:spacing w:after="0" w:line="157" w:lineRule="exact"/>
        <w:rPr>
          <w:rFonts w:ascii="Times New Roman" w:cs="Times New Roman" w:eastAsia="Times New Roman" w:hAnsi="Times New Roman"/>
          <w:sz w:val="22"/>
          <w:szCs w:val="22"/>
          <w:color w:val="auto"/>
        </w:rPr>
      </w:pPr>
    </w:p>
    <w:p>
      <w:pPr>
        <w:jc w:val="both"/>
        <w:ind w:left="760" w:right="20" w:firstLine="690"/>
        <w:spacing w:after="0" w:line="239" w:lineRule="auto"/>
        <w:tabs>
          <w:tab w:leader="none" w:pos="1885" w:val="left"/>
        </w:tabs>
        <w:numPr>
          <w:ilvl w:val="2"/>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if (A) the Facility Turbo Date or a Foreclosure Event has occurred, the remaining Available Funds to reduce the Loans Outstanding and all other Aggregate Unpaids to zero or (B) a Partial Expiration Event has occurred, the remaining funds to reduce pro rata the portion of the Loans Outstanding constituting the Lender Advances of any Non-Extending Lender, to zero;</w:t>
      </w:r>
    </w:p>
    <w:p>
      <w:pPr>
        <w:spacing w:after="0" w:line="178" w:lineRule="exact"/>
        <w:rPr>
          <w:rFonts w:ascii="Times New Roman" w:cs="Times New Roman" w:eastAsia="Times New Roman" w:hAnsi="Times New Roman"/>
          <w:sz w:val="22"/>
          <w:szCs w:val="22"/>
          <w:color w:val="auto"/>
        </w:rPr>
      </w:pPr>
    </w:p>
    <w:p>
      <w:pPr>
        <w:ind w:left="760" w:right="100" w:firstLine="621"/>
        <w:spacing w:after="0" w:line="258" w:lineRule="auto"/>
        <w:tabs>
          <w:tab w:leader="none" w:pos="2248"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Eighth, prior to the occurrence of the Termination Date, to the Reserve Account, the amount necessary to cause the amount on deposit therein to equal the Reserve Account Required Amount;</w:t>
      </w:r>
    </w:p>
    <w:p>
      <w:pPr>
        <w:spacing w:after="0" w:line="157" w:lineRule="exact"/>
        <w:rPr>
          <w:rFonts w:ascii="Times New Roman" w:cs="Times New Roman" w:eastAsia="Times New Roman" w:hAnsi="Times New Roman"/>
          <w:sz w:val="22"/>
          <w:szCs w:val="22"/>
          <w:color w:val="auto"/>
        </w:rPr>
      </w:pPr>
    </w:p>
    <w:p>
      <w:pPr>
        <w:jc w:val="both"/>
        <w:ind w:left="760" w:right="220" w:firstLine="759"/>
        <w:spacing w:after="0" w:line="265" w:lineRule="auto"/>
        <w:tabs>
          <w:tab w:leader="none" w:pos="1954" w:val="left"/>
        </w:tabs>
        <w:numPr>
          <w:ilvl w:val="2"/>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Ninth, to the Servicer, the Owner Trustee, the Backup Servicer, the Custodian (if other than UACC), the Account Bank and any Successor Servicer, any fees, expenses and indemnities not paid pursuant to clauses (i) through</w:t>
      </w:r>
    </w:p>
    <w:p>
      <w:pPr>
        <w:spacing w:after="0" w:line="1" w:lineRule="exact"/>
        <w:rPr>
          <w:rFonts w:ascii="Times New Roman" w:cs="Times New Roman" w:eastAsia="Times New Roman" w:hAnsi="Times New Roman"/>
          <w:sz w:val="20"/>
          <w:szCs w:val="20"/>
          <w:color w:val="auto"/>
        </w:rPr>
      </w:pPr>
    </w:p>
    <w:p>
      <w:pPr>
        <w:ind w:left="1120" w:hanging="363"/>
        <w:spacing w:after="0"/>
        <w:tabs>
          <w:tab w:leader="none" w:pos="112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w:t>
      </w:r>
    </w:p>
    <w:p>
      <w:pPr>
        <w:spacing w:after="0" w:line="181" w:lineRule="exact"/>
        <w:rPr>
          <w:rFonts w:ascii="Times New Roman" w:cs="Times New Roman" w:eastAsia="Times New Roman" w:hAnsi="Times New Roman"/>
          <w:sz w:val="22"/>
          <w:szCs w:val="22"/>
          <w:color w:val="auto"/>
        </w:rPr>
      </w:pPr>
    </w:p>
    <w:p>
      <w:pPr>
        <w:ind w:left="2020" w:hanging="431"/>
        <w:spacing w:after="0"/>
        <w:tabs>
          <w:tab w:leader="none" w:pos="2020" w:val="left"/>
        </w:tabs>
        <w:numPr>
          <w:ilvl w:val="3"/>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Tenth, any remaining amount shall be distributed to the Borrower.</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Two.09. </w:t>
      </w:r>
      <w:r>
        <w:rPr>
          <w:rFonts w:ascii="Times New Roman" w:cs="Times New Roman" w:eastAsia="Times New Roman" w:hAnsi="Times New Roman"/>
          <w:sz w:val="22"/>
          <w:szCs w:val="22"/>
          <w:u w:val="single" w:color="auto"/>
          <w:color w:val="auto"/>
        </w:rPr>
        <w:t>Mandatory Payments</w:t>
      </w:r>
      <w:r>
        <w:rPr>
          <w:rFonts w:ascii="Times New Roman" w:cs="Times New Roman" w:eastAsia="Times New Roman" w:hAnsi="Times New Roman"/>
          <w:sz w:val="22"/>
          <w:szCs w:val="22"/>
          <w:color w:val="auto"/>
        </w:rPr>
        <w:t>. The Borrower promises to pay to each Agent for the account of each related Lender, (i) upon the written request of such Agent, all Breakage Costs, the amount of which shall be determined by a Lender, set forth in a written notice to the Borrower and shall be conclusive absent manifest error, which amounts shall be paid in accordance with Section 2.08 and (ii) all other amounts required to be paid by the Borrower in accordance herewith.</w:t>
      </w:r>
    </w:p>
    <w:p>
      <w:pPr>
        <w:spacing w:after="0" w:line="179"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Two.10.</w:t>
      </w:r>
      <w:r>
        <w:rPr>
          <w:sz w:val="20"/>
          <w:szCs w:val="20"/>
          <w:color w:val="auto"/>
        </w:rPr>
        <w:tab/>
      </w:r>
      <w:r>
        <w:rPr>
          <w:rFonts w:ascii="Times New Roman" w:cs="Times New Roman" w:eastAsia="Times New Roman" w:hAnsi="Times New Roman"/>
          <w:sz w:val="20"/>
          <w:szCs w:val="20"/>
          <w:u w:val="single" w:color="auto"/>
          <w:color w:val="auto"/>
        </w:rPr>
        <w:t>Payments, Computations, Etc</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0" w:firstLine="757"/>
        <w:spacing w:after="0" w:line="236" w:lineRule="auto"/>
        <w:tabs>
          <w:tab w:leader="none" w:pos="11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herein, all amounts to be paid or deposited by the Borrower hereunder shall be paid or deposited in accordance with the terms hereof no later than 12:00 p.m., Charlotte, North Carolina time, on the day when due in Dollars in immediately available funds to the depository account or accounts specified by the related Agent of the Lender. Except as otherwise provided in Section 2.07, the Borrower shall, to the extent permitted by Applicable Law, pay to the Lender interest on all amounts not paid or deposited when due hereunder at the Default Rate, payable on demand; provided, however, that such interest rate shall not at any time exceed the Maximum Lawful Rate.</w:t>
      </w:r>
    </w:p>
    <w:p>
      <w:pPr>
        <w:spacing w:after="0" w:line="179" w:lineRule="exact"/>
        <w:rPr>
          <w:rFonts w:ascii="Times New Roman" w:cs="Times New Roman" w:eastAsia="Times New Roman" w:hAnsi="Times New Roman"/>
          <w:sz w:val="22"/>
          <w:szCs w:val="22"/>
          <w:color w:val="auto"/>
        </w:rPr>
      </w:pPr>
    </w:p>
    <w:p>
      <w:pPr>
        <w:ind w:right="300" w:firstLine="757"/>
        <w:spacing w:after="0" w:line="258" w:lineRule="auto"/>
        <w:tabs>
          <w:tab w:leader="none" w:pos="118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(i) shall be stated to be due on a day other than a Business Day, such payment shall be made on the next succeeding Business Day, except in the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03" w:name="page304"/>
    <w:bookmarkEnd w:id="303"/>
    <w:p>
      <w:pPr>
        <w:ind w:right="180"/>
        <w:spacing w:after="0" w:line="239" w:lineRule="auto"/>
        <w:rPr>
          <w:sz w:val="20"/>
          <w:szCs w:val="20"/>
          <w:color w:val="auto"/>
        </w:rPr>
      </w:pPr>
      <w:r>
        <w:rPr>
          <w:rFonts w:ascii="Times New Roman" w:cs="Times New Roman" w:eastAsia="Times New Roman" w:hAnsi="Times New Roman"/>
          <w:sz w:val="22"/>
          <w:szCs w:val="22"/>
          <w:color w:val="auto"/>
        </w:rPr>
        <w:t>case where the next succeeding Business Day would occur in the succeeding calendar month, in which case such payment shall be due on the preceding Business Day or (ii) is received after 12:00 p.m., Charlotte, North Carolina time, such payment shall be deemed to have been received on the next succeeding Business Day, and any such extension of time shall in such case be included in the computation of payment of Interest, other interest or any fee payable hereunder, as the case may be.</w:t>
      </w:r>
    </w:p>
    <w:p>
      <w:pPr>
        <w:spacing w:after="0" w:line="179" w:lineRule="exact"/>
        <w:rPr>
          <w:sz w:val="20"/>
          <w:szCs w:val="20"/>
          <w:color w:val="auto"/>
        </w:rPr>
      </w:pPr>
    </w:p>
    <w:p>
      <w:pPr>
        <w:ind w:right="20" w:firstLine="757"/>
        <w:spacing w:after="0" w:line="236" w:lineRule="auto"/>
        <w:tabs>
          <w:tab w:leader="none" w:pos="11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requested by the Borrower and approved by a Lender and the related Agent pursuant to Section 2.01 is not, for any reason other than due to the fault of a Lender or the Administrative Agent,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spacing w:after="0" w:line="179" w:lineRule="exact"/>
        <w:rPr>
          <w:rFonts w:ascii="Times New Roman" w:cs="Times New Roman" w:eastAsia="Times New Roman" w:hAnsi="Times New Roman"/>
          <w:sz w:val="22"/>
          <w:szCs w:val="22"/>
          <w:color w:val="auto"/>
        </w:rPr>
      </w:pPr>
    </w:p>
    <w:p>
      <w:pPr>
        <w:ind w:right="200" w:firstLine="757"/>
        <w:spacing w:after="0" w:line="244" w:lineRule="auto"/>
        <w:tabs>
          <w:tab w:leader="none" w:pos="11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all payments hereunder shall be made without set-off or counterclaim and in such amounts as may be necessary in order that all such payments shall not be less than the amounts otherwise specified to be paid under this Agreement.</w:t>
      </w:r>
    </w:p>
    <w:p>
      <w:pPr>
        <w:spacing w:after="0" w:line="172" w:lineRule="exact"/>
        <w:rPr>
          <w:rFonts w:ascii="Times New Roman" w:cs="Times New Roman" w:eastAsia="Times New Roman" w:hAnsi="Times New Roman"/>
          <w:sz w:val="22"/>
          <w:szCs w:val="22"/>
          <w:color w:val="auto"/>
        </w:rPr>
      </w:pPr>
    </w:p>
    <w:p>
      <w:pPr>
        <w:ind w:right="40" w:firstLine="757"/>
        <w:spacing w:after="0" w:line="236" w:lineRule="auto"/>
        <w:tabs>
          <w:tab w:leader="none" w:pos="118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spacing w:after="0" w:line="179"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Two.11.</w:t>
      </w:r>
      <w:r>
        <w:rPr>
          <w:sz w:val="20"/>
          <w:szCs w:val="20"/>
          <w:color w:val="auto"/>
        </w:rPr>
        <w:tab/>
      </w:r>
      <w:r>
        <w:rPr>
          <w:rFonts w:ascii="Times New Roman" w:cs="Times New Roman" w:eastAsia="Times New Roman" w:hAnsi="Times New Roman"/>
          <w:sz w:val="20"/>
          <w:szCs w:val="20"/>
          <w:u w:val="single" w:color="auto"/>
          <w:color w:val="auto"/>
        </w:rPr>
        <w:t>Collections and Allocations; Investment of Funds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58" w:lineRule="auto"/>
        <w:tabs>
          <w:tab w:leader="none" w:pos="118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Local Bank Account; provided, that such payments may also be directed to and accepted by the Servicer in accordance with the Credit and Collection Policy. The Servicer shall provide the Local Bank with standing instructions to remit all cleared funds in the Local Bank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 on behalf of the Administrative Agent and the other secured parties as set forth in the Intercreditor Agreement and the Intercreditor Party Supplement, shall have exclusive access to the Post Office Boxes. The Servicer shall direct the Local Bank to remove all payments on or in respect of the Receivables from the Post Office Boxes on each Business Day and shall deposit such amounts into the Local Bank Account on such Business Day. The Servicer and the Borrower shall remit to the Collection Account as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04" w:name="page305"/>
    <w:bookmarkEnd w:id="304"/>
    <w:p>
      <w:pPr>
        <w:spacing w:after="0" w:line="239" w:lineRule="auto"/>
        <w:rPr>
          <w:sz w:val="20"/>
          <w:szCs w:val="20"/>
          <w:color w:val="auto"/>
        </w:rPr>
      </w:pPr>
      <w:r>
        <w:rPr>
          <w:rFonts w:ascii="Times New Roman" w:cs="Times New Roman" w:eastAsia="Times New Roman" w:hAnsi="Times New Roman"/>
          <w:sz w:val="22"/>
          <w:szCs w:val="22"/>
          <w:color w:val="auto"/>
        </w:rPr>
        <w:t>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Local Bank Account shall be performed by the Backup Servicer unless otherwise designated by the Administrative Agent in writing.</w:t>
      </w:r>
    </w:p>
    <w:p>
      <w:pPr>
        <w:spacing w:after="0" w:line="179" w:lineRule="exact"/>
        <w:rPr>
          <w:sz w:val="20"/>
          <w:szCs w:val="20"/>
          <w:color w:val="auto"/>
        </w:rPr>
      </w:pPr>
    </w:p>
    <w:p>
      <w:pPr>
        <w:ind w:right="60" w:firstLine="757"/>
        <w:spacing w:after="0" w:line="239" w:lineRule="auto"/>
        <w:tabs>
          <w:tab w:leader="none" w:pos="11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and on each Funding Date, the Servicer will deposit (in immediately available funds) into the Collection Account all Collections available after the applicable Cutoff Date and through and including the Closing Date or Funding Date, as the case may be, in respect of Receivables added to the Collateral on the related date. The Servicer will deposit all Collections received into the Collection Account within two Business Days of receipt.</w:t>
      </w:r>
    </w:p>
    <w:p>
      <w:pPr>
        <w:spacing w:after="0" w:line="178" w:lineRule="exact"/>
        <w:rPr>
          <w:rFonts w:ascii="Times New Roman" w:cs="Times New Roman" w:eastAsia="Times New Roman" w:hAnsi="Times New Roman"/>
          <w:sz w:val="22"/>
          <w:szCs w:val="22"/>
          <w:color w:val="auto"/>
        </w:rPr>
      </w:pPr>
    </w:p>
    <w:p>
      <w:pPr>
        <w:ind w:firstLine="757"/>
        <w:spacing w:after="0" w:line="244" w:lineRule="auto"/>
        <w:tabs>
          <w:tab w:leader="none" w:pos="11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spacing w:after="0" w:line="172" w:lineRule="exact"/>
        <w:rPr>
          <w:rFonts w:ascii="Times New Roman" w:cs="Times New Roman" w:eastAsia="Times New Roman" w:hAnsi="Times New Roman"/>
          <w:sz w:val="22"/>
          <w:szCs w:val="22"/>
          <w:color w:val="auto"/>
        </w:rPr>
      </w:pPr>
    </w:p>
    <w:p>
      <w:pPr>
        <w:ind w:right="140" w:firstLine="757"/>
        <w:spacing w:after="0" w:line="236" w:lineRule="auto"/>
        <w:tabs>
          <w:tab w:leader="none" w:pos="11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Payment Date (i) during the Revolving Period or following the occurrence of a Foreclosure Event, the Servicer shall direct the Account Bank to withdraw from the Reserve Account the Reserve Account Withdrawal Amount, if any, and deposit such amount into the Collection Account to be applied in accordance with Section 2.08 and (ii) so long as no Foreclosure Event has occurred, following the occurrence of the Facility Turbo Date, the Servicer shall direct the Account Bank to withdraw from the Reserve Account such portion of the Reserve Account Amount as designated by the Administrative Agent and deposit such amount into the Collection Account to be applied in accordance with Section 2.08.</w:t>
      </w:r>
    </w:p>
    <w:p>
      <w:pPr>
        <w:spacing w:after="0" w:line="179" w:lineRule="exact"/>
        <w:rPr>
          <w:rFonts w:ascii="Times New Roman" w:cs="Times New Roman" w:eastAsia="Times New Roman" w:hAnsi="Times New Roman"/>
          <w:sz w:val="22"/>
          <w:szCs w:val="22"/>
          <w:color w:val="auto"/>
        </w:rPr>
      </w:pPr>
    </w:p>
    <w:p>
      <w:pPr>
        <w:ind w:right="140" w:firstLine="757"/>
        <w:spacing w:after="0" w:line="236" w:lineRule="auto"/>
        <w:tabs>
          <w:tab w:leader="none" w:pos="11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are uninvested amounts on deposit in the Collection Account and/or the Reserve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No Permitted Investment may be purchased at a premium. Any earnings (and losses) on the foregoing investments shall be for the account of the Borrower.</w:t>
      </w:r>
    </w:p>
    <w:p>
      <w:pPr>
        <w:spacing w:after="0" w:line="179" w:lineRule="exact"/>
        <w:rPr>
          <w:rFonts w:ascii="Times New Roman" w:cs="Times New Roman" w:eastAsia="Times New Roman" w:hAnsi="Times New Roman"/>
          <w:sz w:val="22"/>
          <w:szCs w:val="22"/>
          <w:color w:val="auto"/>
        </w:rPr>
      </w:pPr>
    </w:p>
    <w:p>
      <w:pPr>
        <w:ind w:right="180" w:firstLine="757"/>
        <w:spacing w:after="0" w:line="237" w:lineRule="auto"/>
        <w:tabs>
          <w:tab w:leader="none" w:pos="118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earnings on amounts in the Reserve Account shall (i) to the extent necessary, remain on deposit in the Reserve Account until the amount on deposit therein is equal to or greater than the Reserve Account Required Amount and (ii) be deposited into the Collection Account if the amount on deposit in the Reserve Account is greater than the Reserve Account Required Amount after giving effect to all withdrawals and deposits to the Reserve Account on the immediately preceding Payment Date.</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Two.12.</w:t>
      </w:r>
      <w:r>
        <w:rPr>
          <w:sz w:val="20"/>
          <w:szCs w:val="20"/>
          <w:color w:val="auto"/>
        </w:rPr>
        <w:tab/>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320" w:firstLine="757"/>
        <w:spacing w:after="0" w:line="258" w:lineRule="auto"/>
        <w:tabs>
          <w:tab w:leader="none" w:pos="118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to each Agent, for the account of the related Lenders, monthly in arrears, the Unused Fee from the Collection Account in accordance with</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05" w:name="page306"/>
    <w:bookmarkEnd w:id="305"/>
    <w:p>
      <w:pPr>
        <w:ind w:right="1020"/>
        <w:spacing w:after="0" w:line="258" w:lineRule="auto"/>
        <w:rPr>
          <w:sz w:val="20"/>
          <w:szCs w:val="20"/>
          <w:color w:val="auto"/>
        </w:rPr>
      </w:pPr>
      <w:r>
        <w:rPr>
          <w:rFonts w:ascii="Times New Roman" w:cs="Times New Roman" w:eastAsia="Times New Roman" w:hAnsi="Times New Roman"/>
          <w:sz w:val="22"/>
          <w:szCs w:val="22"/>
          <w:color w:val="auto"/>
        </w:rPr>
        <w:t>Section 2.08. Payments of the Unused Fee shall be allocated and paid to Owners based upon their respective Invested Percentages for the applicable Interest Period.</w:t>
      </w:r>
    </w:p>
    <w:p>
      <w:pPr>
        <w:spacing w:after="0" w:line="157" w:lineRule="exact"/>
        <w:rPr>
          <w:sz w:val="20"/>
          <w:szCs w:val="20"/>
          <w:color w:val="auto"/>
        </w:rPr>
      </w:pPr>
    </w:p>
    <w:p>
      <w:pPr>
        <w:jc w:val="both"/>
        <w:ind w:right="60" w:firstLine="757"/>
        <w:spacing w:after="0" w:line="244" w:lineRule="auto"/>
        <w:tabs>
          <w:tab w:leader="none" w:pos="118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any Successor Servicer, the Backup Servicer, the Account Bank and the Custodian shall be entitled to receive any accrued and unpaid Servicing Fee, Backup Servicing Fee and Custodian Fee due to them, respectively, in accordance with Section 2.08.</w:t>
      </w:r>
    </w:p>
    <w:p>
      <w:pPr>
        <w:spacing w:after="0" w:line="172" w:lineRule="exact"/>
        <w:rPr>
          <w:rFonts w:ascii="Times New Roman" w:cs="Times New Roman" w:eastAsia="Times New Roman" w:hAnsi="Times New Roman"/>
          <w:sz w:val="22"/>
          <w:szCs w:val="22"/>
          <w:color w:val="auto"/>
        </w:rPr>
      </w:pPr>
    </w:p>
    <w:p>
      <w:pPr>
        <w:ind w:right="200" w:firstLine="757"/>
        <w:spacing w:after="0" w:line="237" w:lineRule="auto"/>
        <w:tabs>
          <w:tab w:leader="none" w:pos="118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on or before the Closing Date, any fees set forth in the Fee Letter (including an Upfront Fee of [***]% of each Commitment) to be paid within one Business Day of the Amendment Effective Date and any reasonable out-of-pocket expenses (including fees in connection with the amendment of this Agreement and those charged by any nationally recognized statistical rating organization in connection with reviewing the transactions contemplated by this Agreement) in immediately available funds.</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 all reasonable fees and out-of-pocket expenses of such counsel payable pursuant to this Agreement within [***] Business Days after receiving an invoice for such amounts.</w:t>
      </w:r>
    </w:p>
    <w:p>
      <w:pPr>
        <w:spacing w:after="0" w:line="15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Two.13.</w:t>
      </w:r>
      <w:r>
        <w:rPr>
          <w:sz w:val="20"/>
          <w:szCs w:val="20"/>
          <w:color w:val="auto"/>
        </w:rPr>
        <w:tab/>
      </w:r>
      <w:r>
        <w:rPr>
          <w:rFonts w:ascii="Times New Roman" w:cs="Times New Roman" w:eastAsia="Times New Roman" w:hAnsi="Times New Roman"/>
          <w:sz w:val="20"/>
          <w:szCs w:val="20"/>
          <w:u w:val="single" w:color="auto"/>
          <w:color w:val="auto"/>
        </w:rPr>
        <w:t>Increased Costs; Capital Adequacy; Illegality; Rating Requests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2" w:lineRule="auto"/>
        <w:tabs>
          <w:tab w:leader="none" w:pos="118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(i) the introduction of or any change (including any change by way of imposition or increase of reserve requirements) in or in the interpretation of any Applicable Law or (ii) the compliance by a Lender, a Credit Provider or any of their respective Affiliates (each, an “Affected Party”) with any guideline or request from any Governmental Authority (whether or not having the force of law), shall (A) subject an Affected Party to any Tax (except for Excluded Taxes and any Taxes as to which an Additional Amount is payable), duty or other charge with respect to a Loan hereunder, or on any payment made hereunder, (B) impose any cost pursuant to Section 2.13(f), (C) impose, modify or deem applicable any reserve requirement (including any reserve requirement imposed by the Federal Reserve Board, but excluding any reserve requirement, if any, included in the determination of Interest), special deposit or similar requirement against assets of, deposits with or for the amount of, or credit extended by, any Affected Party, (D) impose any other condition affecting a Loan or an Affected Party’s rights hereunder or (E) result in an Accounting Based Consolidation Event, the result of which is (1) a fee, expense, internal capital charge or other imputed cost allocable to any Affected Party, (2) any increased cost charged to any Affected Party or (3) to reduce the amount of any sum received or receivable by an Affected Party under this Agreement, then within 30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188" w:lineRule="exact"/>
        <w:rPr>
          <w:rFonts w:ascii="Times New Roman" w:cs="Times New Roman" w:eastAsia="Times New Roman" w:hAnsi="Times New Roman"/>
          <w:sz w:val="22"/>
          <w:szCs w:val="22"/>
          <w:color w:val="auto"/>
        </w:rPr>
      </w:pPr>
    </w:p>
    <w:p>
      <w:pPr>
        <w:ind w:firstLine="757"/>
        <w:spacing w:after="0" w:line="239" w:lineRule="auto"/>
        <w:tabs>
          <w:tab w:leader="none" w:pos="118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(i) the introduction of or any change in or in the interpretation of any law, guideline, rule, regulation, directive or request (including the Dodd-Frank Act, Basel II or Basel III), (ii) compliance by any Affected Party with any law, guideline, rule, regulation, directive or request from any central bank or other Governmental Authority (whether or not having the force of law), including compliance by an Affected Party with any request or directive regarding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06" w:name="page307"/>
    <w:bookmarkEnd w:id="306"/>
    <w:p>
      <w:pPr>
        <w:spacing w:after="0" w:line="234" w:lineRule="auto"/>
        <w:rPr>
          <w:sz w:val="20"/>
          <w:szCs w:val="20"/>
          <w:color w:val="auto"/>
        </w:rPr>
      </w:pPr>
      <w:r>
        <w:rPr>
          <w:rFonts w:ascii="Times New Roman" w:cs="Times New Roman" w:eastAsia="Times New Roman" w:hAnsi="Times New Roman"/>
          <w:sz w:val="22"/>
          <w:szCs w:val="22"/>
          <w:color w:val="auto"/>
        </w:rPr>
        <w:t>capital adequacy (including the Dodd-Frank Act, Basel II or Basel III), or (iii) an Accounting Based Consolidation Event occurs that has or would have the effect of reducing the rate of return on the capital of any Affected Party as a consequence of its obligations hereunder or arising in connection herewith to a level below that which any such Affected Party could have achieved but for such introduction, change or compliance (taking into consideration the policies of such Affected Party with respect to capital adequacy) by an amount deemed by such Affected Party to be material, then from time to time, within 30 days after demand by such Affected Party (which demand shall be accompanied by a statement setting forth the basis for such demand), the Borrower shall pay directly to such Affected Party such additional amount or amounts as will compensate such Affected Party for such reduction.</w:t>
      </w:r>
    </w:p>
    <w:p>
      <w:pPr>
        <w:spacing w:after="0" w:line="184" w:lineRule="exact"/>
        <w:rPr>
          <w:sz w:val="20"/>
          <w:szCs w:val="20"/>
          <w:color w:val="auto"/>
        </w:rPr>
      </w:pPr>
    </w:p>
    <w:p>
      <w:pPr>
        <w:jc w:val="both"/>
        <w:ind w:right="400" w:firstLine="757"/>
        <w:spacing w:after="0" w:line="271" w:lineRule="auto"/>
        <w:tabs>
          <w:tab w:leader="none" w:pos="118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any event or circumstance similar to those described in Section 2.13(a) or 2.13(b), any Affected Party is required to compensate a Credit Provider in connection with this Agreement or the funding or maintenance of Loans hereunder, then within 30 days after demand by such Affected Party, the Borrower shall pay to such Affected Party such additional amount or amounts as may be necessary to reimburse such Affected Party for any such amounts paid by it.</w:t>
      </w:r>
    </w:p>
    <w:p>
      <w:pPr>
        <w:spacing w:after="0" w:line="147" w:lineRule="exact"/>
        <w:rPr>
          <w:rFonts w:ascii="Times New Roman" w:cs="Times New Roman" w:eastAsia="Times New Roman" w:hAnsi="Times New Roman"/>
          <w:sz w:val="20"/>
          <w:szCs w:val="20"/>
          <w:color w:val="auto"/>
        </w:rPr>
      </w:pPr>
    </w:p>
    <w:p>
      <w:pPr>
        <w:jc w:val="both"/>
        <w:ind w:right="180" w:firstLine="757"/>
        <w:spacing w:after="0" w:line="244" w:lineRule="auto"/>
        <w:tabs>
          <w:tab w:leader="none" w:pos="118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spacing w:after="0" w:line="172" w:lineRule="exact"/>
        <w:rPr>
          <w:rFonts w:ascii="Times New Roman" w:cs="Times New Roman" w:eastAsia="Times New Roman" w:hAnsi="Times New Roman"/>
          <w:sz w:val="22"/>
          <w:szCs w:val="22"/>
          <w:color w:val="auto"/>
        </w:rPr>
      </w:pPr>
    </w:p>
    <w:p>
      <w:pPr>
        <w:jc w:val="both"/>
        <w:ind w:firstLine="757"/>
        <w:spacing w:after="0" w:line="266" w:lineRule="auto"/>
        <w:tabs>
          <w:tab w:leader="none" w:pos="118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is required to pay additional amounts to or for the benefit of any Affected Party pursuant to this Section as a result of a change of Applicable Law occurring after such Affected Party first became a party to this Agreement, such Affected Party will, at the Borrower’s request, change the jurisdiction of its applicable lending office if, in the sole judgment of such Affected Party, such change (i) will eliminate or reduce any such additional payment which may thereafter accrue and (ii) will not, in the judgment of such Affected Party, be otherwise disadvantageous to it or inconsistent with its internal policies.</w:t>
      </w:r>
    </w:p>
    <w:p>
      <w:pPr>
        <w:spacing w:after="0" w:line="154" w:lineRule="exact"/>
        <w:rPr>
          <w:rFonts w:ascii="Times New Roman" w:cs="Times New Roman" w:eastAsia="Times New Roman" w:hAnsi="Times New Roman"/>
          <w:sz w:val="20"/>
          <w:szCs w:val="20"/>
          <w:color w:val="auto"/>
        </w:rPr>
      </w:pPr>
    </w:p>
    <w:p>
      <w:pPr>
        <w:ind w:right="40" w:firstLine="757"/>
        <w:spacing w:after="0" w:line="234" w:lineRule="auto"/>
        <w:tabs>
          <w:tab w:leader="none" w:pos="118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Owner or Committed Lender has, or anticipates having, any claim for compensation under the FAS 166/167 Rules against the Borrower, and such Owner or Committed Lender believes that having the transactions contemplated by this Agreement publicly rated by a Rating Agency or qualifying under the supervisory formula approach under Basel II would reduce the amount of such compensation by an amount deemed by such Owner or Committed Lender to be material, the Administrative Agent, on behalf of such Owner or Committed Lender shall provide a Rating Request to the Borrower and the Servicer. The Borrower and the Servicer shall cooperate with the Administrative Agent’s efforts to obtain the Required Rating from the Rating Agency specified in the Rating Request within 60 days following delivery of any Rating Request, and shall provide directly or through distribution to the Administrative Agent or Owner any information such Rating Agency may require for purposes of providing and monitoring the Required Rating. The Borrower shall pay the initial fees payable to the Rating Agency in connection with a Rating Request, and the Servicer shall pay any subsequent or ongoing fees.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sectPr>
      </w:pPr>
    </w:p>
    <w:bookmarkStart w:id="307" w:name="page308"/>
    <w:bookmarkEnd w:id="307"/>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Two.14.</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0" w:firstLine="757"/>
        <w:spacing w:after="0" w:line="234" w:lineRule="auto"/>
        <w:tabs>
          <w:tab w:leader="none" w:pos="11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required to be deducted or withheld. If such Taxes are Non-Excluded Taxes, the Borrower shall increase the amount payable to each Lender or the Administrative Agent, as the case may be (such increase, the “Additional Amount”) such that every net payment made under this Agreement after deduction or withholding for or on account of any Non- Excluded Taxes (including any deduction or withholding for or on account of such Additional Amount) is not less than the amount that would have been paid had no such deduction or withholding been deducted or withheld.</w:t>
      </w:r>
    </w:p>
    <w:p>
      <w:pPr>
        <w:spacing w:after="0" w:line="180" w:lineRule="exact"/>
        <w:rPr>
          <w:rFonts w:ascii="Times New Roman" w:cs="Times New Roman" w:eastAsia="Times New Roman" w:hAnsi="Times New Roman"/>
          <w:sz w:val="22"/>
          <w:szCs w:val="22"/>
          <w:color w:val="auto"/>
        </w:rPr>
      </w:pPr>
    </w:p>
    <w:p>
      <w:pPr>
        <w:ind w:firstLine="757"/>
        <w:spacing w:after="0" w:line="260" w:lineRule="auto"/>
        <w:tabs>
          <w:tab w:leader="none" w:pos="118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indemnify each Lender and the Administrative Agent for the full amount of Non-Excluded Taxes in respect of which the Borrower is required to pay Additional Amounts (including any Taxes imposed by any jurisdiction on such Additional Amounts) paid by such Lender or the Administrative Agent, as the case may be, and any liability (including penalties, interest and expenses) arising therefrom or with respect thereto; provided, however, that the Lender or Administrative Agent making a demand for indemnity payment hereunder shall provide the Borrower with a certificate from the relevant taxing authority or from a Responsible Officer of such Lender or the Administrative Agent stating or otherwise evidencing that such Lender or the Administrative Agent has made payment of such Taxes and will provide a copy of or extract from documentation, if available, furnished by such taxing authority evidencing assertion or payment of such Taxes. This indemnification shall be made within 15 days from the date a Lender or the Administrative Agent, as the case may be, makes written demand therefor.</w:t>
      </w:r>
    </w:p>
    <w:p>
      <w:pPr>
        <w:spacing w:after="0" w:line="157" w:lineRule="exact"/>
        <w:rPr>
          <w:rFonts w:ascii="Times New Roman" w:cs="Times New Roman" w:eastAsia="Times New Roman" w:hAnsi="Times New Roman"/>
          <w:sz w:val="20"/>
          <w:szCs w:val="20"/>
          <w:color w:val="auto"/>
        </w:rPr>
      </w:pPr>
    </w:p>
    <w:p>
      <w:pPr>
        <w:ind w:right="200" w:firstLine="757"/>
        <w:spacing w:after="0" w:line="244" w:lineRule="auto"/>
        <w:tabs>
          <w:tab w:leader="none" w:pos="11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date of any payment by the Borrower of any Taxes pursuant to this Section, the Borrower will furnish to the Administrative Agent and each Agent, at its address set forth under its name on the signature pages hereof, appropriate evidence of payment thereof.</w:t>
      </w:r>
    </w:p>
    <w:p>
      <w:pPr>
        <w:spacing w:after="0" w:line="172" w:lineRule="exact"/>
        <w:rPr>
          <w:rFonts w:ascii="Times New Roman" w:cs="Times New Roman" w:eastAsia="Times New Roman" w:hAnsi="Times New Roman"/>
          <w:sz w:val="22"/>
          <w:szCs w:val="22"/>
          <w:color w:val="auto"/>
        </w:rPr>
      </w:pPr>
    </w:p>
    <w:p>
      <w:pPr>
        <w:ind w:right="20" w:firstLine="757"/>
        <w:spacing w:after="0" w:line="234" w:lineRule="auto"/>
        <w:tabs>
          <w:tab w:leader="none" w:pos="11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is a Non-U.S. Lender, such Lender shall, to the extent that it may then do so under Applicable Law, deliver to the Borrower, with a copy to the Administrative Agent, the related Agent and the Account Bank,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08" w:name="page309"/>
    <w:bookmarkEnd w:id="308"/>
    <w:p>
      <w:pPr>
        <w:spacing w:after="0" w:line="234" w:lineRule="auto"/>
        <w:rPr>
          <w:sz w:val="20"/>
          <w:szCs w:val="20"/>
          <w:color w:val="auto"/>
        </w:rPr>
      </w:pPr>
      <w:r>
        <w:rPr>
          <w:rFonts w:ascii="Times New Roman" w:cs="Times New Roman" w:eastAsia="Times New Roman" w:hAnsi="Times New Roman"/>
          <w:sz w:val="22"/>
          <w:szCs w:val="22"/>
          <w:color w:val="auto"/>
        </w:rPr>
        <w:t>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and upon written request of the Borrower, a duly completed copy of the IRS Form W-9 (or any successor forms or other certificates or statements which may be required from time to time by the relevant U.S. taxing authorities or Applicable Law).</w:t>
      </w:r>
    </w:p>
    <w:p>
      <w:pPr>
        <w:spacing w:after="0" w:line="180" w:lineRule="exact"/>
        <w:rPr>
          <w:sz w:val="20"/>
          <w:szCs w:val="20"/>
          <w:color w:val="auto"/>
        </w:rPr>
      </w:pPr>
    </w:p>
    <w:p>
      <w:pPr>
        <w:ind w:right="160" w:firstLine="757"/>
        <w:spacing w:after="0" w:line="234" w:lineRule="auto"/>
        <w:tabs>
          <w:tab w:leader="none" w:pos="11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deliver to the Borrower, with a copy to the Administrative Agent, at the time or times prescribed by Applicable Law and at such time or times reasonably requested by the Borrower, the Administrative Agent or [***], such documentation prescribed by Applicable Law (including as prescribed by Code Section 1471(b)(3)(C)(i)) and such additional documentation reasonably requested by the Borrower or the Administrative Agent to comply with its obligations under FATCA), to the determine that such recipient has complied with such recipient’s obligations under FATCA, or to determine the amount to deduct and withhold from such payment. Solely for purposes of this Section 2.14(e), “FATCA” shall include any amendments made to FATCA after the date of this Agreement.</w:t>
      </w:r>
    </w:p>
    <w:p>
      <w:pPr>
        <w:spacing w:after="0" w:line="176" w:lineRule="exact"/>
        <w:rPr>
          <w:rFonts w:ascii="Times New Roman" w:cs="Times New Roman" w:eastAsia="Times New Roman" w:hAnsi="Times New Roman"/>
          <w:sz w:val="22"/>
          <w:szCs w:val="22"/>
          <w:color w:val="auto"/>
        </w:rPr>
      </w:pPr>
    </w:p>
    <w:p>
      <w:pPr>
        <w:ind w:right="160" w:firstLine="757"/>
        <w:spacing w:after="0" w:line="234" w:lineRule="auto"/>
        <w:tabs>
          <w:tab w:leader="none" w:pos="11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written request of the Borrower therefor, the Administrative Agent and the Lender, as appropriate, shall execute and deliver to the Borrower such certificates, forms or other documents which can be furnished consistent with the facts and which are reasonably necessary to assist the Borrower in applying for refunds of Taxes remitted hereunder; provided, however, that (i) the Administrative Agent and the Lender shall not be required to deliver such certificates, forms or other documents if in their respective sole discretion it is determined that the deliverance of such certificate, form or other document would have a material adverse effect on the Administrative Agent or Lender and (ii) the Borrower shall reimburse the Administrative Agent or Lender for any reasonable expenses incurred in the delivery of such certificate, form or other document.</w:t>
      </w:r>
    </w:p>
    <w:p>
      <w:pPr>
        <w:spacing w:after="0" w:line="184" w:lineRule="exact"/>
        <w:rPr>
          <w:rFonts w:ascii="Times New Roman" w:cs="Times New Roman" w:eastAsia="Times New Roman" w:hAnsi="Times New Roman"/>
          <w:sz w:val="22"/>
          <w:szCs w:val="22"/>
          <w:color w:val="auto"/>
        </w:rPr>
      </w:pPr>
    </w:p>
    <w:p>
      <w:pPr>
        <w:ind w:right="100" w:firstLine="757"/>
        <w:spacing w:after="0" w:line="266" w:lineRule="auto"/>
        <w:tabs>
          <w:tab w:leader="none" w:pos="118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connection with an agreement or other document providing liquidity support, credit enhancement or other similar support to the Lenders in connection with this Agreement or the funding or maintenance of Loans hereunder, the Lenders are required to compensate a bank or other financial institution in respect of Non-Excluded Taxes under circumstances similar to those described in this Section, then within 15 days after demand by the Lenders, the Borrower shall pay to the Lenders such additional amount or amounts as may be necessary to reimburse the Lenders for any amounts paid by them.</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09" w:name="page310"/>
    <w:bookmarkEnd w:id="309"/>
    <w:p>
      <w:pPr>
        <w:ind w:right="20" w:firstLine="757"/>
        <w:spacing w:after="0" w:line="266" w:lineRule="auto"/>
        <w:tabs>
          <w:tab w:leader="none" w:pos="118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the Administrative Agent, by its acceptance of the Notes (and each Lender, or other Person designated by a Lender, by its acceptance of an interest in the applicable Note), agree to treat the Notes for federal, State and local income, single business and franchise tax purposes as indebtedness of the Borrower.</w:t>
      </w:r>
    </w:p>
    <w:p>
      <w:pPr>
        <w:spacing w:after="0" w:line="155"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Two.15.</w:t>
      </w:r>
      <w:r>
        <w:rPr>
          <w:sz w:val="20"/>
          <w:szCs w:val="20"/>
          <w:color w:val="auto"/>
        </w:rPr>
        <w:tab/>
      </w:r>
      <w:r>
        <w:rPr>
          <w:rFonts w:ascii="Times New Roman" w:cs="Times New Roman" w:eastAsia="Times New Roman" w:hAnsi="Times New Roman"/>
          <w:sz w:val="20"/>
          <w:szCs w:val="20"/>
          <w:u w:val="single" w:color="auto"/>
          <w:color w:val="auto"/>
        </w:rPr>
        <w:t>Sharing of Payments, Etc.</w:t>
      </w:r>
    </w:p>
    <w:p>
      <w:pPr>
        <w:spacing w:after="0" w:line="20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20"/>
          <w:szCs w:val="20"/>
          <w:color w:val="auto"/>
        </w:rPr>
        <w:t>If, other than as expressly provided elsewhere herein, any Lender shall obtain on account of the Notes owned by it any payment in excess of its Invested Percentage in such payment, such Lender shall immediately (i) notify the Administrative Agent and the Agent for its Lender Group of such fact and (ii) purchase from the other Lenders such participations made by them as shall be necessary to cause such purchasing Lender to share the excess payment pro rata (based on the Lender Percentage of each Lender) with each of them; provided, however,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w:t>
      </w:r>
    </w:p>
    <w:p>
      <w:pPr>
        <w:spacing w:after="0" w:line="6" w:lineRule="exact"/>
        <w:rPr>
          <w:sz w:val="20"/>
          <w:szCs w:val="20"/>
          <w:color w:val="auto"/>
        </w:rPr>
      </w:pPr>
    </w:p>
    <w:p>
      <w:pPr>
        <w:ind w:right="40" w:firstLine="8"/>
        <w:spacing w:after="0" w:line="232" w:lineRule="auto"/>
        <w:tabs>
          <w:tab w:leader="none" w:pos="293"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Each Agent and the Administrative Agent will keep records (which shall be conclusive and binding in the absence of manifest error) of participations purchased under this Section and will in each case notify each Agent following any such purchases or repayments.</w:t>
      </w:r>
    </w:p>
    <w:p>
      <w:pPr>
        <w:spacing w:after="0" w:line="179"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Two.16.</w:t>
      </w:r>
      <w:r>
        <w:rPr>
          <w:sz w:val="20"/>
          <w:szCs w:val="20"/>
          <w:color w:val="auto"/>
        </w:rPr>
        <w:tab/>
      </w:r>
      <w:r>
        <w:rPr>
          <w:rFonts w:ascii="Times New Roman" w:cs="Times New Roman" w:eastAsia="Times New Roman" w:hAnsi="Times New Roman"/>
          <w:sz w:val="20"/>
          <w:szCs w:val="20"/>
          <w:u w:val="single" w:color="auto"/>
          <w:color w:val="auto"/>
        </w:rPr>
        <w:t>The Account Bank</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80" w:lineRule="auto"/>
        <w:tabs>
          <w:tab w:leader="none" w:pos="118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appoints [***] as the initial Account Bank. All payments of amounts due and payable in respect of the Obligations that are to be made from amounts withdrawn from the Collection Account, the Hedge Reserve Account or the Reserve Account shall be made on behalf of the Borrower by the Account Bank in accordance with Section 2.08.</w:t>
      </w:r>
    </w:p>
    <w:p>
      <w:pPr>
        <w:spacing w:after="0" w:line="138" w:lineRule="exact"/>
        <w:rPr>
          <w:rFonts w:ascii="Times New Roman" w:cs="Times New Roman" w:eastAsia="Times New Roman" w:hAnsi="Times New Roman"/>
          <w:sz w:val="20"/>
          <w:szCs w:val="20"/>
          <w:color w:val="auto"/>
        </w:rPr>
      </w:pPr>
    </w:p>
    <w:p>
      <w:pPr>
        <w:ind w:right="80" w:firstLine="757"/>
        <w:spacing w:after="0" w:line="234" w:lineRule="auto"/>
        <w:tabs>
          <w:tab w:leader="none" w:pos="11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compensated for its activities hereunder by receiving the Account Bank Fee. The Account Bank Fee shall be payable in accordance with the priorities specified in Section 2.08 or, at the option of UACC, may be paid directly to the Account Bank by UACC. The Borrower shall indemnify the Account Bank and its officers, directors, employees and agents for, and hold them harmless against any loss, liability or expense incurred, other than in connection with the willful misconduct, gross negligence or bad faith on the part of the Account Bank, arising out of or in connection with (i) the performance of its obligations under and in accordance with this Agreement, including the costs and expenses of defending itself against any claim or liability in connection with the exercise or performance of any of its powers or duties under this Agreement and (ii) the negligence, willful misconduct or bad faith of</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10" w:name="page311"/>
    <w:bookmarkEnd w:id="310"/>
    <w:p>
      <w:pPr>
        <w:spacing w:after="0" w:line="258" w:lineRule="auto"/>
        <w:rPr>
          <w:sz w:val="20"/>
          <w:szCs w:val="20"/>
          <w:color w:val="auto"/>
        </w:rPr>
      </w:pPr>
      <w:r>
        <w:rPr>
          <w:rFonts w:ascii="Times New Roman" w:cs="Times New Roman" w:eastAsia="Times New Roman" w:hAnsi="Times New Roman"/>
          <w:sz w:val="22"/>
          <w:szCs w:val="22"/>
          <w:color w:val="auto"/>
        </w:rPr>
        <w:t>the Borrower in the performance of its duties hereunder. All such amounts shall be payable in accordance with Section 2.08. The provisions of this Section shall survive the termination of this Agreement.</w:t>
      </w:r>
    </w:p>
    <w:p>
      <w:pPr>
        <w:spacing w:after="0" w:line="157"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THE FOREGOING INDEMNIFICATION SHALL APPLY WHETHER OR NOT SUCH LIABILITIES AND COSTS ARE IN ANY WAY OR TO ANY EXTENT OWED, IN WHOLE OR IN PART, UNDER ANY CLAIM OR THEORY OF STRICT LIABILITY.</w:t>
      </w:r>
    </w:p>
    <w:p>
      <w:pPr>
        <w:spacing w:after="0" w:line="172" w:lineRule="exact"/>
        <w:rPr>
          <w:sz w:val="20"/>
          <w:szCs w:val="20"/>
          <w:color w:val="auto"/>
        </w:rPr>
      </w:pPr>
    </w:p>
    <w:p>
      <w:pPr>
        <w:ind w:right="20" w:firstLine="757"/>
        <w:spacing w:after="0" w:line="266" w:lineRule="auto"/>
        <w:tabs>
          <w:tab w:leader="none" w:pos="11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Bank shall be liable in accordance herewith only to the extent of the obligations specifically undertaken by the Account Bank in such capacity herein and under the Account Control Agreement. No implied covenants or obligations shall be read into this Agreement against the Account Bank and, in the absence of bad faith on the part of the Account Bank, the Account Bank may conclusively rely on the truth of the statements and the correctness of the opinions expressed in any certificates or opinions furnished to the Account Bank pursuant to and conforming to the requirements of this Agreement.</w:t>
      </w:r>
    </w:p>
    <w:p>
      <w:pPr>
        <w:spacing w:after="0" w:line="154"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liable for:</w:t>
      </w:r>
    </w:p>
    <w:p>
      <w:pPr>
        <w:spacing w:after="0" w:line="205" w:lineRule="exact"/>
        <w:rPr>
          <w:rFonts w:ascii="Times New Roman" w:cs="Times New Roman" w:eastAsia="Times New Roman" w:hAnsi="Times New Roman"/>
          <w:sz w:val="22"/>
          <w:szCs w:val="22"/>
          <w:color w:val="auto"/>
        </w:rPr>
      </w:pPr>
    </w:p>
    <w:p>
      <w:pPr>
        <w:ind w:left="2080" w:hanging="437"/>
        <w:spacing w:after="0"/>
        <w:tabs>
          <w:tab w:leader="none" w:pos="208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error of judgment made in good faith by one of its officers; or</w:t>
      </w:r>
    </w:p>
    <w:p>
      <w:pPr>
        <w:spacing w:after="0" w:line="205" w:lineRule="exact"/>
        <w:rPr>
          <w:rFonts w:ascii="Times New Roman" w:cs="Times New Roman" w:eastAsia="Times New Roman" w:hAnsi="Times New Roman"/>
          <w:sz w:val="22"/>
          <w:szCs w:val="22"/>
          <w:color w:val="auto"/>
        </w:rPr>
      </w:pPr>
    </w:p>
    <w:p>
      <w:pPr>
        <w:ind w:left="760" w:right="20" w:firstLine="816"/>
        <w:spacing w:after="0" w:line="239" w:lineRule="auto"/>
        <w:tabs>
          <w:tab w:leader="none" w:pos="2011"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Account Bank under this Agreement in each case unless it shall be proved that the Account Bank shall have been negligent in ascertaining the pertinent facts.</w:t>
      </w:r>
    </w:p>
    <w:p>
      <w:pPr>
        <w:spacing w:after="0" w:line="178" w:lineRule="exact"/>
        <w:rPr>
          <w:rFonts w:ascii="Times New Roman" w:cs="Times New Roman" w:eastAsia="Times New Roman" w:hAnsi="Times New Roman"/>
          <w:sz w:val="22"/>
          <w:szCs w:val="22"/>
          <w:color w:val="auto"/>
        </w:rPr>
      </w:pPr>
    </w:p>
    <w:p>
      <w:pPr>
        <w:ind w:right="20" w:firstLine="757"/>
        <w:spacing w:after="0" w:line="280" w:lineRule="auto"/>
        <w:tabs>
          <w:tab w:leader="none" w:pos="11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Bank shall not be charged with knowledge of any Termination Event or Unmatured Termination Event unless an Authorized Officer of the Account Bank obtains actual knowledge of such event or the Account Bank receives written notice of such event from the Borrower, the Servicer, any Secured Party or the Administrative Agent, as the case may be.</w:t>
      </w:r>
    </w:p>
    <w:p>
      <w:pPr>
        <w:spacing w:after="0" w:line="138" w:lineRule="exact"/>
        <w:rPr>
          <w:rFonts w:ascii="Times New Roman" w:cs="Times New Roman" w:eastAsia="Times New Roman" w:hAnsi="Times New Roman"/>
          <w:sz w:val="20"/>
          <w:szCs w:val="20"/>
          <w:color w:val="auto"/>
        </w:rPr>
      </w:pPr>
    </w:p>
    <w:p>
      <w:pPr>
        <w:ind w:right="60" w:firstLine="757"/>
        <w:spacing w:after="0" w:line="233" w:lineRule="auto"/>
        <w:tabs>
          <w:tab w:leader="none" w:pos="118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this Section, the Account Bank shall have no duty (i) to see to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Contracts, (iv) to confirm or verify the contents of any reports or certificates of the Servicer (other than in its capacity as Backup Servicer in accordance with its express duties as such undertaken herein) or the Borrower delivered to the Account Bank pursuant to this Agreement believed by the Account Bank to be genuine and to have been signed or presented by the proper party or parties or (v) to inspect the Financed Vehicles at any time or ascertain or inquire as to the performance or observance of any of the Borrower’s or the Servicer’s representations, warranties or covenants or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11" w:name="page312"/>
    <w:bookmarkEnd w:id="311"/>
    <w:p>
      <w:pPr>
        <w:ind w:right="180"/>
        <w:spacing w:after="0" w:line="244" w:lineRule="auto"/>
        <w:rPr>
          <w:sz w:val="20"/>
          <w:szCs w:val="20"/>
          <w:color w:val="auto"/>
        </w:rPr>
      </w:pPr>
      <w:r>
        <w:rPr>
          <w:rFonts w:ascii="Times New Roman" w:cs="Times New Roman" w:eastAsia="Times New Roman" w:hAnsi="Times New Roman"/>
          <w:sz w:val="22"/>
          <w:szCs w:val="22"/>
          <w:color w:val="auto"/>
        </w:rPr>
        <w:t>the Servicer’s duties and obligations as Servicer and as custodian of books, records, files and computer records relating to the Contracts under this Agreement (in each case other than in its capacity as Backup Servicer in accordance with its express duties as such undertaken herein).</w:t>
      </w:r>
    </w:p>
    <w:p>
      <w:pPr>
        <w:spacing w:after="0" w:line="172" w:lineRule="exact"/>
        <w:rPr>
          <w:sz w:val="20"/>
          <w:szCs w:val="20"/>
          <w:color w:val="auto"/>
        </w:rPr>
      </w:pPr>
    </w:p>
    <w:p>
      <w:pPr>
        <w:ind w:right="20" w:firstLine="757"/>
        <w:spacing w:after="0" w:line="236" w:lineRule="auto"/>
        <w:tabs>
          <w:tab w:leader="none" w:pos="11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Account Bank to perform, or be responsible for the manner of performance of, any of the obligations of the Servicer under this Agreement (other than in its capacity as Backup Servicer in accordance with its express duties as such undertaken herein).</w:t>
      </w:r>
    </w:p>
    <w:p>
      <w:pPr>
        <w:spacing w:after="0" w:line="179"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w:t>
      </w:r>
    </w:p>
    <w:p>
      <w:pPr>
        <w:spacing w:after="0" w:line="178" w:lineRule="exact"/>
        <w:rPr>
          <w:rFonts w:ascii="Times New Roman" w:cs="Times New Roman" w:eastAsia="Times New Roman" w:hAnsi="Times New Roman"/>
          <w:sz w:val="22"/>
          <w:szCs w:val="22"/>
          <w:color w:val="auto"/>
        </w:rPr>
      </w:pPr>
    </w:p>
    <w:p>
      <w:pPr>
        <w:ind w:right="40" w:firstLine="757"/>
        <w:spacing w:after="0" w:line="244" w:lineRule="auto"/>
        <w:tabs>
          <w:tab w:leader="none" w:pos="11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consult with counsel of its choice with regard to legal questions arising out of or in connection with this Agreement and the advice or opinion of such counsel shall be full and complete authorization and protection in respect of any action taken, omitted or suffered by the Account Bank in good faith in accordance therewith.</w:t>
      </w:r>
    </w:p>
    <w:p>
      <w:pPr>
        <w:spacing w:after="0" w:line="172" w:lineRule="exact"/>
        <w:rPr>
          <w:rFonts w:ascii="Times New Roman" w:cs="Times New Roman" w:eastAsia="Times New Roman" w:hAnsi="Times New Roman"/>
          <w:sz w:val="22"/>
          <w:szCs w:val="22"/>
          <w:color w:val="auto"/>
        </w:rPr>
      </w:pPr>
    </w:p>
    <w:p>
      <w:pPr>
        <w:ind w:right="20" w:firstLine="757"/>
        <w:spacing w:after="0" w:line="236" w:lineRule="auto"/>
        <w:tabs>
          <w:tab w:leader="none" w:pos="11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under no obligation to exercise any of the rights, powers or remedies vested in it by this Agreement (except to comply with its obligations under this Agreement and any other Basic Document to which it is a party)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Account Bank reasonable security or indemnity against the costs, expenses and liabilities that may be incurred therein or thereby.</w:t>
      </w:r>
    </w:p>
    <w:p>
      <w:pPr>
        <w:spacing w:after="0" w:line="179" w:lineRule="exact"/>
        <w:rPr>
          <w:rFonts w:ascii="Times New Roman" w:cs="Times New Roman" w:eastAsia="Times New Roman" w:hAnsi="Times New Roman"/>
          <w:sz w:val="22"/>
          <w:szCs w:val="22"/>
          <w:color w:val="auto"/>
        </w:rPr>
      </w:pPr>
    </w:p>
    <w:p>
      <w:pPr>
        <w:ind w:right="80" w:firstLine="757"/>
        <w:spacing w:after="0" w:line="234" w:lineRule="auto"/>
        <w:tabs>
          <w:tab w:leader="none" w:pos="11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or another Secured Party; provided, that if the payment within a reasonable time to the Account Bank of the costs, expenses or liabilities likely to be incurred by it in the making of such investigation shall be, in the opinion of the Account Bank, not reasonably assured by the Borrower, the Account Bank may require reasonable indemnity against such cost, expense or liability as a condition to so proceeding. The reasonable expense of every such examination shall be paid by the Borrower or, if paid by the Account Bank, shall be reimbursed by the Borrower pursuant to Section 2.08.</w:t>
      </w:r>
    </w:p>
    <w:p>
      <w:pPr>
        <w:spacing w:after="0" w:line="184" w:lineRule="exact"/>
        <w:rPr>
          <w:rFonts w:ascii="Times New Roman" w:cs="Times New Roman" w:eastAsia="Times New Roman" w:hAnsi="Times New Roman"/>
          <w:sz w:val="22"/>
          <w:szCs w:val="22"/>
          <w:color w:val="auto"/>
        </w:rPr>
      </w:pPr>
    </w:p>
    <w:p>
      <w:pPr>
        <w:ind w:right="160" w:firstLine="757"/>
        <w:spacing w:after="0" w:line="258" w:lineRule="auto"/>
        <w:tabs>
          <w:tab w:leader="none" w:pos="11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execute any of the trusts or powers hereunder or perform any duties under this Agreement either directly or by or through agents or attorneys or a</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12" w:name="page313"/>
    <w:bookmarkEnd w:id="312"/>
    <w:p>
      <w:pPr>
        <w:ind w:right="900"/>
        <w:spacing w:after="0" w:line="258" w:lineRule="auto"/>
        <w:rPr>
          <w:sz w:val="20"/>
          <w:szCs w:val="20"/>
          <w:color w:val="auto"/>
        </w:rPr>
      </w:pPr>
      <w:r>
        <w:rPr>
          <w:rFonts w:ascii="Times New Roman" w:cs="Times New Roman" w:eastAsia="Times New Roman" w:hAnsi="Times New Roman"/>
          <w:sz w:val="22"/>
          <w:szCs w:val="22"/>
          <w:color w:val="auto"/>
        </w:rPr>
        <w:t>custodian. The Account Bank shall not be responsible for any misconduct or negligence of any such agent or custodian appointed with due care by it hereunder.</w:t>
      </w:r>
    </w:p>
    <w:p>
      <w:pPr>
        <w:spacing w:after="0" w:line="157" w:lineRule="exact"/>
        <w:rPr>
          <w:sz w:val="20"/>
          <w:szCs w:val="20"/>
          <w:color w:val="auto"/>
        </w:rPr>
      </w:pPr>
    </w:p>
    <w:p>
      <w:pPr>
        <w:ind w:right="40" w:firstLine="757"/>
        <w:spacing w:after="0" w:line="235" w:lineRule="auto"/>
        <w:tabs>
          <w:tab w:leader="none" w:pos="11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have no duties or responsibilities except those that are specifically set forth herein and the other Basic Documents to which it is a party, and no implied covenants or obligations shall be read into this Agreement against the Account Bank. If the Account Bank shall request instructions from the Administrative Agent or the Servicer with respect to any act, action or failure to act in connection with and as set forth in this Agreement, the Account Bank shall be entitled to refrain from taking such action and continue to refrain from acting unless and until the Account Bank shall have received written instructions from the Administrative Agent or the Servicer, as applicable, without incurring any liability therefor to the Administrative Agent, the Borrower, the Servicer or any other person.</w:t>
      </w:r>
    </w:p>
    <w:p>
      <w:pPr>
        <w:spacing w:after="0" w:line="180" w:lineRule="exact"/>
        <w:rPr>
          <w:rFonts w:ascii="Times New Roman" w:cs="Times New Roman" w:eastAsia="Times New Roman" w:hAnsi="Times New Roman"/>
          <w:sz w:val="22"/>
          <w:szCs w:val="22"/>
          <w:color w:val="auto"/>
        </w:rPr>
      </w:pPr>
    </w:p>
    <w:p>
      <w:pPr>
        <w:ind w:firstLine="757"/>
        <w:spacing w:after="0" w:line="239" w:lineRule="auto"/>
        <w:tabs>
          <w:tab w:leader="none" w:pos="11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act in reliance upon any written communication of the Administrative Agent concerning the delivery of Collateral pursuant to this Agreement. The Account Bank does not assume and shall have no responsibility for, and makes no representation as to, monitoring the value of the Contracts and other Collateral. The Account Bank shall not be liable for any action or omission to act hereunder, except for its own gross negligence, bad faith or willful misconduct.</w:t>
      </w:r>
    </w:p>
    <w:p>
      <w:pPr>
        <w:spacing w:after="0" w:line="179" w:lineRule="exact"/>
        <w:rPr>
          <w:sz w:val="20"/>
          <w:szCs w:val="20"/>
          <w:color w:val="auto"/>
        </w:rPr>
      </w:pPr>
    </w:p>
    <w:p>
      <w:pPr>
        <w:ind w:right="260" w:firstLine="749"/>
        <w:spacing w:after="0" w:line="307" w:lineRule="auto"/>
        <w:rPr>
          <w:sz w:val="20"/>
          <w:szCs w:val="20"/>
          <w:color w:val="auto"/>
        </w:rPr>
      </w:pPr>
      <w:r>
        <w:rPr>
          <w:rFonts w:ascii="Times New Roman" w:cs="Times New Roman" w:eastAsia="Times New Roman" w:hAnsi="Times New Roman"/>
          <w:sz w:val="20"/>
          <w:szCs w:val="20"/>
          <w:color w:val="auto"/>
        </w:rPr>
        <w:t>THE FOREGOING PARAGRAPH SHALL APPLY WHETHER OR NOT SUCH LIABILITIES ARE IN ANY WAY OR TO ANY EXTENT OWED, IN WHOLE OR IN PART, UNDER ANY CLAIM OR THEORY OF STRICT LIABILITY.</w:t>
      </w:r>
    </w:p>
    <w:p>
      <w:pPr>
        <w:spacing w:after="0" w:line="113" w:lineRule="exact"/>
        <w:rPr>
          <w:sz w:val="20"/>
          <w:szCs w:val="20"/>
          <w:color w:val="auto"/>
        </w:rPr>
      </w:pPr>
    </w:p>
    <w:p>
      <w:pPr>
        <w:ind w:right="60" w:firstLine="757"/>
        <w:spacing w:after="0" w:line="258" w:lineRule="auto"/>
        <w:tabs>
          <w:tab w:leader="none" w:pos="118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Account Bank shall at any time receive conflicting instructions from the Administrative Agent and the Servicer or any other party to this Agreement and the conflict between such instructions cannot be resolved by reference to the terms of this Agreement, the Account Bank shall be entitled to rely on the instructions of the Administrative Agent. In the absence of bad faith, gross negligence or willful misconduct on the part of the Account Bank, 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Account Bank may rely upon the validity of documents delivered to it, without investigation as to their authenticity or legal effectiveness, and the Account Bank shall not be liable to the Servicer or any other party to this Agreement in respect of any claims that may arise or be asserted against the Account Bank because of the invalidity of any such documents or their failure to fulfill their intended purpose. The Account Bank shall not be bound to ascertain or inquire as to the performance or observance of any of the terms of this Agreement or any other agreement on the part of any party, except as may otherwise be specifically set forth herein.</w:t>
      </w:r>
    </w:p>
    <w:p>
      <w:pPr>
        <w:spacing w:after="0" w:line="161" w:lineRule="exact"/>
        <w:rPr>
          <w:rFonts w:ascii="Times New Roman" w:cs="Times New Roman" w:eastAsia="Times New Roman" w:hAnsi="Times New Roman"/>
          <w:sz w:val="20"/>
          <w:szCs w:val="20"/>
          <w:color w:val="auto"/>
        </w:rPr>
      </w:pPr>
    </w:p>
    <w:p>
      <w:pPr>
        <w:ind w:right="160" w:firstLine="757"/>
        <w:spacing w:after="0" w:line="239" w:lineRule="auto"/>
        <w:tabs>
          <w:tab w:leader="none" w:pos="11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13" w:name="page314"/>
    <w:bookmarkEnd w:id="313"/>
    <w:p>
      <w:pPr>
        <w:spacing w:after="0" w:line="235" w:lineRule="auto"/>
        <w:rPr>
          <w:sz w:val="20"/>
          <w:szCs w:val="20"/>
          <w:color w:val="auto"/>
        </w:rPr>
      </w:pPr>
      <w:r>
        <w:rPr>
          <w:rFonts w:ascii="Times New Roman" w:cs="Times New Roman" w:eastAsia="Times New Roman" w:hAnsi="Times New Roman"/>
          <w:sz w:val="22"/>
          <w:szCs w:val="22"/>
          <w:color w:val="auto"/>
        </w:rPr>
        <w:t>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Account Bank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14" w:name="page315"/>
    <w:bookmarkEnd w:id="314"/>
    <w:p>
      <w:pPr>
        <w:jc w:val="center"/>
        <w:ind w:right="80"/>
        <w:spacing w:after="0"/>
        <w:rPr>
          <w:sz w:val="20"/>
          <w:szCs w:val="20"/>
          <w:color w:val="auto"/>
        </w:rPr>
      </w:pPr>
      <w:r>
        <w:rPr>
          <w:rFonts w:ascii="Times New Roman" w:cs="Times New Roman" w:eastAsia="Times New Roman" w:hAnsi="Times New Roman"/>
          <w:sz w:val="22"/>
          <w:szCs w:val="22"/>
          <w:color w:val="auto"/>
        </w:rPr>
        <w:t>ARTICLE THREE</w:t>
      </w:r>
    </w:p>
    <w:p>
      <w:pPr>
        <w:spacing w:after="0" w:line="200" w:lineRule="exact"/>
        <w:rPr>
          <w:sz w:val="20"/>
          <w:szCs w:val="20"/>
          <w:color w:val="auto"/>
        </w:rPr>
      </w:pPr>
    </w:p>
    <w:p>
      <w:pPr>
        <w:spacing w:after="0" w:line="28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SECURITY</w:t>
      </w:r>
    </w:p>
    <w:p>
      <w:pPr>
        <w:spacing w:after="0" w:line="205"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Three.01.</w:t>
      </w:r>
      <w:r>
        <w:rPr>
          <w:sz w:val="20"/>
          <w:szCs w:val="20"/>
          <w:color w:val="auto"/>
        </w:rPr>
        <w:tab/>
      </w:r>
      <w:r>
        <w:rPr>
          <w:rFonts w:ascii="Times New Roman" w:cs="Times New Roman" w:eastAsia="Times New Roman" w:hAnsi="Times New Roman"/>
          <w:sz w:val="20"/>
          <w:szCs w:val="20"/>
          <w:u w:val="single" w:color="auto"/>
          <w:color w:val="auto"/>
        </w:rPr>
        <w:t>Collateral and Back-Up Collateral</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60" w:firstLine="757"/>
        <w:spacing w:after="0" w:line="236" w:lineRule="auto"/>
        <w:tabs>
          <w:tab w:leader="none" w:pos="11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“Collateral”):</w:t>
      </w:r>
    </w:p>
    <w:p>
      <w:pPr>
        <w:spacing w:after="0" w:line="179" w:lineRule="exact"/>
        <w:rPr>
          <w:rFonts w:ascii="Times New Roman" w:cs="Times New Roman" w:eastAsia="Times New Roman" w:hAnsi="Times New Roman"/>
          <w:sz w:val="22"/>
          <w:szCs w:val="22"/>
          <w:color w:val="auto"/>
        </w:rPr>
      </w:pPr>
    </w:p>
    <w:p>
      <w:pPr>
        <w:ind w:left="760" w:right="120" w:firstLine="883"/>
        <w:spacing w:after="0" w:line="237" w:lineRule="auto"/>
        <w:tabs>
          <w:tab w:leader="none" w:pos="2078" w:val="left"/>
        </w:tabs>
        <w:numPr>
          <w:ilvl w:val="2"/>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and the related Contracts listed on the Schedule of Receivables, whether now existing or hereafter acquired, and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on or after the related Cutoff Date;</w:t>
      </w:r>
    </w:p>
    <w:p>
      <w:pPr>
        <w:spacing w:after="0" w:line="180" w:lineRule="exact"/>
        <w:rPr>
          <w:rFonts w:ascii="Times New Roman" w:cs="Times New Roman" w:eastAsia="Times New Roman" w:hAnsi="Times New Roman"/>
          <w:sz w:val="22"/>
          <w:szCs w:val="22"/>
          <w:color w:val="auto"/>
        </w:rPr>
      </w:pPr>
    </w:p>
    <w:p>
      <w:pPr>
        <w:ind w:left="760" w:right="140" w:firstLine="816"/>
        <w:spacing w:after="0" w:line="239" w:lineRule="auto"/>
        <w:tabs>
          <w:tab w:leader="none" w:pos="2011" w:val="left"/>
        </w:tabs>
        <w:numPr>
          <w:ilvl w:val="2"/>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Financed Vehicles related to such Receivables (including Financed Vehicles that have been repossessed) or in any document or writing evidencing any security interest in any Financed Vehicle and each security interest in each Financed Vehicle, whether now existing or hereafter acquired, securing each such Receivable, including all proceeds from any sale or other disposition of such Financed Vehicles;</w:t>
      </w:r>
    </w:p>
    <w:p>
      <w:pPr>
        <w:spacing w:after="0" w:line="178" w:lineRule="exact"/>
        <w:rPr>
          <w:rFonts w:ascii="Times New Roman" w:cs="Times New Roman" w:eastAsia="Times New Roman" w:hAnsi="Times New Roman"/>
          <w:sz w:val="22"/>
          <w:szCs w:val="22"/>
          <w:color w:val="auto"/>
        </w:rPr>
      </w:pPr>
    </w:p>
    <w:p>
      <w:pPr>
        <w:ind w:left="2000" w:hanging="424"/>
        <w:spacing w:after="0"/>
        <w:tabs>
          <w:tab w:leader="none" w:pos="2000" w:val="left"/>
        </w:tabs>
        <w:numPr>
          <w:ilvl w:val="3"/>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5" w:lineRule="exact"/>
        <w:rPr>
          <w:rFonts w:ascii="Times New Roman" w:cs="Times New Roman" w:eastAsia="Times New Roman" w:hAnsi="Times New Roman"/>
          <w:sz w:val="22"/>
          <w:szCs w:val="22"/>
          <w:color w:val="auto"/>
        </w:rPr>
      </w:pPr>
    </w:p>
    <w:p>
      <w:pPr>
        <w:ind w:left="1960" w:hanging="441"/>
        <w:spacing w:after="0"/>
        <w:tabs>
          <w:tab w:leader="none" w:pos="196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proceeds of the foregoing.</w:t>
      </w:r>
    </w:p>
    <w:p>
      <w:pPr>
        <w:spacing w:after="0" w:line="205" w:lineRule="exact"/>
        <w:rPr>
          <w:rFonts w:ascii="Times New Roman" w:cs="Times New Roman" w:eastAsia="Times New Roman" w:hAnsi="Times New Roman"/>
          <w:sz w:val="22"/>
          <w:szCs w:val="22"/>
          <w:color w:val="auto"/>
        </w:rPr>
      </w:pPr>
    </w:p>
    <w:p>
      <w:pPr>
        <w:ind w:firstLine="757"/>
        <w:spacing w:after="0" w:line="260" w:lineRule="auto"/>
        <w:tabs>
          <w:tab w:leader="none" w:pos="118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under this Section does not constitute and is not intended to result in a creation or an assumption by the Administrative Agent, any Agent or any of the Secured Parties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no Agent or any Secured Party shall have any obligations or liability under the Collateral by reason of this Agreement, nor shall any Agent or any Secured Party be obligated to perform any of the obligations or duties of the Borrower thereunder or to take any action to collect or enforce any claim for payment assigned hereunder.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15" w:name="page316"/>
    <w:bookmarkEnd w:id="315"/>
    <w:p>
      <w:pPr>
        <w:ind w:right="40" w:firstLine="757"/>
        <w:spacing w:after="0" w:line="258" w:lineRule="auto"/>
        <w:tabs>
          <w:tab w:leader="none" w:pos="118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grant of security interest, no account, instrument, chattel paper or other obligation or property of any kind due from, owned by or belonging to a Sanctioned Target shall be Collateral.</w:t>
      </w:r>
    </w:p>
    <w:p>
      <w:pPr>
        <w:spacing w:after="0" w:line="157" w:lineRule="exact"/>
        <w:rPr>
          <w:rFonts w:ascii="Times New Roman" w:cs="Times New Roman" w:eastAsia="Times New Roman" w:hAnsi="Times New Roman"/>
          <w:sz w:val="22"/>
          <w:szCs w:val="22"/>
          <w:color w:val="auto"/>
        </w:rPr>
      </w:pPr>
    </w:p>
    <w:p>
      <w:pPr>
        <w:ind w:right="140" w:firstLine="757"/>
        <w:spacing w:after="0" w:line="237" w:lineRule="auto"/>
        <w:tabs>
          <w:tab w:leader="none" w:pos="118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Administrative Agent represents and warrants as to itself that each remittance of Collections by the Borrower to the Administrative Agent or any Lender under this Agreement will have been (i) in payment of a debt incurred by the Borrower in the ordinary course of business or financial affairs of the Borrower and the Administrative Agent or any Lender and (ii) made in the ordinary course of business or financial affairs of the Borrower and the Administrative Agent or any Lender.</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Three.02.</w:t>
      </w:r>
      <w:r>
        <w:rPr>
          <w:sz w:val="20"/>
          <w:szCs w:val="20"/>
          <w:color w:val="auto"/>
        </w:rPr>
        <w:tab/>
      </w:r>
      <w:r>
        <w:rPr>
          <w:rFonts w:ascii="Times New Roman" w:cs="Times New Roman" w:eastAsia="Times New Roman" w:hAnsi="Times New Roman"/>
          <w:sz w:val="20"/>
          <w:szCs w:val="20"/>
          <w:u w:val="single" w:color="auto"/>
          <w:color w:val="auto"/>
        </w:rPr>
        <w:t>Release of Collateral; No Legal Title</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3" w:lineRule="auto"/>
        <w:tabs>
          <w:tab w:leader="none" w:pos="118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same time as any Contract relating to a Receivable (i) expires by its terms and all amounts in respect thereof have been paid by the related Obligor and deposited in the Local Bank Account or the Collection Account or (ii) has been prepaid in full and all amounts in respect thereof have been paid by the related Obligor and deposited in the Local Bank Account and subsequently deposited into the Collection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the Local Bank Account and subsequent deposit within two Business Days thereafter into the Collection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Financed Vehicle in connection with such sale or transfer and assignment. Nothing in this Section shall diminish the Servicer’s obligations pursuant to Sections 7.03(c) and 7.03(d) with respect to the proceeds of any such sale.</w:t>
      </w:r>
    </w:p>
    <w:p>
      <w:pPr>
        <w:spacing w:after="0" w:line="178" w:lineRule="exact"/>
        <w:rPr>
          <w:rFonts w:ascii="Times New Roman" w:cs="Times New Roman" w:eastAsia="Times New Roman" w:hAnsi="Times New Roman"/>
          <w:sz w:val="22"/>
          <w:szCs w:val="22"/>
          <w:color w:val="auto"/>
        </w:rPr>
      </w:pPr>
    </w:p>
    <w:p>
      <w:pPr>
        <w:ind w:right="60" w:firstLine="757"/>
        <w:spacing w:after="0" w:line="258" w:lineRule="auto"/>
        <w:tabs>
          <w:tab w:leader="none" w:pos="1180"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 reallocation of the Receivables and related Collateral in connection with a prepayment pursuant to Section 2.06 or a Securitization 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Receivables (and the other related Collateral) to be released to the Borrower,</w:t>
      </w:r>
    </w:p>
    <w:p>
      <w:pPr>
        <w:spacing w:after="0" w:line="1" w:lineRule="exact"/>
        <w:rPr>
          <w:rFonts w:ascii="Times New Roman" w:cs="Times New Roman" w:eastAsia="Times New Roman" w:hAnsi="Times New Roman"/>
          <w:sz w:val="20"/>
          <w:szCs w:val="20"/>
          <w:color w:val="auto"/>
        </w:rPr>
      </w:pPr>
    </w:p>
    <w:p>
      <w:pPr>
        <w:ind w:right="40" w:firstLine="8"/>
        <w:spacing w:after="0" w:line="233" w:lineRule="auto"/>
        <w:tabs>
          <w:tab w:leader="none" w:pos="34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spacing w:after="0" w:line="180" w:lineRule="exact"/>
        <w:rPr>
          <w:rFonts w:ascii="Times New Roman" w:cs="Times New Roman" w:eastAsia="Times New Roman" w:hAnsi="Times New Roman"/>
          <w:sz w:val="22"/>
          <w:szCs w:val="22"/>
          <w:color w:val="auto"/>
        </w:rPr>
      </w:pPr>
    </w:p>
    <w:p>
      <w:pPr>
        <w:ind w:right="20" w:firstLine="757"/>
        <w:spacing w:after="0" w:line="244" w:lineRule="auto"/>
        <w:tabs>
          <w:tab w:leader="none" w:pos="1180"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16" w:name="page317"/>
    <w:bookmarkEnd w:id="316"/>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Three.03.</w:t>
      </w:r>
      <w:r>
        <w:rPr>
          <w:sz w:val="20"/>
          <w:szCs w:val="20"/>
          <w:color w:val="auto"/>
        </w:rPr>
        <w:tab/>
      </w:r>
      <w:r>
        <w:rPr>
          <w:rFonts w:ascii="Times New Roman" w:cs="Times New Roman" w:eastAsia="Times New Roman" w:hAnsi="Times New Roman"/>
          <w:sz w:val="20"/>
          <w:szCs w:val="20"/>
          <w:u w:val="single" w:color="auto"/>
          <w:color w:val="auto"/>
        </w:rPr>
        <w:t>Protection of Security Interest; Administrative Agent, as Attorney-in-Fact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40" w:firstLine="757"/>
        <w:spacing w:after="0" w:line="262" w:lineRule="auto"/>
        <w:tabs>
          <w:tab w:leader="none" w:pos="118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the Administrative Agent or any Secured Party as Lienholder.</w:t>
      </w:r>
    </w:p>
    <w:p>
      <w:pPr>
        <w:spacing w:after="0" w:line="157" w:lineRule="exact"/>
        <w:rPr>
          <w:rFonts w:ascii="Times New Roman" w:cs="Times New Roman" w:eastAsia="Times New Roman" w:hAnsi="Times New Roman"/>
          <w:sz w:val="20"/>
          <w:szCs w:val="20"/>
          <w:color w:val="auto"/>
        </w:rPr>
      </w:pPr>
    </w:p>
    <w:p>
      <w:pPr>
        <w:ind w:firstLine="757"/>
        <w:spacing w:after="0" w:line="233" w:lineRule="auto"/>
        <w:tabs>
          <w:tab w:leader="none" w:pos="118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perform any of its obligations hereunder after five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This appointment is coupled with an interest and is irrevocable.</w:t>
      </w:r>
    </w:p>
    <w:p>
      <w:pPr>
        <w:spacing w:after="0" w:line="178"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Three.04. </w:t>
      </w:r>
      <w:r>
        <w:rPr>
          <w:rFonts w:ascii="Times New Roman" w:cs="Times New Roman" w:eastAsia="Times New Roman" w:hAnsi="Times New Roman"/>
          <w:sz w:val="22"/>
          <w:szCs w:val="22"/>
          <w:u w:val="single" w:color="auto"/>
          <w:color w:val="auto"/>
        </w:rPr>
        <w:t>Assignment of the Purchase Agreement</w:t>
      </w:r>
      <w:r>
        <w:rPr>
          <w:rFonts w:ascii="Times New Roman" w:cs="Times New Roman" w:eastAsia="Times New Roman" w:hAnsi="Times New Roman"/>
          <w:sz w:val="22"/>
          <w:szCs w:val="22"/>
          <w:color w:val="auto"/>
        </w:rPr>
        <w:t>. The Borrower hereby represents, warrants and confirms to the Administrative Agent that the Borrower has assigned to the Administrative Agent, for the ratable benefit of the Secured Parties hereunder, all of the Borrower’s right and title to and interest in the Purchase Agreement (including each Transfer Agreement). The Borrower confirms that the Administrative Agent shall have the sole right to enforce the Borrower’s rights and remedies under the Purchase Agreement or any Transfer Agreement for the benefit of the Secured Parties, but without any obligation on the part of the Administrative Agent, the Secured Parties or any of their respective Affiliates, to perform any of the obligations of the Borrower under the Purchase Agreement or any Transfer Agreement. The Borrower further confirms and agrees that such assignment to the Administrative Agent shall terminate upon the Facility Termination Date; provided, however, that the rights of the Administrative Agent and the Secured Parties pursuant to such assignment with respect to rights and remedies in connection with any indemnities and any breach of any representation, warranty or covenants made by UACC pursuant to the Purchase Agreement, which rights and remedies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2"/>
          <w:szCs w:val="22"/>
          <w:color w:val="auto"/>
        </w:rPr>
        <w:t>survive the termination of the Purchase Agreement, shall be continuing and shall survive any termination of such assignment.</w:t>
      </w:r>
    </w:p>
    <w:p>
      <w:pPr>
        <w:spacing w:after="0" w:line="20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Three.05. </w:t>
      </w:r>
      <w:r>
        <w:rPr>
          <w:rFonts w:ascii="Times New Roman" w:cs="Times New Roman" w:eastAsia="Times New Roman" w:hAnsi="Times New Roman"/>
          <w:sz w:val="22"/>
          <w:szCs w:val="22"/>
          <w:u w:val="single" w:color="auto"/>
          <w:color w:val="auto"/>
        </w:rPr>
        <w:t>Waiver of Certain Laws</w:t>
      </w:r>
      <w:r>
        <w:rPr>
          <w:rFonts w:ascii="Times New Roman" w:cs="Times New Roman" w:eastAsia="Times New Roman" w:hAnsi="Times New Roman"/>
          <w:sz w:val="22"/>
          <w:szCs w:val="22"/>
          <w:color w:val="auto"/>
        </w:rPr>
        <w:t>. Each of the Borrower, the Servicer, the Backup Servicer, the Account Bank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Backup Servicer, the Account Bank and the Custodian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18" w:name="page319"/>
    <w:bookmarkEnd w:id="318"/>
    <w:p>
      <w:pPr>
        <w:jc w:val="center"/>
        <w:ind w:right="200"/>
        <w:spacing w:after="0"/>
        <w:rPr>
          <w:sz w:val="20"/>
          <w:szCs w:val="20"/>
          <w:color w:val="auto"/>
        </w:rPr>
      </w:pPr>
      <w:r>
        <w:rPr>
          <w:rFonts w:ascii="Times New Roman" w:cs="Times New Roman" w:eastAsia="Times New Roman" w:hAnsi="Times New Roman"/>
          <w:sz w:val="22"/>
          <w:szCs w:val="22"/>
          <w:color w:val="auto"/>
        </w:rPr>
        <w:t>ARTICLE FOUR</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CONDITIONS OF CLOSING AND LOANS</w:t>
      </w:r>
    </w:p>
    <w:p>
      <w:pPr>
        <w:spacing w:after="0" w:line="205" w:lineRule="exact"/>
        <w:rPr>
          <w:sz w:val="20"/>
          <w:szCs w:val="20"/>
          <w:color w:val="auto"/>
        </w:rPr>
      </w:pPr>
    </w:p>
    <w:p>
      <w:pPr>
        <w:ind w:right="30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Four.01. </w:t>
      </w:r>
      <w:r>
        <w:rPr>
          <w:rFonts w:ascii="Times New Roman" w:cs="Times New Roman" w:eastAsia="Times New Roman" w:hAnsi="Times New Roman"/>
          <w:sz w:val="22"/>
          <w:szCs w:val="22"/>
          <w:u w:val="single" w:color="auto"/>
          <w:color w:val="auto"/>
        </w:rPr>
        <w:t>Conditions to Closing and Initial Loan</w:t>
      </w:r>
      <w:r>
        <w:rPr>
          <w:rFonts w:ascii="Times New Roman" w:cs="Times New Roman" w:eastAsia="Times New Roman" w:hAnsi="Times New Roman"/>
          <w:sz w:val="22"/>
          <w:szCs w:val="22"/>
          <w:color w:val="auto"/>
        </w:rPr>
        <w:t>. The Closing Date shall not occur and no Lender shall be obligated to make any Lender Advance hereunder on the occasion of the Initial Loan, nor shall any Lender, the Administrative Agent, any Agent, the Backup Servicer, the Account Bank or the Custodian be obligated to take, fulfill or perform any other action hereunder, until, in the case of (i) the Closing Date, the conditions set forth [***]</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Section Four.02.</w:t>
            </w:r>
          </w:p>
        </w:tc>
        <w:tc>
          <w:tcPr>
            <w:tcW w:w="84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Conditions Precedent to All Loans. Each request for a Loan by the Borrower to a Lender shall be</w:t>
            </w:r>
          </w:p>
        </w:tc>
      </w:tr>
      <w:tr>
        <w:trPr>
          <w:trHeight w:val="276"/>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subject to the conditions set</w:t>
            </w:r>
          </w:p>
        </w:tc>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93"/>
              </w:rPr>
              <w:t>forth in Section 4.01 and the further</w:t>
            </w:r>
          </w:p>
        </w:tc>
        <w:tc>
          <w:tcPr>
            <w:tcW w:w="5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conditions precedent that:</w:t>
            </w:r>
          </w:p>
        </w:tc>
      </w:tr>
      <w:tr>
        <w:trPr>
          <w:trHeight w:val="458"/>
        </w:trPr>
        <w:tc>
          <w:tcPr>
            <w:tcW w:w="248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96"/>
              </w:rPr>
              <w:t>[***]</w:t>
            </w:r>
          </w:p>
        </w:tc>
        <w:tc>
          <w:tcPr>
            <w:tcW w:w="2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85"/>
        </w:trPr>
        <w:tc>
          <w:tcPr>
            <w:tcW w:w="10940" w:type="dxa"/>
            <w:vAlign w:val="bottom"/>
            <w:gridSpan w:val="4"/>
          </w:tcPr>
          <w:p>
            <w:pPr>
              <w:ind w:left="760"/>
              <w:spacing w:after="0"/>
              <w:rPr>
                <w:sz w:val="20"/>
                <w:szCs w:val="20"/>
                <w:color w:val="auto"/>
              </w:rPr>
            </w:pPr>
            <w:r>
              <w:rPr>
                <w:rFonts w:ascii="Times New Roman" w:cs="Times New Roman" w:eastAsia="Times New Roman" w:hAnsi="Times New Roman"/>
                <w:sz w:val="22"/>
                <w:szCs w:val="22"/>
                <w:color w:val="auto"/>
              </w:rPr>
              <w:t>REPRESENTATIONS AND WARRANTIES</w:t>
            </w:r>
          </w:p>
        </w:tc>
      </w:tr>
      <w:tr>
        <w:trPr>
          <w:trHeight w:val="406"/>
        </w:trPr>
        <w:tc>
          <w:tcPr>
            <w:tcW w:w="24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Section Four.03.</w:t>
            </w:r>
          </w:p>
        </w:tc>
        <w:tc>
          <w:tcPr>
            <w:tcW w:w="84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Representations and Warranties of the Borrower. The Borrower represents and warrants, as of the</w:t>
            </w:r>
          </w:p>
        </w:tc>
      </w:tr>
      <w:tr>
        <w:trPr>
          <w:trHeight w:val="20"/>
        </w:trPr>
        <w:tc>
          <w:tcPr>
            <w:tcW w:w="24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Closing Date, each other Effective Date and each Funding Date, as follows:</w:t>
      </w:r>
    </w:p>
    <w:p>
      <w:pPr>
        <w:spacing w:after="0" w:line="205" w:lineRule="exact"/>
        <w:rPr>
          <w:sz w:val="20"/>
          <w:szCs w:val="20"/>
          <w:color w:val="auto"/>
        </w:rPr>
      </w:pPr>
    </w:p>
    <w:p>
      <w:pPr>
        <w:ind w:left="760" w:firstLine="745"/>
        <w:spacing w:after="0" w:line="237" w:lineRule="auto"/>
        <w:tabs>
          <w:tab w:leader="none" w:pos="194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spacing w:after="0" w:line="180" w:lineRule="exact"/>
        <w:rPr>
          <w:rFonts w:ascii="Times New Roman" w:cs="Times New Roman" w:eastAsia="Times New Roman" w:hAnsi="Times New Roman"/>
          <w:sz w:val="22"/>
          <w:szCs w:val="22"/>
          <w:color w:val="auto"/>
        </w:rPr>
      </w:pPr>
    </w:p>
    <w:p>
      <w:pPr>
        <w:ind w:left="760" w:right="300" w:firstLine="745"/>
        <w:spacing w:after="0" w:line="239" w:lineRule="auto"/>
        <w:tabs>
          <w:tab w:leader="none" w:pos="194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Borrower is duly qualified to do business and is in good standing as a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w:t>
      </w:r>
    </w:p>
    <w:p>
      <w:pPr>
        <w:spacing w:after="0" w:line="178" w:lineRule="exact"/>
        <w:rPr>
          <w:rFonts w:ascii="Times New Roman" w:cs="Times New Roman" w:eastAsia="Times New Roman" w:hAnsi="Times New Roman"/>
          <w:sz w:val="22"/>
          <w:szCs w:val="22"/>
          <w:color w:val="auto"/>
        </w:rPr>
      </w:pPr>
    </w:p>
    <w:p>
      <w:pPr>
        <w:ind w:left="760" w:right="140" w:firstLine="745"/>
        <w:spacing w:after="0" w:line="266" w:lineRule="auto"/>
        <w:tabs>
          <w:tab w:leader="none" w:pos="194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 and Authority; Due Authorization</w:t>
      </w:r>
      <w:r>
        <w:rPr>
          <w:rFonts w:ascii="Times New Roman" w:cs="Times New Roman" w:eastAsia="Times New Roman" w:hAnsi="Times New Roman"/>
          <w:sz w:val="20"/>
          <w:szCs w:val="20"/>
          <w:color w:val="auto"/>
        </w:rPr>
        <w:t>. The Borrower (i) has all necessary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spacing w:after="0" w:line="154" w:lineRule="exact"/>
        <w:rPr>
          <w:rFonts w:ascii="Times New Roman" w:cs="Times New Roman" w:eastAsia="Times New Roman" w:hAnsi="Times New Roman"/>
          <w:sz w:val="20"/>
          <w:szCs w:val="20"/>
          <w:color w:val="auto"/>
        </w:rPr>
      </w:pPr>
    </w:p>
    <w:p>
      <w:pPr>
        <w:ind w:left="760" w:right="100" w:firstLine="745"/>
        <w:spacing w:after="0" w:line="244" w:lineRule="auto"/>
        <w:tabs>
          <w:tab w:leader="none" w:pos="194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19" w:name="page320"/>
    <w:bookmarkEnd w:id="319"/>
    <w:p>
      <w:pPr>
        <w:ind w:left="760"/>
        <w:spacing w:after="0" w:line="239" w:lineRule="auto"/>
        <w:rPr>
          <w:sz w:val="20"/>
          <w:szCs w:val="20"/>
          <w:color w:val="auto"/>
        </w:rPr>
      </w:pPr>
      <w:r>
        <w:rPr>
          <w:rFonts w:ascii="Times New Roman" w:cs="Times New Roman" w:eastAsia="Times New Roman" w:hAnsi="Times New Roman"/>
          <w:sz w:val="22"/>
          <w:szCs w:val="22"/>
          <w:color w:val="auto"/>
        </w:rPr>
        <w:t>Formation Documents or a default in any material respect under any Contractual Obligation of the Borrower, (ii) result in the creation or imposition of any Lien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79" w:lineRule="exact"/>
        <w:rPr>
          <w:sz w:val="20"/>
          <w:szCs w:val="20"/>
          <w:color w:val="auto"/>
        </w:rPr>
      </w:pPr>
    </w:p>
    <w:p>
      <w:pPr>
        <w:ind w:left="760" w:right="300" w:firstLine="745"/>
        <w:spacing w:after="0" w:line="237" w:lineRule="auto"/>
        <w:tabs>
          <w:tab w:leader="none" w:pos="194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ind w:left="760" w:right="200" w:firstLine="745"/>
        <w:spacing w:after="0" w:line="244" w:lineRule="auto"/>
        <w:tabs>
          <w:tab w:leader="none" w:pos="194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licenses or other actions of any Person or of any Governmental Authority required for the due execution, delivery and performance by the Borrower of the Borrower Basic Documents have been obtained.</w:t>
      </w:r>
    </w:p>
    <w:p>
      <w:pPr>
        <w:spacing w:after="0" w:line="172" w:lineRule="exact"/>
        <w:rPr>
          <w:rFonts w:ascii="Times New Roman" w:cs="Times New Roman" w:eastAsia="Times New Roman" w:hAnsi="Times New Roman"/>
          <w:sz w:val="22"/>
          <w:szCs w:val="22"/>
          <w:color w:val="auto"/>
        </w:rPr>
      </w:pPr>
    </w:p>
    <w:p>
      <w:pPr>
        <w:ind w:left="760" w:right="300" w:firstLine="745"/>
        <w:spacing w:after="0" w:line="258" w:lineRule="auto"/>
        <w:tabs>
          <w:tab w:leader="none" w:pos="194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Sales</w:t>
      </w:r>
      <w:r>
        <w:rPr>
          <w:rFonts w:ascii="Times New Roman" w:cs="Times New Roman" w:eastAsia="Times New Roman" w:hAnsi="Times New Roman"/>
          <w:sz w:val="22"/>
          <w:szCs w:val="22"/>
          <w:color w:val="auto"/>
        </w:rPr>
        <w:t>. The execution, delivery and performance of this Agreement do not require compliance with any “bulk sales” act or similar law by the Borrower.</w:t>
      </w:r>
    </w:p>
    <w:p>
      <w:pPr>
        <w:spacing w:after="0" w:line="157"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contemplated by the Borrower Basic Documents do not and will not render the Borrower not Solvent.</w:t>
      </w:r>
    </w:p>
    <w:p>
      <w:pPr>
        <w:spacing w:after="0" w:line="157" w:lineRule="exact"/>
        <w:rPr>
          <w:rFonts w:ascii="Times New Roman" w:cs="Times New Roman" w:eastAsia="Times New Roman" w:hAnsi="Times New Roman"/>
          <w:sz w:val="22"/>
          <w:szCs w:val="22"/>
          <w:color w:val="auto"/>
        </w:rPr>
      </w:pPr>
    </w:p>
    <w:p>
      <w:pPr>
        <w:ind w:left="760" w:right="20" w:firstLine="745"/>
        <w:spacing w:after="0" w:line="239" w:lineRule="auto"/>
        <w:tabs>
          <w:tab w:leader="none" w:pos="194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Procedures</w:t>
      </w:r>
      <w:r>
        <w:rPr>
          <w:rFonts w:ascii="Times New Roman" w:cs="Times New Roman" w:eastAsia="Times New Roman" w:hAnsi="Times New Roman"/>
          <w:sz w:val="22"/>
          <w:szCs w:val="22"/>
          <w:color w:val="auto"/>
        </w:rPr>
        <w:t>. No procedures that could reasonably be expected to be adverse to the interests of the Lenders were utilized by the Borrower in identifying and/or selecting Receivables to be funded by the related Loans. In addition, each Receivable shall have been underwritten in accordance with and satisfy the standards of the Credit and Collection Policy at the time of origination of such Receivable.</w:t>
      </w:r>
    </w:p>
    <w:p>
      <w:pPr>
        <w:spacing w:after="0" w:line="178" w:lineRule="exact"/>
        <w:rPr>
          <w:rFonts w:ascii="Times New Roman" w:cs="Times New Roman" w:eastAsia="Times New Roman" w:hAnsi="Times New Roman"/>
          <w:sz w:val="22"/>
          <w:szCs w:val="22"/>
          <w:color w:val="auto"/>
        </w:rPr>
      </w:pPr>
    </w:p>
    <w:p>
      <w:pPr>
        <w:ind w:left="760" w:right="140" w:firstLine="745"/>
        <w:spacing w:after="0" w:line="236" w:lineRule="auto"/>
        <w:tabs>
          <w:tab w:leader="none" w:pos="194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has filed or caused to be filed all tax returns that are required to be filed by it. The Borrower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spacing w:after="0" w:line="179" w:lineRule="exact"/>
        <w:rPr>
          <w:rFonts w:ascii="Times New Roman" w:cs="Times New Roman" w:eastAsia="Times New Roman" w:hAnsi="Times New Roman"/>
          <w:sz w:val="22"/>
          <w:szCs w:val="22"/>
          <w:color w:val="auto"/>
        </w:rPr>
      </w:pPr>
    </w:p>
    <w:p>
      <w:pPr>
        <w:ind w:left="760" w:right="120" w:firstLine="745"/>
        <w:spacing w:after="0" w:line="236" w:lineRule="auto"/>
        <w:tabs>
          <w:tab w:leader="none" w:pos="194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 Regulations T, U and X</w:t>
      </w:r>
      <w:r>
        <w:rPr>
          <w:rFonts w:ascii="Times New Roman" w:cs="Times New Roman" w:eastAsia="Times New Roman" w:hAnsi="Times New Roman"/>
          <w:sz w:val="22"/>
          <w:szCs w:val="22"/>
          <w:color w:val="auto"/>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Loans will be used to carry or purchase, any “Margin Stock” within the meaning of Regulation U or to extend “Purchase Credit” within the meaning of Regulation U.</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20" w:name="page321"/>
    <w:bookmarkEnd w:id="320"/>
    <w:p>
      <w:pPr>
        <w:ind w:left="760" w:right="20" w:firstLine="745"/>
        <w:spacing w:after="0" w:line="262" w:lineRule="auto"/>
        <w:tabs>
          <w:tab w:leader="none" w:pos="194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Quality of Title</w:t>
      </w:r>
      <w:r>
        <w:rPr>
          <w:rFonts w:ascii="Times New Roman" w:cs="Times New Roman" w:eastAsia="Times New Roman" w:hAnsi="Times New Roman"/>
          <w:sz w:val="20"/>
          <w:szCs w:val="20"/>
          <w:color w:val="auto"/>
        </w:rPr>
        <w:t>. Each Receivable, together with the Contract related thereto,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spacing w:after="0" w:line="157" w:lineRule="exact"/>
        <w:rPr>
          <w:rFonts w:ascii="Times New Roman" w:cs="Times New Roman" w:eastAsia="Times New Roman" w:hAnsi="Times New Roman"/>
          <w:sz w:val="20"/>
          <w:szCs w:val="20"/>
          <w:color w:val="auto"/>
        </w:rPr>
      </w:pPr>
    </w:p>
    <w:p>
      <w:pPr>
        <w:ind w:left="760" w:right="40" w:firstLine="745"/>
        <w:spacing w:after="0" w:line="261" w:lineRule="auto"/>
        <w:tabs>
          <w:tab w:leader="none" w:pos="194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w:t>
      </w:r>
      <w:r>
        <w:rPr>
          <w:rFonts w:ascii="Times New Roman" w:cs="Times New Roman" w:eastAsia="Times New Roman" w:hAnsi="Times New Roman"/>
          <w:sz w:val="20"/>
          <w:szCs w:val="20"/>
          <w:color w:val="auto"/>
        </w:rPr>
        <w: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control, in the case of that portion of the Collateral which constitutes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w:t>
      </w:r>
    </w:p>
    <w:p>
      <w:pPr>
        <w:spacing w:after="0" w:line="156" w:lineRule="exact"/>
        <w:rPr>
          <w:rFonts w:ascii="Times New Roman" w:cs="Times New Roman" w:eastAsia="Times New Roman" w:hAnsi="Times New Roman"/>
          <w:sz w:val="20"/>
          <w:szCs w:val="20"/>
          <w:color w:val="auto"/>
        </w:rPr>
      </w:pPr>
    </w:p>
    <w:p>
      <w:pPr>
        <w:ind w:left="760" w:firstLine="745"/>
        <w:spacing w:after="0" w:line="237" w:lineRule="auto"/>
        <w:tabs>
          <w:tab w:leader="none" w:pos="194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Administrative Agent, each Agent, the Account Bank, the Backup Servicer and any Secured Party in connection with this Agreement are true, complete and correct in all material respects.</w:t>
      </w:r>
    </w:p>
    <w:p>
      <w:pPr>
        <w:spacing w:after="0" w:line="180" w:lineRule="exact"/>
        <w:rPr>
          <w:rFonts w:ascii="Times New Roman" w:cs="Times New Roman" w:eastAsia="Times New Roman" w:hAnsi="Times New Roman"/>
          <w:sz w:val="22"/>
          <w:szCs w:val="22"/>
          <w:color w:val="auto"/>
        </w:rPr>
      </w:pPr>
    </w:p>
    <w:p>
      <w:pPr>
        <w:ind w:left="760" w:right="240" w:firstLine="745"/>
        <w:spacing w:after="0" w:line="239" w:lineRule="auto"/>
        <w:tabs>
          <w:tab w:leader="none" w:pos="194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Offices</w:t>
      </w:r>
      <w:r>
        <w:rPr>
          <w:rFonts w:ascii="Times New Roman" w:cs="Times New Roman" w:eastAsia="Times New Roman" w:hAnsi="Times New Roman"/>
          <w:sz w:val="22"/>
          <w:szCs w:val="22"/>
          <w:color w:val="auto"/>
        </w:rPr>
        <w:t>.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w:t>
      </w:r>
    </w:p>
    <w:p>
      <w:pPr>
        <w:spacing w:after="0" w:line="178" w:lineRule="exact"/>
        <w:rPr>
          <w:rFonts w:ascii="Times New Roman" w:cs="Times New Roman" w:eastAsia="Times New Roman" w:hAnsi="Times New Roman"/>
          <w:sz w:val="22"/>
          <w:szCs w:val="22"/>
          <w:color w:val="auto"/>
        </w:rPr>
      </w:pPr>
    </w:p>
    <w:p>
      <w:pPr>
        <w:ind w:left="760" w:right="60" w:firstLine="745"/>
        <w:spacing w:after="0" w:line="234" w:lineRule="auto"/>
        <w:tabs>
          <w:tab w:leader="none" w:pos="194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 Local Bank Account; Collection Account</w:t>
      </w:r>
      <w:r>
        <w:rPr>
          <w:rFonts w:ascii="Times New Roman" w:cs="Times New Roman" w:eastAsia="Times New Roman" w:hAnsi="Times New Roman"/>
          <w:sz w:val="22"/>
          <w:szCs w:val="22"/>
          <w:color w:val="auto"/>
        </w:rPr>
        <w:t>. The Borrower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21" w:name="page322"/>
    <w:bookmarkEnd w:id="321"/>
    <w:p>
      <w:pPr>
        <w:ind w:left="760" w:right="140"/>
        <w:spacing w:after="0" w:line="258" w:lineRule="auto"/>
        <w:rPr>
          <w:sz w:val="20"/>
          <w:szCs w:val="20"/>
          <w:color w:val="auto"/>
        </w:rPr>
      </w:pPr>
      <w:r>
        <w:rPr>
          <w:rFonts w:ascii="Times New Roman" w:cs="Times New Roman" w:eastAsia="Times New Roman" w:hAnsi="Times New Roman"/>
          <w:sz w:val="22"/>
          <w:szCs w:val="22"/>
          <w:color w:val="auto"/>
        </w:rPr>
        <w:t>Intercreditor Party Supplement. The Collection Account or any interest therein has not been pledged or assigned to any party other than the Administrative Agent.</w:t>
      </w:r>
    </w:p>
    <w:p>
      <w:pPr>
        <w:spacing w:after="0" w:line="157" w:lineRule="exact"/>
        <w:rPr>
          <w:sz w:val="20"/>
          <w:szCs w:val="20"/>
          <w:color w:val="auto"/>
        </w:rPr>
      </w:pPr>
    </w:p>
    <w:p>
      <w:pPr>
        <w:ind w:left="760" w:right="260" w:firstLine="745"/>
        <w:spacing w:after="0" w:line="258" w:lineRule="auto"/>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Tradenames</w:t>
      </w:r>
      <w:r>
        <w:rPr>
          <w:rFonts w:ascii="Times New Roman" w:cs="Times New Roman" w:eastAsia="Times New Roman" w:hAnsi="Times New Roman"/>
          <w:sz w:val="22"/>
          <w:szCs w:val="22"/>
          <w:color w:val="auto"/>
        </w:rPr>
        <w:t>. The Borrower has no trade names, fictitious names, assumed names or “doing business as” names or other names under which it has done or is doing business.</w:t>
      </w:r>
    </w:p>
    <w:p>
      <w:pPr>
        <w:spacing w:after="0" w:line="157" w:lineRule="exact"/>
        <w:rPr>
          <w:rFonts w:ascii="Times New Roman" w:cs="Times New Roman" w:eastAsia="Times New Roman" w:hAnsi="Times New Roman"/>
          <w:sz w:val="22"/>
          <w:szCs w:val="22"/>
          <w:color w:val="auto"/>
        </w:rPr>
      </w:pPr>
    </w:p>
    <w:p>
      <w:pPr>
        <w:ind w:left="760" w:right="460" w:firstLine="745"/>
        <w:spacing w:after="0" w:line="258" w:lineRule="auto"/>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The Purchase Agreement is the only agreement pursuant to which the Borrower purchases Receivables and the related Contracts.</w:t>
      </w:r>
    </w:p>
    <w:p>
      <w:pPr>
        <w:spacing w:after="0" w:line="157" w:lineRule="exact"/>
        <w:rPr>
          <w:rFonts w:ascii="Times New Roman" w:cs="Times New Roman" w:eastAsia="Times New Roman" w:hAnsi="Times New Roman"/>
          <w:sz w:val="22"/>
          <w:szCs w:val="22"/>
          <w:color w:val="auto"/>
        </w:rPr>
      </w:pPr>
    </w:p>
    <w:p>
      <w:pPr>
        <w:ind w:left="760" w:right="20" w:firstLine="745"/>
        <w:spacing w:after="0" w:line="239" w:lineRule="auto"/>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Given</w:t>
      </w:r>
      <w:r>
        <w:rPr>
          <w:rFonts w:ascii="Times New Roman" w:cs="Times New Roman" w:eastAsia="Times New Roman" w:hAnsi="Times New Roman"/>
          <w:sz w:val="22"/>
          <w:szCs w:val="22"/>
          <w:color w:val="auto"/>
        </w:rPr>
        <w:t>. The Borrower shall have given reasonably equivalent value to UACC in consideration for the transfer to the Borrower of the Receivables and the related Collateral under the Purchase Agreement, no such transfer shall have been made for or on account of an antecedent debt owed by UACC to the Borrower and no such transfer is or may be voidable or subject to avoidance under any section of the Bankruptcy Code.</w:t>
      </w:r>
    </w:p>
    <w:p>
      <w:pPr>
        <w:spacing w:after="0" w:line="178" w:lineRule="exact"/>
        <w:rPr>
          <w:rFonts w:ascii="Times New Roman" w:cs="Times New Roman" w:eastAsia="Times New Roman" w:hAnsi="Times New Roman"/>
          <w:sz w:val="22"/>
          <w:szCs w:val="22"/>
          <w:color w:val="auto"/>
        </w:rPr>
      </w:pPr>
    </w:p>
    <w:p>
      <w:pPr>
        <w:ind w:left="760" w:right="60" w:firstLine="745"/>
        <w:spacing w:after="0" w:line="239" w:lineRule="auto"/>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The Borrower accounts for the transfers to it from UACC of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is in compliance with Section 6.02(n).</w:t>
      </w:r>
    </w:p>
    <w:p>
      <w:pPr>
        <w:spacing w:after="0" w:line="205" w:lineRule="exact"/>
        <w:rPr>
          <w:rFonts w:ascii="Times New Roman" w:cs="Times New Roman" w:eastAsia="Times New Roman" w:hAnsi="Times New Roman"/>
          <w:sz w:val="22"/>
          <w:szCs w:val="22"/>
          <w:color w:val="auto"/>
        </w:rPr>
      </w:pPr>
    </w:p>
    <w:p>
      <w:pPr>
        <w:ind w:left="760" w:firstLine="745"/>
        <w:spacing w:after="0" w:line="235" w:lineRule="auto"/>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Filings</w:t>
      </w:r>
      <w:r>
        <w:rPr>
          <w:rFonts w:ascii="Times New Roman" w:cs="Times New Roman" w:eastAsia="Times New Roman" w:hAnsi="Times New Roman"/>
          <w:sz w:val="22"/>
          <w:szCs w:val="22"/>
          <w:color w:val="auto"/>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spacing w:after="0" w:line="180" w:lineRule="exact"/>
        <w:rPr>
          <w:rFonts w:ascii="Times New Roman" w:cs="Times New Roman" w:eastAsia="Times New Roman" w:hAnsi="Times New Roman"/>
          <w:sz w:val="22"/>
          <w:szCs w:val="22"/>
          <w:color w:val="auto"/>
        </w:rPr>
      </w:pPr>
    </w:p>
    <w:p>
      <w:pPr>
        <w:ind w:left="760" w:right="200" w:firstLine="745"/>
        <w:spacing w:after="0" w:line="237" w:lineRule="auto"/>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Borrower is not an “investment company” within the meaning of the Investment Company Act and is not required to register as an “investment company” under the Investment Company Act. In reaching this conclusion, the Borrower relied on the exemption from the definition of “investment company” contained in Section 3(c)(5) of the Investment Company Act, although other exclusions or exemptions may apply. The Borrower is not a “covered fund” for purposes of the Volcker Rule.</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has no current or former employees. Neither the Borrower nor any ERISA Affiliate sponsors contributes to or is required to contribute to any Pension Plan or any Multiemployer Plan.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22" w:name="page323"/>
    <w:bookmarkEnd w:id="322"/>
    <w:p>
      <w:pPr>
        <w:jc w:val="both"/>
        <w:ind w:left="760" w:right="80" w:firstLine="745"/>
        <w:spacing w:after="0" w:line="244" w:lineRule="auto"/>
        <w:tabs>
          <w:tab w:leader="none" w:pos="194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w:t>
      </w:r>
      <w:r>
        <w:rPr>
          <w:rFonts w:ascii="Times New Roman" w:cs="Times New Roman" w:eastAsia="Times New Roman" w:hAnsi="Times New Roman"/>
          <w:sz w:val="22"/>
          <w:szCs w:val="22"/>
          <w:color w:val="auto"/>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spacing w:after="0" w:line="172" w:lineRule="exact"/>
        <w:rPr>
          <w:rFonts w:ascii="Times New Roman" w:cs="Times New Roman" w:eastAsia="Times New Roman" w:hAnsi="Times New Roman"/>
          <w:sz w:val="22"/>
          <w:szCs w:val="22"/>
          <w:color w:val="auto"/>
        </w:rPr>
      </w:pPr>
    </w:p>
    <w:p>
      <w:pPr>
        <w:ind w:left="760" w:right="60" w:firstLine="745"/>
        <w:spacing w:after="0" w:line="237" w:lineRule="auto"/>
        <w:tabs>
          <w:tab w:leader="none" w:pos="194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in Purchase Agreement</w:t>
      </w:r>
      <w:r>
        <w:rPr>
          <w:rFonts w:ascii="Times New Roman" w:cs="Times New Roman" w:eastAsia="Times New Roman" w:hAnsi="Times New Roman"/>
          <w:sz w:val="22"/>
          <w:szCs w:val="22"/>
          <w:color w:val="auto"/>
        </w:rPr>
        <w:t>. The representations and warranties made by the Borrower to UACC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spacing w:after="0" w:line="180" w:lineRule="exact"/>
        <w:rPr>
          <w:sz w:val="20"/>
          <w:szCs w:val="20"/>
          <w:color w:val="auto"/>
        </w:rPr>
      </w:pPr>
    </w:p>
    <w:p>
      <w:pPr>
        <w:ind w:left="760" w:right="160" w:firstLine="745"/>
        <w:spacing w:after="0" w:line="261" w:lineRule="auto"/>
        <w:tabs>
          <w:tab w:leader="none" w:pos="194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Borrower represents and warrants continuously throughout the term of this agreement that (i) no member of the Borrowing Group is a Sanctioned Target, (ii) no member of the Borrowing Group is owned or controlled by, or is acting or purporting to act for or on behalf of, directly or indirectly, a Sanctioned Target, (iii) each member of the Borrowing Group has instituted, maintains and complies with policies, procedures and controls reasonably designed to assure compliance with Sanctions and (iv) to the best of Borrower’s knowledge, after due care and inquiry, no member of the Borrowing Group is under investigation for an alleged violation of Sanction(s) by a governmental authority that enforces Sanctions. The Borrower shall notify the Administrative Agent, each Agent and each Lender in writing not more than one Business Day after first becoming aware of any breach of this section.</w:t>
      </w:r>
    </w:p>
    <w:p>
      <w:pPr>
        <w:spacing w:after="0" w:line="156" w:lineRule="exact"/>
        <w:rPr>
          <w:rFonts w:ascii="Times New Roman" w:cs="Times New Roman" w:eastAsia="Times New Roman" w:hAnsi="Times New Roman"/>
          <w:sz w:val="20"/>
          <w:szCs w:val="20"/>
          <w:color w:val="auto"/>
        </w:rPr>
      </w:pPr>
    </w:p>
    <w:p>
      <w:pPr>
        <w:ind w:left="760" w:firstLine="745"/>
        <w:spacing w:after="0" w:line="236" w:lineRule="auto"/>
        <w:tabs>
          <w:tab w:leader="none" w:pos="19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Anti-Money Laundering and Anti-Corruption Laws</w:t>
      </w:r>
      <w:r>
        <w:rPr>
          <w:rFonts w:ascii="Times New Roman" w:cs="Times New Roman" w:eastAsia="Times New Roman" w:hAnsi="Times New Roman"/>
          <w:sz w:val="22"/>
          <w:szCs w:val="22"/>
          <w:color w:val="auto"/>
        </w:rPr>
        <w:t>. The Borrower represents and warrants continuously throughout the term of this Agreement that (i) each member of the Borrowing Group has instituted, maintains and complies with policies, procedures and controls reasonably designed to assure compliance with Anti-Money Laundering Laws and Anti-Corruption Laws and (ii) to the best of its knowledge, after due care and inquiry, no member of the Borrowing Group is under investigation for an alleged violation of Anti-Money Laundering Laws or Anti-Corruption Laws by a Governmental Authority that enforces such laws.</w:t>
      </w:r>
    </w:p>
    <w:p>
      <w:pPr>
        <w:spacing w:after="0" w:line="179" w:lineRule="exact"/>
        <w:rPr>
          <w:rFonts w:ascii="Times New Roman" w:cs="Times New Roman" w:eastAsia="Times New Roman" w:hAnsi="Times New Roman"/>
          <w:sz w:val="22"/>
          <w:szCs w:val="22"/>
          <w:color w:val="auto"/>
        </w:rPr>
      </w:pPr>
    </w:p>
    <w:p>
      <w:pPr>
        <w:ind w:left="760" w:right="440" w:firstLine="745"/>
        <w:spacing w:after="0" w:line="258" w:lineRule="auto"/>
        <w:tabs>
          <w:tab w:leader="none" w:pos="19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As of the date of this Amendment and on each Funding Date, the information included in the Beneficial Ownership Certification is true and correct in all respects.</w:t>
      </w:r>
    </w:p>
    <w:p>
      <w:pPr>
        <w:spacing w:after="0" w:line="15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Four.04.</w:t>
      </w:r>
      <w:r>
        <w:rPr>
          <w:sz w:val="20"/>
          <w:szCs w:val="20"/>
          <w:color w:val="auto"/>
        </w:rPr>
        <w:tab/>
      </w:r>
      <w:r>
        <w:rPr>
          <w:rFonts w:ascii="Times New Roman" w:cs="Times New Roman" w:eastAsia="Times New Roman" w:hAnsi="Times New Roman"/>
          <w:sz w:val="20"/>
          <w:szCs w:val="20"/>
          <w:u w:val="single" w:color="auto"/>
          <w:color w:val="auto"/>
        </w:rPr>
        <w:t>Representations and Warranties of the Borrower Relating to this Agreement and the Receivables</w:t>
      </w:r>
      <w:r>
        <w:rPr>
          <w:rFonts w:ascii="Times New Roman" w:cs="Times New Roman" w:eastAsia="Times New Roman" w:hAnsi="Times New Roman"/>
          <w:sz w:val="20"/>
          <w:szCs w:val="20"/>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Borrower represents and warrants, as of the Closing Date and as of each Funding Date, as follows:</w:t>
      </w:r>
    </w:p>
    <w:p>
      <w:pPr>
        <w:spacing w:after="0" w:line="181" w:lineRule="exact"/>
        <w:rPr>
          <w:sz w:val="20"/>
          <w:szCs w:val="20"/>
          <w:color w:val="auto"/>
        </w:rPr>
      </w:pPr>
    </w:p>
    <w:p>
      <w:pPr>
        <w:jc w:val="both"/>
        <w:ind w:left="760" w:right="200" w:firstLine="745"/>
        <w:spacing w:after="0" w:line="239" w:lineRule="auto"/>
        <w:tabs>
          <w:tab w:leader="none" w:pos="194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6" w:right="439" w:bottom="1440" w:gutter="0" w:footer="0" w:header="0"/>
        </w:sectPr>
      </w:pPr>
    </w:p>
    <w:bookmarkStart w:id="323" w:name="page324"/>
    <w:bookmarkEnd w:id="323"/>
    <w:p>
      <w:pPr>
        <w:ind w:left="760" w:right="220" w:firstLine="745"/>
        <w:spacing w:after="0" w:line="236" w:lineRule="auto"/>
        <w:tabs>
          <w:tab w:leader="none" w:pos="19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 and, if this Agreement constitutes the grant of a security interest in such property, except for the interest of the Borrower in such property.</w:t>
      </w:r>
    </w:p>
    <w:p>
      <w:pPr>
        <w:spacing w:after="0" w:line="17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Receivables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60" w:right="100" w:firstLine="883"/>
        <w:spacing w:after="0" w:line="259" w:lineRule="auto"/>
        <w:tabs>
          <w:tab w:leader="none" w:pos="2078"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spacing w:after="0" w:line="161" w:lineRule="exact"/>
        <w:rPr>
          <w:rFonts w:ascii="Times New Roman" w:cs="Times New Roman" w:eastAsia="Times New Roman" w:hAnsi="Times New Roman"/>
          <w:sz w:val="20"/>
          <w:szCs w:val="20"/>
          <w:color w:val="auto"/>
        </w:rPr>
      </w:pPr>
    </w:p>
    <w:p>
      <w:pPr>
        <w:ind w:left="760" w:firstLine="816"/>
        <w:spacing w:after="0" w:line="232" w:lineRule="auto"/>
        <w:tabs>
          <w:tab w:leader="none" w:pos="2011"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Funding Date other than the Funding Date on which the Initial Loan is made,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have been duly obtained, effected or given and are in full force and effect and (E) the representations and warranties set forth in Section 5.02 are true and correct with respect to each Subsequent Receivable pledged on such day as if made on such day.</w:t>
      </w: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77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7" w:right="419" w:bottom="1440" w:gutter="0" w:footer="0" w:header="0"/>
        </w:sectPr>
      </w:pPr>
    </w:p>
    <w:bookmarkStart w:id="324" w:name="page325"/>
    <w:bookmarkEnd w:id="324"/>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Four.05.</w:t>
      </w:r>
      <w:r>
        <w:rPr>
          <w:sz w:val="20"/>
          <w:szCs w:val="20"/>
          <w:color w:val="auto"/>
        </w:rPr>
        <w:tab/>
      </w:r>
      <w:r>
        <w:rPr>
          <w:rFonts w:ascii="Times New Roman" w:cs="Times New Roman" w:eastAsia="Times New Roman" w:hAnsi="Times New Roman"/>
          <w:sz w:val="20"/>
          <w:szCs w:val="20"/>
          <w:u w:val="single" w:color="auto"/>
          <w:color w:val="auto"/>
        </w:rPr>
        <w:t>Representations and Warranties of the Servicer</w:t>
      </w:r>
      <w:r>
        <w:rPr>
          <w:rFonts w:ascii="Times New Roman" w:cs="Times New Roman" w:eastAsia="Times New Roman" w:hAnsi="Times New Roman"/>
          <w:sz w:val="20"/>
          <w:szCs w:val="20"/>
          <w:color w:val="auto"/>
        </w:rPr>
        <w:t>. The Servicer represents and warrants, as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each other Effective Date and as of each Funding Date, as follows:</w:t>
      </w:r>
    </w:p>
    <w:p>
      <w:pPr>
        <w:spacing w:after="0" w:line="181" w:lineRule="exact"/>
        <w:rPr>
          <w:sz w:val="20"/>
          <w:szCs w:val="20"/>
          <w:color w:val="auto"/>
        </w:rPr>
      </w:pPr>
    </w:p>
    <w:p>
      <w:pPr>
        <w:ind w:left="760" w:right="180" w:firstLine="745"/>
        <w:spacing w:after="0" w:line="239" w:lineRule="auto"/>
        <w:tabs>
          <w:tab w:leader="none" w:pos="19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spacing w:after="0" w:line="178" w:lineRule="exact"/>
        <w:rPr>
          <w:rFonts w:ascii="Times New Roman" w:cs="Times New Roman" w:eastAsia="Times New Roman" w:hAnsi="Times New Roman"/>
          <w:sz w:val="22"/>
          <w:szCs w:val="22"/>
          <w:color w:val="auto"/>
        </w:rPr>
      </w:pPr>
    </w:p>
    <w:p>
      <w:pPr>
        <w:jc w:val="both"/>
        <w:ind w:left="760" w:right="20" w:firstLine="745"/>
        <w:spacing w:after="0" w:line="239" w:lineRule="auto"/>
        <w:tabs>
          <w:tab w:leader="none" w:pos="19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Servicer is duly qualified to do business and is in good standing as a corporation, and has obtained all necessary licenses and approvals in all jurisdictions in which the ownership or lease of its property and or the conduct of its business, including the origination and servicing of the Receivables, requires such qualification, licenses or approvals.</w:t>
      </w:r>
    </w:p>
    <w:p>
      <w:pPr>
        <w:spacing w:after="0" w:line="178" w:lineRule="exact"/>
        <w:rPr>
          <w:rFonts w:ascii="Times New Roman" w:cs="Times New Roman" w:eastAsia="Times New Roman" w:hAnsi="Times New Roman"/>
          <w:sz w:val="22"/>
          <w:szCs w:val="22"/>
          <w:color w:val="auto"/>
        </w:rPr>
      </w:pPr>
    </w:p>
    <w:p>
      <w:pPr>
        <w:ind w:left="760" w:right="60" w:firstLine="745"/>
        <w:spacing w:after="0" w:line="239" w:lineRule="auto"/>
        <w:tabs>
          <w:tab w:leader="none" w:pos="19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Servicer (i) has all necessary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spacing w:after="0" w:line="178" w:lineRule="exact"/>
        <w:rPr>
          <w:rFonts w:ascii="Times New Roman" w:cs="Times New Roman" w:eastAsia="Times New Roman" w:hAnsi="Times New Roman"/>
          <w:sz w:val="22"/>
          <w:szCs w:val="22"/>
          <w:color w:val="auto"/>
        </w:rPr>
      </w:pPr>
    </w:p>
    <w:p>
      <w:pPr>
        <w:ind w:left="760" w:right="40" w:firstLine="745"/>
        <w:spacing w:after="0" w:line="239" w:lineRule="auto"/>
        <w:tabs>
          <w:tab w:leader="none" w:pos="19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spacing w:after="0" w:line="178" w:lineRule="exact"/>
        <w:rPr>
          <w:rFonts w:ascii="Times New Roman" w:cs="Times New Roman" w:eastAsia="Times New Roman" w:hAnsi="Times New Roman"/>
          <w:sz w:val="22"/>
          <w:szCs w:val="22"/>
          <w:color w:val="auto"/>
        </w:rPr>
      </w:pPr>
    </w:p>
    <w:p>
      <w:pPr>
        <w:ind w:left="760" w:firstLine="745"/>
        <w:spacing w:after="0" w:line="235" w:lineRule="auto"/>
        <w:tabs>
          <w:tab w:leader="none" w:pos="19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37" w:lineRule="auto"/>
        <w:tabs>
          <w:tab w:leader="none" w:pos="19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 (iii) challenging the enforceability of a material portion of the Receivables or (iv) seeking any determination or ruling that could reasonably be expected to have Material Adverse Effect.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25" w:name="page326"/>
    <w:bookmarkEnd w:id="325"/>
    <w:p>
      <w:pPr>
        <w:ind w:left="760" w:right="80" w:firstLine="745"/>
        <w:spacing w:after="0" w:line="244" w:lineRule="auto"/>
        <w:tabs>
          <w:tab w:leader="none" w:pos="19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or other actions of any Person or of any Governmental Authority (if any) required for the due execution, delivery and performance by the Servicer of the Servicer Basic Documents have been obtained.</w:t>
      </w:r>
    </w:p>
    <w:p>
      <w:pPr>
        <w:spacing w:after="0" w:line="172" w:lineRule="exact"/>
        <w:rPr>
          <w:rFonts w:ascii="Times New Roman" w:cs="Times New Roman" w:eastAsia="Times New Roman" w:hAnsi="Times New Roman"/>
          <w:sz w:val="22"/>
          <w:szCs w:val="22"/>
          <w:color w:val="auto"/>
        </w:rPr>
      </w:pPr>
    </w:p>
    <w:p>
      <w:pPr>
        <w:ind w:left="760" w:right="220" w:firstLine="745"/>
        <w:spacing w:after="0" w:line="244" w:lineRule="auto"/>
        <w:tabs>
          <w:tab w:leader="none" w:pos="19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information, exhibits, financial statements, documents, books, records or reports furnished or to be furnished by the Servicer to any Agent, the Account Bank, the Backup Servicer or any Secured Party in connection with this Agreement are accurate, true and correct in all material respects.</w:t>
      </w:r>
    </w:p>
    <w:p>
      <w:pPr>
        <w:spacing w:after="0" w:line="172" w:lineRule="exact"/>
        <w:rPr>
          <w:rFonts w:ascii="Times New Roman" w:cs="Times New Roman" w:eastAsia="Times New Roman" w:hAnsi="Times New Roman"/>
          <w:sz w:val="22"/>
          <w:szCs w:val="22"/>
          <w:color w:val="auto"/>
        </w:rPr>
      </w:pPr>
    </w:p>
    <w:p>
      <w:pPr>
        <w:ind w:left="760" w:right="340" w:firstLine="745"/>
        <w:spacing w:after="0" w:line="258" w:lineRule="auto"/>
        <w:tabs>
          <w:tab w:leader="none" w:pos="19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Servicer’s Performance</w:t>
      </w:r>
      <w:r>
        <w:rPr>
          <w:rFonts w:ascii="Times New Roman" w:cs="Times New Roman" w:eastAsia="Times New Roman" w:hAnsi="Times New Roman"/>
          <w:sz w:val="22"/>
          <w:szCs w:val="22"/>
          <w:color w:val="auto"/>
        </w:rPr>
        <w:t>. The Servicer has the knowledge, the experience and the systems, financial and operational capacity available to timely perform each of its obligations hereunder.</w:t>
      </w:r>
    </w:p>
    <w:p>
      <w:pPr>
        <w:spacing w:after="0" w:line="157" w:lineRule="exact"/>
        <w:rPr>
          <w:rFonts w:ascii="Times New Roman" w:cs="Times New Roman" w:eastAsia="Times New Roman" w:hAnsi="Times New Roman"/>
          <w:sz w:val="22"/>
          <w:szCs w:val="22"/>
          <w:color w:val="auto"/>
        </w:rPr>
      </w:pPr>
    </w:p>
    <w:p>
      <w:pPr>
        <w:ind w:left="760" w:right="840" w:firstLine="745"/>
        <w:spacing w:after="0" w:line="258" w:lineRule="auto"/>
        <w:tabs>
          <w:tab w:leader="none" w:pos="19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Credit and Collection Policy</w:t>
      </w:r>
      <w:r>
        <w:rPr>
          <w:rFonts w:ascii="Times New Roman" w:cs="Times New Roman" w:eastAsia="Times New Roman" w:hAnsi="Times New Roman"/>
          <w:sz w:val="22"/>
          <w:szCs w:val="22"/>
          <w:color w:val="auto"/>
        </w:rPr>
        <w:t>. The Servicer has, with respect to the Receivables, complied in all material respects with the Credit and Collection Policy.</w:t>
      </w:r>
    </w:p>
    <w:p>
      <w:pPr>
        <w:spacing w:after="0" w:line="157" w:lineRule="exact"/>
        <w:rPr>
          <w:rFonts w:ascii="Times New Roman" w:cs="Times New Roman" w:eastAsia="Times New Roman" w:hAnsi="Times New Roman"/>
          <w:sz w:val="22"/>
          <w:szCs w:val="22"/>
          <w:color w:val="auto"/>
        </w:rPr>
      </w:pPr>
    </w:p>
    <w:p>
      <w:pPr>
        <w:ind w:left="760" w:right="60" w:firstLine="745"/>
        <w:spacing w:after="0" w:line="234" w:lineRule="auto"/>
        <w:tabs>
          <w:tab w:leader="none" w:pos="194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 Collection Account</w:t>
      </w:r>
      <w:r>
        <w:rPr>
          <w:rFonts w:ascii="Times New Roman" w:cs="Times New Roman" w:eastAsia="Times New Roman" w:hAnsi="Times New Roman"/>
          <w:sz w:val="22"/>
          <w:szCs w:val="22"/>
          <w:color w:val="auto"/>
        </w:rPr>
        <w:t>. The Servicer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Four.06.</w:t>
      </w:r>
      <w:r>
        <w:rPr>
          <w:sz w:val="20"/>
          <w:szCs w:val="20"/>
          <w:color w:val="auto"/>
        </w:rPr>
        <w:tab/>
      </w:r>
      <w:r>
        <w:rPr>
          <w:rFonts w:ascii="Times New Roman" w:cs="Times New Roman" w:eastAsia="Times New Roman" w:hAnsi="Times New Roman"/>
          <w:sz w:val="20"/>
          <w:szCs w:val="20"/>
          <w:u w:val="single" w:color="auto"/>
          <w:color w:val="auto"/>
        </w:rPr>
        <w:t>Retransfer of Certain Receivables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4" w:lineRule="auto"/>
        <w:tabs>
          <w:tab w:leader="none" w:pos="11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Retransfer of an Ineligible Receivable</w:t>
      </w:r>
      <w:r>
        <w:rPr>
          <w:rFonts w:ascii="Times New Roman" w:cs="Times New Roman" w:eastAsia="Times New Roman" w:hAnsi="Times New Roman"/>
          <w:sz w:val="22"/>
          <w:szCs w:val="22"/>
          <w:color w:val="auto"/>
        </w:rPr>
        <w:t>. If a Receivable is an Ineligible Receivable as of the related Funding Date, no later than the earlier of (i) knowledge by the Borrower of such event and (ii) receipt by the Borrower from the Administrative Agent or the Servicer of written notice thereof (which notice the Servicer shall be required to give promptly upon knowledge thereof), the Borrower shall (A) disclose the identity of such Ineligible Receivable on the following Monthly Report and (B) to the extent such ineligibility has not been cured or waived in writing by the Administrative Agent, on or before the next Payment Date, make a deposit of the Release Price for each such Ineligible Receivable to the Collection Account in immediately available funds and accept the release of each such Ineligible Receivable. The Administrative Agent shall be deemed, upon deposit of the Release Price into the Collection Account, to convey to the Borrower, without recourse, representation or warranty, all of its right, title and interest in such Ineligible Receivable and the Borrower shall accept the release of each such Ineligible Receivable from the Administrative Agent, and the Aggregate Net Principal Balance shall be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26" w:name="page327"/>
    <w:bookmarkEnd w:id="326"/>
    <w:p>
      <w:pPr>
        <w:spacing w:after="0" w:line="260" w:lineRule="auto"/>
        <w:rPr>
          <w:sz w:val="20"/>
          <w:szCs w:val="20"/>
          <w:color w:val="auto"/>
        </w:rPr>
      </w:pPr>
      <w:r>
        <w:rPr>
          <w:rFonts w:ascii="Times New Roman" w:cs="Times New Roman" w:eastAsia="Times New Roman" w:hAnsi="Times New Roman"/>
          <w:sz w:val="20"/>
          <w:szCs w:val="20"/>
          <w:color w:val="auto"/>
        </w:rPr>
        <w:t>reduced by the Principal Balance (as of the related Determination Date) of each such Ineligible Receivable. On and after the date of release, the Ineligible Receivable so released shall not be included in the Collateral. Upon each release to the Borrower of any such Ineligible Receivable, the Administrative Agent shall automatically and without further action be deemed to transfer, assign and set-over to the Borrower, without recourse, representation or warranty, all the right, title and interest of the Administrative Agent in, to and under such Ineligible Receivable and all future monies due or to become due with respect thereto, all proceeds of such Ineligible Receivable and Recoveries relating thereto, all rights to security for any such Ineligible Receivable, and all proceeds and products of the foregoing. The Administrative Agent shall, at the sole expense of the Servicer, execute such documents and instruments of release as may be prepared by the Servicer on behalf of the Borrower and take other such actions as shall reasonably be requested by the Borrower to effect the release of such Ineligible Receivable pursuant to this subsection.</w:t>
      </w:r>
    </w:p>
    <w:p>
      <w:pPr>
        <w:spacing w:after="0" w:line="158" w:lineRule="exact"/>
        <w:rPr>
          <w:sz w:val="20"/>
          <w:szCs w:val="20"/>
          <w:color w:val="auto"/>
        </w:rPr>
      </w:pPr>
    </w:p>
    <w:p>
      <w:pPr>
        <w:ind w:right="100" w:firstLine="757"/>
        <w:spacing w:after="0" w:line="257" w:lineRule="auto"/>
        <w:tabs>
          <w:tab w:leader="none" w:pos="118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Retransfer of All of the Receivables</w:t>
      </w:r>
      <w:r>
        <w:rPr>
          <w:rFonts w:ascii="Times New Roman" w:cs="Times New Roman" w:eastAsia="Times New Roman" w:hAnsi="Times New Roman"/>
          <w:sz w:val="20"/>
          <w:szCs w:val="20"/>
          <w:color w:val="auto"/>
        </w:rPr>
        <w:t>. In the event of a breach of any representation or warranty set forth in Section 5.02, which breach could reasonably be expected to have a Material Adverse Effect on the rights of any of the Borrower, the Administrative Agent, the Agents or the Secured Parties, by notice then given in writing to the Borrower, the Administrative Agent may direct the Borrower to accept the release of all interest in the Receivables, in which case the Borrower shall be obligated to accept the release of such Receivables on a Release Date; provided, however, that no such release shall be given effect unless Borrower has complied with the terms of any Hedging Agreement requiring that any Hedge Transaction related thereto be terminated in whole or in part and the Borrower has paid all Hedge Breakage Costs due with respect to such termination. The Borrower shall deposit on the Release Date an amount equal to the Release Amount in the Collection Account. On the Release Date, provided that the Release Amount has been deposited into the Collection Account, all interests of the Administrative Agent in the Receivables shall be transferred to the Borrower; and the Administrative Agent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Administrative Agent in, to and under the Receivables.</w:t>
      </w: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p>
      <w:pPr>
        <w:ind w:right="60" w:firstLine="757"/>
        <w:spacing w:after="0" w:line="261" w:lineRule="auto"/>
        <w:tabs>
          <w:tab w:leader="none" w:pos="118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Retransfer of Receivables for Breach of Servicing Covenant</w:t>
      </w:r>
      <w:r>
        <w:rPr>
          <w:rFonts w:ascii="Times New Roman" w:cs="Times New Roman" w:eastAsia="Times New Roman" w:hAnsi="Times New Roman"/>
          <w:sz w:val="20"/>
          <w:szCs w:val="20"/>
          <w:color w:val="auto"/>
        </w:rPr>
        <w:t>. In the event that the Servicer breaches a servicing covenant pursuant to Section 7.03(c)(i) or (c)(ii), no later than the earlier of (i) knowledge by the Servicer of such event or (ii) receipt by the Servicer from the Administrative Agent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the Collection Account in immediately available funds, and the Borrower shall accept the release of such Receivable(s), in each case as described in Section 5.04(a); provided, that no cure shall be permitted under clause (B) in the case of a Due Date Change that is not a Permitted Due Date Change or a Covered Modification that is not a Permitted Modification.</w:t>
      </w:r>
    </w:p>
    <w:p>
      <w:pPr>
        <w:spacing w:after="0" w:line="156" w:lineRule="exact"/>
        <w:rPr>
          <w:rFonts w:ascii="Times New Roman" w:cs="Times New Roman" w:eastAsia="Times New Roman" w:hAnsi="Times New Roman"/>
          <w:sz w:val="20"/>
          <w:szCs w:val="20"/>
          <w:color w:val="auto"/>
        </w:rPr>
      </w:pPr>
    </w:p>
    <w:p>
      <w:pPr>
        <w:ind w:right="220" w:firstLine="757"/>
        <w:spacing w:after="0" w:line="258" w:lineRule="auto"/>
        <w:tabs>
          <w:tab w:leader="none" w:pos="118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Release</w:t>
      </w:r>
      <w:r>
        <w:rPr>
          <w:rFonts w:ascii="Times New Roman" w:cs="Times New Roman" w:eastAsia="Times New Roman" w:hAnsi="Times New Roman"/>
          <w:sz w:val="22"/>
          <w:szCs w:val="22"/>
          <w:color w:val="auto"/>
        </w:rPr>
        <w:t>. The Borrower or the Servicer, as applicable, shall provide written notice to the Administrative Agent and each Hedge Counterparty on the related Monthly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27" w:name="page328"/>
    <w:bookmarkEnd w:id="327"/>
    <w:p>
      <w:pPr>
        <w:ind w:right="100"/>
        <w:spacing w:after="0" w:line="236" w:lineRule="auto"/>
        <w:rPr>
          <w:sz w:val="20"/>
          <w:szCs w:val="20"/>
          <w:color w:val="auto"/>
        </w:rPr>
      </w:pPr>
      <w:r>
        <w:rPr>
          <w:rFonts w:ascii="Times New Roman" w:cs="Times New Roman" w:eastAsia="Times New Roman" w:hAnsi="Times New Roman"/>
          <w:sz w:val="22"/>
          <w:szCs w:val="22"/>
          <w:color w:val="auto"/>
        </w:rPr>
        <w:t>Report of any release of Receivables pursuant to Sections 5.04(a) and (c). With respect to any release under Section 5.04(b), the Borrower shall provide written notice to the Administrative Agent and each Hedge Counterparty of any release of Receivables prior to 12:00 p.m., Charlotte, North Carolina time, five Business Days prior to the related Release Date, and such notice shall include a calculation of the Borrowing Base after giving effect to such release, as well as representations and warranties by the Borrower that no Termination Event or Servicer Termination Event has occurred, that the Borrowing Base calculation included with such notice is accurate and that any required Hedging Agreements are in full effect.</w:t>
      </w:r>
    </w:p>
    <w:p>
      <w:pPr>
        <w:spacing w:after="0" w:line="179" w:lineRule="exact"/>
        <w:rPr>
          <w:sz w:val="20"/>
          <w:szCs w:val="20"/>
          <w:color w:val="auto"/>
        </w:rPr>
      </w:pPr>
    </w:p>
    <w:p>
      <w:pPr>
        <w:ind w:left="1180" w:hanging="423"/>
        <w:spacing w:after="0"/>
        <w:tabs>
          <w:tab w:leader="none" w:pos="11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Certain Receivables to Cure Excess Concentrations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60" w:right="100" w:firstLine="883"/>
        <w:spacing w:after="0" w:line="255" w:lineRule="auto"/>
        <w:tabs>
          <w:tab w:leader="none" w:pos="2078" w:val="left"/>
        </w:tabs>
        <w:numPr>
          <w:ilvl w:val="1"/>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from time to time effect the release of Receivables that have been subject to a Permitted Modification and shall accept the release of such Receivable(s), in each case as described in Section 5.04(a), subject in each case to each of the following conditions being met: (1) the release of modified Receivables pursuant to this Section 5.04(e)(i) may occur (A) only on a Payment Date and (B) only to the extent that on the applicable Payment Date (i) the aggregate Net Principal Balance of the Eligible Receivables that represent Receivables that have been subject to a Permitted Modification exceeds the [***]% threshold set forth in clause (v) of the definition of “Concentration Limits” and (ii) the Net Principal Balance of modified Receivables to be released will not exceed the lowest amount that, after giving effect to the release, would result in the [***]% threshold set forth in such clause (v) being met as of such date; (2) the Borrower, or the Servicer on its behalf, shall have provided prior written notice to the Administrative Agent and each Hedge Counterparty of the release pursuant to this Section 5.04(e)(i) identifying the Receivables to be released; (3) the amount of Available Funds distributed to the Borrower on such Payment Date pursuant to Section 2.08(ix) exceeds $[***]; (4) the release of the modified Receivables pursuant to this Section 5.04(e)</w:t>
      </w:r>
    </w:p>
    <w:p>
      <w:pPr>
        <w:spacing w:after="0" w:line="4" w:lineRule="exact"/>
        <w:rPr>
          <w:rFonts w:ascii="Times New Roman" w:cs="Times New Roman" w:eastAsia="Times New Roman" w:hAnsi="Times New Roman"/>
          <w:sz w:val="20"/>
          <w:szCs w:val="20"/>
          <w:color w:val="auto"/>
        </w:rPr>
      </w:pPr>
    </w:p>
    <w:p>
      <w:pPr>
        <w:ind w:left="760" w:hanging="3"/>
        <w:spacing w:after="0" w:line="233" w:lineRule="auto"/>
        <w:tabs>
          <w:tab w:leader="none" w:pos="101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cause any other Concentration Limit to be exceeded and (5) before and after giving effect to the release of the modified Receivables, no Termination Event, Unmatured Termination Event, Servicer Termination Event or Collateral Coverage Ratio Failure will be in effect or will have occurred and such Payment Date is not on or after the Facility Turbo Date.</w:t>
      </w:r>
    </w:p>
    <w:p>
      <w:pPr>
        <w:spacing w:after="0" w:line="180" w:lineRule="exact"/>
        <w:rPr>
          <w:rFonts w:ascii="Times New Roman" w:cs="Times New Roman" w:eastAsia="Times New Roman" w:hAnsi="Times New Roman"/>
          <w:sz w:val="22"/>
          <w:szCs w:val="22"/>
          <w:color w:val="auto"/>
        </w:rPr>
      </w:pPr>
    </w:p>
    <w:p>
      <w:pPr>
        <w:ind w:left="760" w:right="80" w:firstLine="816"/>
        <w:spacing w:after="0" w:line="233" w:lineRule="auto"/>
        <w:tabs>
          <w:tab w:leader="none" w:pos="201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at any time and in its sole discretion, effect the release of any Delinquent Receivables that cause clause (viii) of the definition of "Concentration Amount" to be exceeded, in each case, in the manner described in Section 5.04(a), subject in each case to each of the following conditions being met: (1) the release of Receivables pursuant to this Section 5.04(e)(ii) may occur only to the extent that on the applicable release date the principal balance of Delinquent Receivables to be released will not exceed the lowest amount that, after giving effect to the release, would result in the [***]% threshold set forth in such clause (viii) being met as of such date; (2) the Borrower, or the Servicer on its behalf, shall have provided prior written notice to the Administrative Agent and each Hedge Counterparty of the release pursuant to this Section 5.04(e)(ii) identifying the Receivables to be released; (3) the amount of Available Funds distributed to the Borrower on the most recent Payment Date pursuant to Section 2.08(ix) exceeds $[***]; (4) the release of the Receivables pursuant to this Section 5.04(e)(ii) will not cause any other Concentration Limit to be exceeded and (5) before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28" w:name="page329"/>
    <w:bookmarkEnd w:id="328"/>
    <w:p>
      <w:pPr>
        <w:ind w:left="760"/>
        <w:spacing w:after="0" w:line="244" w:lineRule="auto"/>
        <w:rPr>
          <w:sz w:val="20"/>
          <w:szCs w:val="20"/>
          <w:color w:val="auto"/>
        </w:rPr>
      </w:pPr>
      <w:r>
        <w:rPr>
          <w:rFonts w:ascii="Times New Roman" w:cs="Times New Roman" w:eastAsia="Times New Roman" w:hAnsi="Times New Roman"/>
          <w:sz w:val="22"/>
          <w:szCs w:val="22"/>
          <w:color w:val="auto"/>
        </w:rPr>
        <w:t>and after giving effect to the release of the Delinquent Receivables pursuant to this Section 5.04(e)(ii), no Termination Event, Unmatured Termination Event, Servicer Termination Event or Collateral Coverage Ratio Failure will be in effect or will have occurred and such release date is not on or after the Facility Turbo Date.</w:t>
      </w: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82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6" w:right="479" w:bottom="1440" w:gutter="0" w:footer="0" w:header="0"/>
        </w:sectPr>
      </w:pPr>
    </w:p>
    <w:bookmarkStart w:id="329" w:name="page330"/>
    <w:bookmarkEnd w:id="329"/>
    <w:p>
      <w:pPr>
        <w:jc w:val="center"/>
        <w:ind w:right="280"/>
        <w:spacing w:after="0"/>
        <w:rPr>
          <w:sz w:val="20"/>
          <w:szCs w:val="20"/>
          <w:color w:val="auto"/>
        </w:rPr>
      </w:pPr>
      <w:r>
        <w:rPr>
          <w:rFonts w:ascii="Times New Roman" w:cs="Times New Roman" w:eastAsia="Times New Roman" w:hAnsi="Times New Roman"/>
          <w:sz w:val="22"/>
          <w:szCs w:val="22"/>
          <w:color w:val="auto"/>
        </w:rPr>
        <w:t>ARTICLE FIVE</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COVENANTS</w:t>
      </w:r>
    </w:p>
    <w:p>
      <w:pPr>
        <w:spacing w:after="0" w:line="20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Five.01. </w:t>
      </w:r>
      <w:r>
        <w:rPr>
          <w:rFonts w:ascii="Times New Roman" w:cs="Times New Roman" w:eastAsia="Times New Roman" w:hAnsi="Times New Roman"/>
          <w:sz w:val="22"/>
          <w:szCs w:val="22"/>
          <w:u w:val="single" w:color="auto"/>
          <w:color w:val="auto"/>
        </w:rPr>
        <w:t>Affirmative Covenants of the Borrower</w:t>
      </w:r>
      <w:r>
        <w:rPr>
          <w:rFonts w:ascii="Times New Roman" w:cs="Times New Roman" w:eastAsia="Times New Roman" w:hAnsi="Times New Roman"/>
          <w:sz w:val="22"/>
          <w:szCs w:val="22"/>
          <w:color w:val="auto"/>
        </w:rPr>
        <w:t>. Except as otherwise provided herein, from the date hereof until the Facility Termination Date:</w:t>
      </w:r>
    </w:p>
    <w:p>
      <w:pPr>
        <w:spacing w:after="0" w:line="157" w:lineRule="exact"/>
        <w:rPr>
          <w:sz w:val="20"/>
          <w:szCs w:val="20"/>
          <w:color w:val="auto"/>
        </w:rPr>
      </w:pPr>
    </w:p>
    <w:p>
      <w:pPr>
        <w:ind w:left="1940" w:hanging="435"/>
        <w:spacing w:after="0"/>
        <w:tabs>
          <w:tab w:leader="none" w:pos="19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2260" w:right="80" w:hanging="617"/>
        <w:spacing w:after="0" w:line="258" w:lineRule="auto"/>
        <w:tabs>
          <w:tab w:leader="none" w:pos="2081"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comply in all material respects with all Applicable Laws, including those with respect to the Receivables and related Financed Vehicles.</w:t>
      </w:r>
    </w:p>
    <w:p>
      <w:pPr>
        <w:spacing w:after="0" w:line="157" w:lineRule="exact"/>
        <w:rPr>
          <w:rFonts w:ascii="Times New Roman" w:cs="Times New Roman" w:eastAsia="Times New Roman" w:hAnsi="Times New Roman"/>
          <w:sz w:val="22"/>
          <w:szCs w:val="22"/>
          <w:color w:val="auto"/>
        </w:rPr>
      </w:pPr>
    </w:p>
    <w:p>
      <w:pPr>
        <w:ind w:left="2260" w:right="660" w:hanging="684"/>
        <w:spacing w:after="0" w:line="258" w:lineRule="auto"/>
        <w:tabs>
          <w:tab w:leader="none" w:pos="2013"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the Borrower shall ensure that each member of the Borrowing Group will, comply with Sanctions, Anti-Money Laundering Laws, and Anti-Corruption Laws.</w:t>
      </w:r>
    </w:p>
    <w:p>
      <w:pPr>
        <w:spacing w:after="0" w:line="157" w:lineRule="exact"/>
        <w:rPr>
          <w:rFonts w:ascii="Times New Roman" w:cs="Times New Roman" w:eastAsia="Times New Roman" w:hAnsi="Times New Roman"/>
          <w:sz w:val="22"/>
          <w:szCs w:val="22"/>
          <w:color w:val="auto"/>
        </w:rPr>
      </w:pPr>
    </w:p>
    <w:p>
      <w:pPr>
        <w:ind w:left="760" w:right="80" w:firstLine="745"/>
        <w:spacing w:after="0" w:line="239" w:lineRule="auto"/>
        <w:tabs>
          <w:tab w:leader="none" w:pos="19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Borrower will preserve and maintain its existence, rights, franchises and privileges in the State of Delaware, and qualify and remain qualified in good standing as a foreign trust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left="760" w:right="100" w:firstLine="745"/>
        <w:spacing w:after="0" w:line="239" w:lineRule="auto"/>
        <w:tabs>
          <w:tab w:leader="none" w:pos="19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Contracts</w:t>
      </w:r>
      <w:r>
        <w:rPr>
          <w:rFonts w:ascii="Times New Roman" w:cs="Times New Roman" w:eastAsia="Times New Roman" w:hAnsi="Times New Roman"/>
          <w:sz w:val="22"/>
          <w:szCs w:val="22"/>
          <w:color w:val="auto"/>
        </w:rPr>
        <w:t>. The Borrower will, at its expense, timely and fully perform and comply in all material respects (or cause UACC to perform and comply pursuant to the Purchase Agreement and all Transfer Agreements) with all provisions, covenants and other promises required to be observed by it under the Contracts and all other agreements related to such Contracts.</w:t>
      </w:r>
    </w:p>
    <w:p>
      <w:pPr>
        <w:spacing w:after="0" w:line="178" w:lineRule="exact"/>
        <w:rPr>
          <w:rFonts w:ascii="Times New Roman" w:cs="Times New Roman" w:eastAsia="Times New Roman" w:hAnsi="Times New Roman"/>
          <w:sz w:val="22"/>
          <w:szCs w:val="22"/>
          <w:color w:val="auto"/>
        </w:rPr>
      </w:pPr>
    </w:p>
    <w:p>
      <w:pPr>
        <w:ind w:left="760" w:firstLine="745"/>
        <w:spacing w:after="0" w:line="271" w:lineRule="auto"/>
        <w:tabs>
          <w:tab w:leader="none" w:pos="194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Keeping of Records and Books of Account</w:t>
      </w:r>
      <w:r>
        <w:rPr>
          <w:rFonts w:ascii="Times New Roman" w:cs="Times New Roman" w:eastAsia="Times New Roman" w:hAnsi="Times New Roman"/>
          <w:sz w:val="20"/>
          <w:szCs w:val="20"/>
          <w:color w:val="auto"/>
        </w:rPr>
        <w:t>. To the extent not maintained and implemented by the Servicer, the Borrower will maintain and implement administrative and operating procedures (including an ability to recreate records evidencing Receivables in the event of the destruction of the originals thereof), and keep and maintain all documents, books, records and other information reasonably necessary or advisable for the collection of all Receivables.</w:t>
      </w:r>
    </w:p>
    <w:p>
      <w:pPr>
        <w:spacing w:after="0" w:line="147" w:lineRule="exact"/>
        <w:rPr>
          <w:rFonts w:ascii="Times New Roman" w:cs="Times New Roman" w:eastAsia="Times New Roman" w:hAnsi="Times New Roman"/>
          <w:sz w:val="20"/>
          <w:szCs w:val="20"/>
          <w:color w:val="auto"/>
        </w:rPr>
      </w:pPr>
    </w:p>
    <w:p>
      <w:pPr>
        <w:ind w:left="760" w:right="60" w:firstLine="745"/>
        <w:spacing w:after="0" w:line="234" w:lineRule="auto"/>
        <w:tabs>
          <w:tab w:leader="none" w:pos="194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Assets</w:t>
      </w:r>
      <w:r>
        <w:rPr>
          <w:rFonts w:ascii="Times New Roman" w:cs="Times New Roman" w:eastAsia="Times New Roman" w:hAnsi="Times New Roman"/>
          <w:sz w:val="22"/>
          <w:szCs w:val="22"/>
          <w:color w:val="auto"/>
        </w:rPr>
        <w:t>.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30" w:name="page331"/>
    <w:bookmarkEnd w:id="330"/>
    <w:p>
      <w:pPr>
        <w:ind w:left="760"/>
        <w:spacing w:after="0"/>
        <w:rPr>
          <w:sz w:val="20"/>
          <w:szCs w:val="20"/>
          <w:color w:val="auto"/>
        </w:rPr>
      </w:pPr>
      <w:r>
        <w:rPr>
          <w:rFonts w:ascii="Times New Roman" w:cs="Times New Roman" w:eastAsia="Times New Roman" w:hAnsi="Times New Roman"/>
          <w:sz w:val="22"/>
          <w:szCs w:val="22"/>
          <w:color w:val="auto"/>
        </w:rPr>
        <w:t>protect and more fully evidence the respective interests of the parties to this Agreement in the Collateral.</w:t>
      </w:r>
    </w:p>
    <w:p>
      <w:pPr>
        <w:spacing w:after="0" w:line="205" w:lineRule="exact"/>
        <w:rPr>
          <w:sz w:val="20"/>
          <w:szCs w:val="20"/>
          <w:color w:val="auto"/>
        </w:rPr>
      </w:pPr>
    </w:p>
    <w:p>
      <w:pPr>
        <w:ind w:left="760" w:firstLine="745"/>
        <w:spacing w:after="0" w:line="244" w:lineRule="auto"/>
        <w:tabs>
          <w:tab w:leader="none" w:pos="19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Collections</w:t>
      </w:r>
      <w:r>
        <w:rPr>
          <w:rFonts w:ascii="Times New Roman" w:cs="Times New Roman" w:eastAsia="Times New Roman" w:hAnsi="Times New Roman"/>
          <w:sz w:val="22"/>
          <w:szCs w:val="22"/>
          <w:color w:val="auto"/>
        </w:rPr>
        <w:t>. The Borrower will deliver to the Servicer for further remittance to the Local Bank Account promptly (but in no event later than one Business Day after receipt) all Collections received by Borrower in respect of the Receivables.</w:t>
      </w:r>
    </w:p>
    <w:p>
      <w:pPr>
        <w:spacing w:after="0" w:line="172" w:lineRule="exact"/>
        <w:rPr>
          <w:rFonts w:ascii="Times New Roman" w:cs="Times New Roman" w:eastAsia="Times New Roman" w:hAnsi="Times New Roman"/>
          <w:sz w:val="22"/>
          <w:szCs w:val="22"/>
          <w:color w:val="auto"/>
        </w:rPr>
      </w:pPr>
    </w:p>
    <w:p>
      <w:pPr>
        <w:ind w:left="760" w:right="660" w:firstLine="745"/>
        <w:spacing w:after="0" w:line="258" w:lineRule="auto"/>
        <w:tabs>
          <w:tab w:leader="none" w:pos="19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Corporate Existence</w:t>
      </w:r>
      <w:r>
        <w:rPr>
          <w:rFonts w:ascii="Times New Roman" w:cs="Times New Roman" w:eastAsia="Times New Roman" w:hAnsi="Times New Roman"/>
          <w:sz w:val="22"/>
          <w:szCs w:val="22"/>
          <w:color w:val="auto"/>
        </w:rPr>
        <w:t>. The Borrower shall be in compliance with the special purpose entity requirements set forth in Section 6.02(n).</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60" w:firstLine="745"/>
        <w:spacing w:after="0" w:line="235" w:lineRule="auto"/>
        <w:tabs>
          <w:tab w:leader="none" w:pos="19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 The Borrower will provide the Administrative Agent, each Agent, the Account Bank and the Backup Servicer with written notice immediately following the earlier of (i) actual knowledge by the Borrower and (ii) receipt by the Borrower from the Servicer of written notice (which notice the Servicer shall be required to give promptly upon knowledge) of the occurrence of each Termination Event and each Unmatured Termination Event and, no later than three Business Days following the occurrence thereof, the Borrower will provide to the Administrative Agent an Officer’s Certificate setting forth the details of such event and the action that the Borrower proposes to take with respect thereto.</w:t>
      </w:r>
    </w:p>
    <w:p>
      <w:pPr>
        <w:spacing w:after="0" w:line="180" w:lineRule="exact"/>
        <w:rPr>
          <w:rFonts w:ascii="Times New Roman" w:cs="Times New Roman" w:eastAsia="Times New Roman" w:hAnsi="Times New Roman"/>
          <w:sz w:val="22"/>
          <w:szCs w:val="22"/>
          <w:color w:val="auto"/>
        </w:rPr>
      </w:pPr>
    </w:p>
    <w:p>
      <w:pPr>
        <w:jc w:val="both"/>
        <w:ind w:left="760" w:right="120" w:firstLine="745"/>
        <w:spacing w:after="0" w:line="244" w:lineRule="auto"/>
        <w:tabs>
          <w:tab w:leader="none" w:pos="19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will file and pay any and all Taxes, including those required to meet the obligations of the Basic Documents that are due and payable, not being contested in good faith and fully reserved for in accordance with GAAP.</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2820" w:hanging="428"/>
        <w:spacing w:after="0"/>
        <w:tabs>
          <w:tab w:leader="none" w:pos="2820" w:val="left"/>
        </w:tabs>
        <w:numPr>
          <w:ilvl w:val="2"/>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use the Principal Amounts only to acquire Receivables.</w:t>
      </w:r>
    </w:p>
    <w:p>
      <w:pPr>
        <w:spacing w:after="0" w:line="205" w:lineRule="exact"/>
        <w:rPr>
          <w:rFonts w:ascii="Times New Roman" w:cs="Times New Roman" w:eastAsia="Times New Roman" w:hAnsi="Times New Roman"/>
          <w:sz w:val="22"/>
          <w:szCs w:val="22"/>
          <w:color w:val="auto"/>
        </w:rPr>
      </w:pPr>
    </w:p>
    <w:p>
      <w:pPr>
        <w:ind w:left="1500" w:right="80" w:firstLine="825"/>
        <w:spacing w:after="0" w:line="236" w:lineRule="auto"/>
        <w:tabs>
          <w:tab w:leader="none" w:pos="2751" w:val="left"/>
        </w:tabs>
        <w:numPr>
          <w:ilvl w:val="2"/>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ensure that each member of the Borrowing Group will not, directly or indirectly use any of the credit to fund, finance or facilitate any activities, business or transactions that: (A) are prohibited by Sanctions, (B) would be prohibited by U.S. Sanctions if conducted by a U.S. Person, or (C) would be prohibited by Sanctions if conducted by a Lender, or any other party hereto. The Borrower shall notify the Administrative Agent, each Agent and each Lender in writing not more than one Business Day after first becoming aware of any breach of this Section.</w:t>
      </w:r>
    </w:p>
    <w:p>
      <w:pPr>
        <w:spacing w:after="0" w:line="179" w:lineRule="exact"/>
        <w:rPr>
          <w:rFonts w:ascii="Times New Roman" w:cs="Times New Roman" w:eastAsia="Times New Roman" w:hAnsi="Times New Roman"/>
          <w:sz w:val="22"/>
          <w:szCs w:val="22"/>
          <w:color w:val="auto"/>
        </w:rPr>
      </w:pPr>
    </w:p>
    <w:p>
      <w:pPr>
        <w:ind w:left="1500" w:right="300" w:firstLine="754"/>
        <w:spacing w:after="0" w:line="244" w:lineRule="auto"/>
        <w:tabs>
          <w:tab w:leader="none" w:pos="2680"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ensure that each member of the Borrowing Group will not, directly or indirectly use any of the credit to fund, finance or facilitate any activities, business or transactions that would be prohibited by Anti-Money Laundering Laws or Anti-Corruption Laws.</w:t>
      </w:r>
    </w:p>
    <w:p>
      <w:pPr>
        <w:spacing w:after="0" w:line="172" w:lineRule="exact"/>
        <w:rPr>
          <w:rFonts w:ascii="Times New Roman" w:cs="Times New Roman" w:eastAsia="Times New Roman" w:hAnsi="Times New Roman"/>
          <w:sz w:val="22"/>
          <w:szCs w:val="22"/>
          <w:color w:val="auto"/>
        </w:rPr>
      </w:pPr>
    </w:p>
    <w:p>
      <w:pPr>
        <w:ind w:left="760" w:right="480" w:firstLine="745"/>
        <w:spacing w:after="0" w:line="258" w:lineRule="auto"/>
        <w:tabs>
          <w:tab w:leader="none" w:pos="19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Borrower will execute and file such financing and continuation statements and any other documents that may be required by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31" w:name="page332"/>
    <w:bookmarkEnd w:id="331"/>
    <w:p>
      <w:pPr>
        <w:ind w:left="760" w:right="280"/>
        <w:spacing w:after="0" w:line="258" w:lineRule="auto"/>
        <w:rPr>
          <w:sz w:val="20"/>
          <w:szCs w:val="20"/>
          <w:color w:val="auto"/>
        </w:rPr>
      </w:pPr>
      <w:r>
        <w:rPr>
          <w:rFonts w:ascii="Times New Roman" w:cs="Times New Roman" w:eastAsia="Times New Roman" w:hAnsi="Times New Roman"/>
          <w:sz w:val="22"/>
          <w:szCs w:val="22"/>
          <w:color w:val="auto"/>
        </w:rPr>
        <w:t>any Applicable Law to preserve and protect fully the security interest of the Administrative Agent in, to and under the Collateral.</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(m) </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The Borrower will furnish or cause to be furnished to the Administrative Agent and each</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Agent:</w:t>
      </w:r>
    </w:p>
    <w:p>
      <w:pPr>
        <w:spacing w:after="0" w:line="181" w:lineRule="exact"/>
        <w:rPr>
          <w:sz w:val="20"/>
          <w:szCs w:val="20"/>
          <w:color w:val="auto"/>
        </w:rPr>
      </w:pPr>
    </w:p>
    <w:p>
      <w:pPr>
        <w:ind w:left="1500" w:right="800" w:firstLine="892"/>
        <w:spacing w:after="0" w:line="258" w:lineRule="auto"/>
        <w:tabs>
          <w:tab w:leader="none" w:pos="2818" w:val="left"/>
        </w:tabs>
        <w:numPr>
          <w:ilvl w:val="2"/>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Not later than each Reporting Date, a Monthly Report and such other information as reasonably requested by the Administrative Agent.</w:t>
      </w:r>
    </w:p>
    <w:p>
      <w:pPr>
        <w:spacing w:after="0" w:line="157" w:lineRule="exact"/>
        <w:rPr>
          <w:rFonts w:ascii="Times New Roman" w:cs="Times New Roman" w:eastAsia="Times New Roman" w:hAnsi="Times New Roman"/>
          <w:sz w:val="22"/>
          <w:szCs w:val="22"/>
          <w:color w:val="auto"/>
        </w:rPr>
      </w:pPr>
    </w:p>
    <w:p>
      <w:pPr>
        <w:ind w:left="1500" w:firstLine="825"/>
        <w:spacing w:after="0" w:line="236" w:lineRule="auto"/>
        <w:tabs>
          <w:tab w:leader="none" w:pos="2751" w:val="left"/>
        </w:tabs>
        <w:numPr>
          <w:ilvl w:val="2"/>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 Liability</w:t>
      </w:r>
      <w:r>
        <w:rPr>
          <w:rFonts w:ascii="Times New Roman" w:cs="Times New Roman" w:eastAsia="Times New Roman" w:hAnsi="Times New Roman"/>
          <w:sz w:val="22"/>
          <w:szCs w:val="22"/>
          <w:color w:val="auto"/>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telephonic, telex or telecopied notice (confirmed in writing within five Business Days) specifying the nature of the items giving rise to such adjustments and the amounts thereof.</w:t>
      </w:r>
    </w:p>
    <w:p>
      <w:pPr>
        <w:spacing w:after="0" w:line="179" w:lineRule="exact"/>
        <w:rPr>
          <w:rFonts w:ascii="Times New Roman" w:cs="Times New Roman" w:eastAsia="Times New Roman" w:hAnsi="Times New Roman"/>
          <w:sz w:val="22"/>
          <w:szCs w:val="22"/>
          <w:color w:val="auto"/>
        </w:rPr>
      </w:pPr>
    </w:p>
    <w:p>
      <w:pPr>
        <w:jc w:val="both"/>
        <w:ind w:left="1500" w:right="20" w:firstLine="754"/>
        <w:spacing w:after="0" w:line="244" w:lineRule="auto"/>
        <w:tabs>
          <w:tab w:leader="none" w:pos="268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Upon demand by the Administrative Agent, copies of all federal, State and local Tax returns and reports filed by the Borrower, or in which the Borrower was included on a consolidated or combined basis (excluding sales, use and like taxes).</w:t>
      </w:r>
    </w:p>
    <w:p>
      <w:pPr>
        <w:spacing w:after="0" w:line="172" w:lineRule="exact"/>
        <w:rPr>
          <w:rFonts w:ascii="Times New Roman" w:cs="Times New Roman" w:eastAsia="Times New Roman" w:hAnsi="Times New Roman"/>
          <w:sz w:val="22"/>
          <w:szCs w:val="22"/>
          <w:color w:val="auto"/>
        </w:rPr>
      </w:pPr>
    </w:p>
    <w:p>
      <w:pPr>
        <w:ind w:left="1500" w:right="80" w:firstLine="768"/>
        <w:spacing w:after="0" w:line="234" w:lineRule="auto"/>
        <w:tabs>
          <w:tab w:leader="none" w:pos="2694"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Promptly upon receiving knowledge of same, the Borrower shall notify the Administrative Agent if any representation or warranty set forth in Section 5.01 or 5.02 in any material respect was incorrect at the time it was given or deemed to have been given and at the same time deliver to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spacing w:after="0" w:line="184" w:lineRule="exact"/>
        <w:rPr>
          <w:rFonts w:ascii="Times New Roman" w:cs="Times New Roman" w:eastAsia="Times New Roman" w:hAnsi="Times New Roman"/>
          <w:sz w:val="22"/>
          <w:szCs w:val="22"/>
          <w:color w:val="auto"/>
        </w:rPr>
      </w:pPr>
    </w:p>
    <w:p>
      <w:pPr>
        <w:ind w:left="1500" w:right="140" w:firstLine="838"/>
        <w:spacing w:after="0" w:line="236" w:lineRule="auto"/>
        <w:tabs>
          <w:tab w:leader="none" w:pos="2764" w:val="left"/>
        </w:tabs>
        <w:numPr>
          <w:ilvl w:val="2"/>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court or governmental department, commission, board, bureau, agency or instrumentality, domestic or foreign, affecting the Borrower.</w:t>
      </w:r>
    </w:p>
    <w:p>
      <w:pPr>
        <w:spacing w:after="0" w:line="179" w:lineRule="exact"/>
        <w:rPr>
          <w:rFonts w:ascii="Times New Roman" w:cs="Times New Roman" w:eastAsia="Times New Roman" w:hAnsi="Times New Roman"/>
          <w:sz w:val="22"/>
          <w:szCs w:val="22"/>
          <w:color w:val="auto"/>
        </w:rPr>
      </w:pPr>
    </w:p>
    <w:p>
      <w:pPr>
        <w:ind w:left="1500" w:right="360" w:firstLine="768"/>
        <w:spacing w:after="0" w:line="258" w:lineRule="auto"/>
        <w:tabs>
          <w:tab w:leader="none" w:pos="2694"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Material Events</w:t>
      </w:r>
      <w:r>
        <w:rPr>
          <w:rFonts w:ascii="Times New Roman" w:cs="Times New Roman" w:eastAsia="Times New Roman" w:hAnsi="Times New Roman"/>
          <w:sz w:val="22"/>
          <w:szCs w:val="22"/>
          <w:color w:val="auto"/>
        </w:rPr>
        <w:t>. Promptly upon any Responsible Officer of the Borrower becoming aware thereof, notice of any other event 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32" w:name="page333"/>
    <w:bookmarkEnd w:id="332"/>
    <w:p>
      <w:pPr>
        <w:ind w:left="1500"/>
        <w:spacing w:after="0"/>
        <w:rPr>
          <w:sz w:val="20"/>
          <w:szCs w:val="20"/>
          <w:color w:val="auto"/>
        </w:rPr>
      </w:pPr>
      <w:r>
        <w:rPr>
          <w:rFonts w:ascii="Times New Roman" w:cs="Times New Roman" w:eastAsia="Times New Roman" w:hAnsi="Times New Roman"/>
          <w:sz w:val="22"/>
          <w:szCs w:val="22"/>
          <w:color w:val="auto"/>
        </w:rPr>
        <w:t>circumstances that, in the reasonable judgment of the Borrower, is likely to have a Material Adverse Effect.</w:t>
      </w:r>
    </w:p>
    <w:p>
      <w:pPr>
        <w:spacing w:after="0" w:line="205" w:lineRule="exact"/>
        <w:rPr>
          <w:sz w:val="20"/>
          <w:szCs w:val="20"/>
          <w:color w:val="auto"/>
        </w:rPr>
      </w:pPr>
    </w:p>
    <w:p>
      <w:pPr>
        <w:ind w:left="760" w:right="440" w:firstLine="745"/>
        <w:spacing w:after="0" w:line="258" w:lineRule="auto"/>
        <w:tabs>
          <w:tab w:leader="none" w:pos="19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Borrower will promptly notify the Administrative Agent of any change in the Borrower’s accounting policies that are not otherwise required by GAAP.</w:t>
      </w:r>
    </w:p>
    <w:p>
      <w:pPr>
        <w:spacing w:after="0" w:line="157" w:lineRule="exact"/>
        <w:rPr>
          <w:rFonts w:ascii="Times New Roman" w:cs="Times New Roman" w:eastAsia="Times New Roman" w:hAnsi="Times New Roman"/>
          <w:sz w:val="22"/>
          <w:szCs w:val="22"/>
          <w:color w:val="auto"/>
        </w:rPr>
      </w:pPr>
    </w:p>
    <w:p>
      <w:pPr>
        <w:ind w:left="760" w:firstLine="745"/>
        <w:spacing w:after="0" w:line="234" w:lineRule="auto"/>
        <w:tabs>
          <w:tab w:leader="none" w:pos="19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Title Opinion</w:t>
      </w:r>
      <w:r>
        <w:rPr>
          <w:rFonts w:ascii="Times New Roman" w:cs="Times New Roman" w:eastAsia="Times New Roman" w:hAnsi="Times New Roman"/>
          <w:sz w:val="22"/>
          <w:szCs w:val="22"/>
          <w:color w:val="auto"/>
        </w:rPr>
        <w:t>. If in connection with a Securitization involving all or a portion of the Collateral the Borrower is required to provide an Opinion of Counsel in each State in which the aggregate Principal Balance of Receivables related to Obligors with mailing addresses in such State equals or exceeds [***]% of the Aggregate Net Principal Balance,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 the Borrower will furnish to the Administrative Agent and the Lenders a copy of such Opinion of Counsel.</w:t>
      </w:r>
    </w:p>
    <w:p>
      <w:pPr>
        <w:spacing w:after="0" w:line="184" w:lineRule="exact"/>
        <w:rPr>
          <w:rFonts w:ascii="Times New Roman" w:cs="Times New Roman" w:eastAsia="Times New Roman" w:hAnsi="Times New Roman"/>
          <w:sz w:val="22"/>
          <w:szCs w:val="22"/>
          <w:color w:val="auto"/>
        </w:rPr>
      </w:pPr>
    </w:p>
    <w:p>
      <w:pPr>
        <w:ind w:left="760" w:right="80" w:firstLine="745"/>
        <w:spacing w:after="0" w:line="239" w:lineRule="auto"/>
        <w:tabs>
          <w:tab w:leader="none" w:pos="19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Borrower will furnish to the Administrative Agent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spacing w:after="0" w:line="178" w:lineRule="exact"/>
        <w:rPr>
          <w:rFonts w:ascii="Times New Roman" w:cs="Times New Roman" w:eastAsia="Times New Roman" w:hAnsi="Times New Roman"/>
          <w:sz w:val="22"/>
          <w:szCs w:val="22"/>
          <w:color w:val="auto"/>
        </w:rPr>
      </w:pPr>
    </w:p>
    <w:p>
      <w:pPr>
        <w:jc w:val="both"/>
        <w:ind w:left="760" w:right="200" w:firstLine="745"/>
        <w:spacing w:after="0" w:line="244" w:lineRule="auto"/>
        <w:tabs>
          <w:tab w:leader="none" w:pos="19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The Borrower will notify the Administrative Agent, each Agent and each Lender of any change in the information provided in the Beneficial Ownership Certification that would result in a change to the list of beneficial owners identified in such certification.</w:t>
      </w:r>
    </w:p>
    <w:p>
      <w:pPr>
        <w:spacing w:after="0" w:line="172"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Five.02.</w:t>
      </w:r>
      <w:r>
        <w:rPr>
          <w:sz w:val="20"/>
          <w:szCs w:val="20"/>
          <w:color w:val="auto"/>
        </w:rPr>
        <w:tab/>
      </w:r>
      <w:r>
        <w:rPr>
          <w:rFonts w:ascii="Times New Roman" w:cs="Times New Roman" w:eastAsia="Times New Roman" w:hAnsi="Times New Roman"/>
          <w:sz w:val="20"/>
          <w:szCs w:val="20"/>
          <w:u w:val="single" w:color="auto"/>
          <w:color w:val="auto"/>
        </w:rPr>
        <w:t>Negative Covenants of the Borrower</w:t>
      </w:r>
      <w:r>
        <w:rPr>
          <w:rFonts w:ascii="Times New Roman" w:cs="Times New Roman" w:eastAsia="Times New Roman" w:hAnsi="Times New Roman"/>
          <w:sz w:val="20"/>
          <w:szCs w:val="20"/>
          <w:color w:val="auto"/>
        </w:rPr>
        <w:t>. From the date hereof until the Facility Termination Date:</w:t>
      </w:r>
    </w:p>
    <w:p>
      <w:pPr>
        <w:spacing w:after="0" w:line="205" w:lineRule="exact"/>
        <w:rPr>
          <w:sz w:val="20"/>
          <w:szCs w:val="20"/>
          <w:color w:val="auto"/>
        </w:rPr>
      </w:pPr>
    </w:p>
    <w:p>
      <w:pPr>
        <w:jc w:val="both"/>
        <w:ind w:left="760" w:right="40" w:firstLine="745"/>
        <w:spacing w:after="0" w:line="239" w:lineRule="auto"/>
        <w:tabs>
          <w:tab w:leader="none" w:pos="19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The Borrower will not (i) engage in any business other than the transactions contemplated by the Basic Documents, (ii) incur any Indebtedness, obligation, liability or contingent obligation of any kind other than pursuant to this Agreement or under any Hedging Agreement required by Section 6.03 or (iii) form any Subsidiary or make any Investment in any other Person.</w:t>
      </w:r>
    </w:p>
    <w:p>
      <w:pPr>
        <w:spacing w:after="0" w:line="178" w:lineRule="exact"/>
        <w:rPr>
          <w:rFonts w:ascii="Times New Roman" w:cs="Times New Roman" w:eastAsia="Times New Roman" w:hAnsi="Times New Roman"/>
          <w:sz w:val="22"/>
          <w:szCs w:val="22"/>
          <w:color w:val="auto"/>
        </w:rPr>
      </w:pPr>
    </w:p>
    <w:p>
      <w:pPr>
        <w:jc w:val="both"/>
        <w:ind w:left="760" w:right="920" w:firstLine="745"/>
        <w:spacing w:after="0" w:line="280" w:lineRule="auto"/>
        <w:tabs>
          <w:tab w:leader="none" w:pos="194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Receivables Not to be Evidenced by Instruments</w:t>
      </w:r>
      <w:r>
        <w:rPr>
          <w:rFonts w:ascii="Times New Roman" w:cs="Times New Roman" w:eastAsia="Times New Roman" w:hAnsi="Times New Roman"/>
          <w:sz w:val="20"/>
          <w:szCs w:val="20"/>
          <w:color w:val="auto"/>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spacing w:after="0" w:line="138" w:lineRule="exact"/>
        <w:rPr>
          <w:rFonts w:ascii="Times New Roman" w:cs="Times New Roman" w:eastAsia="Times New Roman" w:hAnsi="Times New Roman"/>
          <w:sz w:val="20"/>
          <w:szCs w:val="20"/>
          <w:color w:val="auto"/>
        </w:rPr>
      </w:pPr>
    </w:p>
    <w:p>
      <w:pPr>
        <w:ind w:left="760" w:right="320" w:firstLine="745"/>
        <w:spacing w:after="0" w:line="280" w:lineRule="auto"/>
        <w:tabs>
          <w:tab w:leader="none" w:pos="194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Interests</w:t>
      </w:r>
      <w:r>
        <w:rPr>
          <w:rFonts w:ascii="Times New Roman" w:cs="Times New Roman" w:eastAsia="Times New Roman" w:hAnsi="Times New Roman"/>
          <w:sz w:val="20"/>
          <w:szCs w:val="20"/>
          <w:color w:val="auto"/>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33" w:name="page334"/>
    <w:bookmarkEnd w:id="333"/>
    <w:p>
      <w:pPr>
        <w:ind w:left="760"/>
        <w:spacing w:after="0" w:line="237" w:lineRule="auto"/>
        <w:rPr>
          <w:sz w:val="20"/>
          <w:szCs w:val="20"/>
          <w:color w:val="auto"/>
        </w:rPr>
      </w:pPr>
      <w:r>
        <w:rPr>
          <w:rFonts w:ascii="Times New Roman" w:cs="Times New Roman" w:eastAsia="Times New Roman" w:hAnsi="Times New Roman"/>
          <w:sz w:val="22"/>
          <w:szCs w:val="22"/>
          <w:color w:val="auto"/>
        </w:rPr>
        <w:t>assign or suffer to exist any Lien on its interest, if any, hereunder. The Borrower will promptly notify the Administrative Agent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spacing w:after="0" w:line="180" w:lineRule="exact"/>
        <w:rPr>
          <w:sz w:val="20"/>
          <w:szCs w:val="20"/>
          <w:color w:val="auto"/>
        </w:rPr>
      </w:pPr>
    </w:p>
    <w:p>
      <w:pPr>
        <w:ind w:left="760" w:firstLine="745"/>
        <w:spacing w:after="0" w:line="237" w:lineRule="auto"/>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Acquisitions, Sales, Etc</w:t>
      </w:r>
      <w:r>
        <w:rPr>
          <w:rFonts w:ascii="Times New Roman" w:cs="Times New Roman" w:eastAsia="Times New Roman" w:hAnsi="Times New Roman"/>
          <w:sz w:val="22"/>
          <w:szCs w:val="22"/>
          <w:color w:val="auto"/>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spacing w:after="0" w:line="180" w:lineRule="exact"/>
        <w:rPr>
          <w:rFonts w:ascii="Times New Roman" w:cs="Times New Roman" w:eastAsia="Times New Roman" w:hAnsi="Times New Roman"/>
          <w:sz w:val="22"/>
          <w:szCs w:val="22"/>
          <w:color w:val="auto"/>
        </w:rPr>
      </w:pPr>
    </w:p>
    <w:p>
      <w:pPr>
        <w:ind w:left="760" w:firstLine="745"/>
        <w:spacing w:after="0" w:line="236" w:lineRule="auto"/>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pay cash distributions on the certificates issued pursuant to the Trust Agreement with funds distributed to the Borrower pursuant to Section 2.08(ix), subject to Applicable Law.</w:t>
      </w:r>
    </w:p>
    <w:p>
      <w:pPr>
        <w:spacing w:after="0" w:line="179" w:lineRule="exact"/>
        <w:rPr>
          <w:rFonts w:ascii="Times New Roman" w:cs="Times New Roman" w:eastAsia="Times New Roman" w:hAnsi="Times New Roman"/>
          <w:sz w:val="22"/>
          <w:szCs w:val="22"/>
          <w:color w:val="auto"/>
        </w:rPr>
      </w:pPr>
    </w:p>
    <w:p>
      <w:pPr>
        <w:ind w:left="760" w:right="240" w:firstLine="745"/>
        <w:spacing w:after="0" w:line="264" w:lineRule="auto"/>
        <w:tabs>
          <w:tab w:leader="none" w:pos="194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Name or Location of Receivable Files</w:t>
      </w:r>
      <w:r>
        <w:rPr>
          <w:rFonts w:ascii="Times New Roman" w:cs="Times New Roman" w:eastAsia="Times New Roman" w:hAnsi="Times New Roman"/>
          <w:sz w:val="20"/>
          <w:szCs w:val="20"/>
          <w:color w:val="auto"/>
        </w:rPr>
        <w:t>. The Borrower shall not (i) change its name or state of organization, move the location of its principal place of business and chief executive office, and the offices where it keeps the Records from the location referred to in Section 14.02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spacing w:after="0" w:line="154" w:lineRule="exact"/>
        <w:rPr>
          <w:rFonts w:ascii="Times New Roman" w:cs="Times New Roman" w:eastAsia="Times New Roman" w:hAnsi="Times New Roman"/>
          <w:sz w:val="20"/>
          <w:szCs w:val="20"/>
          <w:color w:val="auto"/>
        </w:rPr>
      </w:pPr>
    </w:p>
    <w:p>
      <w:pPr>
        <w:ind w:left="760" w:right="620" w:firstLine="745"/>
        <w:spacing w:after="0" w:line="244" w:lineRule="auto"/>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True Sale</w:t>
      </w:r>
      <w:r>
        <w:rPr>
          <w:rFonts w:ascii="Times New Roman" w:cs="Times New Roman" w:eastAsia="Times New Roman" w:hAnsi="Times New Roman"/>
          <w:sz w:val="22"/>
          <w:szCs w:val="22"/>
          <w:color w:val="auto"/>
        </w:rPr>
        <w:t>. Except for purposes of GAAP, the Borrower will not account for or treat the transactions contemplated by the Purchase Agreement in any manner other than as the sale, or absolute assignment, of the Receivables and other Collateral by UACC to the Borrower.</w:t>
      </w:r>
    </w:p>
    <w:p>
      <w:pPr>
        <w:spacing w:after="0" w:line="172" w:lineRule="exact"/>
        <w:rPr>
          <w:rFonts w:ascii="Times New Roman" w:cs="Times New Roman" w:eastAsia="Times New Roman" w:hAnsi="Times New Roman"/>
          <w:sz w:val="22"/>
          <w:szCs w:val="22"/>
          <w:color w:val="auto"/>
        </w:rPr>
      </w:pPr>
    </w:p>
    <w:p>
      <w:pPr>
        <w:ind w:left="760" w:right="440" w:firstLine="745"/>
        <w:spacing w:after="0" w:line="244" w:lineRule="auto"/>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Without the consent of the Administrative Agent, the Borrower will not, and will not permit any ERISA Affiliate to, adopt, contribute or become required to contribute to any Pension Plan or any Multiemployer Plan.</w:t>
      </w:r>
    </w:p>
    <w:p>
      <w:pPr>
        <w:spacing w:after="0" w:line="172" w:lineRule="exact"/>
        <w:rPr>
          <w:rFonts w:ascii="Times New Roman" w:cs="Times New Roman" w:eastAsia="Times New Roman" w:hAnsi="Times New Roman"/>
          <w:sz w:val="22"/>
          <w:szCs w:val="22"/>
          <w:color w:val="auto"/>
        </w:rPr>
      </w:pPr>
    </w:p>
    <w:p>
      <w:pPr>
        <w:ind w:left="760" w:right="220" w:firstLine="745"/>
        <w:spacing w:after="0" w:line="244" w:lineRule="auto"/>
        <w:tabs>
          <w:tab w:leader="none" w:pos="194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Documents; Purchase Agreement</w:t>
      </w:r>
      <w:r>
        <w:rPr>
          <w:rFonts w:ascii="Times New Roman" w:cs="Times New Roman" w:eastAsia="Times New Roman" w:hAnsi="Times New Roman"/>
          <w:sz w:val="22"/>
          <w:szCs w:val="22"/>
          <w:color w:val="auto"/>
        </w:rPr>
        <w:t>. Without the prior consent of the Administrative Agent and notice to each Agent, the Borrower will not amend, modify, waive or terminate any provision of its Formation Documents or the Purchase Agreement (including any Transfer Agreement).</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sectPr>
      </w:pPr>
    </w:p>
    <w:bookmarkStart w:id="334" w:name="page335"/>
    <w:bookmarkEnd w:id="334"/>
    <w:p>
      <w:pPr>
        <w:ind w:left="760" w:right="40" w:firstLine="745"/>
        <w:spacing w:after="0" w:line="266" w:lineRule="auto"/>
        <w:tabs>
          <w:tab w:leader="none" w:pos="194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Payment Instructions</w:t>
      </w:r>
      <w:r>
        <w:rPr>
          <w:rFonts w:ascii="Times New Roman" w:cs="Times New Roman" w:eastAsia="Times New Roman" w:hAnsi="Times New Roman"/>
          <w:sz w:val="20"/>
          <w:szCs w:val="20"/>
          <w:color w:val="auto"/>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Local Bank Account, other than in accordance with the terms of the Intercreditor Agreement and the Intercreditor Party Supplement and unless the Administrative Agent has received duly executed copies of all documentation related thereto.</w:t>
      </w:r>
    </w:p>
    <w:p>
      <w:pPr>
        <w:spacing w:after="0" w:line="154" w:lineRule="exact"/>
        <w:rPr>
          <w:rFonts w:ascii="Times New Roman" w:cs="Times New Roman" w:eastAsia="Times New Roman" w:hAnsi="Times New Roman"/>
          <w:sz w:val="20"/>
          <w:szCs w:val="20"/>
          <w:color w:val="auto"/>
        </w:rPr>
      </w:pPr>
    </w:p>
    <w:p>
      <w:pPr>
        <w:ind w:left="760" w:right="440" w:firstLine="745"/>
        <w:spacing w:after="0" w:line="244" w:lineRule="auto"/>
        <w:tabs>
          <w:tab w:leader="none" w:pos="19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w:t>
      </w:r>
      <w:r>
        <w:rPr>
          <w:rFonts w:ascii="Times New Roman" w:cs="Times New Roman" w:eastAsia="Times New Roman" w:hAnsi="Times New Roman"/>
          <w:sz w:val="22"/>
          <w:szCs w:val="22"/>
          <w:color w:val="auto"/>
        </w:rPr>
        <w:t>. The Borrower will not, except as otherwise permitted in Section 7.03(c)(i), extend, amend or otherwise modify, or permit the Servicer to extend, amend or otherwise modify, the terms of any Contract.</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60" w:right="440" w:firstLine="745"/>
        <w:spacing w:after="0" w:line="244" w:lineRule="auto"/>
        <w:tabs>
          <w:tab w:leader="none" w:pos="19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The Borrower will not assign or delegate, grant any interest in or permit any Lien to exist upon any of its rights, obligations or duties under this Agreement without the prior written consent of the Administrative Agent.</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shall not (nor has the Borrower taken any such action in the past):</w:t>
      </w:r>
    </w:p>
    <w:p>
      <w:pPr>
        <w:spacing w:after="0" w:line="205" w:lineRule="exact"/>
        <w:rPr>
          <w:rFonts w:ascii="Times New Roman" w:cs="Times New Roman" w:eastAsia="Times New Roman" w:hAnsi="Times New Roman"/>
          <w:sz w:val="22"/>
          <w:szCs w:val="22"/>
          <w:color w:val="auto"/>
        </w:rPr>
      </w:pPr>
    </w:p>
    <w:p>
      <w:pPr>
        <w:ind w:left="1500" w:right="80" w:firstLine="892"/>
        <w:spacing w:after="0" w:line="244" w:lineRule="auto"/>
        <w:tabs>
          <w:tab w:leader="none" w:pos="2818" w:val="left"/>
        </w:tabs>
        <w:numPr>
          <w:ilvl w:val="3"/>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business or activity other than the purchase and receipt of Receivables and related assets from UACC under the Purchase Agreement, the pledge of Receivables and other Collateral under the Basic Documents and such other activities as are incidental thereto;</w:t>
      </w:r>
    </w:p>
    <w:p>
      <w:pPr>
        <w:spacing w:after="0" w:line="172" w:lineRule="exact"/>
        <w:rPr>
          <w:rFonts w:ascii="Times New Roman" w:cs="Times New Roman" w:eastAsia="Times New Roman" w:hAnsi="Times New Roman"/>
          <w:sz w:val="22"/>
          <w:szCs w:val="22"/>
          <w:color w:val="auto"/>
        </w:rPr>
      </w:pPr>
    </w:p>
    <w:p>
      <w:pPr>
        <w:ind w:left="1500" w:right="100" w:firstLine="825"/>
        <w:spacing w:after="0" w:line="244" w:lineRule="auto"/>
        <w:tabs>
          <w:tab w:leader="none" w:pos="2751" w:val="left"/>
        </w:tabs>
        <w:numPr>
          <w:ilvl w:val="3"/>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own any material assets other than (A) the Receivables and related assets from UACC under the Purchase Agreement and (B) incidental property as may be necessary for the operation of the Borrower;</w:t>
      </w:r>
    </w:p>
    <w:p>
      <w:pPr>
        <w:spacing w:after="0" w:line="172" w:lineRule="exact"/>
        <w:rPr>
          <w:rFonts w:ascii="Times New Roman" w:cs="Times New Roman" w:eastAsia="Times New Roman" w:hAnsi="Times New Roman"/>
          <w:sz w:val="22"/>
          <w:szCs w:val="22"/>
          <w:color w:val="auto"/>
        </w:rPr>
      </w:pPr>
    </w:p>
    <w:p>
      <w:pPr>
        <w:ind w:left="1500" w:right="160" w:firstLine="754"/>
        <w:spacing w:after="0" w:line="244" w:lineRule="auto"/>
        <w:tabs>
          <w:tab w:leader="none" w:pos="2680"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spacing w:after="0" w:line="172" w:lineRule="exact"/>
        <w:rPr>
          <w:rFonts w:ascii="Times New Roman" w:cs="Times New Roman" w:eastAsia="Times New Roman" w:hAnsi="Times New Roman"/>
          <w:sz w:val="22"/>
          <w:szCs w:val="22"/>
          <w:color w:val="auto"/>
        </w:rPr>
      </w:pPr>
    </w:p>
    <w:p>
      <w:pPr>
        <w:jc w:val="both"/>
        <w:ind w:left="1500" w:firstLine="768"/>
        <w:spacing w:after="0" w:line="239" w:lineRule="auto"/>
        <w:tabs>
          <w:tab w:leader="none" w:pos="2694" w:val="left"/>
        </w:tabs>
        <w:numPr>
          <w:ilvl w:val="2"/>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spacing w:after="0" w:line="178" w:lineRule="exact"/>
        <w:rPr>
          <w:rFonts w:ascii="Times New Roman" w:cs="Times New Roman" w:eastAsia="Times New Roman" w:hAnsi="Times New Roman"/>
          <w:sz w:val="22"/>
          <w:szCs w:val="22"/>
          <w:color w:val="auto"/>
        </w:rPr>
      </w:pPr>
    </w:p>
    <w:p>
      <w:pPr>
        <w:ind w:left="1500" w:right="1100" w:firstLine="838"/>
        <w:spacing w:after="0" w:line="258" w:lineRule="auto"/>
        <w:tabs>
          <w:tab w:leader="none" w:pos="2764" w:val="left"/>
        </w:tabs>
        <w:numPr>
          <w:ilvl w:val="3"/>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 any Subsidiary or make any investment in any Person without the consent of the Administrative Agent;</w:t>
      </w:r>
    </w:p>
    <w:p>
      <w:pPr>
        <w:spacing w:after="0" w:line="157" w:lineRule="exact"/>
        <w:rPr>
          <w:rFonts w:ascii="Times New Roman" w:cs="Times New Roman" w:eastAsia="Times New Roman" w:hAnsi="Times New Roman"/>
          <w:sz w:val="22"/>
          <w:szCs w:val="22"/>
          <w:color w:val="auto"/>
        </w:rPr>
      </w:pPr>
    </w:p>
    <w:p>
      <w:pPr>
        <w:ind w:left="1500" w:right="540" w:firstLine="768"/>
        <w:spacing w:after="0" w:line="258" w:lineRule="auto"/>
        <w:tabs>
          <w:tab w:leader="none" w:pos="2694" w:val="left"/>
        </w:tabs>
        <w:numPr>
          <w:ilvl w:val="2"/>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commingle its assets with the assets of any of its Affiliates, or of any other Person, except as contemplated hereunder or under the Intercreditor Agreement;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35" w:name="page336"/>
    <w:bookmarkEnd w:id="335"/>
    <w:p>
      <w:pPr>
        <w:ind w:left="1500" w:right="80" w:firstLine="699"/>
        <w:spacing w:after="0" w:line="239" w:lineRule="auto"/>
        <w:tabs>
          <w:tab w:leader="none" w:pos="2625"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debt,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spacing w:after="0" w:line="178" w:lineRule="exact"/>
        <w:rPr>
          <w:rFonts w:ascii="Times New Roman" w:cs="Times New Roman" w:eastAsia="Times New Roman" w:hAnsi="Times New Roman"/>
          <w:sz w:val="22"/>
          <w:szCs w:val="22"/>
          <w:color w:val="auto"/>
        </w:rPr>
      </w:pPr>
    </w:p>
    <w:p>
      <w:pPr>
        <w:ind w:left="3000" w:hanging="870"/>
        <w:spacing w:after="0"/>
        <w:tabs>
          <w:tab w:leader="none" w:pos="3000"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not Solvent or fail to pay its debts and liabilities from its assets as the same shall</w:t>
      </w:r>
    </w:p>
    <w:p>
      <w:pPr>
        <w:spacing w:after="0" w:line="13"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due;</w:t>
      </w:r>
    </w:p>
    <w:p>
      <w:pPr>
        <w:spacing w:after="0" w:line="181" w:lineRule="exact"/>
        <w:rPr>
          <w:rFonts w:ascii="Times New Roman" w:cs="Times New Roman" w:eastAsia="Times New Roman" w:hAnsi="Times New Roman"/>
          <w:sz w:val="22"/>
          <w:szCs w:val="22"/>
          <w:color w:val="auto"/>
        </w:rPr>
      </w:pPr>
    </w:p>
    <w:p>
      <w:pPr>
        <w:ind w:left="1500" w:right="180" w:firstLine="768"/>
        <w:spacing w:after="0" w:line="258" w:lineRule="auto"/>
        <w:tabs>
          <w:tab w:leader="none" w:pos="2694" w:val="left"/>
        </w:tabs>
        <w:numPr>
          <w:ilvl w:val="2"/>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its records, books of account and bank accounts separate and apart from those of any other Person, except as contemplated hereunder or under the Intercreditor Agreement;</w:t>
      </w:r>
    </w:p>
    <w:p>
      <w:pPr>
        <w:spacing w:after="0" w:line="157" w:lineRule="exact"/>
        <w:rPr>
          <w:rFonts w:ascii="Times New Roman" w:cs="Times New Roman" w:eastAsia="Times New Roman" w:hAnsi="Times New Roman"/>
          <w:sz w:val="22"/>
          <w:szCs w:val="22"/>
          <w:color w:val="auto"/>
        </w:rPr>
      </w:pPr>
    </w:p>
    <w:p>
      <w:pPr>
        <w:ind w:left="1500" w:right="220" w:firstLine="838"/>
        <w:spacing w:after="0" w:line="280" w:lineRule="auto"/>
        <w:tabs>
          <w:tab w:leader="none" w:pos="2764" w:val="left"/>
        </w:tabs>
        <w:numPr>
          <w:ilvl w:val="4"/>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its Affiliates;</w:t>
      </w:r>
    </w:p>
    <w:p>
      <w:pPr>
        <w:spacing w:after="0" w:line="138" w:lineRule="exact"/>
        <w:rPr>
          <w:rFonts w:ascii="Times New Roman" w:cs="Times New Roman" w:eastAsia="Times New Roman" w:hAnsi="Times New Roman"/>
          <w:sz w:val="20"/>
          <w:szCs w:val="20"/>
          <w:color w:val="auto"/>
        </w:rPr>
      </w:pPr>
    </w:p>
    <w:p>
      <w:pPr>
        <w:ind w:left="2700" w:hanging="432"/>
        <w:spacing w:after="0"/>
        <w:tabs>
          <w:tab w:leader="none" w:pos="2700" w:val="left"/>
        </w:tabs>
        <w:numPr>
          <w:ilvl w:val="3"/>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its dissolution or winding up in whole or in part;</w:t>
      </w:r>
    </w:p>
    <w:p>
      <w:pPr>
        <w:spacing w:after="0" w:line="205" w:lineRule="exact"/>
        <w:rPr>
          <w:rFonts w:ascii="Times New Roman" w:cs="Times New Roman" w:eastAsia="Times New Roman" w:hAnsi="Times New Roman"/>
          <w:sz w:val="22"/>
          <w:szCs w:val="22"/>
          <w:color w:val="auto"/>
        </w:rPr>
      </w:pPr>
    </w:p>
    <w:p>
      <w:pPr>
        <w:ind w:left="1500" w:firstLine="699"/>
        <w:spacing w:after="0" w:line="258" w:lineRule="auto"/>
        <w:tabs>
          <w:tab w:leader="none" w:pos="2625" w:val="left"/>
        </w:tabs>
        <w:numPr>
          <w:ilvl w:val="3"/>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correct any known misunderstandings regarding the separate identity of Borrower or UACC, as applicable, or any principal or Affiliate thereof or any other Person;</w:t>
      </w:r>
    </w:p>
    <w:p>
      <w:pPr>
        <w:spacing w:after="0" w:line="157" w:lineRule="exact"/>
        <w:rPr>
          <w:rFonts w:ascii="Times New Roman" w:cs="Times New Roman" w:eastAsia="Times New Roman" w:hAnsi="Times New Roman"/>
          <w:sz w:val="22"/>
          <w:szCs w:val="22"/>
          <w:color w:val="auto"/>
        </w:rPr>
      </w:pPr>
    </w:p>
    <w:p>
      <w:pPr>
        <w:ind w:left="1500" w:right="400" w:firstLine="630"/>
        <w:spacing w:after="0" w:line="258" w:lineRule="auto"/>
        <w:tabs>
          <w:tab w:leader="none" w:pos="2987"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become obligated for, or hold itself out to be responsible for the debt of another Person, except as expressly provided in the Basic Documents;</w:t>
      </w:r>
    </w:p>
    <w:p>
      <w:pPr>
        <w:spacing w:after="0" w:line="157" w:lineRule="exact"/>
        <w:rPr>
          <w:rFonts w:ascii="Times New Roman" w:cs="Times New Roman" w:eastAsia="Times New Roman" w:hAnsi="Times New Roman"/>
          <w:sz w:val="22"/>
          <w:szCs w:val="22"/>
          <w:color w:val="auto"/>
        </w:rPr>
      </w:pPr>
    </w:p>
    <w:p>
      <w:pPr>
        <w:ind w:left="1500" w:right="480" w:firstLine="643"/>
        <w:spacing w:after="0" w:line="258" w:lineRule="auto"/>
        <w:tabs>
          <w:tab w:leader="none" w:pos="3001"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 or advances to any third party, including any principal or Affiliate, or hold evidence of Indebtedness issued by any other Person (other than Permitted Investments);</w:t>
      </w:r>
    </w:p>
    <w:p>
      <w:pPr>
        <w:spacing w:after="0" w:line="157" w:lineRule="exact"/>
        <w:rPr>
          <w:rFonts w:ascii="Times New Roman" w:cs="Times New Roman" w:eastAsia="Times New Roman" w:hAnsi="Times New Roman"/>
          <w:sz w:val="22"/>
          <w:szCs w:val="22"/>
          <w:color w:val="auto"/>
        </w:rPr>
      </w:pPr>
    </w:p>
    <w:p>
      <w:pPr>
        <w:ind w:left="1500" w:right="20" w:firstLine="712"/>
        <w:spacing w:after="0" w:line="239" w:lineRule="auto"/>
        <w:tabs>
          <w:tab w:leader="none" w:pos="2638"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principals or Affiliates);</w:t>
      </w:r>
    </w:p>
    <w:p>
      <w:pPr>
        <w:spacing w:after="0" w:line="178" w:lineRule="exact"/>
        <w:rPr>
          <w:rFonts w:ascii="Times New Roman" w:cs="Times New Roman" w:eastAsia="Times New Roman" w:hAnsi="Times New Roman"/>
          <w:sz w:val="22"/>
          <w:szCs w:val="22"/>
          <w:color w:val="auto"/>
        </w:rPr>
      </w:pPr>
    </w:p>
    <w:p>
      <w:pPr>
        <w:ind w:left="1500" w:right="720" w:firstLine="643"/>
        <w:spacing w:after="0" w:line="258" w:lineRule="auto"/>
        <w:tabs>
          <w:tab w:leader="none" w:pos="3001"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adequate capital for the normal obligations reasonably foreseeable in a business of its size and character and in light of its contemplated business operations;</w:t>
      </w:r>
    </w:p>
    <w:p>
      <w:pPr>
        <w:spacing w:after="0" w:line="157" w:lineRule="exact"/>
        <w:rPr>
          <w:rFonts w:ascii="Times New Roman" w:cs="Times New Roman" w:eastAsia="Times New Roman" w:hAnsi="Times New Roman"/>
          <w:sz w:val="22"/>
          <w:szCs w:val="22"/>
          <w:color w:val="auto"/>
        </w:rPr>
      </w:pPr>
    </w:p>
    <w:p>
      <w:pPr>
        <w:ind w:left="1500" w:right="60" w:firstLine="575"/>
        <w:spacing w:after="0" w:line="258" w:lineRule="auto"/>
        <w:tabs>
          <w:tab w:leader="none" w:pos="2932"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or consent to the filing of any petition, either voluntary or involuntary, to take advantage of any applicable Insolvency Laws, or make an assignment for the benefit of creditors;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36" w:name="page337"/>
    <w:bookmarkEnd w:id="336"/>
    <w:p>
      <w:pPr>
        <w:ind w:left="2860" w:hanging="856"/>
        <w:spacing w:after="0"/>
        <w:tabs>
          <w:tab w:leader="none" w:pos="2860"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 any common logo with or hold itself out as or be considered as a department or division of</w:t>
      </w:r>
    </w:p>
    <w:p>
      <w:pPr>
        <w:spacing w:after="0" w:line="36" w:lineRule="exact"/>
        <w:rPr>
          <w:rFonts w:ascii="Times New Roman" w:cs="Times New Roman" w:eastAsia="Times New Roman" w:hAnsi="Times New Roman"/>
          <w:sz w:val="20"/>
          <w:szCs w:val="20"/>
          <w:color w:val="auto"/>
        </w:rPr>
      </w:pPr>
    </w:p>
    <w:p>
      <w:pPr>
        <w:ind w:left="1860" w:hanging="355"/>
        <w:spacing w:after="0"/>
        <w:tabs>
          <w:tab w:leader="none" w:pos="186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its principals or Affiliates, (B) any Affiliate of a principal or (C) any other Person;</w:t>
      </w:r>
    </w:p>
    <w:p>
      <w:pPr>
        <w:spacing w:after="0" w:line="181" w:lineRule="exact"/>
        <w:rPr>
          <w:rFonts w:ascii="Times New Roman" w:cs="Times New Roman" w:eastAsia="Times New Roman" w:hAnsi="Times New Roman"/>
          <w:sz w:val="22"/>
          <w:szCs w:val="22"/>
          <w:color w:val="auto"/>
        </w:rPr>
      </w:pPr>
    </w:p>
    <w:p>
      <w:pPr>
        <w:ind w:left="1500" w:right="100" w:firstLine="643"/>
        <w:spacing w:after="0" w:line="244" w:lineRule="auto"/>
        <w:tabs>
          <w:tab w:leader="none" w:pos="3001" w:val="left"/>
        </w:tabs>
        <w:numPr>
          <w:ilvl w:val="3"/>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transfer (whether in any one or more transactions) of a direct or indirect ownership interest in the Borrower (other than in accordance with the Trust Agreement), unless the Borrower delivers to the Administrative Agent an acceptable non-consolidation opinion;</w:t>
      </w:r>
    </w:p>
    <w:p>
      <w:pPr>
        <w:spacing w:after="0" w:line="172" w:lineRule="exact"/>
        <w:rPr>
          <w:rFonts w:ascii="Times New Roman" w:cs="Times New Roman" w:eastAsia="Times New Roman" w:hAnsi="Times New Roman"/>
          <w:sz w:val="22"/>
          <w:szCs w:val="22"/>
          <w:color w:val="auto"/>
        </w:rPr>
      </w:pPr>
    </w:p>
    <w:p>
      <w:pPr>
        <w:ind w:left="2640" w:hanging="428"/>
        <w:spacing w:after="0"/>
        <w:tabs>
          <w:tab w:leader="none" w:pos="2640" w:val="left"/>
        </w:tabs>
        <w:numPr>
          <w:ilvl w:val="3"/>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pay its own liabilities and expenses only out of its own funds;</w:t>
      </w:r>
    </w:p>
    <w:p>
      <w:pPr>
        <w:spacing w:after="0" w:line="205" w:lineRule="exact"/>
        <w:rPr>
          <w:rFonts w:ascii="Times New Roman" w:cs="Times New Roman" w:eastAsia="Times New Roman" w:hAnsi="Times New Roman"/>
          <w:sz w:val="22"/>
          <w:szCs w:val="22"/>
          <w:color w:val="auto"/>
        </w:rPr>
      </w:pPr>
    </w:p>
    <w:p>
      <w:pPr>
        <w:ind w:left="3000" w:hanging="857"/>
        <w:spacing w:after="0"/>
        <w:tabs>
          <w:tab w:leader="none" w:pos="3000" w:val="left"/>
        </w:tabs>
        <w:numPr>
          <w:ilvl w:val="3"/>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the obligations or securities of its Affiliates or stockholders;</w:t>
      </w:r>
    </w:p>
    <w:p>
      <w:pPr>
        <w:spacing w:after="0" w:line="205" w:lineRule="exact"/>
        <w:rPr>
          <w:rFonts w:ascii="Times New Roman" w:cs="Times New Roman" w:eastAsia="Times New Roman" w:hAnsi="Times New Roman"/>
          <w:sz w:val="22"/>
          <w:szCs w:val="22"/>
          <w:color w:val="auto"/>
        </w:rPr>
      </w:pPr>
    </w:p>
    <w:p>
      <w:pPr>
        <w:ind w:left="1500" w:right="300" w:firstLine="575"/>
        <w:spacing w:after="0" w:line="258" w:lineRule="auto"/>
        <w:tabs>
          <w:tab w:leader="none" w:pos="2932" w:val="left"/>
        </w:tabs>
        <w:numPr>
          <w:ilvl w:val="3"/>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allocate fairly and reasonably any overhead expenses that are shared with an Affiliate, including paying for office space and services performed by any employee of an Affiliate;</w:t>
      </w:r>
    </w:p>
    <w:p>
      <w:pPr>
        <w:spacing w:after="0" w:line="157" w:lineRule="exact"/>
        <w:rPr>
          <w:rFonts w:ascii="Times New Roman" w:cs="Times New Roman" w:eastAsia="Times New Roman" w:hAnsi="Times New Roman"/>
          <w:sz w:val="22"/>
          <w:szCs w:val="22"/>
          <w:color w:val="auto"/>
        </w:rPr>
      </w:pPr>
    </w:p>
    <w:p>
      <w:pPr>
        <w:ind w:left="2860" w:hanging="856"/>
        <w:spacing w:after="0"/>
        <w:tabs>
          <w:tab w:leader="none" w:pos="2860"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use separate invoices and checks bearing its own name;</w:t>
      </w:r>
    </w:p>
    <w:p>
      <w:pPr>
        <w:spacing w:after="0" w:line="205" w:lineRule="exact"/>
        <w:rPr>
          <w:rFonts w:ascii="Times New Roman" w:cs="Times New Roman" w:eastAsia="Times New Roman" w:hAnsi="Times New Roman"/>
          <w:sz w:val="22"/>
          <w:szCs w:val="22"/>
          <w:color w:val="auto"/>
        </w:rPr>
      </w:pPr>
    </w:p>
    <w:p>
      <w:pPr>
        <w:ind w:left="1500" w:right="300" w:firstLine="518"/>
        <w:spacing w:after="0" w:line="258" w:lineRule="auto"/>
        <w:tabs>
          <w:tab w:leader="none" w:pos="2875" w:val="left"/>
        </w:tabs>
        <w:numPr>
          <w:ilvl w:val="2"/>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its assets for the benefit of any other Person, other than with respect to payment of the Indebtedness to the Lenders hereunder;</w:t>
      </w:r>
    </w:p>
    <w:p>
      <w:pPr>
        <w:spacing w:after="0" w:line="157" w:lineRule="exact"/>
        <w:rPr>
          <w:rFonts w:ascii="Times New Roman" w:cs="Times New Roman" w:eastAsia="Times New Roman" w:hAnsi="Times New Roman"/>
          <w:sz w:val="22"/>
          <w:szCs w:val="22"/>
          <w:color w:val="auto"/>
        </w:rPr>
      </w:pPr>
    </w:p>
    <w:p>
      <w:pPr>
        <w:ind w:left="1500" w:firstLine="588"/>
        <w:spacing w:after="0" w:line="234" w:lineRule="auto"/>
        <w:tabs>
          <w:tab w:leader="none" w:pos="2946" w:val="left"/>
        </w:tabs>
        <w:numPr>
          <w:ilvl w:val="3"/>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provide that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spacing w:after="0" w:line="184" w:lineRule="exact"/>
        <w:rPr>
          <w:rFonts w:ascii="Times New Roman" w:cs="Times New Roman" w:eastAsia="Times New Roman" w:hAnsi="Times New Roman"/>
          <w:sz w:val="22"/>
          <w:szCs w:val="22"/>
          <w:color w:val="auto"/>
        </w:rPr>
      </w:pPr>
    </w:p>
    <w:p>
      <w:pPr>
        <w:ind w:left="1500" w:right="320" w:firstLine="518"/>
        <w:spacing w:after="0" w:line="258" w:lineRule="auto"/>
        <w:tabs>
          <w:tab w:leader="none" w:pos="2875" w:val="left"/>
        </w:tabs>
        <w:numPr>
          <w:ilvl w:val="2"/>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its Formation Documents in any respect that would impair its ability to comply with the Basic Documents; and</w:t>
      </w:r>
    </w:p>
    <w:p>
      <w:pPr>
        <w:spacing w:after="0" w:line="157" w:lineRule="exact"/>
        <w:rPr>
          <w:rFonts w:ascii="Times New Roman" w:cs="Times New Roman" w:eastAsia="Times New Roman" w:hAnsi="Times New Roman"/>
          <w:sz w:val="22"/>
          <w:szCs w:val="22"/>
          <w:color w:val="auto"/>
        </w:rPr>
      </w:pPr>
    </w:p>
    <w:p>
      <w:pPr>
        <w:ind w:left="1500" w:right="880" w:firstLine="450"/>
        <w:spacing w:after="0" w:line="258" w:lineRule="auto"/>
        <w:tabs>
          <w:tab w:leader="none" w:pos="2808" w:val="left"/>
        </w:tabs>
        <w:numPr>
          <w:ilvl w:val="2"/>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take or refrain from taking, as applicable, each of the activities specified in the non-consolidation opinion of [***], dated the Closing Date.</w:t>
      </w:r>
    </w:p>
    <w:p>
      <w:pPr>
        <w:spacing w:after="0" w:line="157" w:lineRule="exact"/>
        <w:rPr>
          <w:sz w:val="20"/>
          <w:szCs w:val="20"/>
          <w:color w:val="auto"/>
        </w:rPr>
      </w:pPr>
    </w:p>
    <w:p>
      <w:pPr>
        <w:ind w:left="760" w:right="360" w:firstLine="745"/>
        <w:spacing w:after="0" w:line="258" w:lineRule="auto"/>
        <w:tabs>
          <w:tab w:leader="none" w:pos="194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Lenders</w:t>
      </w:r>
      <w:r>
        <w:rPr>
          <w:rFonts w:ascii="Times New Roman" w:cs="Times New Roman" w:eastAsia="Times New Roman" w:hAnsi="Times New Roman"/>
          <w:sz w:val="22"/>
          <w:szCs w:val="22"/>
          <w:color w:val="auto"/>
        </w:rPr>
        <w:t>. The Borrower will not add any Lender to this Agreement without the prior written consent of the Administrative Agent.</w:t>
      </w:r>
    </w:p>
    <w:p>
      <w:pPr>
        <w:spacing w:after="0" w:line="157" w:lineRule="exact"/>
        <w:rPr>
          <w:rFonts w:ascii="Times New Roman" w:cs="Times New Roman" w:eastAsia="Times New Roman" w:hAnsi="Times New Roman"/>
          <w:sz w:val="22"/>
          <w:szCs w:val="22"/>
          <w:color w:val="auto"/>
        </w:rPr>
      </w:pPr>
    </w:p>
    <w:p>
      <w:pPr>
        <w:ind w:left="760" w:right="280" w:firstLine="745"/>
        <w:spacing w:after="0" w:line="258" w:lineRule="auto"/>
        <w:tabs>
          <w:tab w:leader="none" w:pos="194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create, or participate in the creation of, or permit to exist, any Liens (other than Permitted Liens) and will not enter into any control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37" w:name="page338"/>
    <w:bookmarkEnd w:id="337"/>
    <w:p>
      <w:pPr>
        <w:ind w:left="760" w:right="540"/>
        <w:spacing w:after="0" w:line="258" w:lineRule="auto"/>
        <w:rPr>
          <w:sz w:val="20"/>
          <w:szCs w:val="20"/>
          <w:color w:val="auto"/>
        </w:rPr>
      </w:pPr>
      <w:r>
        <w:rPr>
          <w:rFonts w:ascii="Times New Roman" w:cs="Times New Roman" w:eastAsia="Times New Roman" w:hAnsi="Times New Roman"/>
          <w:sz w:val="22"/>
          <w:szCs w:val="22"/>
          <w:color w:val="auto"/>
        </w:rPr>
        <w:t>agreement with respect to the Post Office Boxes or the Local Bank Account other than pursuant to the Intercreditor Agreement.</w:t>
      </w:r>
    </w:p>
    <w:p>
      <w:pPr>
        <w:spacing w:after="0" w:line="153" w:lineRule="exact"/>
        <w:rPr>
          <w:sz w:val="20"/>
          <w:szCs w:val="20"/>
          <w:color w:val="auto"/>
        </w:rPr>
      </w:pPr>
    </w:p>
    <w:p>
      <w:pPr>
        <w:ind w:left="760" w:right="180" w:firstLine="745"/>
        <w:spacing w:after="0" w:line="238" w:lineRule="auto"/>
        <w:tabs>
          <w:tab w:leader="none" w:pos="194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Source of Repayment and Collateral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Borrower shall not fund any repayment of the credit with proceeds, or provide as collateral any property, that is directly or indirectly derived from any transaction or activity that is prohibited by Sanctions, Anti-Money Laundering Laws or Anti-Corruption Laws, or that could otherwise cause any Lender or any other party to this agreement to be in violation of Sanctions, Anti-Money Laundering Laws or Anti-Corruption Laws.</w:t>
      </w:r>
    </w:p>
    <w:p>
      <w:pPr>
        <w:spacing w:after="0" w:line="179"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Five.03.</w:t>
      </w:r>
      <w:r>
        <w:rPr>
          <w:sz w:val="20"/>
          <w:szCs w:val="20"/>
          <w:color w:val="auto"/>
        </w:rPr>
        <w:tab/>
      </w:r>
      <w:r>
        <w:rPr>
          <w:rFonts w:ascii="Times New Roman" w:cs="Times New Roman" w:eastAsia="Times New Roman" w:hAnsi="Times New Roman"/>
          <w:sz w:val="20"/>
          <w:szCs w:val="20"/>
          <w:u w:val="single" w:color="auto"/>
          <w:color w:val="auto"/>
        </w:rPr>
        <w:t>Covenants of the Borrower Relating to the Hedging Agreement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4" w:lineRule="auto"/>
        <w:tabs>
          <w:tab w:leader="none" w:pos="1180"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commencement and during the continuation of a Required Hedging Period, the Borrower shall enter into one or more Hedge Transactions in form and substance satisfactory (including the notional amount, term and amortization rate (if any) of such Hedge Transaction) to the Administrative Agent with a strike rate equal to that used to obtain the most recent Hedge Quote. Each such Hedge Transaction shall be entered into with a Hedge Counterparty and governed by a Hedging Agreement; provided, that as of any date of determination, the aggregate notional amount relating to such Hedge Transactions shall not be less than the Loans Outstanding on such date. At the direction of the Administrative Agent to the Account Bank upon at least two Business Days’ prior written notice, all or a portion the Hedge Reserve Account Amount will be paid to or for the account of the applicable Hedge Counterparty in order to pay the cost to the Borrower of entering into the Hedge Transactions required pursuant to this Section.</w:t>
      </w:r>
    </w:p>
    <w:p>
      <w:pPr>
        <w:spacing w:after="0" w:line="180"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The Borrower shall deliver to the Administrative Agent a copy of all documents related to any Hedging Agreement, including confirmations, schedules and an aggregate notion amortization schedule.</w:t>
      </w:r>
    </w:p>
    <w:p>
      <w:pPr>
        <w:spacing w:after="0" w:line="157" w:lineRule="exact"/>
        <w:rPr>
          <w:sz w:val="20"/>
          <w:szCs w:val="20"/>
          <w:color w:val="auto"/>
        </w:rPr>
      </w:pPr>
    </w:p>
    <w:p>
      <w:pPr>
        <w:ind w:right="560" w:firstLine="749"/>
        <w:spacing w:after="0" w:line="307" w:lineRule="auto"/>
        <w:rPr>
          <w:sz w:val="20"/>
          <w:szCs w:val="20"/>
          <w:color w:val="auto"/>
        </w:rPr>
      </w:pPr>
      <w:r>
        <w:rPr>
          <w:rFonts w:ascii="Times New Roman" w:cs="Times New Roman" w:eastAsia="Times New Roman" w:hAnsi="Times New Roman"/>
          <w:sz w:val="20"/>
          <w:szCs w:val="20"/>
          <w:color w:val="auto"/>
        </w:rPr>
        <w:t>All reasonably documented out-of-pocket costs and expenses (including reasonable legal fees and disbursements) incurred by the Administrative Agent and the Lenders incurred with each Hedge Transaction shall be paid by the Borrower.</w:t>
      </w:r>
    </w:p>
    <w:p>
      <w:pPr>
        <w:spacing w:after="0" w:line="11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It is hereby confirmed that the Amended and Restated Warehouse Agreement Waiver Letter, dated December 3, 2013, among the Borrower, UACC and the Administrative Agent, as amended, restated, supplemented or otherwise modified from time to time, is terminated as of the Amendment Effective Date.</w:t>
      </w:r>
    </w:p>
    <w:p>
      <w:pPr>
        <w:spacing w:after="0" w:line="172" w:lineRule="exact"/>
        <w:rPr>
          <w:sz w:val="20"/>
          <w:szCs w:val="20"/>
          <w:color w:val="auto"/>
        </w:rPr>
      </w:pPr>
    </w:p>
    <w:p>
      <w:pPr>
        <w:ind w:right="20" w:firstLine="757"/>
        <w:spacing w:after="0" w:line="235" w:lineRule="auto"/>
        <w:tabs>
          <w:tab w:leader="none" w:pos="118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Amendment Effective Date, the Borrower shall establish and maintain a separate account in its name at the Account Bank indicating that the funds deposited therein are held for the benefit of the Secured Parties (the “</w:t>
      </w:r>
      <w:r>
        <w:rPr>
          <w:rFonts w:ascii="Times New Roman" w:cs="Times New Roman" w:eastAsia="Times New Roman" w:hAnsi="Times New Roman"/>
          <w:sz w:val="22"/>
          <w:szCs w:val="22"/>
          <w:u w:val="single" w:color="auto"/>
          <w:color w:val="auto"/>
        </w:rPr>
        <w:t>Hedge Reserve Account</w:t>
      </w:r>
      <w:r>
        <w:rPr>
          <w:rFonts w:ascii="Times New Roman" w:cs="Times New Roman" w:eastAsia="Times New Roman" w:hAnsi="Times New Roman"/>
          <w:sz w:val="22"/>
          <w:szCs w:val="22"/>
          <w:color w:val="auto"/>
        </w:rPr>
        <w:t>”). The taxpayer identification number associated with the Hedge Reserve Account shall be that of the Borrower and the Borrower will report, for Federal, state and local income tax purposes, the income, if any, represented by the Hedge Reserve Account. On or prior to the 30th day following the Amendment Effective Date, the Borrower shall cause the Hedge Reserve Account Required Amount to be deposited in the Hedge Reserve Account. At the written direction of the Servicer (which may be a standing order), funds on deposit in the Hedge Reserve Account shall be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38" w:name="page339"/>
    <w:bookmarkEnd w:id="338"/>
    <w:p>
      <w:pPr>
        <w:ind w:right="180"/>
        <w:spacing w:after="0" w:line="264" w:lineRule="auto"/>
        <w:rPr>
          <w:sz w:val="20"/>
          <w:szCs w:val="20"/>
          <w:color w:val="auto"/>
        </w:rPr>
      </w:pPr>
      <w:r>
        <w:rPr>
          <w:rFonts w:ascii="Times New Roman" w:cs="Times New Roman" w:eastAsia="Times New Roman" w:hAnsi="Times New Roman"/>
          <w:sz w:val="20"/>
          <w:szCs w:val="20"/>
          <w:color w:val="auto"/>
        </w:rPr>
        <w:t>invested by the Account Bank in Permitted Investments selected by the Borrower that will mature so that such funds will be available on or before the close of business on the Business Day preceding each Payment Date. All Permitted Investments shall be held in the name of the Administrative Agent for the benefit of the Secured Parties. To the extent the Borrower does not provide the written instructions described in the first sentence of this Section 6.03(b), funds on deposit in the Hedge Reserve Account shall remain uninvested. Funds deposited in the Hedge Reserve Account on a Business Day (which immediately precedes a Payment Date) upon the maturity of any Permitted Investments are not required to be invested overnight.</w:t>
      </w:r>
    </w:p>
    <w:p>
      <w:pPr>
        <w:spacing w:after="0" w:line="154" w:lineRule="exact"/>
        <w:rPr>
          <w:sz w:val="20"/>
          <w:szCs w:val="20"/>
          <w:color w:val="auto"/>
        </w:rPr>
      </w:pPr>
    </w:p>
    <w:p>
      <w:pPr>
        <w:jc w:val="both"/>
        <w:ind w:right="40" w:firstLine="757"/>
        <w:spacing w:after="0" w:line="264" w:lineRule="auto"/>
        <w:tabs>
          <w:tab w:leader="none" w:pos="118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that the Loans Outstanding are greater than zero or the aggregate notional amount of the Hedge Transactions is less than the Loans Outstanding, once per calendar month and not later than each Determination Date, the Borrower (or the initial Servicer on behalf of the Borrower) shall obtain a Hedge Quote. Following receipt of such Hedge Quote, the Borrower (or the initial Servicer on behalf of the Borrower) shall promptly notify the Administrative Agent who shall deliver such notice to each Agent and such Hedge Quote shall be used to determine the Hedge Reserve Account Required Amount until the next succeeding date on which the Borrower receives a Hedge Quote pursuant to this Section 6.03(c).</w:t>
      </w:r>
    </w:p>
    <w:p>
      <w:pPr>
        <w:spacing w:after="0" w:line="154" w:lineRule="exact"/>
        <w:rPr>
          <w:rFonts w:ascii="Times New Roman" w:cs="Times New Roman" w:eastAsia="Times New Roman" w:hAnsi="Times New Roman"/>
          <w:sz w:val="20"/>
          <w:szCs w:val="20"/>
          <w:color w:val="auto"/>
        </w:rPr>
      </w:pPr>
    </w:p>
    <w:p>
      <w:pPr>
        <w:ind w:right="80" w:firstLine="757"/>
        <w:spacing w:after="0" w:line="239" w:lineRule="auto"/>
        <w:tabs>
          <w:tab w:leader="none" w:pos="11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occurrence of any event defined as or equivalent to an “Event of Default” or a “Termination Event” in a Hedging Agreement, the Borrower shall cause the Hedge Counterparty to assign its obligations under the Hedging Agreement to a new Hedge Counterparty which satisfies the requirements set forth for an eligible Hedge Counterparty under the Hedging Agreement.</w:t>
      </w:r>
    </w:p>
    <w:p>
      <w:pPr>
        <w:spacing w:after="0" w:line="178" w:lineRule="exact"/>
        <w:rPr>
          <w:rFonts w:ascii="Times New Roman" w:cs="Times New Roman" w:eastAsia="Times New Roman" w:hAnsi="Times New Roman"/>
          <w:sz w:val="22"/>
          <w:szCs w:val="22"/>
          <w:color w:val="auto"/>
        </w:rPr>
      </w:pPr>
    </w:p>
    <w:p>
      <w:pPr>
        <w:ind w:right="40" w:firstLine="757"/>
        <w:spacing w:after="0" w:line="235" w:lineRule="auto"/>
        <w:tabs>
          <w:tab w:leader="none" w:pos="11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additional security hereunder, the Borrower has assigned to the Administrative Agent all right, title and interest of Borrower in the Hedge Collateral. The Borrower acknowledges that, as a result of that assignment, the Borrower may not, without the prior written consent of the Administrative Agent, exercise any rights under any Hedging Agreement or Hedge Transaction, except for the Borrower’s right under any Hedging Agreement to enter into Hedge Transactions in order to meet the Borrower’s obligations hereunder. Nothing herein shall have the effect of releasing the Borrower from any of its obligations under any Hedging Agreement or any Hedge Transaction, nor be construed as requiring the consent of the Administrative Agent or any Secured Party for the performance by the Borrower of any such obligations.</w:t>
      </w:r>
    </w:p>
    <w:p>
      <w:pPr>
        <w:spacing w:after="0" w:line="180" w:lineRule="exact"/>
        <w:rPr>
          <w:rFonts w:ascii="Times New Roman" w:cs="Times New Roman" w:eastAsia="Times New Roman" w:hAnsi="Times New Roman"/>
          <w:sz w:val="22"/>
          <w:szCs w:val="22"/>
          <w:color w:val="auto"/>
        </w:rPr>
      </w:pPr>
    </w:p>
    <w:p>
      <w:pPr>
        <w:ind w:right="380" w:firstLine="757"/>
        <w:spacing w:after="0" w:line="244" w:lineRule="auto"/>
        <w:tabs>
          <w:tab w:leader="none" w:pos="11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documented reasonable costs and expenses (including reasonable legal fees and disbursements), as such are determined by the Administrative Agent, incurred by the Administrative Agent and any of the Lenders with respect to each Hedge Transaction shall be payable by the Borrower.</w:t>
      </w:r>
    </w:p>
    <w:p>
      <w:pPr>
        <w:spacing w:after="0" w:line="172" w:lineRule="exact"/>
        <w:rPr>
          <w:rFonts w:ascii="Times New Roman" w:cs="Times New Roman" w:eastAsia="Times New Roman" w:hAnsi="Times New Roman"/>
          <w:sz w:val="22"/>
          <w:szCs w:val="22"/>
          <w:color w:val="auto"/>
        </w:rPr>
      </w:pPr>
    </w:p>
    <w:p>
      <w:pPr>
        <w:ind w:firstLine="757"/>
        <w:spacing w:after="0" w:line="239" w:lineRule="auto"/>
        <w:tabs>
          <w:tab w:leader="none" w:pos="11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Administrative Agent, the Backup Servicer or the Account Bank shall be required to act as a “Commodity Pool Operator”, as defined in the Commodity Exchange Act of 1936 (as amended, restated, supplemented or otherwise modified from time to time, the “</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or be required to undertake any regulatory filings related to this Agreement in connection with the Commodity Exchange Act.</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339" w:name="page340"/>
    <w:bookmarkEnd w:id="339"/>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Five.04.</w:t>
      </w:r>
      <w:r>
        <w:rPr>
          <w:sz w:val="20"/>
          <w:szCs w:val="20"/>
          <w:color w:val="auto"/>
        </w:rPr>
        <w:tab/>
      </w:r>
      <w:r>
        <w:rPr>
          <w:rFonts w:ascii="Times New Roman" w:cs="Times New Roman" w:eastAsia="Times New Roman" w:hAnsi="Times New Roman"/>
          <w:sz w:val="20"/>
          <w:szCs w:val="20"/>
          <w:u w:val="single" w:color="auto"/>
          <w:color w:val="auto"/>
        </w:rPr>
        <w:t>Affirmative Covenants of the Servicer</w:t>
      </w:r>
      <w:r>
        <w:rPr>
          <w:rFonts w:ascii="Times New Roman" w:cs="Times New Roman" w:eastAsia="Times New Roman" w:hAnsi="Times New Roman"/>
          <w:sz w:val="20"/>
          <w:szCs w:val="20"/>
          <w:color w:val="auto"/>
        </w:rPr>
        <w:t>. From the date hereof until the Facility Termination Date:</w:t>
      </w:r>
    </w:p>
    <w:p>
      <w:pPr>
        <w:spacing w:after="0" w:line="205" w:lineRule="exact"/>
        <w:rPr>
          <w:sz w:val="20"/>
          <w:szCs w:val="20"/>
          <w:color w:val="auto"/>
        </w:rPr>
      </w:pPr>
    </w:p>
    <w:p>
      <w:pPr>
        <w:ind w:left="760" w:right="740" w:firstLine="745"/>
        <w:spacing w:after="0" w:line="244"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Servicer will comply in all material respects with all Applicable Laws, including those with respect to the Receivables, the related Contracts, Financed Vehicles, Electronic Vault and Receivable Files or any part thereof.</w:t>
      </w:r>
    </w:p>
    <w:p>
      <w:pPr>
        <w:spacing w:after="0" w:line="172" w:lineRule="exact"/>
        <w:rPr>
          <w:rFonts w:ascii="Times New Roman" w:cs="Times New Roman" w:eastAsia="Times New Roman" w:hAnsi="Times New Roman"/>
          <w:sz w:val="22"/>
          <w:szCs w:val="22"/>
          <w:color w:val="auto"/>
        </w:rPr>
      </w:pPr>
    </w:p>
    <w:p>
      <w:pPr>
        <w:ind w:left="760" w:right="120" w:firstLine="745"/>
        <w:spacing w:after="0" w:line="239"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w:t>
      </w:r>
      <w:r>
        <w:rPr>
          <w:rFonts w:ascii="Times New Roman" w:cs="Times New Roman" w:eastAsia="Times New Roman" w:hAnsi="Times New Roman"/>
          <w:sz w:val="22"/>
          <w:szCs w:val="22"/>
          <w:color w:val="auto"/>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and Compliance with Receivables</w:t>
      </w:r>
      <w:r>
        <w:rPr>
          <w:rFonts w:ascii="Times New Roman" w:cs="Times New Roman" w:eastAsia="Times New Roman" w:hAnsi="Times New Roman"/>
          <w:sz w:val="22"/>
          <w:szCs w:val="22"/>
          <w:color w:val="auto"/>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jc w:val="both"/>
        <w:ind w:left="760" w:right="60" w:firstLine="745"/>
        <w:spacing w:after="0" w:line="244"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Servicer Basic Documents</w:t>
      </w:r>
      <w:r>
        <w:rPr>
          <w:rFonts w:ascii="Times New Roman" w:cs="Times New Roman" w:eastAsia="Times New Roman" w:hAnsi="Times New Roman"/>
          <w:sz w:val="22"/>
          <w:szCs w:val="22"/>
          <w:color w:val="auto"/>
        </w:rPr>
        <w:t>. The Servicer will timely and fully perform and comply in all material respects with all provisions, covenants and other promises required to be observed by it under the Servicer Basic Documents.</w:t>
      </w:r>
    </w:p>
    <w:p>
      <w:pPr>
        <w:spacing w:after="0" w:line="172" w:lineRule="exact"/>
        <w:rPr>
          <w:rFonts w:ascii="Times New Roman" w:cs="Times New Roman" w:eastAsia="Times New Roman" w:hAnsi="Times New Roman"/>
          <w:sz w:val="22"/>
          <w:szCs w:val="22"/>
          <w:color w:val="auto"/>
        </w:rPr>
      </w:pPr>
    </w:p>
    <w:p>
      <w:pPr>
        <w:ind w:left="760" w:right="40" w:firstLine="745"/>
        <w:spacing w:after="0" w:line="271" w:lineRule="auto"/>
        <w:tabs>
          <w:tab w:leader="none" w:pos="194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Keeping of Records and Books of Account</w:t>
      </w:r>
      <w:r>
        <w:rPr>
          <w:rFonts w:ascii="Times New Roman" w:cs="Times New Roman" w:eastAsia="Times New Roman" w:hAnsi="Times New Roman"/>
          <w:sz w:val="20"/>
          <w:szCs w:val="20"/>
          <w:color w:val="auto"/>
        </w:rPr>
        <w:t>. The Servicer will maintain and implement administrative and operating procedures (including an ability to recreate records evidencing Receivables, including the Servicer Files, in the event of the destruction of the originals thereof), and keep and maintain all documents, books, records and other information reasonably necessary or advisable for the collection of all Receivables, including the Servicer Files.</w:t>
      </w:r>
    </w:p>
    <w:p>
      <w:pPr>
        <w:spacing w:after="0" w:line="147" w:lineRule="exact"/>
        <w:rPr>
          <w:rFonts w:ascii="Times New Roman" w:cs="Times New Roman" w:eastAsia="Times New Roman" w:hAnsi="Times New Roman"/>
          <w:sz w:val="20"/>
          <w:szCs w:val="20"/>
          <w:color w:val="auto"/>
        </w:rPr>
      </w:pPr>
    </w:p>
    <w:p>
      <w:pPr>
        <w:ind w:left="760" w:right="200" w:firstLine="745"/>
        <w:spacing w:after="0" w:line="258"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will file all tax returns required to be filed by it and pay any and all Taxes, including those required to meet the obligations of the Basic Documents.</w:t>
      </w:r>
    </w:p>
    <w:p>
      <w:pPr>
        <w:spacing w:after="0" w:line="157" w:lineRule="exact"/>
        <w:rPr>
          <w:rFonts w:ascii="Times New Roman" w:cs="Times New Roman" w:eastAsia="Times New Roman" w:hAnsi="Times New Roman"/>
          <w:sz w:val="22"/>
          <w:szCs w:val="22"/>
          <w:color w:val="auto"/>
        </w:rPr>
      </w:pPr>
    </w:p>
    <w:p>
      <w:pPr>
        <w:ind w:left="760" w:right="440" w:firstLine="745"/>
        <w:spacing w:after="0" w:line="244"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Servicer will execute and file such financing and continuation statements and any other documents that may be required by any Applicable Law of any Governmental Authority to preserve and protect fully the security interest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ind w:left="760" w:right="320" w:firstLine="745"/>
        <w:spacing w:after="0" w:line="258"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The initial Servicer will (i) comply in all material respects with the Credit and Collection Policy in regard to each Receivable, [***].</w:t>
      </w:r>
    </w:p>
    <w:p>
      <w:pPr>
        <w:spacing w:after="0" w:line="157" w:lineRule="exact"/>
        <w:rPr>
          <w:rFonts w:ascii="Times New Roman" w:cs="Times New Roman" w:eastAsia="Times New Roman" w:hAnsi="Times New Roman"/>
          <w:sz w:val="22"/>
          <w:szCs w:val="22"/>
          <w:color w:val="auto"/>
        </w:rPr>
      </w:pPr>
    </w:p>
    <w:p>
      <w:pPr>
        <w:ind w:left="760" w:right="60" w:firstLine="745"/>
        <w:spacing w:after="0" w:line="244" w:lineRule="auto"/>
        <w:tabs>
          <w:tab w:leader="none" w:pos="19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 The Servicer will furnish to the Administrative Agent, each Agent, the Account Bank and the Backup Servicer, as soon as possible and in any event within three Business Days after the earlier of (i) knowledge by the Servicer and (ii) receipt by the Servicer from the Borrower of written notice thereof (which notice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40" w:name="page341"/>
    <w:bookmarkEnd w:id="340"/>
    <w:p>
      <w:pPr>
        <w:ind w:left="760" w:right="220"/>
        <w:spacing w:after="0" w:line="244" w:lineRule="auto"/>
        <w:rPr>
          <w:sz w:val="20"/>
          <w:szCs w:val="20"/>
          <w:color w:val="auto"/>
        </w:rPr>
      </w:pPr>
      <w:r>
        <w:rPr>
          <w:rFonts w:ascii="Times New Roman" w:cs="Times New Roman" w:eastAsia="Times New Roman" w:hAnsi="Times New Roman"/>
          <w:sz w:val="22"/>
          <w:szCs w:val="22"/>
          <w:color w:val="auto"/>
        </w:rPr>
        <w:t>the Borrower shall be required to give promptly upon knowledge thereof) of the occurrence of each Termination Event and each Unmatured Termination Event, a written statement of its chief financial officer or chief accounting officer setting forth the details of such event and the action that the Servicer purposes to take with respect thereto.</w:t>
      </w:r>
    </w:p>
    <w:p>
      <w:pPr>
        <w:spacing w:after="0" w:line="172" w:lineRule="exact"/>
        <w:rPr>
          <w:sz w:val="20"/>
          <w:szCs w:val="20"/>
          <w:color w:val="auto"/>
        </w:rPr>
      </w:pPr>
    </w:p>
    <w:p>
      <w:pPr>
        <w:ind w:left="760" w:right="120" w:firstLine="745"/>
        <w:spacing w:after="0" w:line="237" w:lineRule="auto"/>
        <w:tabs>
          <w:tab w:leader="none" w:pos="194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Servicer will furnish to the Administrative Agent, each Agent and the Backup Servicer,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the Administrative Agent or Lenders under or as contemplated by this Agreement.</w:t>
      </w:r>
    </w:p>
    <w:p>
      <w:pPr>
        <w:spacing w:after="0" w:line="180" w:lineRule="exact"/>
        <w:rPr>
          <w:rFonts w:ascii="Times New Roman" w:cs="Times New Roman" w:eastAsia="Times New Roman" w:hAnsi="Times New Roman"/>
          <w:sz w:val="22"/>
          <w:szCs w:val="22"/>
          <w:color w:val="auto"/>
        </w:rPr>
      </w:pPr>
    </w:p>
    <w:p>
      <w:pPr>
        <w:ind w:left="760" w:right="200" w:firstLine="745"/>
        <w:spacing w:after="0" w:line="234" w:lineRule="auto"/>
        <w:tabs>
          <w:tab w:leader="none" w:pos="194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Losses, Etc</w:t>
      </w:r>
      <w:r>
        <w:rPr>
          <w:rFonts w:ascii="Times New Roman" w:cs="Times New Roman" w:eastAsia="Times New Roman" w:hAnsi="Times New Roman"/>
          <w:sz w:val="22"/>
          <w:szCs w:val="22"/>
          <w:color w:val="auto"/>
        </w:rPr>
        <w:t>. In any suit, proceeding or action brought by the Administrative Agent, any Agent, the Custodian, Account Bank, Backup Servicer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spacing w:after="0" w:line="184" w:lineRule="exact"/>
        <w:rPr>
          <w:rFonts w:ascii="Times New Roman" w:cs="Times New Roman" w:eastAsia="Times New Roman" w:hAnsi="Times New Roman"/>
          <w:sz w:val="22"/>
          <w:szCs w:val="22"/>
          <w:color w:val="auto"/>
        </w:rPr>
      </w:pPr>
    </w:p>
    <w:p>
      <w:pPr>
        <w:ind w:left="760" w:right="40" w:firstLine="745"/>
        <w:spacing w:after="0" w:line="234" w:lineRule="auto"/>
        <w:tabs>
          <w:tab w:leader="none" w:pos="194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Regarding Collateral</w:t>
      </w:r>
      <w:r>
        <w:rPr>
          <w:rFonts w:ascii="Times New Roman" w:cs="Times New Roman" w:eastAsia="Times New Roman" w:hAnsi="Times New Roman"/>
          <w:sz w:val="22"/>
          <w:szCs w:val="22"/>
          <w:color w:val="auto"/>
        </w:rPr>
        <w:t>. The Servicer shall advise the Custodian, each Agent and the Administrative Agent in writing promptly following the earlier of (i) knowledge by the Servicer and (ii) receipt by the Servicer from the Borrower of written notice thereof (which notice the Borrower shall be required to give promptly upon knowledge thereof), in reasonable detail of (i) any Lien asserted or claim made against any portion of the Collateral, (ii) the occurrence of any material breach by the Servicer of any of its representations, warranties and covenants contained herein and (iii)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w:t>
      </w:r>
    </w:p>
    <w:p>
      <w:pPr>
        <w:spacing w:after="0" w:line="180" w:lineRule="exact"/>
        <w:rPr>
          <w:rFonts w:ascii="Times New Roman" w:cs="Times New Roman" w:eastAsia="Times New Roman" w:hAnsi="Times New Roman"/>
          <w:sz w:val="22"/>
          <w:szCs w:val="22"/>
          <w:color w:val="auto"/>
        </w:rPr>
      </w:pPr>
    </w:p>
    <w:p>
      <w:pPr>
        <w:ind w:left="760" w:firstLine="745"/>
        <w:spacing w:after="0" w:line="237" w:lineRule="auto"/>
        <w:tabs>
          <w:tab w:leader="none" w:pos="194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Receivables</w:t>
      </w:r>
      <w:r>
        <w:rPr>
          <w:rFonts w:ascii="Times New Roman" w:cs="Times New Roman" w:eastAsia="Times New Roman" w:hAnsi="Times New Roman"/>
          <w:sz w:val="22"/>
          <w:szCs w:val="22"/>
          <w:color w:val="auto"/>
        </w:rPr>
        <w:t>. In the event that the Servicer realizes upon any Receivable, the methods utilized by the Servicer to realize upon such Receivable or otherwise enforce any provisions of such Receivable will not subject the Servicer, the Borrower, any Secured Party, any Agent or the Custodian to liability under any federal, State or local law, and any such realization or enforcement by the Servicer will be conducted in accordance with the provisions of this Agreement, the Credit and Collection Policy and Applicable Law.</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41" w:name="page342"/>
    <w:bookmarkEnd w:id="341"/>
    <w:p>
      <w:pPr>
        <w:jc w:val="both"/>
        <w:ind w:left="760" w:right="160" w:firstLine="745"/>
        <w:spacing w:after="0" w:line="244" w:lineRule="auto"/>
        <w:tabs>
          <w:tab w:leader="none" w:pos="194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of Title</w:t>
      </w:r>
      <w:r>
        <w:rPr>
          <w:rFonts w:ascii="Times New Roman" w:cs="Times New Roman" w:eastAsia="Times New Roman" w:hAnsi="Times New Roman"/>
          <w:sz w:val="22"/>
          <w:szCs w:val="22"/>
          <w:color w:val="auto"/>
        </w:rPr>
        <w:t>. Within 15 days following the end of each calendar quarter, the Servicer shall deliver to the Custodian (if not UACC), each Agent and the Administrative Agent a list of all Receivables for which it does not have in its possession the related Certificate of Title.</w:t>
      </w:r>
    </w:p>
    <w:p>
      <w:pPr>
        <w:spacing w:after="0" w:line="172" w:lineRule="exact"/>
        <w:rPr>
          <w:rFonts w:ascii="Times New Roman" w:cs="Times New Roman" w:eastAsia="Times New Roman" w:hAnsi="Times New Roman"/>
          <w:sz w:val="22"/>
          <w:szCs w:val="22"/>
          <w:color w:val="auto"/>
        </w:rPr>
      </w:pPr>
    </w:p>
    <w:p>
      <w:pPr>
        <w:ind w:left="760" w:right="100" w:firstLine="745"/>
        <w:spacing w:after="0" w:line="244" w:lineRule="auto"/>
        <w:tabs>
          <w:tab w:leader="none" w:pos="194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To the extent that the Borrower makes an Interpayment pursuant to Section 2.06(e), on the related Payment Date, UACC shall deposit an amount equal to the Monthly Accrued Interest Payment Amount into the Collection Account.</w:t>
      </w:r>
    </w:p>
    <w:p>
      <w:pPr>
        <w:spacing w:after="0" w:line="172" w:lineRule="exact"/>
        <w:rPr>
          <w:rFonts w:ascii="Times New Roman" w:cs="Times New Roman" w:eastAsia="Times New Roman" w:hAnsi="Times New Roman"/>
          <w:sz w:val="22"/>
          <w:szCs w:val="22"/>
          <w:color w:val="auto"/>
        </w:rPr>
      </w:pPr>
    </w:p>
    <w:p>
      <w:pPr>
        <w:ind w:left="760" w:firstLine="745"/>
        <w:spacing w:after="0" w:line="239" w:lineRule="auto"/>
        <w:tabs>
          <w:tab w:leader="none" w:pos="194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The Servicer will deliver to the Administrative Agent and each Agent, promptly after receipt by the Servicer or its accountants, a copy of any auditors’ management letters which refer in whole or in part to any inadequacy, defect, problem, qualification or other lack of fully satisfactory accounting controls utilized by the Servicer that resulted in a qualified audit opinion.</w:t>
      </w:r>
    </w:p>
    <w:p>
      <w:pPr>
        <w:spacing w:after="0" w:line="178" w:lineRule="exact"/>
        <w:rPr>
          <w:rFonts w:ascii="Times New Roman" w:cs="Times New Roman" w:eastAsia="Times New Roman" w:hAnsi="Times New Roman"/>
          <w:sz w:val="22"/>
          <w:szCs w:val="22"/>
          <w:color w:val="auto"/>
        </w:rPr>
      </w:pPr>
    </w:p>
    <w:p>
      <w:pPr>
        <w:ind w:left="760" w:right="380" w:firstLine="745"/>
        <w:spacing w:after="0" w:line="258" w:lineRule="auto"/>
        <w:tabs>
          <w:tab w:leader="none" w:pos="1940"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Servicer will promptly notify the Administrative Agent and each Agent of any material change in the Servicer’s accounting policies.</w:t>
      </w:r>
    </w:p>
    <w:p>
      <w:pPr>
        <w:spacing w:after="0" w:line="15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Five.05.</w:t>
      </w:r>
      <w:r>
        <w:rPr>
          <w:sz w:val="20"/>
          <w:szCs w:val="20"/>
          <w:color w:val="auto"/>
        </w:rPr>
        <w:tab/>
      </w:r>
      <w:r>
        <w:rPr>
          <w:rFonts w:ascii="Times New Roman" w:cs="Times New Roman" w:eastAsia="Times New Roman" w:hAnsi="Times New Roman"/>
          <w:sz w:val="20"/>
          <w:szCs w:val="20"/>
          <w:u w:val="single" w:color="auto"/>
          <w:color w:val="auto"/>
        </w:rPr>
        <w:t>Negative Covenants of the Servicer</w:t>
      </w:r>
      <w:r>
        <w:rPr>
          <w:rFonts w:ascii="Times New Roman" w:cs="Times New Roman" w:eastAsia="Times New Roman" w:hAnsi="Times New Roman"/>
          <w:sz w:val="20"/>
          <w:szCs w:val="20"/>
          <w:color w:val="auto"/>
        </w:rPr>
        <w:t>. From the date hereof until the Facility Termination Date:</w:t>
      </w:r>
    </w:p>
    <w:p>
      <w:pPr>
        <w:spacing w:after="0" w:line="205" w:lineRule="exact"/>
        <w:rPr>
          <w:sz w:val="20"/>
          <w:szCs w:val="20"/>
          <w:color w:val="auto"/>
        </w:rPr>
      </w:pPr>
    </w:p>
    <w:p>
      <w:pPr>
        <w:ind w:left="760" w:right="200" w:firstLine="745"/>
        <w:spacing w:after="0" w:line="237" w:lineRule="auto"/>
        <w:tabs>
          <w:tab w:leader="none" w:pos="194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w:t>
      </w:r>
      <w:r>
        <w:rPr>
          <w:rFonts w:ascii="Times New Roman" w:cs="Times New Roman" w:eastAsia="Times New Roman" w:hAnsi="Times New Roman"/>
          <w:sz w:val="22"/>
          <w:szCs w:val="22"/>
          <w:color w:val="auto"/>
        </w:rPr>
        <w:t>. The Servicer shall not create or participate in the creation of, or permit to exist, any Liens with respect to the Post Office Boxes or the Local Bank Account, except as permitted and pursuant to the Intercreditor Agreement and the Intercreditor Party Supplement. The Servicer shall not enter into any “control agreement” (as defined in the relevant UCC) with respect to the Post Office Boxes or the Local Bank Account other than pursuant to the Intercreditor Agreement.</w:t>
      </w:r>
    </w:p>
    <w:p>
      <w:pPr>
        <w:spacing w:after="0" w:line="180" w:lineRule="exact"/>
        <w:rPr>
          <w:rFonts w:ascii="Times New Roman" w:cs="Times New Roman" w:eastAsia="Times New Roman" w:hAnsi="Times New Roman"/>
          <w:sz w:val="22"/>
          <w:szCs w:val="22"/>
          <w:color w:val="auto"/>
        </w:rPr>
      </w:pPr>
    </w:p>
    <w:p>
      <w:pPr>
        <w:jc w:val="both"/>
        <w:ind w:left="760" w:right="120" w:firstLine="745"/>
        <w:spacing w:after="0" w:line="244" w:lineRule="auto"/>
        <w:tabs>
          <w:tab w:leader="none" w:pos="194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 Sales, etc</w:t>
      </w:r>
      <w:r>
        <w:rPr>
          <w:rFonts w:ascii="Times New Roman" w:cs="Times New Roman" w:eastAsia="Times New Roman" w:hAnsi="Times New Roman"/>
          <w:sz w:val="22"/>
          <w:szCs w:val="22"/>
          <w:color w:val="auto"/>
        </w:rPr>
        <w:t>. The Servicer will not consolidate with or merge into any other Person or convey or transfer its properties and assets substantially as an entirety to any Person, other than contemplated in Section 7.16.</w:t>
      </w:r>
    </w:p>
    <w:p>
      <w:pPr>
        <w:spacing w:after="0" w:line="172" w:lineRule="exact"/>
        <w:rPr>
          <w:rFonts w:ascii="Times New Roman" w:cs="Times New Roman" w:eastAsia="Times New Roman" w:hAnsi="Times New Roman"/>
          <w:sz w:val="22"/>
          <w:szCs w:val="22"/>
          <w:color w:val="auto"/>
        </w:rPr>
      </w:pPr>
    </w:p>
    <w:p>
      <w:pPr>
        <w:ind w:left="760" w:right="20" w:firstLine="745"/>
        <w:spacing w:after="0" w:line="235" w:lineRule="auto"/>
        <w:tabs>
          <w:tab w:leader="none" w:pos="194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Servicer Files or Receivable Files</w:t>
      </w:r>
      <w:r>
        <w:rPr>
          <w:rFonts w:ascii="Times New Roman" w:cs="Times New Roman" w:eastAsia="Times New Roman" w:hAnsi="Times New Roman"/>
          <w:sz w:val="22"/>
          <w:szCs w:val="22"/>
          <w:color w:val="auto"/>
        </w:rPr>
        <w:t>. The Servicer shall not (i) change its name or its state of organization, move the location of its principal place of business and chief executive office, and the offices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each Agent and has taken all actions required under the UCC of each relevant jurisdiction in order to continue the first priority perfected security interest of the Administrative Agent, as agent for the Secured Parties, in the Collateral.</w:t>
      </w:r>
    </w:p>
    <w:p>
      <w:pPr>
        <w:spacing w:after="0" w:line="180" w:lineRule="exact"/>
        <w:rPr>
          <w:rFonts w:ascii="Times New Roman" w:cs="Times New Roman" w:eastAsia="Times New Roman" w:hAnsi="Times New Roman"/>
          <w:sz w:val="22"/>
          <w:szCs w:val="22"/>
          <w:color w:val="auto"/>
        </w:rPr>
      </w:pPr>
    </w:p>
    <w:p>
      <w:pPr>
        <w:ind w:left="760" w:firstLine="745"/>
        <w:spacing w:after="0" w:line="239" w:lineRule="auto"/>
        <w:tabs>
          <w:tab w:leader="none" w:pos="194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Servicer will not make any change in its instructions to the Obligors regarding payments to be made to the Borrower or the Servicer, other than in accordance with the Credit and Collection Policy, or payments to be made to the Post Office Boxes or Local Bank Account, other than in accordance with the terms of the Intercreditor Agreement and the Intercreditor Party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42" w:name="page343"/>
    <w:bookmarkEnd w:id="342"/>
    <w:p>
      <w:pPr>
        <w:ind w:left="760"/>
        <w:spacing w:after="0"/>
        <w:rPr>
          <w:sz w:val="20"/>
          <w:szCs w:val="20"/>
          <w:color w:val="auto"/>
        </w:rPr>
      </w:pPr>
      <w:r>
        <w:rPr>
          <w:rFonts w:ascii="Times New Roman" w:cs="Times New Roman" w:eastAsia="Times New Roman" w:hAnsi="Times New Roman"/>
          <w:sz w:val="20"/>
          <w:szCs w:val="20"/>
          <w:color w:val="auto"/>
        </w:rPr>
        <w:t>Supplement and unless the Administrative Agent has received duly executed copies of all documentation related thereto.</w:t>
      </w:r>
    </w:p>
    <w:p>
      <w:pPr>
        <w:spacing w:after="0" w:line="228" w:lineRule="exact"/>
        <w:rPr>
          <w:sz w:val="20"/>
          <w:szCs w:val="20"/>
          <w:color w:val="auto"/>
        </w:rPr>
      </w:pPr>
    </w:p>
    <w:p>
      <w:pPr>
        <w:ind w:left="760" w:right="380" w:firstLine="745"/>
        <w:spacing w:after="0" w:line="258" w:lineRule="auto"/>
        <w:tabs>
          <w:tab w:leader="none" w:pos="19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Contracts</w:t>
      </w:r>
      <w:r>
        <w:rPr>
          <w:rFonts w:ascii="Times New Roman" w:cs="Times New Roman" w:eastAsia="Times New Roman" w:hAnsi="Times New Roman"/>
          <w:sz w:val="22"/>
          <w:szCs w:val="22"/>
          <w:color w:val="auto"/>
        </w:rPr>
        <w:t>. The Servicer will not, except as otherwise permitted in Section 7.03(c)(i), extend, amend or otherwise modify the terms of any Contract.</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Instruments</w:t>
      </w:r>
      <w:r>
        <w:rPr>
          <w:rFonts w:ascii="Times New Roman" w:cs="Times New Roman" w:eastAsia="Times New Roman" w:hAnsi="Times New Roman"/>
          <w:sz w:val="22"/>
          <w:szCs w:val="22"/>
          <w:color w:val="auto"/>
        </w:rPr>
        <w:t>. The Servicer shall take no action to cause any Receivable to be evidenced by any</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w:t>
      </w:r>
    </w:p>
    <w:p>
      <w:pPr>
        <w:spacing w:after="0" w:line="181" w:lineRule="exact"/>
        <w:rPr>
          <w:rFonts w:ascii="Times New Roman" w:cs="Times New Roman" w:eastAsia="Times New Roman" w:hAnsi="Times New Roman"/>
          <w:sz w:val="22"/>
          <w:szCs w:val="22"/>
          <w:color w:val="auto"/>
        </w:rPr>
      </w:pPr>
    </w:p>
    <w:p>
      <w:pPr>
        <w:ind w:left="760" w:right="80" w:firstLine="745"/>
        <w:spacing w:after="0" w:line="236" w:lineRule="auto"/>
        <w:tabs>
          <w:tab w:leader="none" w:pos="19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The Servicer shall not sell, pledge, assign or transfer to any other Person, or grant, create, incur, assume or suffer to exist any Lien (other than any Permitted Lien) on the Collateral or any interest therein, the Servicer will notify the Custodian and the Administrative Agent of the existence of any Lien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spacing w:after="0" w:line="179" w:lineRule="exact"/>
        <w:rPr>
          <w:rFonts w:ascii="Times New Roman" w:cs="Times New Roman" w:eastAsia="Times New Roman" w:hAnsi="Times New Roman"/>
          <w:sz w:val="22"/>
          <w:szCs w:val="22"/>
          <w:color w:val="auto"/>
        </w:rPr>
      </w:pPr>
    </w:p>
    <w:p>
      <w:pPr>
        <w:ind w:left="760" w:firstLine="745"/>
        <w:spacing w:after="0" w:line="232" w:lineRule="auto"/>
        <w:tabs>
          <w:tab w:leader="none" w:pos="19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Additional Covenants</w:t>
      </w:r>
      <w:r>
        <w:rPr>
          <w:rFonts w:ascii="Times New Roman" w:cs="Times New Roman" w:eastAsia="Times New Roman" w:hAnsi="Times New Roman"/>
          <w:sz w:val="22"/>
          <w:szCs w:val="22"/>
          <w:color w:val="auto"/>
        </w:rPr>
        <w:t>.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except as permitted herein or in the Credit and Collection Policy, (iv) prior to the payment in full of any Receivable, not sell, pledge, assign, or transfer to any other Person, or grant, create, incur, assume or suffer to exist any Lien on such Receivable or any interest therein, (v) immediately notify the Borrower, the Administrative Agent, each Agent, the Backup Servicer and the Custodian (if other than UACC) of the existence of any Lien on any portion of the Collateral (other than any Permitted Lien) if the Servicer has actual knowledge thereof, (vi) defend the right, title and interest of the Borrower, the Secured Parties, the Administrative Agent, each Agent and the Custodian in, to and under the Collateral against all claims of third parties claiming through or under the Servicer, (vii) transfer to the Local Bank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each Agent, the Backup Servicer, the Account Bank, each Hedge Counterparty and the Custodian of the occurrence of any Servicer Termination Event and any breach, in any material respect, by the Servicer of any of its covenants or representations and warranties contained herein, (x) promptly notify the Borrower, the Administrative Agent, each</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43" w:name="page344"/>
    <w:bookmarkEnd w:id="343"/>
    <w:p>
      <w:pPr>
        <w:ind w:left="760"/>
        <w:spacing w:after="0" w:line="256" w:lineRule="auto"/>
        <w:rPr>
          <w:sz w:val="20"/>
          <w:szCs w:val="20"/>
          <w:color w:val="auto"/>
        </w:rPr>
      </w:pPr>
      <w:r>
        <w:rPr>
          <w:rFonts w:ascii="Times New Roman" w:cs="Times New Roman" w:eastAsia="Times New Roman" w:hAnsi="Times New Roman"/>
          <w:sz w:val="20"/>
          <w:szCs w:val="20"/>
          <w:color w:val="auto"/>
        </w:rPr>
        <w:t>Agent, the Backup Servicer, the Account Bank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the Cutoff Date or any Funding Date, as the case may be, the current Schedule of Receivables, (xiii) with respect to any Receivable, deliver or cause to be delivered to the Custodian within one Business Day preceding the Closing Date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 on the Collateral or any interest therein. Notwithstanding any other provision of this Agreement, the Servicer may release any Financed Vehicle from the security interest created by the related Receivable when the Servicer deposits into the Collection Account an amount equal to the related Release Price or the entire amount of Insurance Proceeds, Recoveries and other Collections it has received or expects to receive with respect to such Receivable and such Financed Vehicle.</w:t>
      </w:r>
    </w:p>
    <w:p>
      <w:pPr>
        <w:spacing w:after="0" w:line="200" w:lineRule="exact"/>
        <w:rPr>
          <w:sz w:val="20"/>
          <w:szCs w:val="20"/>
          <w:color w:val="auto"/>
        </w:rPr>
      </w:pPr>
    </w:p>
    <w:p>
      <w:pPr>
        <w:spacing w:after="0" w:line="217" w:lineRule="exact"/>
        <w:rPr>
          <w:sz w:val="20"/>
          <w:szCs w:val="20"/>
          <w:color w:val="auto"/>
        </w:rPr>
      </w:pPr>
    </w:p>
    <w:p>
      <w:pPr>
        <w:jc w:val="both"/>
        <w:ind w:left="760" w:right="200" w:firstLine="749"/>
        <w:spacing w:after="0" w:line="244" w:lineRule="auto"/>
        <w:rPr>
          <w:sz w:val="20"/>
          <w:szCs w:val="20"/>
          <w:color w:val="auto"/>
        </w:rPr>
      </w:pPr>
      <w:r>
        <w:rPr>
          <w:rFonts w:ascii="Times New Roman" w:cs="Times New Roman" w:eastAsia="Times New Roman" w:hAnsi="Times New Roman"/>
          <w:sz w:val="22"/>
          <w:szCs w:val="22"/>
          <w:color w:val="auto"/>
        </w:rPr>
        <w:t>The Servicer shall, within two Business Days of its receipt thereof, respond to reasonable written directions or written requests for information that the Borrower, the Administrative Agent, the Backup Servicer or the Custodian (if other than UACC) might have with respect to the administration of the Receivables.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44" w:name="page345"/>
    <w:bookmarkEnd w:id="344"/>
    <w:p>
      <w:pPr>
        <w:jc w:val="center"/>
        <w:ind w:right="400"/>
        <w:spacing w:after="0"/>
        <w:rPr>
          <w:sz w:val="20"/>
          <w:szCs w:val="20"/>
          <w:color w:val="auto"/>
        </w:rPr>
      </w:pPr>
      <w:r>
        <w:rPr>
          <w:rFonts w:ascii="Times New Roman" w:cs="Times New Roman" w:eastAsia="Times New Roman" w:hAnsi="Times New Roman"/>
          <w:sz w:val="22"/>
          <w:szCs w:val="22"/>
          <w:color w:val="auto"/>
        </w:rPr>
        <w:t>ARTICLE SIX</w:t>
      </w:r>
    </w:p>
    <w:p>
      <w:pPr>
        <w:spacing w:after="0" w:line="200" w:lineRule="exact"/>
        <w:rPr>
          <w:sz w:val="20"/>
          <w:szCs w:val="20"/>
          <w:color w:val="auto"/>
        </w:rPr>
      </w:pPr>
    </w:p>
    <w:p>
      <w:pPr>
        <w:spacing w:after="0" w:line="28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ADMINISTRATION AND SERVICING OF RECEIVABLES</w:t>
      </w:r>
    </w:p>
    <w:p>
      <w:pPr>
        <w:spacing w:after="0" w:line="205"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Six.01. </w:t>
      </w:r>
      <w:r>
        <w:rPr>
          <w:rFonts w:ascii="Times New Roman" w:cs="Times New Roman" w:eastAsia="Times New Roman" w:hAnsi="Times New Roman"/>
          <w:sz w:val="22"/>
          <w:szCs w:val="22"/>
          <w:u w:val="single" w:color="auto"/>
          <w:color w:val="auto"/>
        </w:rPr>
        <w:t>Designation of Servicing</w:t>
      </w:r>
      <w:r>
        <w:rPr>
          <w:rFonts w:ascii="Times New Roman" w:cs="Times New Roman" w:eastAsia="Times New Roman" w:hAnsi="Times New Roman"/>
          <w:sz w:val="22"/>
          <w:szCs w:val="22"/>
          <w:color w:val="auto"/>
        </w:rPr>
        <w:t>. The Administrative Agent, each Agent and the Borrower, at the direction of and on behalf of the Administrative Agent,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spacing w:after="0" w:line="180"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Six.02. </w:t>
      </w:r>
      <w:r>
        <w:rPr>
          <w:rFonts w:ascii="Times New Roman" w:cs="Times New Roman" w:eastAsia="Times New Roman" w:hAnsi="Times New Roman"/>
          <w:sz w:val="22"/>
          <w:szCs w:val="22"/>
          <w:u w:val="single" w:color="auto"/>
          <w:color w:val="auto"/>
        </w:rPr>
        <w:t>Servicing Compensation</w:t>
      </w:r>
      <w:r>
        <w:rPr>
          <w:rFonts w:ascii="Times New Roman" w:cs="Times New Roman" w:eastAsia="Times New Roman" w:hAnsi="Times New Roman"/>
          <w:sz w:val="22"/>
          <w:szCs w:val="22"/>
          <w:color w:val="auto"/>
        </w:rPr>
        <w:t>. As compensation for its servicing activities hereunder and reimbursement for its expenses, the Servicer shall be entitled to receive the Servicing Fee to the extent of funds available therefor pursuant to Section 2.08(i). The Servicer shall further be entitled to retain as additional servicing compensation any and all ancillary fees, extension fees and payments from Obligors, including late fees, administrative fees and similar charges allowed by Applicable Law.</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Six.03.</w:t>
      </w:r>
      <w:r>
        <w:rPr>
          <w:sz w:val="20"/>
          <w:szCs w:val="20"/>
          <w:color w:val="auto"/>
        </w:rPr>
        <w:tab/>
      </w:r>
      <w:r>
        <w:rPr>
          <w:rFonts w:ascii="Times New Roman" w:cs="Times New Roman" w:eastAsia="Times New Roman" w:hAnsi="Times New Roman"/>
          <w:sz w:val="20"/>
          <w:szCs w:val="20"/>
          <w:u w:val="single" w:color="auto"/>
          <w:color w:val="auto"/>
        </w:rPr>
        <w:t>Duties of the Servicer</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180" w:firstLine="757"/>
        <w:spacing w:after="0" w:line="239" w:lineRule="auto"/>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w:t>
      </w:r>
      <w:r>
        <w:rPr>
          <w:rFonts w:ascii="Times New Roman" w:cs="Times New Roman" w:eastAsia="Times New Roman" w:hAnsi="Times New Roman"/>
          <w:sz w:val="22"/>
          <w:szCs w:val="22"/>
          <w:color w:val="auto"/>
        </w:rPr>
        <w:t>. The Servicer agrees that its servicing and collection of the Receivables shall be carried out in accordance with the Credit and Collection Policy,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w:t>
      </w:r>
    </w:p>
    <w:p>
      <w:pPr>
        <w:spacing w:after="0" w:line="178" w:lineRule="exact"/>
        <w:rPr>
          <w:rFonts w:ascii="Times New Roman" w:cs="Times New Roman" w:eastAsia="Times New Roman" w:hAnsi="Times New Roman"/>
          <w:sz w:val="22"/>
          <w:szCs w:val="22"/>
          <w:color w:val="auto"/>
        </w:rPr>
      </w:pPr>
    </w:p>
    <w:p>
      <w:pPr>
        <w:ind w:right="100" w:firstLine="757"/>
        <w:spacing w:after="0" w:line="236" w:lineRule="auto"/>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Held in Trust</w:t>
      </w:r>
      <w:r>
        <w:rPr>
          <w:rFonts w:ascii="Times New Roman" w:cs="Times New Roman" w:eastAsia="Times New Roman" w:hAnsi="Times New Roman"/>
          <w:sz w:val="22"/>
          <w:szCs w:val="22"/>
          <w:color w:val="auto"/>
        </w:rPr>
        <w:t>. The Servicer shall hold in trust for the Secured Parties all records which evidence or relate to all or any part of the Collateral. In the event that the Backup Servicer assumes servicing responsibilities or a Successor Servicer, as applicable, is appointed, the outgoing Servicer shall promptly deliver to the Backup Servicer or the Successor Servicer, as applicable, and the Backup Servicer or the Successor Servicer, as applicable, shall hold in trust for the Borrower and the Secured Parties all records which evidence or relate to all or any part of the Collateral, other than the Receivable Files which shall be delivered to the successor Custodian.</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Practices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60" w:firstLine="883"/>
        <w:spacing w:after="0" w:line="264" w:lineRule="auto"/>
        <w:tabs>
          <w:tab w:leader="none" w:pos="2078"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Secured Parties, and shall be deemed to be holding such funds in trust on behalf of and as agent for the Administrative Agent and the Secured Parties. The Servicer, consistent with the Credit and Collection Policy in effect at the time of acting, shall service, manage, administer and make collections on the Receivables on behalf of the Borrower and shall have full power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45" w:name="page346"/>
    <w:bookmarkEnd w:id="345"/>
    <w:p>
      <w:pPr>
        <w:ind w:left="760" w:right="40"/>
        <w:spacing w:after="0" w:line="261" w:lineRule="auto"/>
        <w:rPr>
          <w:sz w:val="20"/>
          <w:szCs w:val="20"/>
          <w:color w:val="auto"/>
        </w:rPr>
      </w:pPr>
      <w:r>
        <w:rPr>
          <w:rFonts w:ascii="Times New Roman" w:cs="Times New Roman" w:eastAsia="Times New Roman" w:hAnsi="Times New Roman"/>
          <w:sz w:val="20"/>
          <w:szCs w:val="20"/>
          <w:color w:val="auto"/>
        </w:rPr>
        <w:t>authority to do any and all things which it may deem necessary or desirable in connection therewith which are consistent with this Agreement. The Servicer may in its discretion grant extensions, rebates or adjustments on a Contract as permitted by the Credit and Collection Policy then in effect, and amend or modify any Contract but [***]. The Servicer may in its discretion waive any late payment charge or any other fees, not including interest on the Principal Balance, that may be collected in the ordinary course of servicing a Receivable. The Servicer shall also enforce all rights of the Borrower under the Purchase Agreement (including each Transfer Agreement) including the right to require UACC to repurchase Receivables for breaches of representations and warranties made by UACC. Receivables in respect of which the Servicer has breached the foregoing provisions shall be repurchased by the Servicer pursuant to Section 5.04(c).</w:t>
      </w:r>
    </w:p>
    <w:p>
      <w:pPr>
        <w:spacing w:after="0" w:line="157" w:lineRule="exact"/>
        <w:rPr>
          <w:sz w:val="20"/>
          <w:szCs w:val="20"/>
          <w:color w:val="auto"/>
        </w:rPr>
      </w:pPr>
    </w:p>
    <w:p>
      <w:pPr>
        <w:ind w:left="760" w:right="40" w:firstLine="816"/>
        <w:spacing w:after="0" w:line="234" w:lineRule="auto"/>
        <w:tabs>
          <w:tab w:leader="none" w:pos="2011" w:val="left"/>
        </w:tabs>
        <w:numPr>
          <w:ilvl w:val="2"/>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Credit and Collection Policy, if at least 90% of a Scheduled Payment due under a Receivable is not received by the end of the day on its due date, the Servicer will make reasonable and customary efforts to contact the Obligor. The Servicer shall continue its efforts to obtain payment from such Obligor who has not paid at least 90%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and deposit thereof into the Local Bank Account, such Collections shall be deposited into the Collection Account.</w:t>
      </w:r>
    </w:p>
    <w:p>
      <w:pPr>
        <w:spacing w:after="0" w:line="184" w:lineRule="exact"/>
        <w:rPr>
          <w:rFonts w:ascii="Times New Roman" w:cs="Times New Roman" w:eastAsia="Times New Roman" w:hAnsi="Times New Roman"/>
          <w:sz w:val="22"/>
          <w:szCs w:val="22"/>
          <w:color w:val="auto"/>
        </w:rPr>
      </w:pPr>
    </w:p>
    <w:p>
      <w:pPr>
        <w:ind w:left="760" w:right="40" w:firstLine="745"/>
        <w:spacing w:after="0" w:line="234" w:lineRule="auto"/>
        <w:tabs>
          <w:tab w:leader="none" w:pos="1940"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spacing w:after="0" w:line="176" w:lineRule="exact"/>
        <w:rPr>
          <w:rFonts w:ascii="Times New Roman" w:cs="Times New Roman" w:eastAsia="Times New Roman" w:hAnsi="Times New Roman"/>
          <w:sz w:val="22"/>
          <w:szCs w:val="22"/>
          <w:color w:val="auto"/>
        </w:rPr>
      </w:pPr>
    </w:p>
    <w:p>
      <w:pPr>
        <w:ind w:left="760" w:right="620" w:firstLine="759"/>
        <w:spacing w:after="0" w:line="307" w:lineRule="auto"/>
        <w:tabs>
          <w:tab w:leader="none" w:pos="1954"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Servicer shall deposit or cause to be deposited by electronic funds transfer all Collections to the Collection Account no later than two Business Days after deposit into the Local Bank Account or otherwise.</w:t>
      </w:r>
    </w:p>
    <w:p>
      <w:pPr>
        <w:spacing w:after="0" w:line="112" w:lineRule="exact"/>
        <w:rPr>
          <w:rFonts w:ascii="Times New Roman" w:cs="Times New Roman" w:eastAsia="Times New Roman" w:hAnsi="Times New Roman"/>
          <w:sz w:val="20"/>
          <w:szCs w:val="20"/>
          <w:color w:val="auto"/>
        </w:rPr>
      </w:pPr>
    </w:p>
    <w:p>
      <w:pPr>
        <w:jc w:val="both"/>
        <w:ind w:firstLine="757"/>
        <w:spacing w:after="0" w:line="280" w:lineRule="auto"/>
        <w:tabs>
          <w:tab w:leader="none" w:pos="118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Collection; Recourse; Sales of Financed Vehicles</w:t>
      </w:r>
      <w:r>
        <w:rPr>
          <w:rFonts w:ascii="Times New Roman" w:cs="Times New Roman" w:eastAsia="Times New Roman" w:hAnsi="Times New Roman"/>
          <w:sz w:val="20"/>
          <w:szCs w:val="20"/>
          <w:color w:val="auto"/>
        </w:rPr>
        <w:t>. The Servicer, itself or through the use of independent contractors or agents, shall follow practices consistent with the Credit and Collection Policy, in its servicing of automotive receivables, which may include reasonable efforts to realize rights of recourse against any Dealer, selling a Financed Vehicle, or requesting</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46" w:name="page347"/>
    <w:bookmarkEnd w:id="346"/>
    <w:p>
      <w:pPr>
        <w:ind w:right="40"/>
        <w:spacing w:after="0" w:line="236" w:lineRule="auto"/>
        <w:rPr>
          <w:sz w:val="20"/>
          <w:szCs w:val="20"/>
          <w:color w:val="auto"/>
        </w:rPr>
      </w:pPr>
      <w:r>
        <w:rPr>
          <w:rFonts w:ascii="Times New Roman" w:cs="Times New Roman" w:eastAsia="Times New Roman" w:hAnsi="Times New Roman"/>
          <w:sz w:val="22"/>
          <w:szCs w:val="22"/>
          <w:color w:val="auto"/>
        </w:rPr>
        <w:t>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 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spacing w:after="0" w:line="179" w:lineRule="exact"/>
        <w:rPr>
          <w:sz w:val="20"/>
          <w:szCs w:val="20"/>
          <w:color w:val="auto"/>
        </w:rPr>
      </w:pPr>
    </w:p>
    <w:p>
      <w:pPr>
        <w:ind w:right="220" w:firstLine="757"/>
        <w:spacing w:after="0" w:line="244" w:lineRule="auto"/>
        <w:tabs>
          <w:tab w:leader="none" w:pos="11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Subservicers</w:t>
      </w:r>
      <w:r>
        <w:rPr>
          <w:rFonts w:ascii="Times New Roman" w:cs="Times New Roman" w:eastAsia="Times New Roman" w:hAnsi="Times New Roman"/>
          <w:sz w:val="22"/>
          <w:szCs w:val="22"/>
          <w:color w:val="auto"/>
        </w:rPr>
        <w:t>. The Servicer may delegate in the ordinary course of business any or all of its duties and obligations hereunder to one or more Subservicers; provided, however, that the Servicer shall at all times remain responsible for the performance of such duties and obligations.</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Servicer shall:</w:t>
      </w:r>
    </w:p>
    <w:p>
      <w:pPr>
        <w:spacing w:after="0" w:line="205" w:lineRule="exact"/>
        <w:rPr>
          <w:rFonts w:ascii="Times New Roman" w:cs="Times New Roman" w:eastAsia="Times New Roman" w:hAnsi="Times New Roman"/>
          <w:sz w:val="22"/>
          <w:szCs w:val="22"/>
          <w:color w:val="auto"/>
        </w:rPr>
      </w:pPr>
    </w:p>
    <w:p>
      <w:pPr>
        <w:ind w:left="760" w:firstLine="883"/>
        <w:spacing w:after="0" w:line="258" w:lineRule="auto"/>
        <w:tabs>
          <w:tab w:leader="none" w:pos="2078"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behalf of the Borrower, administer and enforce all rights and responsibilities of the Borrower, as owner of the Receivables, provided for in the Insurance Policies relating to the Receivables; and</w:t>
      </w:r>
    </w:p>
    <w:p>
      <w:pPr>
        <w:spacing w:after="0" w:line="157" w:lineRule="exact"/>
        <w:rPr>
          <w:rFonts w:ascii="Times New Roman" w:cs="Times New Roman" w:eastAsia="Times New Roman" w:hAnsi="Times New Roman"/>
          <w:sz w:val="22"/>
          <w:szCs w:val="22"/>
          <w:color w:val="auto"/>
        </w:rPr>
      </w:pPr>
    </w:p>
    <w:p>
      <w:pPr>
        <w:ind w:left="760" w:right="80" w:firstLine="816"/>
        <w:spacing w:after="0" w:line="244" w:lineRule="auto"/>
        <w:tabs>
          <w:tab w:leader="none" w:pos="2011"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customary servicing procedures and the Credit and Collection Policy, require that each Obligor shall have obtained physical damage insurance covering the Financed Vehicle as of the date of execution of the Contract.</w:t>
      </w:r>
    </w:p>
    <w:p>
      <w:pPr>
        <w:spacing w:after="0" w:line="172" w:lineRule="exact"/>
        <w:rPr>
          <w:sz w:val="20"/>
          <w:szCs w:val="20"/>
          <w:color w:val="auto"/>
        </w:rPr>
      </w:pPr>
    </w:p>
    <w:p>
      <w:pPr>
        <w:ind w:right="680" w:firstLine="749"/>
        <w:spacing w:after="0" w:line="258" w:lineRule="auto"/>
        <w:rPr>
          <w:sz w:val="20"/>
          <w:szCs w:val="20"/>
          <w:color w:val="auto"/>
        </w:rPr>
      </w:pPr>
      <w:r>
        <w:rPr>
          <w:rFonts w:ascii="Times New Roman" w:cs="Times New Roman" w:eastAsia="Times New Roman" w:hAnsi="Times New Roman"/>
          <w:sz w:val="22"/>
          <w:szCs w:val="22"/>
          <w:color w:val="auto"/>
        </w:rPr>
        <w:t>In the case of any inconsistency between this Agreement and the terms of any Insurance Policy, the Servicer shall comply with the latter.</w:t>
      </w:r>
    </w:p>
    <w:p>
      <w:pPr>
        <w:spacing w:after="0" w:line="157" w:lineRule="exact"/>
        <w:rPr>
          <w:sz w:val="20"/>
          <w:szCs w:val="20"/>
          <w:color w:val="auto"/>
        </w:rPr>
      </w:pPr>
    </w:p>
    <w:p>
      <w:pPr>
        <w:ind w:right="260" w:firstLine="757"/>
        <w:spacing w:after="0" w:line="239" w:lineRule="auto"/>
        <w:tabs>
          <w:tab w:leader="none" w:pos="118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Restore</w:t>
      </w:r>
      <w:r>
        <w:rPr>
          <w:rFonts w:ascii="Times New Roman" w:cs="Times New Roman" w:eastAsia="Times New Roman" w:hAnsi="Times New Roman"/>
          <w:sz w:val="22"/>
          <w:szCs w:val="22"/>
          <w:color w:val="auto"/>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policies directly or indirectly related to any physical loss or damage to a Financed Vehicle.</w:t>
      </w:r>
    </w:p>
    <w:p>
      <w:pPr>
        <w:spacing w:after="0" w:line="178" w:lineRule="exact"/>
        <w:rPr>
          <w:rFonts w:ascii="Times New Roman" w:cs="Times New Roman" w:eastAsia="Times New Roman" w:hAnsi="Times New Roman"/>
          <w:sz w:val="22"/>
          <w:szCs w:val="22"/>
          <w:color w:val="auto"/>
        </w:rPr>
      </w:pPr>
    </w:p>
    <w:p>
      <w:pPr>
        <w:ind w:right="100" w:firstLine="757"/>
        <w:spacing w:after="0" w:line="280" w:lineRule="auto"/>
        <w:tabs>
          <w:tab w:leader="none" w:pos="118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Fidelity Bond</w:t>
      </w:r>
      <w:r>
        <w:rPr>
          <w:rFonts w:ascii="Times New Roman" w:cs="Times New Roman" w:eastAsia="Times New Roman" w:hAnsi="Times New Roman"/>
          <w:sz w:val="20"/>
          <w:szCs w:val="20"/>
          <w:color w:val="auto"/>
        </w:rPr>
        <w:t>. The Servicer represents, warrants and covenants that it has obtained and shall continue to maintain in full force and effect a fidelity bond in such form and amount as is customary for prudent servicers acting as custodian of funds and documents in respect of consumer contracts similar to the Receivables on behalf of institutional investors.</w:t>
      </w:r>
    </w:p>
    <w:p>
      <w:pPr>
        <w:spacing w:after="0" w:line="138" w:lineRule="exact"/>
        <w:rPr>
          <w:rFonts w:ascii="Times New Roman" w:cs="Times New Roman" w:eastAsia="Times New Roman" w:hAnsi="Times New Roman"/>
          <w:sz w:val="20"/>
          <w:szCs w:val="20"/>
          <w:color w:val="auto"/>
        </w:rPr>
      </w:pPr>
    </w:p>
    <w:p>
      <w:pPr>
        <w:ind w:right="140" w:firstLine="757"/>
        <w:spacing w:after="0" w:line="237" w:lineRule="auto"/>
        <w:tabs>
          <w:tab w:leader="none" w:pos="118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hereby directs the Servicer to take or cause to be taken such steps as are necessary, to maintain perfection of the security interest created by each such Receivable in the related Financed Vehicle. The Servicer shall, at the direction of the Borrower, the Administrative Agent or the Custodian, take any action necessary to preserve and protect the security interests of the Borrower, the Administrative Agent, the Secured Parties and the Custodian in the Receivables, including any action specified in any Opinion of Counsel delivered to the Servicer.</w:t>
      </w:r>
    </w:p>
    <w:p>
      <w:pPr>
        <w:spacing w:after="0" w:line="180" w:lineRule="exact"/>
        <w:rPr>
          <w:rFonts w:ascii="Times New Roman" w:cs="Times New Roman" w:eastAsia="Times New Roman" w:hAnsi="Times New Roman"/>
          <w:sz w:val="22"/>
          <w:szCs w:val="22"/>
          <w:color w:val="auto"/>
        </w:rPr>
      </w:pPr>
    </w:p>
    <w:p>
      <w:pPr>
        <w:ind w:right="700" w:firstLine="757"/>
        <w:spacing w:after="0" w:line="258" w:lineRule="auto"/>
        <w:tabs>
          <w:tab w:leader="none" w:pos="118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Financed Vehicles</w:t>
      </w:r>
      <w:r>
        <w:rPr>
          <w:rFonts w:ascii="Times New Roman" w:cs="Times New Roman" w:eastAsia="Times New Roman" w:hAnsi="Times New Roman"/>
          <w:sz w:val="22"/>
          <w:szCs w:val="22"/>
          <w:color w:val="auto"/>
        </w:rPr>
        <w:t>. The Servicer warrants, represents and covenants that in the event that the Servicer realizes upon any Financed Vehicle, the methods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47" w:name="page348"/>
    <w:bookmarkEnd w:id="347"/>
    <w:p>
      <w:pPr>
        <w:ind w:right="60"/>
        <w:spacing w:after="0" w:line="239" w:lineRule="auto"/>
        <w:rPr>
          <w:sz w:val="20"/>
          <w:szCs w:val="20"/>
          <w:color w:val="auto"/>
        </w:rPr>
      </w:pPr>
      <w:r>
        <w:rPr>
          <w:rFonts w:ascii="Times New Roman" w:cs="Times New Roman" w:eastAsia="Times New Roman" w:hAnsi="Times New Roman"/>
          <w:sz w:val="22"/>
          <w:szCs w:val="22"/>
          <w:color w:val="auto"/>
        </w:rPr>
        <w:t>utilized by the Servicer to realize upon such Receivable or otherwise enforce any provisions of such Receivable, will not subject the Servicer, the Borrower, the Administrative Agent, any Agent, the Backup Servicer, the Account Bank or the Custodian to liability under any federal, State or local law, and that such enforcement by the Servicer will be conducted in accordance with the provisions of this Agreement, the Credit and Collection Policy and Applicable Law.</w:t>
      </w:r>
    </w:p>
    <w:p>
      <w:pPr>
        <w:spacing w:after="0" w:line="179" w:lineRule="exact"/>
        <w:rPr>
          <w:sz w:val="20"/>
          <w:szCs w:val="20"/>
          <w:color w:val="auto"/>
        </w:rPr>
      </w:pPr>
    </w:p>
    <w:p>
      <w:pPr>
        <w:ind w:left="1180" w:hanging="423"/>
        <w:spacing w:after="0"/>
        <w:tabs>
          <w:tab w:leader="none" w:pos="118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Recordkeeping</w:t>
      </w:r>
      <w:r>
        <w:rPr>
          <w:rFonts w:ascii="Times New Roman" w:cs="Times New Roman" w:eastAsia="Times New Roman" w:hAnsi="Times New Roman"/>
          <w:sz w:val="22"/>
          <w:szCs w:val="22"/>
          <w:color w:val="auto"/>
        </w:rPr>
        <w:t>. The Servicer shall:</w:t>
      </w:r>
    </w:p>
    <w:p>
      <w:pPr>
        <w:spacing w:after="0" w:line="205" w:lineRule="exact"/>
        <w:rPr>
          <w:rFonts w:ascii="Times New Roman" w:cs="Times New Roman" w:eastAsia="Times New Roman" w:hAnsi="Times New Roman"/>
          <w:sz w:val="22"/>
          <w:szCs w:val="22"/>
          <w:color w:val="auto"/>
        </w:rPr>
      </w:pPr>
    </w:p>
    <w:p>
      <w:pPr>
        <w:ind w:left="760" w:right="140" w:firstLine="883"/>
        <w:spacing w:after="0" w:line="258" w:lineRule="auto"/>
        <w:tabs>
          <w:tab w:leader="none" w:pos="2078"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legible copies (in electronic or hard-copy form, in the discretion of the Servicer) or originals of all documents in its Servicer File with respect to each Receivable and the Financed Vehicle related thereto; and</w:t>
      </w:r>
    </w:p>
    <w:p>
      <w:pPr>
        <w:spacing w:after="0" w:line="157" w:lineRule="exact"/>
        <w:rPr>
          <w:rFonts w:ascii="Times New Roman" w:cs="Times New Roman" w:eastAsia="Times New Roman" w:hAnsi="Times New Roman"/>
          <w:sz w:val="22"/>
          <w:szCs w:val="22"/>
          <w:color w:val="auto"/>
        </w:rPr>
      </w:pPr>
    </w:p>
    <w:p>
      <w:pPr>
        <w:ind w:left="760" w:firstLine="816"/>
        <w:spacing w:after="0" w:line="234" w:lineRule="auto"/>
        <w:tabs>
          <w:tab w:leader="none" w:pos="2011"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spacing w:after="0" w:line="184"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Six.04.</w:t>
      </w:r>
      <w:r>
        <w:rPr>
          <w:sz w:val="20"/>
          <w:szCs w:val="20"/>
          <w:color w:val="auto"/>
        </w:rPr>
        <w:tab/>
      </w:r>
      <w:r>
        <w:rPr>
          <w:rFonts w:ascii="Times New Roman" w:cs="Times New Roman" w:eastAsia="Times New Roman" w:hAnsi="Times New Roman"/>
          <w:sz w:val="20"/>
          <w:szCs w:val="20"/>
          <w:u w:val="single" w:color="auto"/>
          <w:color w:val="auto"/>
        </w:rPr>
        <w:t>Collection of Payments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60" w:firstLine="757"/>
        <w:spacing w:after="0" w:line="239" w:lineRule="auto"/>
        <w:tabs>
          <w:tab w:leader="none" w:pos="11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the Post Office Boxes</w:t>
      </w:r>
      <w:r>
        <w:rPr>
          <w:rFonts w:ascii="Times New Roman" w:cs="Times New Roman" w:eastAsia="Times New Roman" w:hAnsi="Times New Roman"/>
          <w:sz w:val="22"/>
          <w:szCs w:val="22"/>
          <w:color w:val="auto"/>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and all such payments will be deposited into the Collection Account within two Business Days of receipt.</w:t>
      </w:r>
    </w:p>
    <w:p>
      <w:pPr>
        <w:spacing w:after="0" w:line="178" w:lineRule="exact"/>
        <w:rPr>
          <w:rFonts w:ascii="Times New Roman" w:cs="Times New Roman" w:eastAsia="Times New Roman" w:hAnsi="Times New Roman"/>
          <w:sz w:val="22"/>
          <w:szCs w:val="22"/>
          <w:color w:val="auto"/>
        </w:rPr>
      </w:pPr>
    </w:p>
    <w:p>
      <w:pPr>
        <w:ind w:firstLine="757"/>
        <w:spacing w:after="0" w:line="233" w:lineRule="auto"/>
        <w:tabs>
          <w:tab w:leader="none" w:pos="118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the Collection Account, Reserve Account and the Local Bank Account</w:t>
      </w:r>
      <w:r>
        <w:rPr>
          <w:rFonts w:ascii="Times New Roman" w:cs="Times New Roman" w:eastAsia="Times New Roman" w:hAnsi="Times New Roman"/>
          <w:sz w:val="22"/>
          <w:szCs w:val="22"/>
          <w:color w:val="auto"/>
        </w:rPr>
        <w:t>. The Servicer shall cause to be established, on or before the Closing Date, and maintain in the name of the Borrower, for the benefit of the Secured Parties, with a Qualified Institution which shall initially be the Account Bank, (i) the Collection Account and (ii) the Reserve Account, in each case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bank or trust company in connection with the maintenance of the Collection Account and the Reserve Account for its own account and shall not be entitled to any payment therefor. The Servicer shall maintain in its name for the benefit of the Secured Parties the Local Bank Account which shall be under the dominion and control of [***] under, and shall be subject to, the Intercreditor Agreement and the Intercreditor Party Supplement. Promptly after the Payment Date on which the entire Reserve Account Amount is withdrawn from the Reserve Account, the Account Bank shall terminate the Reserve Account.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48" w:name="page349"/>
    <w:bookmarkEnd w:id="348"/>
    <w:p>
      <w:pPr>
        <w:ind w:right="60" w:firstLine="757"/>
        <w:spacing w:after="0" w:line="235" w:lineRule="auto"/>
        <w:tabs>
          <w:tab w:leader="none" w:pos="118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If the Servicer makes (i) a deposit into the Collection Account in respect of a collection of a Receivable and such collection was received by the Servicer in the form of a check that is not honored for any reason, (ii) a mistake with respect to the amount of any collection and deposits an amount that is less than or more than the actual amount of such collection or (iii) is entitled to reimbursement of any ancillary fees in accordance with Section 7.02, the Servicer shall appropriately adjust the amount subsequently deposited into the Collection Account to reflect such dishonored check, mistake or reimbursement. Any Scheduled Payment in respect of which a dishonored check is received shall be deemed not to have been paid.</w:t>
      </w:r>
    </w:p>
    <w:p>
      <w:pPr>
        <w:spacing w:after="0" w:line="18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0"/>
          <w:szCs w:val="20"/>
          <w:color w:val="auto"/>
        </w:rPr>
        <w:t xml:space="preserve">Section Six.05. </w:t>
      </w:r>
      <w:r>
        <w:rPr>
          <w:rFonts w:ascii="Times New Roman" w:cs="Times New Roman" w:eastAsia="Times New Roman" w:hAnsi="Times New Roman"/>
          <w:sz w:val="20"/>
          <w:szCs w:val="20"/>
          <w:u w:val="single" w:color="auto"/>
          <w:color w:val="auto"/>
        </w:rPr>
        <w:t>Payment of Certain Expenses by Servicer</w:t>
      </w:r>
      <w:r>
        <w:rPr>
          <w:rFonts w:ascii="Times New Roman" w:cs="Times New Roman" w:eastAsia="Times New Roman" w:hAnsi="Times New Roman"/>
          <w:sz w:val="20"/>
          <w:szCs w:val="20"/>
          <w:color w:val="auto"/>
        </w:rPr>
        <w:t>. Except for such amounts and expenses the Servicer is entitled to reimbursement as provided for herein, the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Servicer will be required to pay all reasonable fees and expenses owing to any bank or trust company in connection with the maintenance of the Collection Account and the Reserve Account. The Servicer shall be required to pay such expenses for its own account and shall not be entitled to any payment therefor other than the Servicing Fee.</w:t>
      </w:r>
    </w:p>
    <w:p>
      <w:pPr>
        <w:spacing w:after="0" w:line="157"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Six.06.</w:t>
      </w:r>
      <w:r>
        <w:rPr>
          <w:sz w:val="20"/>
          <w:szCs w:val="20"/>
          <w:color w:val="auto"/>
        </w:rPr>
        <w:tab/>
      </w:r>
      <w:r>
        <w:rPr>
          <w:rFonts w:ascii="Times New Roman" w:cs="Times New Roman" w:eastAsia="Times New Roman" w:hAnsi="Times New Roman"/>
          <w:sz w:val="20"/>
          <w:szCs w:val="20"/>
          <w:u w:val="single" w:color="auto"/>
          <w:color w:val="auto"/>
        </w:rPr>
        <w:t>Reports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0" w:firstLine="757"/>
        <w:spacing w:after="0" w:line="239" w:lineRule="auto"/>
        <w:tabs>
          <w:tab w:leader="none" w:pos="118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On each Reporting Date, the Servicer will provide to the Borrower, the Administrative Agent, each Agent, the Backup Servicer, the Account Bank and each Hedge Counterparty a Monthly Report and a data tape setting forth for each Receivable the items used to prepare the Monthly Report and any other customary items for loan tapes used in the funding of auto receivables as the Administrative Agent may request.</w:t>
      </w:r>
    </w:p>
    <w:p>
      <w:pPr>
        <w:spacing w:after="0" w:line="178" w:lineRule="exact"/>
        <w:rPr>
          <w:rFonts w:ascii="Times New Roman" w:cs="Times New Roman" w:eastAsia="Times New Roman" w:hAnsi="Times New Roman"/>
          <w:sz w:val="22"/>
          <w:szCs w:val="22"/>
          <w:color w:val="auto"/>
        </w:rPr>
      </w:pPr>
    </w:p>
    <w:p>
      <w:pPr>
        <w:ind w:right="120" w:firstLine="757"/>
        <w:spacing w:after="0" w:line="239" w:lineRule="auto"/>
        <w:tabs>
          <w:tab w:leader="none" w:pos="118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The Servicer will provide a Quarterly Report to the Administrative Agent, each Agent and each Hedge Counterparty, within ten Business Days of receiving a request from the Administrative Agent for such report, which request may be made quarterly, but not more frequently unless required by regulators or to comply with Applicable Law (including Basel II and Basel III).</w:t>
      </w:r>
    </w:p>
    <w:p>
      <w:pPr>
        <w:spacing w:after="0" w:line="179"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Six.07. </w:t>
      </w: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Twice each calendar year, beginning with 2012, at such times during normal business hours as are reasonably convenient to the Borrower or the Servicer, as the case may be, at the sole cost and expense of the Servicer (provided that such costs and expenses shall be limited to $[***] per annum) and upon reasonable request of the Administrative Agent and prior written notice to the Borrower or the Servicer, as the case may be, the Borrower or the Servicer, as the case may be, shall permit such Person or Persons as the Administrative Agent may designate to conduct, on behalf of all of them, audits or to visit and inspect any of the properties of the Borrower or the Servicer (including any Subservicer) where the Receivable Files are located, as the case may be, to examine the Receivable Files, internal controls and procedures maintained by the Borrower or Servicer, as the case may be, and take copies and extracts therefrom, conduct a review of the Electronic Vault (including the Electric</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6" w:right="399" w:bottom="1440" w:gutter="0" w:footer="0" w:header="0"/>
        </w:sectPr>
      </w:pPr>
    </w:p>
    <w:bookmarkStart w:id="349" w:name="page350"/>
    <w:bookmarkEnd w:id="349"/>
    <w:p>
      <w:pPr>
        <w:spacing w:after="0" w:line="255" w:lineRule="auto"/>
        <w:rPr>
          <w:sz w:val="20"/>
          <w:szCs w:val="20"/>
          <w:color w:val="auto"/>
        </w:rPr>
      </w:pPr>
      <w:r>
        <w:rPr>
          <w:rFonts w:ascii="Times New Roman" w:cs="Times New Roman" w:eastAsia="Times New Roman" w:hAnsi="Times New Roman"/>
          <w:sz w:val="20"/>
          <w:szCs w:val="20"/>
          <w:color w:val="auto"/>
        </w:rPr>
        <w:t>Vault Agreement) and the manner in which it is maintained and managed and in which Electronic Chattel Paper is acquired, communicated and maintained by the Borrower and the Servicer and to discuss the affairs of the Borrower and the Servicer (including any Subservicer) with their respective officers and employees (which employees, except after the occurrence and during the continuation of a Termination Event, Unmatured Termination Event or Servicer Termination Event, shall be designated by the Borrower or the Servicer, as the case may be) and, upon written notice to the Borrower or the Servicer, as the case may be, independent accountants; provided, further, that after the occurrence and during the continuation of a Termination Event, Unmatured Termination Event or Servicer Termination Event, the Administrative Agent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Administrative Agent and its representatives shall make reasonable efforts to coordinate, and provide 30 days’ prior written notice of, such audits, visits and inspections. The Borrower or the Servicer, as the case may be, hereby authorizes such officers, employees and independent accountants (and the Servicer shall cause each Subservicer to authorize such officers, employees and independent accountants) to discuss with the Administrative Agent and its representatives, the affairs of the Borrower or the Servicer, as the case may be. The Servicer shall reimburse the Administrative Agent for all reasonable fees, costs and expenses incurred by or on behalf of the Administrative Agent and the Secured Parties in connection with the foregoing actions promptly upon receipt of a written invoice therefor. Any audit provided for herein shall be conducted in accordance with the rules of the Borrower and Servicer respecting safety and security on its premises and without materially disrupting operations. Nothing in this subsection shall affect the obligation of the Servicer to observe any Applicable Law prohibiting the disclosure of information regarding the Obligors, and the failure of the Servicer to provide access to information as a result of such obligation shall not constitute a breach of this subsection. In addition to the due diligence reviews specified above, the Backup Servicer may, subject to all terms and conditions specified in this subsection, conduct its own periodic due diligence reviews, at the sole cost and expense of the Servicer (provided that such costs and expenses shall be limited to a maximum of $[***] per visit in the case of any due diligence review done at the request of the Backup Servicer prior to the occurrence and continuance of a Servicer Termination Event or the Termination Date, and thereafter, without such cost and expense cap).</w:t>
      </w:r>
    </w:p>
    <w:p>
      <w:pPr>
        <w:spacing w:after="0" w:line="200" w:lineRule="exact"/>
        <w:rPr>
          <w:sz w:val="20"/>
          <w:szCs w:val="20"/>
          <w:color w:val="auto"/>
        </w:rPr>
      </w:pPr>
    </w:p>
    <w:p>
      <w:pPr>
        <w:spacing w:after="0" w:line="221" w:lineRule="exact"/>
        <w:rPr>
          <w:sz w:val="20"/>
          <w:szCs w:val="20"/>
          <w:color w:val="auto"/>
        </w:rPr>
      </w:pPr>
    </w:p>
    <w:p>
      <w:pPr>
        <w:ind w:right="40" w:firstLine="749"/>
        <w:spacing w:after="0" w:line="224" w:lineRule="auto"/>
        <w:rPr>
          <w:sz w:val="20"/>
          <w:szCs w:val="20"/>
          <w:color w:val="auto"/>
        </w:rPr>
      </w:pPr>
      <w:r>
        <w:rPr>
          <w:rFonts w:ascii="Times New Roman" w:cs="Times New Roman" w:eastAsia="Times New Roman" w:hAnsi="Times New Roman"/>
          <w:sz w:val="22"/>
          <w:szCs w:val="22"/>
          <w:color w:val="auto"/>
        </w:rPr>
        <w:t xml:space="preserve">Section Six.08. </w:t>
      </w:r>
      <w:r>
        <w:rPr>
          <w:rFonts w:ascii="Times New Roman" w:cs="Times New Roman" w:eastAsia="Times New Roman" w:hAnsi="Times New Roman"/>
          <w:sz w:val="22"/>
          <w:szCs w:val="22"/>
          <w:u w:val="single" w:color="auto"/>
          <w:color w:val="auto"/>
        </w:rPr>
        <w:t>Annual Statement as to Compliance</w:t>
      </w:r>
      <w:r>
        <w:rPr>
          <w:rFonts w:ascii="Times New Roman" w:cs="Times New Roman" w:eastAsia="Times New Roman" w:hAnsi="Times New Roman"/>
          <w:sz w:val="22"/>
          <w:szCs w:val="22"/>
          <w:color w:val="auto"/>
        </w:rPr>
        <w:t>. The Servicer shall deliver to the Administrative Agent and each Agent, on or before April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each year, beginning in 2013, an Officer’s Certificate, dated as of the preceding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50" w:name="page351"/>
    <w:bookmarkEnd w:id="350"/>
    <w:p>
      <w:pPr>
        <w:ind w:right="440"/>
        <w:spacing w:after="0" w:line="258" w:lineRule="auto"/>
        <w:rPr>
          <w:sz w:val="20"/>
          <w:szCs w:val="20"/>
          <w:color w:val="auto"/>
        </w:rPr>
      </w:pPr>
      <w:r>
        <w:rPr>
          <w:rFonts w:ascii="Times New Roman" w:cs="Times New Roman" w:eastAsia="Times New Roman" w:hAnsi="Times New Roman"/>
          <w:sz w:val="22"/>
          <w:szCs w:val="22"/>
          <w:color w:val="auto"/>
        </w:rPr>
        <w:t>of detailed servicing criteria or other report, the delivery of a copy of such report by the Servicer to the Administrative Agent shall be deemed to satisfy the provisions of this subsection.</w:t>
      </w:r>
    </w:p>
    <w:p>
      <w:pPr>
        <w:spacing w:after="0" w:line="157" w:lineRule="exact"/>
        <w:rPr>
          <w:sz w:val="20"/>
          <w:szCs w:val="20"/>
          <w:color w:val="auto"/>
        </w:rPr>
      </w:pPr>
    </w:p>
    <w:p>
      <w:pPr>
        <w:ind w:firstLine="749"/>
        <w:spacing w:after="0" w:line="229" w:lineRule="auto"/>
        <w:rPr>
          <w:sz w:val="20"/>
          <w:szCs w:val="20"/>
          <w:color w:val="auto"/>
        </w:rPr>
      </w:pPr>
      <w:r>
        <w:rPr>
          <w:rFonts w:ascii="Times New Roman" w:cs="Times New Roman" w:eastAsia="Times New Roman" w:hAnsi="Times New Roman"/>
          <w:sz w:val="22"/>
          <w:szCs w:val="22"/>
          <w:color w:val="auto"/>
        </w:rPr>
        <w:t xml:space="preserve">Section Six.09. </w:t>
      </w:r>
      <w:r>
        <w:rPr>
          <w:rFonts w:ascii="Times New Roman" w:cs="Times New Roman" w:eastAsia="Times New Roman" w:hAnsi="Times New Roman"/>
          <w:sz w:val="22"/>
          <w:szCs w:val="22"/>
          <w:u w:val="single" w:color="auto"/>
          <w:color w:val="auto"/>
        </w:rPr>
        <w:t>Annual Independent Public Accountant’s Reports</w:t>
      </w:r>
      <w:r>
        <w:rPr>
          <w:rFonts w:ascii="Times New Roman" w:cs="Times New Roman" w:eastAsia="Times New Roman" w:hAnsi="Times New Roman"/>
          <w:sz w:val="22"/>
          <w:szCs w:val="22"/>
          <w:color w:val="auto"/>
        </w:rPr>
        <w:t>. To the extent prepared on behalf of the Servicer in connection with the public offering of securities backed by or relating to automobile receivables, the Servicer will deliver to the Administrative Agent and each Agent, on or before April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each year beginning in 2013, a copy of a report prepared by a firm of independent certified public accountants, who may also render other services to the Servicer or any of its Affiliates, addressed to the Board of Directors of the Servicer or any of its Affiliates, and the Administrative Agent and dated during the current year, to the effect that such firm has examined the Servicer’s policies and procedures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longer period in the case of the first sale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offerings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Administrative Agent shall be deemed to satisfy the provisions of this Section.</w:t>
      </w:r>
    </w:p>
    <w:p>
      <w:pPr>
        <w:spacing w:after="0" w:line="191"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In the event such independent certified public accountants require the Custodian, the Account Bank or the Backup Servicer to agree to the procedures to be performed by such firm in any of the reports required to be prepared pursuant to this Section, the Servicer shall direct the Custodian, the Account Bank or the Backup Servicer in writing to so agree; it being understood and agreed that the Custodian, the Account Bank or the Backup Servicer will deliver such letter of agreement in conclusive reliance upon the direction of the Servicer, and the Custodian, the Account Bank and the Backup Servicer have not made any independent inquiry or investigation as to, and shall have no obligation or liability in respect of, the sufficiency, validity or correctness of such procedures.</w:t>
      </w:r>
    </w:p>
    <w:p>
      <w:pPr>
        <w:spacing w:after="0" w:line="18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Such report shall also indicate that the firm is “Independent” of the Servicer and its Affiliates within the meaning of the Code of Professional Ethics of the American Institute of Certified Public Accountants.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51" w:name="page352"/>
    <w:bookmarkEnd w:id="351"/>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Six.10.</w:t>
      </w:r>
      <w:r>
        <w:rPr>
          <w:sz w:val="20"/>
          <w:szCs w:val="20"/>
          <w:color w:val="auto"/>
        </w:rPr>
        <w:tab/>
      </w:r>
      <w:r>
        <w:rPr>
          <w:rFonts w:ascii="Times New Roman" w:cs="Times New Roman" w:eastAsia="Times New Roman" w:hAnsi="Times New Roman"/>
          <w:sz w:val="20"/>
          <w:szCs w:val="20"/>
          <w:u w:val="single" w:color="auto"/>
          <w:color w:val="auto"/>
        </w:rPr>
        <w:t>Rights Prior to Assumption of Duties by the Backup Servicer or Designation of Successor Servicer</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0" w:firstLine="757"/>
        <w:spacing w:after="0" w:line="255" w:lineRule="auto"/>
        <w:tabs>
          <w:tab w:leader="none" w:pos="118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each Reporting Date, the Servicer shall deliver to the Backup Servicer an electronic file containing all information necessary to carry out any servicing obligations under this Agreement, sufficient to allow the Backup Servicer to review the Monthly Report related thereto and determine (i) that such Monthly Report is readable on its face, (ii) the Borrowing Base as of the related Reporting Date (calculated as of the related Determination Date, or, with respect to Receivables added to the Collateral following such Determination Date, but prior to the date of such Monthly Report, the related Cutoff Date), and (iii) based on the records of the Account Bank, confirm (A) that the amounts withdrawn from the Collection Account for the related Payment Date, (B)the Collection Account balance as of the related Determination Date, and (C) the Reserve Account Amount as of the related Determination Date are the same as the amount set forth in the Monthly Report The Backup Servicer shall, within five Business Days of each Reporting Date, load the electronic file received from the Servicer, confirm such computer tape or diskette is in readable form and use the electronic file to verify (i) the aggregate Principal Balance of all Receivables as of the related Determination Date, and (ii) each Concentration Limit as of the related Determination Date, as set forth in the Monthly Report. In the event of any discrepancy between the information set forth in the two foregoing sentences, as calculated by the Servicer, from that determined or calculated by the Backup Servicer, the Backup Servicer shall promptly notify the Servicer and, if within five days of such notice being provided to the Servicer, the Backup Servicer and the Servicer are unable to resolve such discrepancy, the Backup Servicer shall promptly notify the Administrative Agent of such discrepancy. Notwithstanding the foregoing, if the electronic file or the Monthly Report does not contain sufficient information for the Backup Servicer to perform any action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promptly notify the Administrative Agent of any insufficiency in the information provided to it which is not resolved as set forth in this sentence in a manner than permits the Backup Servicer to perform its duties hereunder; and provided, further, that the Backup Servicer shall not be liable for any delay in the performance of any action hereunder resulting from its failure to receive in a timely manner such additional information from the Servicer.</w:t>
      </w:r>
    </w:p>
    <w:p>
      <w:pPr>
        <w:spacing w:after="0" w:line="200" w:lineRule="exact"/>
        <w:rPr>
          <w:rFonts w:ascii="Times New Roman" w:cs="Times New Roman" w:eastAsia="Times New Roman" w:hAnsi="Times New Roman"/>
          <w:sz w:val="20"/>
          <w:szCs w:val="20"/>
          <w:color w:val="auto"/>
        </w:rPr>
      </w:pPr>
    </w:p>
    <w:p>
      <w:pPr>
        <w:spacing w:after="0" w:line="224" w:lineRule="exact"/>
        <w:rPr>
          <w:rFonts w:ascii="Times New Roman" w:cs="Times New Roman" w:eastAsia="Times New Roman" w:hAnsi="Times New Roman"/>
          <w:sz w:val="20"/>
          <w:szCs w:val="20"/>
          <w:color w:val="auto"/>
        </w:rPr>
      </w:pPr>
    </w:p>
    <w:p>
      <w:pPr>
        <w:ind w:firstLine="757"/>
        <w:spacing w:after="0" w:line="234" w:lineRule="auto"/>
        <w:tabs>
          <w:tab w:leader="none" w:pos="118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request in writing, up to four times per calendar year, that the Servicer use commercially reasonable efforts to promptly deliver to the Backup Servicer the Test Data File, in a format acceptable to the Backup Servicer; provided, that if an Overcollateralization Increase Event shall have occurred and is continuing, the Administrative Agent may make such request at any time. The Backup Servicer and the Servicer will agree upon the file layout and electronic medium to transfer such data to the Backup Servicer. The Backup Servicer shall confirm to the Servicer and the Administrative Agent in writing that the Test Data File is in the correct format or if any changes or modifications are necessary. The Backup Servicer shall convert the Test Data File to its internal servicing system, and confirm in writing to the Servicer and the Administrative Agent that it has received and verified the completeness of the Test Data File within 90 days of receipt of such Test Data File; provided, however, that such confirmation shall not be deemed to apply to the accuracy of the Test Data File data as provided by the Servicer, but shall be deemed only to apply to the accuracy of the</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52" w:name="page353"/>
    <w:bookmarkEnd w:id="352"/>
    <w:p>
      <w:pPr>
        <w:spacing w:after="0" w:line="258" w:lineRule="auto"/>
        <w:rPr>
          <w:sz w:val="20"/>
          <w:szCs w:val="20"/>
          <w:color w:val="auto"/>
        </w:rPr>
      </w:pPr>
      <w:r>
        <w:rPr>
          <w:rFonts w:ascii="Times New Roman" w:cs="Times New Roman" w:eastAsia="Times New Roman" w:hAnsi="Times New Roman"/>
          <w:sz w:val="22"/>
          <w:szCs w:val="22"/>
          <w:color w:val="auto"/>
        </w:rPr>
        <w:t>conversion of the Test Data Files to the Backup Servicer’s internal systems. The cost of loading the Test Data File will be paid by the Servicer and, to the extent not paid, will be paid in accordance with Section 2.08(ii).</w:t>
      </w:r>
    </w:p>
    <w:p>
      <w:pPr>
        <w:spacing w:after="0" w:line="157" w:lineRule="exact"/>
        <w:rPr>
          <w:sz w:val="20"/>
          <w:szCs w:val="20"/>
          <w:color w:val="auto"/>
        </w:rPr>
      </w:pPr>
    </w:p>
    <w:p>
      <w:pPr>
        <w:ind w:right="360" w:firstLine="757"/>
        <w:spacing w:after="0" w:line="244" w:lineRule="auto"/>
        <w:tabs>
          <w:tab w:leader="none" w:pos="118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set forth elsewhere in this Agreement, the Backup Servicer shall have no obligation to supervise, verify, monitor or administer the performance of the Servicer and shall have no duty, responsibility, obligation or liability for any action taken or omitted by the Servicer.</w:t>
      </w:r>
    </w:p>
    <w:p>
      <w:pPr>
        <w:spacing w:after="0" w:line="172" w:lineRule="exact"/>
        <w:rPr>
          <w:rFonts w:ascii="Times New Roman" w:cs="Times New Roman" w:eastAsia="Times New Roman" w:hAnsi="Times New Roman"/>
          <w:sz w:val="22"/>
          <w:szCs w:val="22"/>
          <w:color w:val="auto"/>
        </w:rPr>
      </w:pPr>
    </w:p>
    <w:p>
      <w:pPr>
        <w:ind w:right="160" w:firstLine="757"/>
        <w:spacing w:after="0" w:line="244" w:lineRule="auto"/>
        <w:tabs>
          <w:tab w:leader="none" w:pos="118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consult with the Servicer as may be necessary from time to time to perform or carry out the Backup Servicer’s obligations hereunder, including the obligation, if requested in writing by the Administrative Agent, to succeed to the duties and obligations of the Servicer pursuant hereto.</w:t>
      </w:r>
    </w:p>
    <w:p>
      <w:pPr>
        <w:spacing w:after="0" w:line="172" w:lineRule="exact"/>
        <w:rPr>
          <w:rFonts w:ascii="Times New Roman" w:cs="Times New Roman" w:eastAsia="Times New Roman" w:hAnsi="Times New Roman"/>
          <w:sz w:val="22"/>
          <w:szCs w:val="22"/>
          <w:color w:val="auto"/>
        </w:rPr>
      </w:pPr>
    </w:p>
    <w:p>
      <w:pPr>
        <w:ind w:right="160" w:firstLine="757"/>
        <w:spacing w:after="0" w:line="258" w:lineRule="auto"/>
        <w:tabs>
          <w:tab w:leader="none" w:pos="118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this Agreement, the Backup Servicer may accept and reasonably rely on all accounting, records and work of the Servicer without audit, and the Backup Servicer shall have no duty, responsibility, obligation or liability for the acts or omissions of the Servicer. If any error, inaccuracy or omission (collectively, “Errors”) exists in any information received from the Servicer, and such Errors should cause or materially contribute to the Backup Servicer making or continuing any Errors (collectively, “Continued Errors”), the Backup Servicer shall have no duty, responsibility, obligation or liability for such Continued Errors; provided, however, that this provision shall not protect the Backup Servicer against any duty, responsibility, obligation or liability which would otherwise be imposed by reason of willful misconduct, bad faith or gross negligence in discovering or correcting any Error or in the performance of its or their duties under this Agreement. In the event the Backup Servicer becomes aware of Errors or Continued Errors, the Backup Servicer shall, with the prior consent of the Administrative Agent, use its best efforts to reconstruct and reconcile such data as is commercially reasonable to correct such Errors and Continued Errors and prevent future Continued Errors. The Backup Servicer shall be entitled to recover its costs thereby expended from the Servicer (or, to the extent not paid by the Servicer, in accordance with Section 2.08).</w:t>
      </w:r>
    </w:p>
    <w:p>
      <w:pPr>
        <w:spacing w:after="0" w:line="161" w:lineRule="exact"/>
        <w:rPr>
          <w:rFonts w:ascii="Times New Roman" w:cs="Times New Roman" w:eastAsia="Times New Roman" w:hAnsi="Times New Roman"/>
          <w:sz w:val="20"/>
          <w:szCs w:val="20"/>
          <w:color w:val="auto"/>
        </w:rPr>
      </w:pPr>
    </w:p>
    <w:p>
      <w:pPr>
        <w:ind w:firstLine="757"/>
        <w:spacing w:after="0" w:line="234" w:lineRule="auto"/>
        <w:tabs>
          <w:tab w:leader="none" w:pos="118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indemnified by the Servicer and the Borrower from and against all claims, damages, losses or expenses reasonably incurred by the Backup Servicer (including reasonable attorneys’ fees) arising out of claims asserted against the Backup Servicer by third parties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Payments in respect of any indemnity by the Borrower shall be paid, to the extent of funds available therefor, in accordance with the priorities set forth in Section 2.08. Notwithstanding the foregoing, if a successor to the Backup Servicer is appointed hereunder, then the Servicer and the Borrower shall have no obligations to indemnify the successor Backup Servicer except to the extent that the Servicer and the Borrower have consented, in their reasonable discretion, to the selection of the successor Backup Servicer.</w:t>
      </w:r>
    </w:p>
    <w:p>
      <w:pPr>
        <w:spacing w:after="0" w:line="176" w:lineRule="exact"/>
        <w:rPr>
          <w:sz w:val="20"/>
          <w:szCs w:val="20"/>
          <w:color w:val="auto"/>
        </w:rPr>
      </w:pPr>
    </w:p>
    <w:p>
      <w:pPr>
        <w:ind w:right="6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Six.11. </w:t>
      </w:r>
      <w:r>
        <w:rPr>
          <w:rFonts w:ascii="Times New Roman" w:cs="Times New Roman" w:eastAsia="Times New Roman" w:hAnsi="Times New Roman"/>
          <w:sz w:val="22"/>
          <w:szCs w:val="22"/>
          <w:u w:val="single" w:color="auto"/>
          <w:color w:val="auto"/>
        </w:rPr>
        <w:t>Rights After Assumption of Duties by Backup Servicer or Designation of Successor Servicer;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At any time following the assumption of the duties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53" w:name="page354"/>
    <w:bookmarkEnd w:id="353"/>
    <w:p>
      <w:pPr>
        <w:ind w:right="720"/>
        <w:spacing w:after="0" w:line="258" w:lineRule="auto"/>
        <w:rPr>
          <w:sz w:val="20"/>
          <w:szCs w:val="20"/>
          <w:color w:val="auto"/>
        </w:rPr>
      </w:pPr>
      <w:r>
        <w:rPr>
          <w:rFonts w:ascii="Times New Roman" w:cs="Times New Roman" w:eastAsia="Times New Roman" w:hAnsi="Times New Roman"/>
          <w:sz w:val="22"/>
          <w:szCs w:val="22"/>
          <w:color w:val="auto"/>
        </w:rPr>
        <w:t>of the Servicer by a Backup Servicer or the designation of a Successor Servicer pursuant to Section 7.14 as a result of the occurrence of a Servicer Termination Event:</w:t>
      </w:r>
    </w:p>
    <w:p>
      <w:pPr>
        <w:spacing w:after="0" w:line="157" w:lineRule="exact"/>
        <w:rPr>
          <w:sz w:val="20"/>
          <w:szCs w:val="20"/>
          <w:color w:val="auto"/>
        </w:rPr>
      </w:pPr>
    </w:p>
    <w:p>
      <w:pPr>
        <w:ind w:left="760" w:right="20" w:firstLine="745"/>
        <w:spacing w:after="0" w:line="234" w:lineRule="auto"/>
        <w:tabs>
          <w:tab w:leader="none" w:pos="194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on behalf of the Borrower, shall, at the Administrative Agent’s request, (i) assemble all of the records relating to the Collateral, including all Receivable Files, and shall make the same available to the Administrative Agent, the Backup Servicer or any other Successor Servicer at a place selected by the Administrative Agent or, with the Administrative Agent’s prior written consent, by the Backup Servicer or such other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spacing w:after="0" w:line="184" w:lineRule="exact"/>
        <w:rPr>
          <w:rFonts w:ascii="Times New Roman" w:cs="Times New Roman" w:eastAsia="Times New Roman" w:hAnsi="Times New Roman"/>
          <w:sz w:val="22"/>
          <w:szCs w:val="22"/>
          <w:color w:val="auto"/>
        </w:rPr>
      </w:pPr>
    </w:p>
    <w:p>
      <w:pPr>
        <w:ind w:left="760" w:right="140" w:firstLine="745"/>
        <w:spacing w:after="0" w:line="239" w:lineRule="auto"/>
        <w:tabs>
          <w:tab w:leader="none" w:pos="194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spacing w:after="0" w:line="178" w:lineRule="exact"/>
        <w:rPr>
          <w:rFonts w:ascii="Times New Roman" w:cs="Times New Roman" w:eastAsia="Times New Roman" w:hAnsi="Times New Roman"/>
          <w:sz w:val="22"/>
          <w:szCs w:val="22"/>
          <w:color w:val="auto"/>
        </w:rPr>
      </w:pPr>
    </w:p>
    <w:p>
      <w:pPr>
        <w:ind w:left="760" w:firstLine="745"/>
        <w:spacing w:after="0" w:line="235" w:lineRule="auto"/>
        <w:tabs>
          <w:tab w:leader="none" w:pos="194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liable in accordance herewith only to the extent of the obligations specifically undertaken by the Backup Servicer in such capacity herein. Such liability is limited to only those actions taken or omitted to be taken by the Backup Servicer and caused through its gross negligence, bad faith or willful misconduct. No implied covenants or obligations shall be read into this Agreement against the Backup Servicer and, in the absence of bad faith on its part, the Backup Servicer may conclusively rely on the truth of the statements and the correctness of the opinions expressed in any certificates or opinions furnished to the Backup Servicer and conforming to the requirements of this Agreement.</w:t>
      </w:r>
    </w:p>
    <w:p>
      <w:pPr>
        <w:spacing w:after="0" w:line="180" w:lineRule="exact"/>
        <w:rPr>
          <w:rFonts w:ascii="Times New Roman" w:cs="Times New Roman" w:eastAsia="Times New Roman" w:hAnsi="Times New Roman"/>
          <w:sz w:val="22"/>
          <w:szCs w:val="22"/>
          <w:color w:val="auto"/>
        </w:rPr>
      </w:pPr>
    </w:p>
    <w:p>
      <w:pPr>
        <w:ind w:left="760" w:right="640" w:firstLine="745"/>
        <w:spacing w:after="0" w:line="280" w:lineRule="auto"/>
        <w:tabs>
          <w:tab w:leader="none" w:pos="194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Backup Servicer shall not be charged with knowledge of any Termination Event or Unmatured Termination Event unless an officer of the Backup Servicer obtains actual knowledge of such event or the Backup Servicer receives written notice of such event from the Borrower, the Servicer or the Administrative Agent.</w:t>
      </w:r>
    </w:p>
    <w:p>
      <w:pPr>
        <w:spacing w:after="0" w:line="138" w:lineRule="exact"/>
        <w:rPr>
          <w:rFonts w:ascii="Times New Roman" w:cs="Times New Roman" w:eastAsia="Times New Roman" w:hAnsi="Times New Roman"/>
          <w:sz w:val="20"/>
          <w:szCs w:val="20"/>
          <w:color w:val="auto"/>
        </w:rPr>
      </w:pPr>
    </w:p>
    <w:p>
      <w:pPr>
        <w:ind w:left="760" w:right="280" w:firstLine="745"/>
        <w:spacing w:after="0" w:line="236" w:lineRule="auto"/>
        <w:tabs>
          <w:tab w:leader="none" w:pos="1940"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not be required to expend or risk its own funds or otherwise incur financial liability in the performance of its duties hereunder, or in the exercise of any of its rights or powers, if the repayment of such funds or adequate indemnity against such risks or liability is not reasonably assured to it in writing prior to the expenditure of such funds or the incurrence of financial liability. Notwithstanding any provision to the contrary, the Backup Servicer, so long as it is not the Successor Servicer, shall not be liable for any obligation of the Servicer contained in this Agreement, and the parties shall look only to the Servicer to perform such obligations.</w:t>
      </w:r>
    </w:p>
    <w:p>
      <w:pPr>
        <w:spacing w:after="0" w:line="17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Six.12. </w:t>
      </w:r>
      <w:r>
        <w:rPr>
          <w:rFonts w:ascii="Times New Roman" w:cs="Times New Roman" w:eastAsia="Times New Roman" w:hAnsi="Times New Roman"/>
          <w:sz w:val="22"/>
          <w:szCs w:val="22"/>
          <w:u w:val="single" w:color="auto"/>
          <w:color w:val="auto"/>
        </w:rPr>
        <w:t>Limitation on Liability of the Servicer and Others</w:t>
      </w:r>
      <w:r>
        <w:rPr>
          <w:rFonts w:ascii="Times New Roman" w:cs="Times New Roman" w:eastAsia="Times New Roman" w:hAnsi="Times New Roman"/>
          <w:sz w:val="22"/>
          <w:szCs w:val="22"/>
          <w:color w:val="auto"/>
        </w:rPr>
        <w:t>. Except as expressly provided herein, neither the Servicer nor any of its directors or officers or employees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54" w:name="page355"/>
    <w:bookmarkEnd w:id="354"/>
    <w:p>
      <w:pPr>
        <w:ind w:right="120"/>
        <w:spacing w:after="0" w:line="239" w:lineRule="auto"/>
        <w:rPr>
          <w:sz w:val="20"/>
          <w:szCs w:val="20"/>
          <w:color w:val="auto"/>
        </w:rPr>
      </w:pPr>
      <w:r>
        <w:rPr>
          <w:rFonts w:ascii="Times New Roman" w:cs="Times New Roman" w:eastAsia="Times New Roman" w:hAnsi="Times New Roman"/>
          <w:sz w:val="22"/>
          <w:szCs w:val="22"/>
          <w:color w:val="auto"/>
        </w:rPr>
        <w:t>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misfeasance, bad faith or negligence in the performance of duties or by reason of its willful misconduct hereunder.</w:t>
      </w:r>
    </w:p>
    <w:p>
      <w:pPr>
        <w:spacing w:after="0" w:line="179" w:lineRule="exact"/>
        <w:rPr>
          <w:sz w:val="20"/>
          <w:szCs w:val="20"/>
          <w:color w:val="auto"/>
        </w:rPr>
      </w:pPr>
    </w:p>
    <w:p>
      <w:pPr>
        <w:ind w:right="2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Six.13. </w:t>
      </w:r>
      <w:r>
        <w:rPr>
          <w:rFonts w:ascii="Times New Roman" w:cs="Times New Roman" w:eastAsia="Times New Roman" w:hAnsi="Times New Roman"/>
          <w:sz w:val="22"/>
          <w:szCs w:val="22"/>
          <w:u w:val="single" w:color="auto"/>
          <w:color w:val="auto"/>
        </w:rPr>
        <w:t>The Servicer Not to Resign</w:t>
      </w:r>
      <w:r>
        <w:rPr>
          <w:rFonts w:ascii="Times New Roman" w:cs="Times New Roman" w:eastAsia="Times New Roman" w:hAnsi="Times New Roman"/>
          <w:sz w:val="22"/>
          <w:szCs w:val="22"/>
          <w:color w:val="auto"/>
        </w:rPr>
        <w:t>. 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and the Receivable Files shall have been delivered to a successor Custodian.</w:t>
      </w:r>
    </w:p>
    <w:p>
      <w:pPr>
        <w:spacing w:after="0" w:line="17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Six.14. </w:t>
      </w:r>
      <w:r>
        <w:rPr>
          <w:rFonts w:ascii="Times New Roman" w:cs="Times New Roman" w:eastAsia="Times New Roman" w:hAnsi="Times New Roman"/>
          <w:sz w:val="22"/>
          <w:szCs w:val="22"/>
          <w:u w:val="single" w:color="auto"/>
          <w:color w:val="auto"/>
        </w:rPr>
        <w:t>Servicer Termination Events</w:t>
      </w:r>
      <w:r>
        <w:rPr>
          <w:rFonts w:ascii="Times New Roman" w:cs="Times New Roman" w:eastAsia="Times New Roman" w:hAnsi="Times New Roman"/>
          <w:sz w:val="22"/>
          <w:szCs w:val="22"/>
          <w:color w:val="auto"/>
        </w:rPr>
        <w:t>. The occurrence and continuance of any one of the following events shall constitute a “Servicer Termination Event” hereunder:</w:t>
      </w:r>
    </w:p>
    <w:p>
      <w:pPr>
        <w:spacing w:after="0" w:line="157" w:lineRule="exact"/>
        <w:rPr>
          <w:sz w:val="20"/>
          <w:szCs w:val="20"/>
          <w:color w:val="auto"/>
        </w:rPr>
      </w:pPr>
    </w:p>
    <w:p>
      <w:pPr>
        <w:ind w:left="1940" w:hanging="435"/>
        <w:spacing w:after="0"/>
        <w:tabs>
          <w:tab w:leader="none" w:pos="1940" w:val="left"/>
        </w:tabs>
        <w:numPr>
          <w:ilvl w:val="0"/>
          <w:numId w:val="2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180" w:firstLine="749"/>
        <w:spacing w:after="0" w:line="237" w:lineRule="auto"/>
        <w:rPr>
          <w:sz w:val="20"/>
          <w:szCs w:val="20"/>
          <w:color w:val="auto"/>
        </w:rPr>
      </w:pPr>
      <w:r>
        <w:rPr>
          <w:rFonts w:ascii="Times New Roman" w:cs="Times New Roman" w:eastAsia="Times New Roman" w:hAnsi="Times New Roman"/>
          <w:sz w:val="22"/>
          <w:szCs w:val="22"/>
          <w:color w:val="auto"/>
        </w:rPr>
        <w:t>Upon the occurrence of any of the foregoing,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each Hedge Counterparty, the Backup Servicer and the Custodian) (each, a “Servicer Termination Notice”), may terminate all of the rights and obligations of the Servicer as Servicer under this Agreement.</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Six.15.</w:t>
      </w:r>
      <w:r>
        <w:rPr>
          <w:sz w:val="20"/>
          <w:szCs w:val="20"/>
          <w:color w:val="auto"/>
        </w:rPr>
        <w:tab/>
      </w:r>
      <w:r>
        <w:rPr>
          <w:rFonts w:ascii="Times New Roman" w:cs="Times New Roman" w:eastAsia="Times New Roman" w:hAnsi="Times New Roman"/>
          <w:sz w:val="20"/>
          <w:szCs w:val="20"/>
          <w:u w:val="single" w:color="auto"/>
          <w:color w:val="auto"/>
        </w:rPr>
        <w:t>Appointment of Successor Servicer</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0" w:firstLine="757"/>
        <w:spacing w:after="0" w:line="234" w:lineRule="auto"/>
        <w:tabs>
          <w:tab w:leader="none" w:pos="11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receipt by the Servicer of a Servicer Termination Notice,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the Backup Servicer and the Administrative Agent. The Administrative Agent may, in its discretion, at the time described in the immediately preceding sentence, appoint the Backup Servicer as the Successor Servicer hereunder, and the Backup Servicer shall on such date assume all duties and obligations of the Servicer hereunder, and all authority and power of the Servicer under this Agreement shall pass to and be vested in the Backup Servicer, except to the extent otherwise set forth herein.</w:t>
      </w:r>
    </w:p>
    <w:p>
      <w:pPr>
        <w:spacing w:after="0" w:line="184" w:lineRule="exact"/>
        <w:rPr>
          <w:rFonts w:ascii="Times New Roman" w:cs="Times New Roman" w:eastAsia="Times New Roman" w:hAnsi="Times New Roman"/>
          <w:sz w:val="22"/>
          <w:szCs w:val="22"/>
          <w:color w:val="auto"/>
        </w:rPr>
      </w:pPr>
    </w:p>
    <w:p>
      <w:pPr>
        <w:ind w:firstLine="757"/>
        <w:spacing w:after="0" w:line="237" w:lineRule="auto"/>
        <w:tabs>
          <w:tab w:leader="none" w:pos="11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Administrative Agent does not so appoint the Backup Servicer to succeed the Servicer as Servicer hereunder or the Backup Servicer is unable to assume such obligations on such date, the Administrative Agent shall as promptly as possible appoint a successor servicer (the “Successor Servicer”), and such Successor Servicer shall accept its appointment by a written assumption in a form acceptable to the Administrative Agent. In the event that a Successor Servicer has not accepted its appointment at the time when the Servicer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55" w:name="page356"/>
    <w:bookmarkEnd w:id="355"/>
    <w:p>
      <w:pPr>
        <w:ind w:right="480"/>
        <w:spacing w:after="0" w:line="244" w:lineRule="auto"/>
        <w:rPr>
          <w:sz w:val="20"/>
          <w:szCs w:val="20"/>
          <w:color w:val="auto"/>
        </w:rPr>
      </w:pPr>
      <w:r>
        <w:rPr>
          <w:rFonts w:ascii="Times New Roman" w:cs="Times New Roman" w:eastAsia="Times New Roman" w:hAnsi="Times New Roman"/>
          <w:sz w:val="22"/>
          <w:szCs w:val="22"/>
          <w:color w:val="auto"/>
        </w:rPr>
        <w:t>ceases to act as Servicer, the Administrative Agent shall petition a court of competent jurisdiction to appoint any established financial institution having a net worth of not less than $50,000,000 and whose regular business includes the servicing of subprime automobile receivables as the Successor Servicer hereunder.</w:t>
      </w:r>
    </w:p>
    <w:p>
      <w:pPr>
        <w:spacing w:after="0" w:line="172" w:lineRule="exact"/>
        <w:rPr>
          <w:sz w:val="20"/>
          <w:szCs w:val="20"/>
          <w:color w:val="auto"/>
        </w:rPr>
      </w:pPr>
    </w:p>
    <w:p>
      <w:pPr>
        <w:ind w:firstLine="757"/>
        <w:spacing w:after="0" w:line="234" w:lineRule="auto"/>
        <w:tabs>
          <w:tab w:leader="none" w:pos="118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and removal of the Servicer, the predecessor Servicer shall cooperate with the Successor Servicer or the Backup Servicer, as applicable, in effecting the termination of the rights and responsibilities of the predecessor Servicer under this Agreement, including the transfer to the Backup Servicer or the Successor Servicer, as applicable, for administration by it of all cash amounts that shall at the time be held by the predecessor Servicer for deposit, or shall thereafter be received, with respect to a Receivable, and the related accounts and records maintained by the Servicer. In the case that the Backup Servicer or any other Successor Servicer shall not agree to perform any duties or obligations of the Servicer hereunder, such duties or obligations may be performed or delegated by the Administrative Agent. The Servicer, if other than UACC, shall as soon as practicable upon demand, deliver to the Borrower all records in its possession which evidence or relate to Indebtedness of an Obligor which is not a Receivable.</w:t>
      </w:r>
    </w:p>
    <w:p>
      <w:pPr>
        <w:spacing w:after="0" w:line="180" w:lineRule="exact"/>
        <w:rPr>
          <w:rFonts w:ascii="Times New Roman" w:cs="Times New Roman" w:eastAsia="Times New Roman" w:hAnsi="Times New Roman"/>
          <w:sz w:val="22"/>
          <w:szCs w:val="22"/>
          <w:color w:val="auto"/>
        </w:rPr>
      </w:pPr>
    </w:p>
    <w:p>
      <w:pPr>
        <w:ind w:right="600" w:firstLine="757"/>
        <w:spacing w:after="0" w:line="258" w:lineRule="auto"/>
        <w:tabs>
          <w:tab w:leader="none" w:pos="118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the same rights of removal and termination for cause with respect to the Backup Servicer or any other Successor Servicer as with respect to UACC as the Servicer.</w:t>
      </w:r>
    </w:p>
    <w:p>
      <w:pPr>
        <w:spacing w:after="0" w:line="157" w:lineRule="exact"/>
        <w:rPr>
          <w:rFonts w:ascii="Times New Roman" w:cs="Times New Roman" w:eastAsia="Times New Roman" w:hAnsi="Times New Roman"/>
          <w:sz w:val="22"/>
          <w:szCs w:val="22"/>
          <w:color w:val="auto"/>
        </w:rPr>
      </w:pPr>
    </w:p>
    <w:p>
      <w:pPr>
        <w:ind w:right="60" w:firstLine="757"/>
        <w:spacing w:after="0" w:line="262" w:lineRule="auto"/>
        <w:tabs>
          <w:tab w:leader="none" w:pos="118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out-of-pocket costs and expenses (including attorneys’ fees and disbursements) incurred in connection with the transferring of Receivables from the Servicer to the Successor Servicer or the Backup Servicer, as the case may be, converting the Servicer’s data to the computer system of the Successor Servicer or the Backup Servicer, as the case may be, and amending this Agreement to reflect such succession as Servicer pursuant to this Section shall be paid by the predecessor Servicer upon presentation of reasonable transition expenses not exceeding $[***] (the “Transition Expenses”). In no event shall the Backup Servicer, if it becomes the Successor Servicer, be responsible for any Transition Expenses. If the predecessor Servicer fails to pay the Transition Expenses, the Transition Expenses shall be payable pursuant to Section 2.08(iv)(C).</w:t>
      </w:r>
    </w:p>
    <w:p>
      <w:pPr>
        <w:spacing w:after="0" w:line="157" w:lineRule="exact"/>
        <w:rPr>
          <w:rFonts w:ascii="Times New Roman" w:cs="Times New Roman" w:eastAsia="Times New Roman" w:hAnsi="Times New Roman"/>
          <w:sz w:val="20"/>
          <w:szCs w:val="20"/>
          <w:color w:val="auto"/>
        </w:rPr>
      </w:pPr>
    </w:p>
    <w:p>
      <w:pPr>
        <w:ind w:right="20" w:firstLine="757"/>
        <w:spacing w:after="0" w:line="256" w:lineRule="auto"/>
        <w:tabs>
          <w:tab w:leader="none" w:pos="118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appointment and acceptance, the Backup Servicer (subject to Section 7.15(a)) or the Successor Servicer, as applicable,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or the Successor Servicer, as applicable; provided, however, that any Successor Servicer (including the Backup Servicer) shall have (i) no liability with respect to any obligation which was required to be performed by the predecessor Servicer prior to the date that the successor becomes the Successor Servicer or any claim of a third party based on any alleged action or inaction of the predecessor Servicer,</w:t>
      </w:r>
    </w:p>
    <w:p>
      <w:pPr>
        <w:spacing w:after="0" w:line="5" w:lineRule="exact"/>
        <w:rPr>
          <w:rFonts w:ascii="Times New Roman" w:cs="Times New Roman" w:eastAsia="Times New Roman" w:hAnsi="Times New Roman"/>
          <w:sz w:val="20"/>
          <w:szCs w:val="20"/>
          <w:color w:val="auto"/>
        </w:rPr>
      </w:pPr>
    </w:p>
    <w:p>
      <w:pPr>
        <w:ind w:right="80" w:firstLine="8"/>
        <w:spacing w:after="0" w:line="233" w:lineRule="auto"/>
        <w:tabs>
          <w:tab w:leader="none" w:pos="318"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obligation to perform any repurchase or advancing obligations, if any, of the Servicer, (iii) no obligation to pay any taxes required to be paid by the Servicer, (iv) no obligation to pay any of the fees and expenses of any other party to this Agreement and (v) no liability or obligation with respect to any Servicer indemnification obligations of any prior Servicer, including UACC. The indemnification obligations of the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56" w:name="page357"/>
    <w:bookmarkEnd w:id="356"/>
    <w:p>
      <w:pPr>
        <w:ind w:right="520"/>
        <w:spacing w:after="0" w:line="258" w:lineRule="auto"/>
        <w:rPr>
          <w:sz w:val="20"/>
          <w:szCs w:val="20"/>
          <w:color w:val="auto"/>
        </w:rPr>
      </w:pPr>
      <w:r>
        <w:rPr>
          <w:rFonts w:ascii="Times New Roman" w:cs="Times New Roman" w:eastAsia="Times New Roman" w:hAnsi="Times New Roman"/>
          <w:sz w:val="22"/>
          <w:szCs w:val="22"/>
          <w:color w:val="auto"/>
        </w:rPr>
        <w:t>Backup Servicer, upon becoming a successor Servicer are expressly limited to those instances of gross negligence or willful misconduct of the Backup Servicer in its role as Successor Servicer.</w:t>
      </w:r>
    </w:p>
    <w:p>
      <w:pPr>
        <w:spacing w:after="0" w:line="157" w:lineRule="exact"/>
        <w:rPr>
          <w:sz w:val="20"/>
          <w:szCs w:val="20"/>
          <w:color w:val="auto"/>
        </w:rPr>
      </w:pPr>
    </w:p>
    <w:p>
      <w:pPr>
        <w:ind w:right="20" w:firstLine="757"/>
        <w:spacing w:after="0" w:line="236" w:lineRule="auto"/>
        <w:tabs>
          <w:tab w:leader="none" w:pos="118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spacing w:after="0" w:line="179" w:lineRule="exact"/>
        <w:rPr>
          <w:rFonts w:ascii="Times New Roman" w:cs="Times New Roman" w:eastAsia="Times New Roman" w:hAnsi="Times New Roman"/>
          <w:sz w:val="22"/>
          <w:szCs w:val="22"/>
          <w:color w:val="auto"/>
        </w:rPr>
      </w:pPr>
    </w:p>
    <w:p>
      <w:pPr>
        <w:ind w:right="40" w:firstLine="757"/>
        <w:spacing w:after="0" w:line="244" w:lineRule="auto"/>
        <w:tabs>
          <w:tab w:leader="none" w:pos="1180"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Servicer shall act as Servicer hereunder and shall, subject to the availability of sufficient funds in the Collection Account pursuant to Section 2.08(i) (up to the Servicing Fee), receive as compensation therefor the Servicing Fee pursuant to Section 2.12(b).</w:t>
      </w:r>
    </w:p>
    <w:p>
      <w:pPr>
        <w:spacing w:after="0" w:line="172"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Six.16. </w:t>
      </w:r>
      <w:r>
        <w:rPr>
          <w:rFonts w:ascii="Times New Roman" w:cs="Times New Roman" w:eastAsia="Times New Roman" w:hAnsi="Times New Roman"/>
          <w:sz w:val="22"/>
          <w:szCs w:val="22"/>
          <w:u w:val="single" w:color="auto"/>
          <w:color w:val="auto"/>
        </w:rPr>
        <w:t>Merger or Consolidation, Assumption of Obligations or Resignation of the Servicer</w:t>
      </w:r>
      <w:r>
        <w:rPr>
          <w:rFonts w:ascii="Times New Roman" w:cs="Times New Roman" w:eastAsia="Times New Roman" w:hAnsi="Times New Roman"/>
          <w:sz w:val="22"/>
          <w:szCs w:val="22"/>
          <w:color w:val="auto"/>
        </w:rPr>
        <w:t>. 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acceptable to the Administrative Agent to perform every obligation of the Servicer hereunder, shall, with the prior written consent of the Administrative Agent (which consent shall not be unreasonably withheld, conditioned or delayed), be the successor to the Servicer under this Agreement without further act on the part of any of the parties to this Agreement; provided, however, that:</w:t>
      </w:r>
    </w:p>
    <w:p>
      <w:pPr>
        <w:spacing w:after="0" w:line="184" w:lineRule="exact"/>
        <w:rPr>
          <w:sz w:val="20"/>
          <w:szCs w:val="20"/>
          <w:color w:val="auto"/>
        </w:rPr>
      </w:pPr>
    </w:p>
    <w:p>
      <w:pPr>
        <w:ind w:left="760" w:right="440" w:firstLine="883"/>
        <w:spacing w:after="0" w:line="258" w:lineRule="auto"/>
        <w:tabs>
          <w:tab w:leader="none" w:pos="2078"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written notice of such consolidation, merger, succession or resignation shall be delivered by the Servicer to the Administrative Agent and the Custodian;</w:t>
      </w:r>
    </w:p>
    <w:p>
      <w:pPr>
        <w:spacing w:after="0" w:line="157" w:lineRule="exact"/>
        <w:rPr>
          <w:rFonts w:ascii="Times New Roman" w:cs="Times New Roman" w:eastAsia="Times New Roman" w:hAnsi="Times New Roman"/>
          <w:sz w:val="22"/>
          <w:szCs w:val="22"/>
          <w:color w:val="auto"/>
        </w:rPr>
      </w:pPr>
    </w:p>
    <w:p>
      <w:pPr>
        <w:ind w:left="760" w:firstLine="816"/>
        <w:spacing w:after="0" w:line="244" w:lineRule="auto"/>
        <w:tabs>
          <w:tab w:leader="none" w:pos="2011"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consolidation, merger, succession or resignation, no Servicer Termination Event and no event which after notice or lapse of time, or both, would become a Servicer Termination Event shall have occurred and be continuing;</w:t>
      </w:r>
    </w:p>
    <w:p>
      <w:pPr>
        <w:spacing w:after="0" w:line="172" w:lineRule="exact"/>
        <w:rPr>
          <w:rFonts w:ascii="Times New Roman" w:cs="Times New Roman" w:eastAsia="Times New Roman" w:hAnsi="Times New Roman"/>
          <w:sz w:val="22"/>
          <w:szCs w:val="22"/>
          <w:color w:val="auto"/>
        </w:rPr>
      </w:pPr>
    </w:p>
    <w:p>
      <w:pPr>
        <w:ind w:left="760" w:right="640" w:firstLine="745"/>
        <w:spacing w:after="0" w:line="258" w:lineRule="auto"/>
        <w:tabs>
          <w:tab w:leader="none" w:pos="194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Termination Event or Unmatured Termination Event would occur as result of such consolidation, merger, succession or resignation;</w:t>
      </w:r>
    </w:p>
    <w:p>
      <w:pPr>
        <w:spacing w:after="0" w:line="157" w:lineRule="exact"/>
        <w:rPr>
          <w:rFonts w:ascii="Times New Roman" w:cs="Times New Roman" w:eastAsia="Times New Roman" w:hAnsi="Times New Roman"/>
          <w:sz w:val="22"/>
          <w:szCs w:val="22"/>
          <w:color w:val="auto"/>
        </w:rPr>
      </w:pPr>
    </w:p>
    <w:p>
      <w:pPr>
        <w:ind w:left="760" w:firstLine="759"/>
        <w:spacing w:after="0" w:line="237" w:lineRule="auto"/>
        <w:tabs>
          <w:tab w:leader="none" w:pos="1954"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Administrative Agent, the Backup Servicer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57" w:name="page358"/>
    <w:bookmarkEnd w:id="357"/>
    <w:p>
      <w:pPr>
        <w:ind w:left="760" w:right="60" w:firstLine="829"/>
        <w:spacing w:after="0" w:line="236" w:lineRule="auto"/>
        <w:tabs>
          <w:tab w:leader="none" w:pos="2024"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Borrower, the Administrative Agent, the Backup Servicer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spacing w:after="0" w:line="179"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Six.17. </w:t>
      </w:r>
      <w:r>
        <w:rPr>
          <w:rFonts w:ascii="Times New Roman" w:cs="Times New Roman" w:eastAsia="Times New Roman" w:hAnsi="Times New Roman"/>
          <w:sz w:val="22"/>
          <w:szCs w:val="22"/>
          <w:u w:val="single" w:color="auto"/>
          <w:color w:val="auto"/>
        </w:rPr>
        <w:t>Responsibilities of the Borrower</w:t>
      </w:r>
      <w:r>
        <w:rPr>
          <w:rFonts w:ascii="Times New Roman" w:cs="Times New Roman" w:eastAsia="Times New Roman" w:hAnsi="Times New Roman"/>
          <w:sz w:val="22"/>
          <w:szCs w:val="22"/>
          <w:color w:val="auto"/>
        </w:rPr>
        <w:t>. 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2.08(x), any Taxes, including any sales taxes payable in connection with the Receivables and their creation and satisfaction. Neither the Administrative Agent nor any Secured Party shall have any obligation or liability with respect to any Receivable, nor shall any of them be obligated to perform any of the obligations of the Borrower thereunder.</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Six.18.</w:t>
      </w:r>
      <w:r>
        <w:rPr>
          <w:sz w:val="20"/>
          <w:szCs w:val="20"/>
          <w:color w:val="auto"/>
        </w:rPr>
        <w:tab/>
      </w:r>
      <w:r>
        <w:rPr>
          <w:rFonts w:ascii="Times New Roman" w:cs="Times New Roman" w:eastAsia="Times New Roman" w:hAnsi="Times New Roman"/>
          <w:sz w:val="20"/>
          <w:szCs w:val="20"/>
          <w:u w:val="single" w:color="auto"/>
          <w:color w:val="auto"/>
        </w:rPr>
        <w:t>Custody of Receivable Files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9" w:lineRule="auto"/>
        <w:tabs>
          <w:tab w:leader="none" w:pos="118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assure uniform quality in servicing the Receivables and to reduce administrative costs, the Administrative Agent, on behalf of the Secured Parties, hereby revocably appoints the Servicer as its agent, and the Servicer hereby accepts such appointment, to act as Custodian, on behalf of the Secured Parties, of the Receivables and the Receivable Files, including the Receivables evidenced by Electronic Chattel Paper as set forth in Section 7.20.</w:t>
      </w:r>
    </w:p>
    <w:p>
      <w:pPr>
        <w:spacing w:after="0" w:line="178" w:lineRule="exact"/>
        <w:rPr>
          <w:rFonts w:ascii="Times New Roman" w:cs="Times New Roman" w:eastAsia="Times New Roman" w:hAnsi="Times New Roman"/>
          <w:sz w:val="22"/>
          <w:szCs w:val="22"/>
          <w:color w:val="auto"/>
        </w:rPr>
      </w:pPr>
    </w:p>
    <w:p>
      <w:pPr>
        <w:ind w:right="20" w:firstLine="757"/>
        <w:spacing w:after="0" w:line="239" w:lineRule="auto"/>
        <w:tabs>
          <w:tab w:leader="none" w:pos="1180"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spacing w:after="0" w:line="179"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Six.19.</w:t>
      </w:r>
      <w:r>
        <w:rPr>
          <w:sz w:val="20"/>
          <w:szCs w:val="20"/>
          <w:color w:val="auto"/>
        </w:rPr>
        <w:tab/>
      </w:r>
      <w:r>
        <w:rPr>
          <w:rFonts w:ascii="Times New Roman" w:cs="Times New Roman" w:eastAsia="Times New Roman" w:hAnsi="Times New Roman"/>
          <w:sz w:val="20"/>
          <w:szCs w:val="20"/>
          <w:u w:val="single" w:color="auto"/>
          <w:color w:val="auto"/>
        </w:rPr>
        <w:t>Duties of Custodian</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140" w:firstLine="757"/>
        <w:spacing w:after="0" w:line="234" w:lineRule="auto"/>
        <w:tabs>
          <w:tab w:leader="none" w:pos="118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Safekeeping</w:t>
      </w:r>
      <w:r>
        <w:rPr>
          <w:rFonts w:ascii="Times New Roman" w:cs="Times New Roman" w:eastAsia="Times New Roman" w:hAnsi="Times New Roman"/>
          <w:sz w:val="22"/>
          <w:szCs w:val="22"/>
          <w:color w:val="auto"/>
        </w:rPr>
        <w:t>. The Servicer, in its capacity as Custodian, shall hold the Receivable Files for the benefit of the Secured Parties and maintain such accurate and complete accounts, records and computer systems pertaining to each Receivable File as shall enable the Servicer and the Borrower to comply with this Agreement.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58" w:name="page359"/>
    <w:bookmarkEnd w:id="358"/>
    <w:p>
      <w:pPr>
        <w:spacing w:after="0" w:line="266" w:lineRule="auto"/>
        <w:rPr>
          <w:sz w:val="20"/>
          <w:szCs w:val="20"/>
          <w:color w:val="auto"/>
        </w:rPr>
      </w:pPr>
      <w:r>
        <w:rPr>
          <w:rFonts w:ascii="Times New Roman" w:cs="Times New Roman" w:eastAsia="Times New Roman" w:hAnsi="Times New Roman"/>
          <w:sz w:val="20"/>
          <w:szCs w:val="20"/>
          <w:color w:val="auto"/>
        </w:rPr>
        <w:t>Administrative Agent or its representatives to verify the accuracy of the Servicer’s record keeping.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Servicer in its capacity as Custodian hereunder.</w:t>
      </w:r>
    </w:p>
    <w:p>
      <w:pPr>
        <w:spacing w:after="0" w:line="155" w:lineRule="exact"/>
        <w:rPr>
          <w:sz w:val="20"/>
          <w:szCs w:val="20"/>
          <w:color w:val="auto"/>
        </w:rPr>
      </w:pPr>
    </w:p>
    <w:p>
      <w:pPr>
        <w:ind w:right="60" w:firstLine="757"/>
        <w:spacing w:after="0" w:line="260" w:lineRule="auto"/>
        <w:tabs>
          <w:tab w:leader="none" w:pos="118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and Access to Records</w:t>
      </w:r>
      <w:r>
        <w:rPr>
          <w:rFonts w:ascii="Times New Roman" w:cs="Times New Roman" w:eastAsia="Times New Roman" w:hAnsi="Times New Roman"/>
          <w:sz w:val="20"/>
          <w:szCs w:val="20"/>
          <w:color w:val="auto"/>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conduct collection and other servicing activities in accordance with its customary practices and procedures. The Custodian shall once per calendar year (commencing with the fourth quarter in 2012)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Termination Event or Unmatured Termination Event shall have occurred and is continuing, the Custodian shall make such information available at any time as requested by any Secured Party.</w:t>
      </w:r>
    </w:p>
    <w:p>
      <w:pPr>
        <w:spacing w:after="0" w:line="157" w:lineRule="exact"/>
        <w:rPr>
          <w:rFonts w:ascii="Times New Roman" w:cs="Times New Roman" w:eastAsia="Times New Roman" w:hAnsi="Times New Roman"/>
          <w:sz w:val="20"/>
          <w:szCs w:val="20"/>
          <w:color w:val="auto"/>
        </w:rPr>
      </w:pPr>
    </w:p>
    <w:p>
      <w:pPr>
        <w:ind w:right="40" w:firstLine="757"/>
        <w:spacing w:after="0" w:line="271" w:lineRule="auto"/>
        <w:tabs>
          <w:tab w:leader="none" w:pos="118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Documents</w:t>
      </w:r>
      <w:r>
        <w:rPr>
          <w:rFonts w:ascii="Times New Roman" w:cs="Times New Roman" w:eastAsia="Times New Roman" w:hAnsi="Times New Roman"/>
          <w:sz w:val="20"/>
          <w:szCs w:val="20"/>
          <w:color w:val="auto"/>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spacing w:after="0" w:line="147" w:lineRule="exact"/>
        <w:rPr>
          <w:rFonts w:ascii="Times New Roman" w:cs="Times New Roman" w:eastAsia="Times New Roman" w:hAnsi="Times New Roman"/>
          <w:sz w:val="20"/>
          <w:szCs w:val="20"/>
          <w:color w:val="auto"/>
        </w:rPr>
      </w:pPr>
    </w:p>
    <w:p>
      <w:pPr>
        <w:ind w:right="160" w:firstLine="757"/>
        <w:spacing w:after="0" w:line="237" w:lineRule="auto"/>
        <w:tabs>
          <w:tab w:leader="none" w:pos="118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Receivables</w:t>
      </w:r>
      <w:r>
        <w:rPr>
          <w:rFonts w:ascii="Times New Roman" w:cs="Times New Roman" w:eastAsia="Times New Roman" w:hAnsi="Times New Roman"/>
          <w:sz w:val="22"/>
          <w:szCs w:val="22"/>
          <w:color w:val="auto"/>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spacing w:after="0" w:line="180" w:lineRule="exact"/>
        <w:rPr>
          <w:rFonts w:ascii="Times New Roman" w:cs="Times New Roman" w:eastAsia="Times New Roman" w:hAnsi="Times New Roman"/>
          <w:sz w:val="22"/>
          <w:szCs w:val="22"/>
          <w:color w:val="auto"/>
        </w:rPr>
      </w:pPr>
    </w:p>
    <w:p>
      <w:pPr>
        <w:ind w:right="120" w:firstLine="757"/>
        <w:spacing w:after="0" w:line="258" w:lineRule="auto"/>
        <w:tabs>
          <w:tab w:leader="none" w:pos="118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 Authority to Act</w:t>
      </w:r>
      <w:r>
        <w:rPr>
          <w:rFonts w:ascii="Times New Roman" w:cs="Times New Roman" w:eastAsia="Times New Roman" w:hAnsi="Times New Roman"/>
          <w:sz w:val="22"/>
          <w:szCs w:val="22"/>
          <w:color w:val="auto"/>
        </w:rPr>
        <w:t>. The Custodian shall be deemed to have received proper instructions with respect to the Receivable Files upon its receipt of written instructions signed by a Responsible Officer of the Administrative Agent.</w:t>
      </w:r>
    </w:p>
    <w:p>
      <w:pPr>
        <w:spacing w:after="0" w:line="157" w:lineRule="exact"/>
        <w:rPr>
          <w:rFonts w:ascii="Times New Roman" w:cs="Times New Roman" w:eastAsia="Times New Roman" w:hAnsi="Times New Roman"/>
          <w:sz w:val="22"/>
          <w:szCs w:val="22"/>
          <w:color w:val="auto"/>
        </w:rPr>
      </w:pPr>
    </w:p>
    <w:p>
      <w:pPr>
        <w:ind w:right="40" w:firstLine="757"/>
        <w:spacing w:after="0" w:line="236" w:lineRule="auto"/>
        <w:tabs>
          <w:tab w:leader="none" w:pos="118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Custodian</w:t>
      </w:r>
      <w:r>
        <w:rPr>
          <w:rFonts w:ascii="Times New Roman" w:cs="Times New Roman" w:eastAsia="Times New Roman" w:hAnsi="Times New Roman"/>
          <w:sz w:val="22"/>
          <w:szCs w:val="22"/>
          <w:color w:val="auto"/>
        </w:rPr>
        <w:t>. The Servicer, in its capacity as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Servicer, as Custodian; provided, however, that the Servicer shall not be liable for any portion of</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22"/>
          <w:szCs w:val="22"/>
          <w:color w:val="auto"/>
        </w:rPr>
        <w:t>any such loss, liability or expense resulting from the willful misfeasance, bad faith or negligence of any Secured Party.</w:t>
      </w:r>
    </w:p>
    <w:p>
      <w:pPr>
        <w:spacing w:after="0" w:line="205" w:lineRule="exact"/>
        <w:rPr>
          <w:sz w:val="20"/>
          <w:szCs w:val="20"/>
          <w:color w:val="auto"/>
        </w:rPr>
      </w:pPr>
    </w:p>
    <w:p>
      <w:pPr>
        <w:ind w:firstLine="757"/>
        <w:spacing w:after="0" w:line="233" w:lineRule="auto"/>
        <w:tabs>
          <w:tab w:leader="none" w:pos="1180" w:val="left"/>
        </w:tabs>
        <w:numPr>
          <w:ilvl w:val="1"/>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Period and Termination</w:t>
      </w:r>
      <w:r>
        <w:rPr>
          <w:rFonts w:ascii="Times New Roman" w:cs="Times New Roman" w:eastAsia="Times New Roman" w:hAnsi="Times New Roman"/>
          <w:sz w:val="22"/>
          <w:szCs w:val="22"/>
          <w:color w:val="auto"/>
        </w:rPr>
        <w:t>. The Servicer’s appointment as Custodian shall become effective as of the Closing Date and shall continue in full force and effect until the occurrence of a Custodian Termination Event. If a Custodian Termination Event occurs, the appointment of the Servicer as Custodian hereunder may be terminated by the Administrative Agent. As soon as practicable after any such Custodian Termination Event, the Administrative Agent shall appoint [***] or another entity selected by the Administrative Agent as Custodian and the Servicer shall (i) at its sole cost and expense, deliver, or cause to be delivered, the Receivable Files and the related accounts and records maintained by the Servicer to the successor Custodian, or its agent or designee, as the case may be, at such place as the successor Custodian may reasonably designate and</w:t>
      </w:r>
    </w:p>
    <w:p>
      <w:pPr>
        <w:spacing w:after="0" w:line="3" w:lineRule="exact"/>
        <w:rPr>
          <w:rFonts w:ascii="Times New Roman" w:cs="Times New Roman" w:eastAsia="Times New Roman" w:hAnsi="Times New Roman"/>
          <w:sz w:val="22"/>
          <w:szCs w:val="22"/>
          <w:color w:val="auto"/>
        </w:rPr>
      </w:pPr>
    </w:p>
    <w:p>
      <w:pPr>
        <w:ind w:right="780" w:firstLine="8"/>
        <w:spacing w:after="0" w:line="237" w:lineRule="auto"/>
        <w:tabs>
          <w:tab w:leader="none" w:pos="31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cooperate with the successor Custodian in effecting the termination of the rights and responsibilities of the predecessor Custodian under this Agreement.</w:t>
      </w:r>
    </w:p>
    <w:p>
      <w:pPr>
        <w:spacing w:after="0" w:line="178"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Six.20.</w:t>
      </w:r>
      <w:r>
        <w:rPr>
          <w:sz w:val="20"/>
          <w:szCs w:val="20"/>
          <w:color w:val="auto"/>
        </w:rPr>
        <w:tab/>
      </w:r>
      <w:r>
        <w:rPr>
          <w:rFonts w:ascii="Times New Roman" w:cs="Times New Roman" w:eastAsia="Times New Roman" w:hAnsi="Times New Roman"/>
          <w:sz w:val="20"/>
          <w:szCs w:val="20"/>
          <w:u w:val="single" w:color="auto"/>
          <w:color w:val="auto"/>
        </w:rPr>
        <w:t>Matters Relating to Electronic Chattel Paper</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1180" w:hanging="423"/>
        <w:spacing w:after="0"/>
        <w:tabs>
          <w:tab w:leader="none" w:pos="118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Contract evidenced by Electronic Chattel Paper:</w:t>
      </w:r>
    </w:p>
    <w:p>
      <w:pPr>
        <w:spacing w:after="0" w:line="205" w:lineRule="exact"/>
        <w:rPr>
          <w:rFonts w:ascii="Times New Roman" w:cs="Times New Roman" w:eastAsia="Times New Roman" w:hAnsi="Times New Roman"/>
          <w:sz w:val="22"/>
          <w:szCs w:val="22"/>
          <w:color w:val="auto"/>
        </w:rPr>
      </w:pPr>
    </w:p>
    <w:p>
      <w:pPr>
        <w:ind w:left="760" w:right="660" w:firstLine="883"/>
        <w:spacing w:after="0" w:line="258" w:lineRule="auto"/>
        <w:tabs>
          <w:tab w:leader="none" w:pos="2078" w:val="left"/>
        </w:tabs>
        <w:numPr>
          <w:ilvl w:val="3"/>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take such actions as are necessary to cause the record or records relating to such Contract to be held at all times in the Electronic Vault;</w:t>
      </w:r>
    </w:p>
    <w:p>
      <w:pPr>
        <w:spacing w:after="0" w:line="157" w:lineRule="exact"/>
        <w:rPr>
          <w:rFonts w:ascii="Times New Roman" w:cs="Times New Roman" w:eastAsia="Times New Roman" w:hAnsi="Times New Roman"/>
          <w:sz w:val="22"/>
          <w:szCs w:val="22"/>
          <w:color w:val="auto"/>
        </w:rPr>
      </w:pPr>
    </w:p>
    <w:p>
      <w:pPr>
        <w:ind w:left="760" w:right="140" w:firstLine="816"/>
        <w:spacing w:after="0" w:line="244" w:lineRule="auto"/>
        <w:tabs>
          <w:tab w:leader="none" w:pos="2011" w:val="left"/>
        </w:tabs>
        <w:numPr>
          <w:ilvl w:val="3"/>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not permit a change in the identity of the Electronic Vault Provider without the prior consent of the Administrative Agent or agree to an amendment to the Electronic Vault Agreement that would adversely affect a transfer of user and management rights in accordance with Section 7.20(b);</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Custodian shall, at all times, maintain control, for the benefit of the Secured Parties, of such Contract;</w:t>
      </w:r>
    </w:p>
    <w:p>
      <w:pPr>
        <w:spacing w:after="0" w:line="228" w:lineRule="exact"/>
        <w:rPr>
          <w:rFonts w:ascii="Times New Roman" w:cs="Times New Roman" w:eastAsia="Times New Roman" w:hAnsi="Times New Roman"/>
          <w:sz w:val="20"/>
          <w:szCs w:val="20"/>
          <w:color w:val="auto"/>
        </w:rPr>
      </w:pPr>
    </w:p>
    <w:p>
      <w:pPr>
        <w:ind w:left="760" w:right="240" w:firstLine="759"/>
        <w:spacing w:after="0" w:line="258" w:lineRule="auto"/>
        <w:tabs>
          <w:tab w:leader="none" w:pos="1954" w:val="left"/>
        </w:tabs>
        <w:numPr>
          <w:ilvl w:val="2"/>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shall, at all times, be the authorized user of the Electronic Vault pursuant to the Electronic Vault Agreement;</w:t>
      </w:r>
    </w:p>
    <w:p>
      <w:pPr>
        <w:spacing w:after="0" w:line="157" w:lineRule="exact"/>
        <w:rPr>
          <w:rFonts w:ascii="Times New Roman" w:cs="Times New Roman" w:eastAsia="Times New Roman" w:hAnsi="Times New Roman"/>
          <w:sz w:val="22"/>
          <w:szCs w:val="22"/>
          <w:color w:val="auto"/>
        </w:rPr>
      </w:pPr>
    </w:p>
    <w:p>
      <w:pPr>
        <w:ind w:left="760" w:right="80" w:firstLine="829"/>
        <w:spacing w:after="0" w:line="237" w:lineRule="auto"/>
        <w:tabs>
          <w:tab w:leader="none" w:pos="2024" w:val="left"/>
        </w:tabs>
        <w:numPr>
          <w:ilvl w:val="3"/>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shall not, except in connection with a transfer of a Receivable permitted under the terms of this Agreement, (A) allow the authoritative copy of such Contract to by communicated to any Person other than the Borrower or the Administrative Agent or (B) allow the authoritative copy of such Contract to contain any marks or notations indicating that it has been pledged, assigned or otherwise conveyed to any Person other than the Borrower or the Administrative Agent;</w:t>
      </w:r>
    </w:p>
    <w:p>
      <w:pPr>
        <w:spacing w:after="0" w:line="180" w:lineRule="exact"/>
        <w:rPr>
          <w:rFonts w:ascii="Times New Roman" w:cs="Times New Roman" w:eastAsia="Times New Roman" w:hAnsi="Times New Roman"/>
          <w:sz w:val="22"/>
          <w:szCs w:val="22"/>
          <w:color w:val="auto"/>
        </w:rPr>
      </w:pPr>
    </w:p>
    <w:p>
      <w:pPr>
        <w:ind w:left="760" w:right="180" w:firstLine="759"/>
        <w:spacing w:after="0" w:line="280" w:lineRule="auto"/>
        <w:tabs>
          <w:tab w:leader="none" w:pos="1954" w:val="left"/>
        </w:tabs>
        <w:numPr>
          <w:ilvl w:val="2"/>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Servicer nor the Custodian shall permit any tangible copy or any electronic record (other than the single authoritative copy held in the Electronic Vault) of such Contract to be created unless such copy or record is clearly labeled with a statement that it is not the original or an authoritative copy of the related Contract; and</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360" w:name="page361"/>
    <w:bookmarkEnd w:id="360"/>
    <w:p>
      <w:pPr>
        <w:jc w:val="both"/>
        <w:ind w:left="760" w:right="440" w:firstLine="690"/>
        <w:spacing w:after="0" w:line="244" w:lineRule="auto"/>
        <w:tabs>
          <w:tab w:leader="none" w:pos="1885"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Servicer nor the Custodian shall permit the single authoritative copy of such Contract to be changed, altered, supplemented, amended or otherwise modified other than modifications permitted pursuant to this Agreement.</w:t>
      </w:r>
    </w:p>
    <w:p>
      <w:pPr>
        <w:spacing w:after="0" w:line="172" w:lineRule="exact"/>
        <w:rPr>
          <w:rFonts w:ascii="Times New Roman" w:cs="Times New Roman" w:eastAsia="Times New Roman" w:hAnsi="Times New Roman"/>
          <w:sz w:val="22"/>
          <w:szCs w:val="22"/>
          <w:color w:val="auto"/>
        </w:rPr>
      </w:pPr>
    </w:p>
    <w:p>
      <w:pPr>
        <w:ind w:right="60" w:firstLine="757"/>
        <w:spacing w:after="0" w:line="236" w:lineRule="auto"/>
        <w:tabs>
          <w:tab w:leader="none" w:pos="118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appointment of a successor Custodian, UACC, at its expense, shall take all necessary action to transfer control for the benefit of the Secured Parties each Contract evidenced by Electronic Chattel Paper to the successor Custodian, including, as directed by the Administrative Agent, the transfer of such Contracts to a separate electronic vault controlled by the successor Custodian or the transfer of user and management rights with respect to the Electronic Vault under the Electronic Vault Agreement to the successor Custodian or the export of such Contracts from the Electronic Vault and delivery of physical copies of the exported Contracts and other records, as Tangible Chattel Paper, to the successor Custodian.</w:t>
      </w:r>
    </w:p>
    <w:p>
      <w:pPr>
        <w:spacing w:after="0" w:line="179" w:lineRule="exact"/>
        <w:rPr>
          <w:rFonts w:ascii="Times New Roman" w:cs="Times New Roman" w:eastAsia="Times New Roman" w:hAnsi="Times New Roman"/>
          <w:sz w:val="22"/>
          <w:szCs w:val="22"/>
          <w:color w:val="auto"/>
        </w:rPr>
      </w:pPr>
    </w:p>
    <w:p>
      <w:pPr>
        <w:ind w:right="120" w:firstLine="757"/>
        <w:spacing w:after="0" w:line="271" w:lineRule="auto"/>
        <w:tabs>
          <w:tab w:leader="none" w:pos="118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Servicer shall deliver, at its expense, to the Administrative Agent, no later than the first Reporting Date on which [***]% or more of the aggregate Net Principal Balance of the Eligible Receivables as of last day of the related Collection Period is evidence by Electronic Chattel Paper, an Opinion of Counsel, in form and substance satisfactory to the Administrative Agent, to the effect that UACC obtains control of the related Contracts upon the transfer thereof from the applicable Dealer.</w:t>
      </w:r>
    </w:p>
    <w:p>
      <w:pPr>
        <w:spacing w:after="0" w:line="147" w:lineRule="exact"/>
        <w:rPr>
          <w:rFonts w:ascii="Times New Roman" w:cs="Times New Roman" w:eastAsia="Times New Roman" w:hAnsi="Times New Roman"/>
          <w:sz w:val="20"/>
          <w:szCs w:val="20"/>
          <w:color w:val="auto"/>
        </w:rPr>
      </w:pPr>
    </w:p>
    <w:p>
      <w:pPr>
        <w:ind w:firstLine="757"/>
        <w:spacing w:after="0" w:line="258" w:lineRule="auto"/>
        <w:tabs>
          <w:tab w:leader="none" w:pos="118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7.20, “control”, “authoritative copy” and “communicated” shall have the meanings provided to such terms in Section 9-105 of the UCC.</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sectPr>
      </w:pPr>
    </w:p>
    <w:bookmarkStart w:id="361" w:name="page362"/>
    <w:bookmarkEnd w:id="361"/>
    <w:p>
      <w:pPr>
        <w:jc w:val="center"/>
        <w:ind w:right="80"/>
        <w:spacing w:after="0"/>
        <w:rPr>
          <w:sz w:val="20"/>
          <w:szCs w:val="20"/>
          <w:color w:val="auto"/>
        </w:rPr>
      </w:pPr>
      <w:r>
        <w:rPr>
          <w:rFonts w:ascii="Times New Roman" w:cs="Times New Roman" w:eastAsia="Times New Roman" w:hAnsi="Times New Roman"/>
          <w:sz w:val="22"/>
          <w:szCs w:val="22"/>
          <w:color w:val="auto"/>
        </w:rPr>
        <w:t>ARTICLE SEVEN</w:t>
      </w:r>
    </w:p>
    <w:p>
      <w:pPr>
        <w:spacing w:after="0" w:line="200" w:lineRule="exact"/>
        <w:rPr>
          <w:sz w:val="20"/>
          <w:szCs w:val="20"/>
          <w:color w:val="auto"/>
        </w:rPr>
      </w:pPr>
    </w:p>
    <w:p>
      <w:pPr>
        <w:spacing w:after="0" w:line="2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THE BACKUP SERVICER</w:t>
      </w:r>
    </w:p>
    <w:p>
      <w:pPr>
        <w:spacing w:after="0" w:line="205"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Seven.01.</w:t>
      </w:r>
      <w:r>
        <w:rPr>
          <w:sz w:val="20"/>
          <w:szCs w:val="20"/>
          <w:color w:val="auto"/>
        </w:rPr>
        <w:tab/>
      </w:r>
      <w:r>
        <w:rPr>
          <w:rFonts w:ascii="Times New Roman" w:cs="Times New Roman" w:eastAsia="Times New Roman" w:hAnsi="Times New Roman"/>
          <w:sz w:val="20"/>
          <w:szCs w:val="20"/>
          <w:u w:val="single" w:color="auto"/>
          <w:color w:val="auto"/>
        </w:rPr>
        <w:t>Designation of the Backup Servicer</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40" w:firstLine="757"/>
        <w:spacing w:after="0" w:line="244" w:lineRule="auto"/>
        <w:tabs>
          <w:tab w:leader="none" w:pos="1180"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Servicer Termination Event, the Administrative Agent may designate the Backup Servicer to act as Servicer for the benefit of the Administrative Agent and the Secured Parties. The Backup Servicer shall accept such appointment and agree to perform the duties and obligations with respect thereto set forth herein.</w:t>
      </w:r>
    </w:p>
    <w:p>
      <w:pPr>
        <w:spacing w:after="0" w:line="172" w:lineRule="exact"/>
        <w:rPr>
          <w:rFonts w:ascii="Times New Roman" w:cs="Times New Roman" w:eastAsia="Times New Roman" w:hAnsi="Times New Roman"/>
          <w:sz w:val="22"/>
          <w:szCs w:val="22"/>
          <w:color w:val="auto"/>
        </w:rPr>
      </w:pPr>
    </w:p>
    <w:p>
      <w:pPr>
        <w:jc w:val="both"/>
        <w:ind w:right="440" w:firstLine="757"/>
        <w:spacing w:after="0" w:line="307" w:lineRule="auto"/>
        <w:tabs>
          <w:tab w:leader="none" w:pos="118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receipt by the Backup Servicer of a notice from the Administrative Agent of the designation of a new Backup Servicer pursuant to Section 8.04, the Backup Servicer will not terminate its activities as Backup Servicer hereunder.</w:t>
      </w:r>
    </w:p>
    <w:p>
      <w:pPr>
        <w:spacing w:after="0" w:line="113" w:lineRule="exact"/>
        <w:rPr>
          <w:sz w:val="20"/>
          <w:szCs w:val="20"/>
          <w:color w:val="auto"/>
        </w:rPr>
      </w:pPr>
    </w:p>
    <w:p>
      <w:pPr>
        <w:jc w:val="both"/>
        <w:ind w:right="1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Seven.02. </w:t>
      </w:r>
      <w:r>
        <w:rPr>
          <w:rFonts w:ascii="Times New Roman" w:cs="Times New Roman" w:eastAsia="Times New Roman" w:hAnsi="Times New Roman"/>
          <w:sz w:val="22"/>
          <w:szCs w:val="22"/>
          <w:u w:val="single" w:color="auto"/>
          <w:color w:val="auto"/>
        </w:rPr>
        <w:t>Duties of the Backup Servicer</w:t>
      </w:r>
      <w:r>
        <w:rPr>
          <w:rFonts w:ascii="Times New Roman" w:cs="Times New Roman" w:eastAsia="Times New Roman" w:hAnsi="Times New Roman"/>
          <w:sz w:val="22"/>
          <w:szCs w:val="22"/>
          <w:color w:val="auto"/>
        </w:rPr>
        <w:t>. From the Closing Date until the earlier of (i) its removal pursuant to Section 8.04 or (ii) the Facility Termination Date, the Backup Servicer shall perform, on behalf of the Secured Parties, the duties and obligations set forth in Sections 7.10 and 7.11.</w:t>
      </w:r>
    </w:p>
    <w:p>
      <w:pPr>
        <w:spacing w:after="0" w:line="17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20"/>
          <w:szCs w:val="20"/>
          <w:color w:val="auto"/>
        </w:rPr>
        <w:t xml:space="preserve">Section Seven.03. </w:t>
      </w:r>
      <w:r>
        <w:rPr>
          <w:rFonts w:ascii="Times New Roman" w:cs="Times New Roman" w:eastAsia="Times New Roman" w:hAnsi="Times New Roman"/>
          <w:sz w:val="20"/>
          <w:szCs w:val="20"/>
          <w:u w:val="single" w:color="auto"/>
          <w:color w:val="auto"/>
        </w:rPr>
        <w:t>Backup Servicing Compensation</w:t>
      </w:r>
      <w:r>
        <w:rPr>
          <w:rFonts w:ascii="Times New Roman" w:cs="Times New Roman" w:eastAsia="Times New Roman" w:hAnsi="Times New Roman"/>
          <w:sz w:val="20"/>
          <w:szCs w:val="20"/>
          <w:color w:val="auto"/>
        </w:rPr>
        <w:t>. As compensation for its backup servicing activities hereunder, the Backup Servicer shall be entitled to receive a monthly fee up to an amount equal to the Backup Servicing Fee in accordance with the priorities set forth in Section 2.08 or, at the option of UACC, the Backup Servicing Fee may be paid directly to the Backup Servicer by UACC. The Backup Servicer’s entitlement to receive such fee shall cease on the earliest to occur of (i) it becoming the Successor Servicer, (ii) its removal as Backup Servicer pursuant to Section 8.04 or (iii) the termination of this Agreement.</w:t>
      </w:r>
    </w:p>
    <w:p>
      <w:pPr>
        <w:spacing w:after="0" w:line="155" w:lineRule="exact"/>
        <w:rPr>
          <w:sz w:val="20"/>
          <w:szCs w:val="20"/>
          <w:color w:val="auto"/>
        </w:rPr>
      </w:pPr>
    </w:p>
    <w:p>
      <w:pPr>
        <w:ind w:right="1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Seven.04. </w:t>
      </w:r>
      <w:r>
        <w:rPr>
          <w:rFonts w:ascii="Times New Roman" w:cs="Times New Roman" w:eastAsia="Times New Roman" w:hAnsi="Times New Roman"/>
          <w:sz w:val="22"/>
          <w:szCs w:val="22"/>
          <w:u w:val="single" w:color="auto"/>
          <w:color w:val="auto"/>
        </w:rPr>
        <w:t>Backup Servicer Removal</w:t>
      </w:r>
      <w:r>
        <w:rPr>
          <w:rFonts w:ascii="Times New Roman" w:cs="Times New Roman" w:eastAsia="Times New Roman" w:hAnsi="Times New Roman"/>
          <w:sz w:val="22"/>
          <w:szCs w:val="22"/>
          <w:color w:val="auto"/>
        </w:rPr>
        <w:t>. The Backup Servicer may be removed in connection with a breach by the Backup Servicer of any representation, warranty or covenant of the Backup Servicer under this Agreement, or otherwise in the discretion of the Administrative Agent and, so long as no Termination Event or Servicer Termination Event has occurred, the Borrower, by notice given in writing and delivered to the Backup Servicer from the Administrative Agent or, so long as no Termination Event or Servicer Termination Event has occurred, the Borrower (the “Backup Servicer Termination Notice”). On and after the receipt by the Backup Servicer of the Backup Servicer Termination Notice, the Backup Servicer shall continue to perform all backup servicing functions under this Agreement until the date specified in the Backup Servicer Termination Notice or otherwise specified by the Administrative Agent in writing or, if no such date is specified in the Backup Servicer Termination Notice or otherwise specified by the Administrative Agent, until a date mutually agreed upon by the Backup Servicer and the Administrative Agent.</w:t>
      </w:r>
    </w:p>
    <w:p>
      <w:pPr>
        <w:spacing w:after="0" w:line="176" w:lineRule="exact"/>
        <w:rPr>
          <w:sz w:val="20"/>
          <w:szCs w:val="20"/>
          <w:color w:val="auto"/>
        </w:rPr>
      </w:pPr>
    </w:p>
    <w:p>
      <w:pPr>
        <w:ind w:firstLine="749"/>
        <w:spacing w:after="0" w:line="280" w:lineRule="auto"/>
        <w:rPr>
          <w:sz w:val="20"/>
          <w:szCs w:val="20"/>
          <w:color w:val="auto"/>
        </w:rPr>
      </w:pPr>
      <w:r>
        <w:rPr>
          <w:rFonts w:ascii="Times New Roman" w:cs="Times New Roman" w:eastAsia="Times New Roman" w:hAnsi="Times New Roman"/>
          <w:sz w:val="20"/>
          <w:szCs w:val="20"/>
          <w:color w:val="auto"/>
        </w:rPr>
        <w:t xml:space="preserve">Section Seven.05. </w:t>
      </w:r>
      <w:r>
        <w:rPr>
          <w:rFonts w:ascii="Times New Roman" w:cs="Times New Roman" w:eastAsia="Times New Roman" w:hAnsi="Times New Roman"/>
          <w:sz w:val="20"/>
          <w:szCs w:val="20"/>
          <w:u w:val="single" w:color="auto"/>
          <w:color w:val="auto"/>
        </w:rPr>
        <w:t>Backup Servicer Not to Resign</w:t>
      </w:r>
      <w:r>
        <w:rPr>
          <w:rFonts w:ascii="Times New Roman" w:cs="Times New Roman" w:eastAsia="Times New Roman" w:hAnsi="Times New Roman"/>
          <w:sz w:val="20"/>
          <w:szCs w:val="20"/>
          <w:color w:val="auto"/>
        </w:rPr>
        <w:t>. The Backup Servicer shall resign only with the prior written consent of the Administrative Agent and the Required Lenders and, so long as no Termination Event or Servicer Termination Event has occurred, the Borrower or if the Backup Servicer provides an Opinion of Counsel to the Administrative Agent to the effect that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62" w:name="page363"/>
    <w:bookmarkEnd w:id="362"/>
    <w:p>
      <w:pPr>
        <w:ind w:right="380"/>
        <w:spacing w:after="0" w:line="271" w:lineRule="auto"/>
        <w:rPr>
          <w:sz w:val="20"/>
          <w:szCs w:val="20"/>
          <w:color w:val="auto"/>
        </w:rPr>
      </w:pPr>
      <w:r>
        <w:rPr>
          <w:rFonts w:ascii="Times New Roman" w:cs="Times New Roman" w:eastAsia="Times New Roman" w:hAnsi="Times New Roman"/>
          <w:sz w:val="20"/>
          <w:szCs w:val="20"/>
          <w:color w:val="auto"/>
        </w:rPr>
        <w:t>the Backup Servicer is no longer permitted by Applicable Law to act as Backup Servicer hereunder. No termination or resignation of the Backup Servicer hereunder shall be effective until a successor Backup Servicer, acceptable to the Administrative Agent and, so long as no Termination Event or Servicer Termination Event has occurred, the Borrower, has accepted its appointment as successor Backup Servicer hereunder and has agreed to be bound by the terms of this Agreement.</w:t>
      </w:r>
    </w:p>
    <w:p>
      <w:pPr>
        <w:spacing w:after="0" w:line="148"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Seven.06. </w:t>
      </w:r>
      <w:r>
        <w:rPr>
          <w:rFonts w:ascii="Times New Roman" w:cs="Times New Roman" w:eastAsia="Times New Roman" w:hAnsi="Times New Roman"/>
          <w:sz w:val="22"/>
          <w:szCs w:val="22"/>
          <w:u w:val="single" w:color="auto"/>
          <w:color w:val="auto"/>
        </w:rPr>
        <w:t>Monthly Backup Servicer Certificate</w:t>
      </w:r>
      <w:r>
        <w:rPr>
          <w:rFonts w:ascii="Times New Roman" w:cs="Times New Roman" w:eastAsia="Times New Roman" w:hAnsi="Times New Roman"/>
          <w:sz w:val="22"/>
          <w:szCs w:val="22"/>
          <w:color w:val="auto"/>
        </w:rPr>
        <w:t>. The Backup Servicer shall provide a Monthly Backup Servicer Certificate to the Administrative Agent and the Borrower, on or before the close of business on the fifth Business Day following the related Reporting Date. The Backup Servicer, in its capacity as such, shall not be responsible for delays attributable to the Servicer’s failure to deliver information, defects in the information supplied by the Servicer or other circumstances beyond the control of the Backup Servicer.</w:t>
      </w:r>
    </w:p>
    <w:p>
      <w:pPr>
        <w:spacing w:after="0" w:line="18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Seven.07.</w:t>
      </w:r>
      <w:r>
        <w:rPr>
          <w:sz w:val="20"/>
          <w:szCs w:val="20"/>
          <w:color w:val="auto"/>
        </w:rPr>
        <w:tab/>
      </w:r>
      <w:r>
        <w:rPr>
          <w:rFonts w:ascii="Times New Roman" w:cs="Times New Roman" w:eastAsia="Times New Roman" w:hAnsi="Times New Roman"/>
          <w:sz w:val="20"/>
          <w:szCs w:val="20"/>
          <w:u w:val="single" w:color="auto"/>
          <w:color w:val="auto"/>
        </w:rPr>
        <w:t>Covenants of the Backup Servicer</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1180" w:hanging="423"/>
        <w:spacing w:after="0"/>
        <w:tabs>
          <w:tab w:leader="none" w:pos="118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From the date of its appointment until the Facility Termination Date:</w:t>
      </w:r>
    </w:p>
    <w:p>
      <w:pPr>
        <w:spacing w:after="0" w:line="205" w:lineRule="exact"/>
        <w:rPr>
          <w:rFonts w:ascii="Times New Roman" w:cs="Times New Roman" w:eastAsia="Times New Roman" w:hAnsi="Times New Roman"/>
          <w:sz w:val="22"/>
          <w:szCs w:val="22"/>
          <w:color w:val="auto"/>
        </w:rPr>
      </w:pPr>
    </w:p>
    <w:p>
      <w:pPr>
        <w:ind w:left="2080" w:hanging="437"/>
        <w:spacing w:after="0"/>
        <w:tabs>
          <w:tab w:leader="none" w:pos="2080"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Backup Servicer will comply in all material respects with all Applicable</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Laws.</w:t>
      </w:r>
    </w:p>
    <w:p>
      <w:pPr>
        <w:spacing w:after="0" w:line="181" w:lineRule="exact"/>
        <w:rPr>
          <w:rFonts w:ascii="Times New Roman" w:cs="Times New Roman" w:eastAsia="Times New Roman" w:hAnsi="Times New Roman"/>
          <w:sz w:val="22"/>
          <w:szCs w:val="22"/>
          <w:color w:val="auto"/>
        </w:rPr>
      </w:pPr>
    </w:p>
    <w:p>
      <w:pPr>
        <w:ind w:left="760" w:firstLine="816"/>
        <w:spacing w:after="0" w:line="239" w:lineRule="auto"/>
        <w:tabs>
          <w:tab w:leader="none" w:pos="2011"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Backup Servicer will preserve and maintain its existence, rights, franchises and privileges in the jurisdiction of its formation, and qualify and remain qualified in good standing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ind w:right="20" w:firstLine="757"/>
        <w:spacing w:after="0" w:line="244" w:lineRule="auto"/>
        <w:tabs>
          <w:tab w:leader="none" w:pos="118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Covenant</w:t>
      </w:r>
      <w:r>
        <w:rPr>
          <w:rFonts w:ascii="Times New Roman" w:cs="Times New Roman" w:eastAsia="Times New Roman" w:hAnsi="Times New Roman"/>
          <w:sz w:val="22"/>
          <w:szCs w:val="22"/>
          <w:color w:val="auto"/>
        </w:rPr>
        <w:t>. From the date of its appointment until the Facility Termination Date, the Backup Servicer will not make any changes to the Backup Servicing Fee without the prior written approval of the Administrative Agent and, so long as no Termination Event or Servicer Termination Event has occurred, the Borrower.</w:t>
      </w:r>
    </w:p>
    <w:p>
      <w:pPr>
        <w:spacing w:after="0" w:line="172"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Seven.08. </w:t>
      </w:r>
      <w:r>
        <w:rPr>
          <w:rFonts w:ascii="Times New Roman" w:cs="Times New Roman" w:eastAsia="Times New Roman" w:hAnsi="Times New Roman"/>
          <w:sz w:val="22"/>
          <w:szCs w:val="22"/>
          <w:u w:val="single" w:color="auto"/>
          <w:color w:val="auto"/>
        </w:rPr>
        <w:t>Additional Covenants Relating to Minimum Liquidity Test</w:t>
      </w:r>
      <w:r>
        <w:rPr>
          <w:rFonts w:ascii="Times New Roman" w:cs="Times New Roman" w:eastAsia="Times New Roman" w:hAnsi="Times New Roman"/>
          <w:sz w:val="22"/>
          <w:szCs w:val="22"/>
          <w:color w:val="auto"/>
        </w:rPr>
        <w:t>. In the event that, as of the last day of any calendar quarter, the Minimum Liquidity Test is not satisfied, the Servicer shall cooperate with the Administrative Agent to appoint an additional Backup Servicer and shall provide for establishment and implementation of the additional backup servicing functions and procedures, in each case as set forth in Schedule F.</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63" w:name="page364"/>
    <w:bookmarkEnd w:id="363"/>
    <w:p>
      <w:pPr>
        <w:jc w:val="center"/>
        <w:ind w:right="100"/>
        <w:spacing w:after="0"/>
        <w:rPr>
          <w:sz w:val="20"/>
          <w:szCs w:val="20"/>
          <w:color w:val="auto"/>
        </w:rPr>
      </w:pPr>
      <w:r>
        <w:rPr>
          <w:rFonts w:ascii="Times New Roman" w:cs="Times New Roman" w:eastAsia="Times New Roman" w:hAnsi="Times New Roman"/>
          <w:sz w:val="22"/>
          <w:szCs w:val="22"/>
          <w:color w:val="auto"/>
        </w:rPr>
        <w:t>ARTICLE EIGHT</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TERMINATION EVENTS</w:t>
      </w:r>
    </w:p>
    <w:p>
      <w:pPr>
        <w:spacing w:after="0" w:line="205"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Eight.01.</w:t>
      </w:r>
      <w:r>
        <w:rPr>
          <w:sz w:val="20"/>
          <w:szCs w:val="20"/>
          <w:color w:val="auto"/>
        </w:rPr>
        <w:tab/>
      </w:r>
      <w:r>
        <w:rPr>
          <w:rFonts w:ascii="Times New Roman" w:cs="Times New Roman" w:eastAsia="Times New Roman" w:hAnsi="Times New Roman"/>
          <w:sz w:val="20"/>
          <w:szCs w:val="20"/>
          <w:u w:val="single" w:color="auto"/>
          <w:color w:val="auto"/>
        </w:rPr>
        <w:t>Termination Events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1180" w:hanging="423"/>
        <w:spacing w:after="0"/>
        <w:tabs>
          <w:tab w:leader="none" w:pos="118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events shall constitute a “Termination Event”:</w:t>
      </w:r>
    </w:p>
    <w:p>
      <w:pPr>
        <w:spacing w:after="0" w:line="205" w:lineRule="exact"/>
        <w:rPr>
          <w:rFonts w:ascii="Times New Roman" w:cs="Times New Roman" w:eastAsia="Times New Roman" w:hAnsi="Times New Roman"/>
          <w:sz w:val="22"/>
          <w:szCs w:val="22"/>
          <w:color w:val="auto"/>
        </w:rPr>
      </w:pPr>
    </w:p>
    <w:p>
      <w:pPr>
        <w:ind w:left="2080" w:hanging="437"/>
        <w:spacing w:after="0"/>
        <w:tabs>
          <w:tab w:leader="none" w:pos="2080"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60" w:firstLine="757"/>
        <w:spacing w:after="0" w:line="235" w:lineRule="auto"/>
        <w:tabs>
          <w:tab w:leader="none" w:pos="1180"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demand, protest or any notice of any kind, all of which are hereby expressly waived by the Borrower (with a copy to each Hedge Counterparty), (i) in the event that a Termination Event described in Section 9.01(a)(vii) or (a)(xxii) has occurred, the Termination Date shall automatically occur and (ii) upon the occurrence of any other Termination Event, the Administrative Agent shall, at the written request, or may with the written consent, of the Required Lenders, by notice to the Borrower, declare the Termination Date to have occurred. If such automatic occurrence or declaration of the Termination Date relates to a Termination Event that is a Foreclosure Event, all Loans Outstanding and all other amounts owing by the Borrower under this Agreement shall be accelerated and become immediately due and payable.</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Eight.02.</w:t>
      </w:r>
      <w:r>
        <w:rPr>
          <w:sz w:val="20"/>
          <w:szCs w:val="20"/>
          <w:color w:val="auto"/>
        </w:rPr>
        <w:tab/>
      </w:r>
      <w:r>
        <w:rPr>
          <w:rFonts w:ascii="Times New Roman" w:cs="Times New Roman" w:eastAsia="Times New Roman" w:hAnsi="Times New Roman"/>
          <w:sz w:val="20"/>
          <w:szCs w:val="20"/>
          <w:u w:val="single" w:color="auto"/>
          <w:color w:val="auto"/>
        </w:rPr>
        <w:t>Actions Upon Occurrence of the Termination Date</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7" w:lineRule="auto"/>
        <w:tabs>
          <w:tab w:leader="none" w:pos="118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automatic occurrence, or the declaration of the occurrence, of the Termination Date in accordance with Section 9.01(b), the following shall immediately occur without further action: (i) the Revolving Period shall terminate and no further Loans will be made and (ii) if the Termination Event giving rise to the Termination Date is not a Foreclosure Event, all Available Funds after item (v) of Section 2.08 will be used to reduce the Loans Outstanding and Interest on all Loans Outstanding will increase to the Default Rate.</w:t>
      </w:r>
    </w:p>
    <w:p>
      <w:pPr>
        <w:spacing w:after="0" w:line="180" w:lineRule="exact"/>
        <w:rPr>
          <w:rFonts w:ascii="Times New Roman" w:cs="Times New Roman" w:eastAsia="Times New Roman" w:hAnsi="Times New Roman"/>
          <w:sz w:val="22"/>
          <w:szCs w:val="22"/>
          <w:color w:val="auto"/>
        </w:rPr>
      </w:pPr>
    </w:p>
    <w:p>
      <w:pPr>
        <w:ind w:right="160" w:firstLine="757"/>
        <w:spacing w:after="0" w:line="236" w:lineRule="auto"/>
        <w:tabs>
          <w:tab w:leader="none" w:pos="118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automatic occurrence of, or the declaration of the occurrence of, the Termination Date arising from a Foreclosure Event, the Administrative Agent may, or at the direction of the Required Lenders,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upon direction of the Required Lenders, may, or at the direction of the Required Lenders, shall take the following remedial actions:</w:t>
      </w:r>
    </w:p>
    <w:p>
      <w:pPr>
        <w:spacing w:after="0" w:line="179" w:lineRule="exact"/>
        <w:rPr>
          <w:rFonts w:ascii="Times New Roman" w:cs="Times New Roman" w:eastAsia="Times New Roman" w:hAnsi="Times New Roman"/>
          <w:sz w:val="22"/>
          <w:szCs w:val="22"/>
          <w:color w:val="auto"/>
        </w:rPr>
      </w:pPr>
    </w:p>
    <w:p>
      <w:pPr>
        <w:ind w:left="760" w:firstLine="883"/>
        <w:spacing w:after="0" w:line="237" w:lineRule="auto"/>
        <w:tabs>
          <w:tab w:leader="none" w:pos="2078"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Reserve Account, the Collection Account or any part of such accounts in accordance with the priorities required by Section 2.08.</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64" w:name="page365"/>
    <w:bookmarkEnd w:id="364"/>
    <w:p>
      <w:pPr>
        <w:ind w:left="760" w:firstLine="816"/>
        <w:spacing w:after="0" w:line="258" w:lineRule="auto"/>
        <w:tabs>
          <w:tab w:leader="none" w:pos="2011" w:val="left"/>
        </w:tabs>
        <w:numPr>
          <w:ilvl w:val="1"/>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take any action permitted under the Basic Documents, including exercising any rights available to it under the Intercreditor Agreement.</w:t>
      </w:r>
    </w:p>
    <w:p>
      <w:pPr>
        <w:spacing w:after="0" w:line="157" w:lineRule="exact"/>
        <w:rPr>
          <w:rFonts w:ascii="Times New Roman" w:cs="Times New Roman" w:eastAsia="Times New Roman" w:hAnsi="Times New Roman"/>
          <w:sz w:val="22"/>
          <w:szCs w:val="22"/>
          <w:color w:val="auto"/>
        </w:rPr>
      </w:pPr>
    </w:p>
    <w:p>
      <w:pPr>
        <w:ind w:left="760" w:firstLine="745"/>
        <w:spacing w:after="0" w:line="232" w:lineRule="auto"/>
        <w:tabs>
          <w:tab w:leader="none" w:pos="1940"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rights and remedies of a secured party under the UCC (and except as otherwise required by the UCC), the Administrative Agent may,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spacing w:after="0" w:line="190" w:lineRule="exact"/>
        <w:rPr>
          <w:rFonts w:ascii="Times New Roman" w:cs="Times New Roman" w:eastAsia="Times New Roman" w:hAnsi="Times New Roman"/>
          <w:sz w:val="22"/>
          <w:szCs w:val="22"/>
          <w:color w:val="auto"/>
        </w:rPr>
      </w:pPr>
    </w:p>
    <w:p>
      <w:pPr>
        <w:ind w:left="760" w:right="20" w:firstLine="759"/>
        <w:spacing w:after="0" w:line="235" w:lineRule="auto"/>
        <w:tabs>
          <w:tab w:leader="none" w:pos="1954"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of any sale under Section 9.02(b)(iii),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and control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spacing w:after="0" w:line="180" w:lineRule="exact"/>
        <w:rPr>
          <w:rFonts w:ascii="Times New Roman" w:cs="Times New Roman" w:eastAsia="Times New Roman" w:hAnsi="Times New Roman"/>
          <w:sz w:val="22"/>
          <w:szCs w:val="22"/>
          <w:color w:val="auto"/>
        </w:rPr>
      </w:pPr>
    </w:p>
    <w:p>
      <w:pPr>
        <w:ind w:left="760" w:right="60" w:firstLine="829"/>
        <w:spacing w:after="0" w:line="271" w:lineRule="auto"/>
        <w:tabs>
          <w:tab w:leader="none" w:pos="2024"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sale under Section 9.02(b)(iii), UACC or any Secured Party may bid for and purchase the property offered for sale and, upon compliance with the terms of sale, may hold, retain and dispose of such property without further accountability therefor. Any Secured Party purchasing property at a sale under Section 9.02(b)(iii) may set off the purchase price of such property against amounts owing to such Secured Party in full payment of such purchase price.</w:t>
      </w:r>
    </w:p>
    <w:p>
      <w:pPr>
        <w:spacing w:after="0" w:line="147" w:lineRule="exact"/>
        <w:rPr>
          <w:rFonts w:ascii="Times New Roman" w:cs="Times New Roman" w:eastAsia="Times New Roman" w:hAnsi="Times New Roman"/>
          <w:sz w:val="20"/>
          <w:szCs w:val="20"/>
          <w:color w:val="auto"/>
        </w:rPr>
      </w:pPr>
    </w:p>
    <w:p>
      <w:pPr>
        <w:ind w:left="760" w:firstLine="759"/>
        <w:spacing w:after="0" w:line="244" w:lineRule="auto"/>
        <w:tabs>
          <w:tab w:leader="none" w:pos="1954" w:val="left"/>
        </w:tabs>
        <w:numPr>
          <w:ilvl w:val="1"/>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spacing w:after="0" w:line="172"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Eight.03. </w:t>
      </w:r>
      <w:r>
        <w:rPr>
          <w:rFonts w:ascii="Times New Roman" w:cs="Times New Roman" w:eastAsia="Times New Roman" w:hAnsi="Times New Roman"/>
          <w:sz w:val="22"/>
          <w:szCs w:val="22"/>
          <w:u w:val="single" w:color="auto"/>
          <w:color w:val="auto"/>
        </w:rPr>
        <w:t>Exercise of Remedies</w:t>
      </w:r>
      <w:r>
        <w:rPr>
          <w:rFonts w:ascii="Times New Roman" w:cs="Times New Roman" w:eastAsia="Times New Roman" w:hAnsi="Times New Roman"/>
          <w:sz w:val="22"/>
          <w:szCs w:val="22"/>
          <w:color w:val="auto"/>
        </w:rPr>
        <w:t>. No failure or delay on the part of the Administrative Agent to exercise any right, power or privilege under this Agreement and no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65" w:name="page366"/>
    <w:bookmarkEnd w:id="365"/>
    <w:p>
      <w:pPr>
        <w:ind w:right="40"/>
        <w:spacing w:after="0" w:line="234" w:lineRule="auto"/>
        <w:rPr>
          <w:sz w:val="20"/>
          <w:szCs w:val="20"/>
          <w:color w:val="auto"/>
        </w:rPr>
      </w:pPr>
      <w:r>
        <w:rPr>
          <w:rFonts w:ascii="Times New Roman" w:cs="Times New Roman" w:eastAsia="Times New Roman" w:hAnsi="Times New Roman"/>
          <w:sz w:val="22"/>
          <w:szCs w:val="22"/>
          <w:color w:val="auto"/>
        </w:rPr>
        <w:t>course of dealing between the Borrower, the Secured Parties, any Agent or the Administrative Agent, on the one hand, and the Administrative Agent or one or more Agents,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spacing w:after="0" w:line="184"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Eight.04. </w:t>
      </w:r>
      <w:r>
        <w:rPr>
          <w:rFonts w:ascii="Times New Roman" w:cs="Times New Roman" w:eastAsia="Times New Roman" w:hAnsi="Times New Roman"/>
          <w:sz w:val="22"/>
          <w:szCs w:val="22"/>
          <w:u w:val="single" w:color="auto"/>
          <w:color w:val="auto"/>
        </w:rPr>
        <w:t>Waiver of Certain Laws</w:t>
      </w:r>
      <w:r>
        <w:rPr>
          <w:rFonts w:ascii="Times New Roman" w:cs="Times New Roman" w:eastAsia="Times New Roman" w:hAnsi="Times New Roman"/>
          <w:sz w:val="22"/>
          <w:szCs w:val="22"/>
          <w:color w:val="auto"/>
        </w:rPr>
        <w:t>. 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and control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spacing w:after="0" w:line="176"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Eight.05. </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The Borrower hereby irrevocably appoints the Administrative Agent its true and lawful attorney (with full power of substitution) in its name, place and stead and at its expense, in connection with the enforcement of the rights and remedies provided for in this Article, including: (i) exercise all rights and privileges of the Borrower under the Purchase Agreement (including each Transfer Agreement); (ii) pay or discharge any taxes, Liens or other encumbrances levied or placed on or threatened against the Borrower or the Borrower’s property; (iii) defend any suit, action or proceeding brought against the Borrower if the Borrower does not defend such suit, action or proceeding or if the Administrative Agent believes that it is not pursuing such defense in a manner that will maximize the recovery to the Administrative Agent, and settle, compromise or adjust any suit, action or proceeding described above and, in connection therewith, give such discharges or releases as the Administrative Agent may deem appropriate; (iv) file or prosecute any claim, litigation, suit or proceeding in any court of competent jurisdiction or before any arbitrator, or take any other action otherwise deemed appropriate by the Administrative Agent for the purpose of collecting any and all such moneys due to the Borrower whenever payable and to enforce any other right in respect of the Borrower’s property; (v) sell, transfer, pledge, make any agreement with respect to or otherwise deal with, any of the Borrower’s property, and execute, in connection with such sale or action, any endorsements, assignments or other instruments of conveyance or transfer in connection therewith; and (vi) cause the certified public accountants then engaged by the Borrower to prepare and deliver to the Administrative Agent at any time and from time to time, promptly upon the Administrative Agent’s request, any reports required to be prepared by or on behalf of the Borrower under this Agreement or any other Basic Document, all as though the</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66" w:name="page367"/>
    <w:bookmarkEnd w:id="366"/>
    <w:p>
      <w:pPr>
        <w:spacing w:after="0" w:line="239" w:lineRule="auto"/>
        <w:rPr>
          <w:sz w:val="20"/>
          <w:szCs w:val="20"/>
          <w:color w:val="auto"/>
        </w:rPr>
      </w:pPr>
      <w:r>
        <w:rPr>
          <w:rFonts w:ascii="Times New Roman" w:cs="Times New Roman" w:eastAsia="Times New Roman" w:hAnsi="Times New Roman"/>
          <w:sz w:val="22"/>
          <w:szCs w:val="22"/>
          <w:color w:val="auto"/>
        </w:rPr>
        <w:t>Administrative Agent were the absolute owner of its property for all purposes, and to do, at the Administrative Agent’s option and the Borrower’s expense, at any time or from time to time, all acts and other things that the Administrative Agent reasonably deems necessary to perfect, preserve, or realize upon its property or assets and the Liens of the Administrative Agent, as agent for the Secured Parties thereon, all as fully and effectively as it might do.</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67" w:name="page368"/>
    <w:bookmarkEnd w:id="367"/>
    <w:p>
      <w:pPr>
        <w:jc w:val="center"/>
        <w:ind w:right="100"/>
        <w:spacing w:after="0"/>
        <w:rPr>
          <w:sz w:val="20"/>
          <w:szCs w:val="20"/>
          <w:color w:val="auto"/>
        </w:rPr>
      </w:pPr>
      <w:r>
        <w:rPr>
          <w:rFonts w:ascii="Times New Roman" w:cs="Times New Roman" w:eastAsia="Times New Roman" w:hAnsi="Times New Roman"/>
          <w:sz w:val="22"/>
          <w:szCs w:val="22"/>
          <w:color w:val="auto"/>
        </w:rPr>
        <w:t>ARTICLE NINE</w:t>
      </w:r>
    </w:p>
    <w:p>
      <w:pPr>
        <w:spacing w:after="0" w:line="200" w:lineRule="exact"/>
        <w:rPr>
          <w:sz w:val="20"/>
          <w:szCs w:val="20"/>
          <w:color w:val="auto"/>
        </w:rPr>
      </w:pPr>
    </w:p>
    <w:p>
      <w:pPr>
        <w:spacing w:after="0" w:line="28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05"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Nine.01.</w:t>
      </w:r>
      <w:r>
        <w:rPr>
          <w:sz w:val="20"/>
          <w:szCs w:val="20"/>
          <w:color w:val="auto"/>
        </w:rPr>
        <w:tab/>
      </w:r>
      <w:r>
        <w:rPr>
          <w:rFonts w:ascii="Times New Roman" w:cs="Times New Roman" w:eastAsia="Times New Roman" w:hAnsi="Times New Roman"/>
          <w:sz w:val="20"/>
          <w:szCs w:val="20"/>
          <w:u w:val="single" w:color="auto"/>
          <w:color w:val="auto"/>
        </w:rPr>
        <w:t>Indemnities by the Borrower and UACC</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 Party or (ii) indemnified twice for the same UACC Indemnified Amount by reason of application of the indemnity provided under Section 5.07 of the Purchase Agreement.</w:t>
      </w:r>
    </w:p>
    <w:p>
      <w:pPr>
        <w:spacing w:after="0" w:line="17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Any amounts subject to the indemnification provisions of this Section and payable by the Borrower shall be paid by the Borrower solely pursuant to the provisions of Section 2.08 in the order and priority set forth therein.</w:t>
      </w:r>
    </w:p>
    <w:p>
      <w:pPr>
        <w:spacing w:after="0" w:line="157" w:lineRule="exact"/>
        <w:rPr>
          <w:sz w:val="20"/>
          <w:szCs w:val="20"/>
          <w:color w:val="auto"/>
        </w:rPr>
      </w:pPr>
    </w:p>
    <w:p>
      <w:pPr>
        <w:ind w:right="500" w:firstLine="757"/>
        <w:spacing w:after="0" w:line="258" w:lineRule="auto"/>
        <w:tabs>
          <w:tab w:leader="none" w:pos="1180"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obligations in this Section 10.01 shall be cumulative and in addition to any obligation that the Borrower and UACC may otherwise have and shall survive the termination of this Agreement.</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6" w:right="499" w:bottom="1440" w:gutter="0" w:footer="0" w:header="0"/>
        </w:sectPr>
      </w:pPr>
    </w:p>
    <w:bookmarkStart w:id="368" w:name="page369"/>
    <w:bookmarkEnd w:id="368"/>
    <w:p>
      <w:pPr>
        <w:jc w:val="center"/>
        <w:ind w:right="300"/>
        <w:spacing w:after="0"/>
        <w:rPr>
          <w:sz w:val="20"/>
          <w:szCs w:val="20"/>
          <w:color w:val="auto"/>
        </w:rPr>
      </w:pPr>
      <w:r>
        <w:rPr>
          <w:rFonts w:ascii="Times New Roman" w:cs="Times New Roman" w:eastAsia="Times New Roman" w:hAnsi="Times New Roman"/>
          <w:sz w:val="22"/>
          <w:szCs w:val="22"/>
          <w:color w:val="auto"/>
        </w:rPr>
        <w:t>ARTICLE TEN</w:t>
      </w:r>
    </w:p>
    <w:p>
      <w:pPr>
        <w:spacing w:after="0" w:line="200" w:lineRule="exact"/>
        <w:rPr>
          <w:sz w:val="20"/>
          <w:szCs w:val="20"/>
          <w:color w:val="auto"/>
        </w:rPr>
      </w:pPr>
    </w:p>
    <w:p>
      <w:pPr>
        <w:spacing w:after="0" w:line="289" w:lineRule="exact"/>
        <w:rPr>
          <w:sz w:val="20"/>
          <w:szCs w:val="20"/>
          <w:color w:val="auto"/>
        </w:rPr>
      </w:pPr>
    </w:p>
    <w:p>
      <w:pPr>
        <w:ind w:left="760" w:right="3060" w:firstLine="2378"/>
        <w:spacing w:after="0" w:line="434" w:lineRule="auto"/>
        <w:rPr>
          <w:sz w:val="20"/>
          <w:szCs w:val="20"/>
          <w:color w:val="auto"/>
        </w:rPr>
      </w:pPr>
      <w:r>
        <w:rPr>
          <w:rFonts w:ascii="Times New Roman" w:cs="Times New Roman" w:eastAsia="Times New Roman" w:hAnsi="Times New Roman"/>
          <w:sz w:val="22"/>
          <w:szCs w:val="22"/>
          <w:color w:val="auto"/>
        </w:rPr>
        <w:t xml:space="preserve">THE ADMINISTRATIVE AGENT AND THE AGENTS Section Ten.01. </w:t>
      </w:r>
      <w:r>
        <w:rPr>
          <w:rFonts w:ascii="Times New Roman" w:cs="Times New Roman" w:eastAsia="Times New Roman" w:hAnsi="Times New Roman"/>
          <w:sz w:val="22"/>
          <w:szCs w:val="22"/>
          <w:u w:val="single" w:color="auto"/>
          <w:color w:val="auto"/>
        </w:rPr>
        <w:t>Authorization and Action</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60" w:firstLine="757"/>
        <w:spacing w:after="0" w:line="234" w:lineRule="auto"/>
        <w:tabs>
          <w:tab w:leader="none" w:pos="118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Secured Party hereby designates and appoints Wells Fargo Bank (and Wells Fargo Bank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spacing w:after="0" w:line="180" w:lineRule="exact"/>
        <w:rPr>
          <w:rFonts w:ascii="Times New Roman" w:cs="Times New Roman" w:eastAsia="Times New Roman" w:hAnsi="Times New Roman"/>
          <w:sz w:val="22"/>
          <w:szCs w:val="22"/>
          <w:color w:val="auto"/>
        </w:rPr>
      </w:pPr>
    </w:p>
    <w:p>
      <w:pPr>
        <w:ind w:right="180" w:firstLine="757"/>
        <w:spacing w:after="0" w:line="237" w:lineRule="auto"/>
        <w:tabs>
          <w:tab w:leader="none" w:pos="118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irrevocably designates and appoints the related Agent as the agent of such Lender under this Agreement, and each such Lender irrevocably authorizes such Agent, as the agent for such Lender, to take such action on its behalf under the provisions of the Basic Documents and to exercise such powers and perform such duties thereunder as are expressly delegated to such Agent by the terms of this Agreement, together with such other powers as are reasonably incidental thereto.</w:t>
      </w:r>
    </w:p>
    <w:p>
      <w:pPr>
        <w:spacing w:after="0" w:line="180" w:lineRule="exact"/>
        <w:rPr>
          <w:rFonts w:ascii="Times New Roman" w:cs="Times New Roman" w:eastAsia="Times New Roman" w:hAnsi="Times New Roman"/>
          <w:sz w:val="22"/>
          <w:szCs w:val="22"/>
          <w:color w:val="auto"/>
        </w:rPr>
      </w:pPr>
    </w:p>
    <w:p>
      <w:pPr>
        <w:ind w:firstLine="757"/>
        <w:spacing w:after="0" w:line="271" w:lineRule="auto"/>
        <w:tabs>
          <w:tab w:leader="none" w:pos="1180"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elsewhere in this Agreement, neither the Administrative Agent nor any Agent (the Administrative Agent and each Agent being referred to in this Article as an “Agent”) shall have any duties or responsibilities, except those expressly set forth herein, or any fiduciary relationship with any Lender, and no implied covenants, functions, responsibilities, duties, obligations or liabilities shall be read into this Agreement or otherwise exist against any Agent.</w:t>
      </w:r>
    </w:p>
    <w:p>
      <w:pPr>
        <w:spacing w:after="0" w:line="147" w:lineRule="exact"/>
        <w:rPr>
          <w:rFonts w:ascii="Times New Roman" w:cs="Times New Roman" w:eastAsia="Times New Roman" w:hAnsi="Times New Roman"/>
          <w:sz w:val="20"/>
          <w:szCs w:val="20"/>
          <w:color w:val="auto"/>
        </w:rPr>
      </w:pPr>
    </w:p>
    <w:p>
      <w:pPr>
        <w:ind w:right="120" w:firstLine="757"/>
        <w:spacing w:after="0" w:line="244" w:lineRule="auto"/>
        <w:tabs>
          <w:tab w:leader="none" w:pos="118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distribute to each Agent (if such Agent is not otherwise required to receive such notice), who shall promptly distribute to each related Lender all notices, requests for consent and other information received by the Administrative Agent under this Agreement.</w:t>
      </w:r>
    </w:p>
    <w:p>
      <w:pPr>
        <w:spacing w:after="0" w:line="172"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Ten.02.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Each Agent may execute any of its duties under any of the Basic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Ten.03. </w:t>
      </w:r>
      <w:r>
        <w:rPr>
          <w:rFonts w:ascii="Times New Roman" w:cs="Times New Roman" w:eastAsia="Times New Roman" w:hAnsi="Times New Roman"/>
          <w:sz w:val="22"/>
          <w:szCs w:val="22"/>
          <w:u w:val="single" w:color="auto"/>
          <w:color w:val="auto"/>
        </w:rPr>
        <w:t>Exculpatory Provisions</w:t>
      </w:r>
      <w:r>
        <w:rPr>
          <w:rFonts w:ascii="Times New Roman" w:cs="Times New Roman" w:eastAsia="Times New Roman" w:hAnsi="Times New Roman"/>
          <w:sz w:val="22"/>
          <w:szCs w:val="22"/>
          <w:color w:val="auto"/>
        </w:rPr>
        <w:t>. Neither any Agent nor any of its directors, officers, agents or employees shall be (i) liable for any action lawfully taken or omitted</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369" w:name="page370"/>
    <w:bookmarkEnd w:id="369"/>
    <w:p>
      <w:pPr>
        <w:spacing w:after="0" w:line="233" w:lineRule="auto"/>
        <w:rPr>
          <w:sz w:val="20"/>
          <w:szCs w:val="20"/>
          <w:color w:val="auto"/>
        </w:rPr>
      </w:pPr>
      <w:r>
        <w:rPr>
          <w:rFonts w:ascii="Times New Roman" w:cs="Times New Roman" w:eastAsia="Times New Roman" w:hAnsi="Times New Roman"/>
          <w:sz w:val="22"/>
          <w:szCs w:val="22"/>
          <w:color w:val="auto"/>
        </w:rPr>
        <w:t>to be taken by it or them under or in connection with this Agreement (except for its, their or such Person’s own gross negligence or willful misconduct or, in the case of any Agent, the breach of its obligations expressly set forth in this Agreement) or (ii) responsible in any manner to any of the Secured Parties for any recitals, statements, representations or warranties made by the Borrower, the Servicer, UACC, the Backup Servicer, the Account Bank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No Agent shall be under any obligation to any Secured Party to ascertain or to inquire as to the observance or performance of any of the agreements or covenants contained in, or conditions of, this Agreement, or to inspect the properties, books or records of the Borrower. No Agent shall be deemed to have knowledge of any Termination Event or Servicer Termination Event unless it has received written notice thereof from the Borrower, the Servicer or a Secured Party.</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Ten.04.</w:t>
      </w:r>
      <w:r>
        <w:rPr>
          <w:sz w:val="20"/>
          <w:szCs w:val="20"/>
          <w:color w:val="auto"/>
        </w:rPr>
        <w:tab/>
      </w:r>
      <w:r>
        <w:rPr>
          <w:rFonts w:ascii="Times New Roman" w:cs="Times New Roman" w:eastAsia="Times New Roman" w:hAnsi="Times New Roman"/>
          <w:sz w:val="20"/>
          <w:szCs w:val="20"/>
          <w:u w:val="single" w:color="auto"/>
          <w:color w:val="auto"/>
        </w:rPr>
        <w:t>Reliance</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80" w:firstLine="757"/>
        <w:spacing w:after="0" w:line="237" w:lineRule="auto"/>
        <w:tabs>
          <w:tab w:leader="none" w:pos="118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Agent), independent accountants and other experts selected by such Agent.</w:t>
      </w:r>
    </w:p>
    <w:p>
      <w:pPr>
        <w:spacing w:after="0" w:line="180" w:lineRule="exact"/>
        <w:rPr>
          <w:rFonts w:ascii="Times New Roman" w:cs="Times New Roman" w:eastAsia="Times New Roman" w:hAnsi="Times New Roman"/>
          <w:sz w:val="22"/>
          <w:szCs w:val="22"/>
          <w:color w:val="auto"/>
        </w:rPr>
      </w:pPr>
    </w:p>
    <w:p>
      <w:pPr>
        <w:ind w:right="20" w:firstLine="757"/>
        <w:spacing w:after="0" w:line="237" w:lineRule="auto"/>
        <w:tabs>
          <w:tab w:leader="none" w:pos="118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be fully justified in failing or refusing to take any action under any of the Basic Documents unless it shall first receive such advice or concurrence of the Required Lenders as it deems appropriate or it shall first be indemnified to its satisfaction by, in the case of (i) the Administrative Agent, the Lenders or by the Committed Lenders or (ii) an Agent, the Lenders or by the Committed Lenders in its Lender Group, against any and all liability and expense which may be incurred by it by reason of taking or continuing to take any such action.</w:t>
      </w:r>
    </w:p>
    <w:p>
      <w:pPr>
        <w:spacing w:after="0" w:line="180" w:lineRule="exact"/>
        <w:rPr>
          <w:rFonts w:ascii="Times New Roman" w:cs="Times New Roman" w:eastAsia="Times New Roman" w:hAnsi="Times New Roman"/>
          <w:sz w:val="22"/>
          <w:szCs w:val="22"/>
          <w:color w:val="auto"/>
        </w:rPr>
      </w:pPr>
    </w:p>
    <w:p>
      <w:pPr>
        <w:ind w:right="440" w:firstLine="757"/>
        <w:spacing w:after="0" w:line="244" w:lineRule="auto"/>
        <w:tabs>
          <w:tab w:leader="none" w:pos="118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in all cases be fully protected in acting, or in refraining from acting, under any of the Basic Documents in accordance with a request of the Required Lenders (or their Agents), and such request and any action taken or failure to act pursuant thereto shall be binding upon all present and future Lenders.</w:t>
      </w:r>
    </w:p>
    <w:p>
      <w:pPr>
        <w:spacing w:after="0" w:line="172" w:lineRule="exact"/>
        <w:rPr>
          <w:rFonts w:ascii="Times New Roman" w:cs="Times New Roman" w:eastAsia="Times New Roman" w:hAnsi="Times New Roman"/>
          <w:sz w:val="22"/>
          <w:szCs w:val="22"/>
          <w:color w:val="auto"/>
        </w:rPr>
      </w:pPr>
    </w:p>
    <w:p>
      <w:pPr>
        <w:ind w:right="80" w:firstLine="757"/>
        <w:spacing w:after="0" w:line="236" w:lineRule="auto"/>
        <w:tabs>
          <w:tab w:leader="none" w:pos="118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shall in all cases be fully protected in acting, or in refraining from acting, under any of the Basic Documents in accordance with a request of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and such request and any action taken or failure to act pursuant thereto shall be binding upon all present and future Lender in such Lender Group.</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70" w:name="page371"/>
    <w:bookmarkEnd w:id="370"/>
    <w:p>
      <w:pPr>
        <w:ind w:firstLine="757"/>
        <w:spacing w:after="0" w:line="233" w:lineRule="auto"/>
        <w:tabs>
          <w:tab w:leader="none" w:pos="1180"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be deemed to have knowledge or notice of the occurrence of any breach of this Agreement or the occurrence of any Termination Event or Servicer Termination Event unless it has received notice from the Borrower, the Servicer, the Backup Servicer or any Lender, referring to this Agreement and describing such event. In the event that the Administrative Agent receives such a notice, it shall promptly give notice thereof to each Agent, and in the event any Agent receives such a notice, it shall promptly give notice thereof to the Lenders in its Lender Group. The Administrative Agent shall take such action with respect to such event as shall be reasonably directed by the Required Lenders, and each Agent shall take such action with respect to such event as shall be reasonably directed by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provided that unless and until such Agent shall have received such directions, such Agent may (but shall not be obligated to) take such action, or refrain from taking such action, with respect to such event as it shall deem advisable in the best interests of the Lenders or of the Lenders in its Lender Group, as applicable.</w:t>
      </w:r>
    </w:p>
    <w:p>
      <w:pPr>
        <w:spacing w:after="0" w:line="178"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Ten.05. </w:t>
      </w:r>
      <w:r>
        <w:rPr>
          <w:rFonts w:ascii="Times New Roman" w:cs="Times New Roman" w:eastAsia="Times New Roman" w:hAnsi="Times New Roman"/>
          <w:sz w:val="22"/>
          <w:szCs w:val="22"/>
          <w:u w:val="single" w:color="auto"/>
          <w:color w:val="auto"/>
        </w:rPr>
        <w:t>Non-Reliance on Agents and Other Lenders</w:t>
      </w:r>
      <w:r>
        <w:rPr>
          <w:rFonts w:ascii="Times New Roman" w:cs="Times New Roman" w:eastAsia="Times New Roman" w:hAnsi="Times New Roman"/>
          <w:sz w:val="22"/>
          <w:szCs w:val="22"/>
          <w:color w:val="auto"/>
        </w:rPr>
        <w:t>. Each Lender expressly acknowledges that no Agent nor any of its officers, directors, employees, agents, attorneys-in-fact or Affiliates has made any representations or warranties to it and that no act by any Agent hereafter taken, including any review of the affairs of the Borrower, UACC, the Servicer, the Backup Servicer, the Account Bank and the Custodian shall be deemed to constitute any representation or warranty by any Agent to any Lender. Each Lender represents to each Agent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Borrower, the Servicer, UACC, the Backup Servicer, the Account Bank or the Custodian and the Receivables and made its own decision to purchase its interest in the Notes hereunder and enter into this Agreement. Each Lender also represents that it will, independently and without reliance upon any Agent or any other Lender,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Servicer, UACC, the Backup Servicer, the Account Bank or the Custodian and the Receivables. Except for notices, reports and other documents received by an Agent hereunder, no Agent shall have any duty or responsibility to provide any Lender with any credit or other information concerning the business, operations, property, condition (financial or otherwise), prospects or creditworthiness of the Borrower, the Servicer, UACC, the Backup Servicer, the Account Bank or the Custodian or the Receivables which may come into the possession of such Agent or any of its officers, directors, employees, agents, attorneys-in-fact or Affiliates.</w:t>
      </w:r>
    </w:p>
    <w:p>
      <w:pPr>
        <w:spacing w:after="0" w:line="183"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Ten.06.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Committed Lenders and the Liquidity Providers (i) agree to indemnify the Administrative Agent in its capacity as such (without limiting the obligation (if any) of the Borrower or the Servicer to reimburse the Administrative Agent for any such amounts), ratably according to their respective Commitments (or, if the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71" w:name="page372"/>
    <w:bookmarkEnd w:id="371"/>
    <w:p>
      <w:pPr>
        <w:spacing w:after="0" w:line="233" w:lineRule="auto"/>
        <w:rPr>
          <w:sz w:val="20"/>
          <w:szCs w:val="20"/>
          <w:color w:val="auto"/>
        </w:rPr>
      </w:pPr>
      <w:r>
        <w:rPr>
          <w:rFonts w:ascii="Times New Roman" w:cs="Times New Roman" w:eastAsia="Times New Roman" w:hAnsi="Times New Roman"/>
          <w:sz w:val="22"/>
          <w:szCs w:val="22"/>
          <w:color w:val="auto"/>
        </w:rPr>
        <w:t>Commitments have terminated, Invested Percentages) and (ii) in each Lender Group agree to indemnify the Agent for such Lender Group in its capacity as such (without limiting the obligation (if any) of the Borrower and the Servicer to reimburse such Agent for any such amounts), ratably according to their respective Commitments (or, if the Commitments have terminated, Invested Percentages), in each case from and against any and all liabilities, obligations, losses, damages, penalties, actions, judgments, suits, costs, expenses or disbursements of any kind whatsoever which may at any time (including at any time following the payment of the obligations under this Agreement, including the Loans Outstanding) be imposed on, incurred by or asserted against such Agent in any way relating to or arising out of this Agreement, or any documents contemplated by or referred to herein or the transactions contemplated hereby or any action taken or omitted by the Agent under or in connection with any of the foregoing; provided that no Lender shall be liable for the payment of any portion of such liabilities, obligations, losses, damages, penalties, actions, judgments, suits, costs, expenses or disbursements of an Agent resulting from its own gross negligence or willful misconduct. The provisions of this Section shall survive the payment of the obligations under this Agreement, including the Loans Outstanding, the termination of this Agreement, and any resignation or removal of the applicable Agent.</w:t>
      </w:r>
    </w:p>
    <w:p>
      <w:pPr>
        <w:spacing w:after="0" w:line="178"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Ten.07. </w:t>
      </w:r>
      <w:r>
        <w:rPr>
          <w:rFonts w:ascii="Times New Roman" w:cs="Times New Roman" w:eastAsia="Times New Roman" w:hAnsi="Times New Roman"/>
          <w:sz w:val="22"/>
          <w:szCs w:val="22"/>
          <w:u w:val="single" w:color="auto"/>
          <w:color w:val="auto"/>
        </w:rPr>
        <w:t>Agents in their Individual Capacity</w:t>
      </w:r>
      <w:r>
        <w:rPr>
          <w:rFonts w:ascii="Times New Roman" w:cs="Times New Roman" w:eastAsia="Times New Roman" w:hAnsi="Times New Roman"/>
          <w:sz w:val="22"/>
          <w:szCs w:val="22"/>
          <w:color w:val="auto"/>
        </w:rPr>
        <w:t>. Each Agent and its Affiliates may make loans to, accept deposits from and generally engage in any kind of business with the Borrower and any other party to a Basic Document as though it were not an Agent hereunder. In addition, the Lenders acknowledge that one or more Persons which are Agents may act (i) as administrator, sponsor or agent for one or more Conduit Lenders and in such capacity act and may continue to act on behalf of each such Conduit Lender in connection with its business, and (ii) as the agent for certain financial institutions under the liquidity and credit enhancement agreements relating to this Agreement to which any one or more Conduit Lenders is party and in various other capacities relating to the business of any such Conduit Lender under various agreements. Any such Person, in its capacity as Agent, shall not, by virtue of its acting in any such other capacities, be deemed to have duties or responsibilities hereunder or be held to a standard of care in connection with the performance of its duties as an Agent other than as expressly provided in this Agreement. Any Person which is an Agent may act as an Agent without regard to and without additional duties or liabilities arising from its role as such administrator or agent or arising from its acting in any such other capacity.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88" w:lineRule="exact"/>
        <w:rPr>
          <w:sz w:val="20"/>
          <w:szCs w:val="20"/>
          <w:color w:val="auto"/>
        </w:rPr>
      </w:pPr>
    </w:p>
    <w:p>
      <w:pPr>
        <w:ind w:right="100" w:firstLine="749"/>
        <w:spacing w:after="0" w:line="264" w:lineRule="auto"/>
        <w:rPr>
          <w:sz w:val="20"/>
          <w:szCs w:val="20"/>
          <w:color w:val="auto"/>
        </w:rPr>
      </w:pPr>
      <w:r>
        <w:rPr>
          <w:rFonts w:ascii="Times New Roman" w:cs="Times New Roman" w:eastAsia="Times New Roman" w:hAnsi="Times New Roman"/>
          <w:sz w:val="20"/>
          <w:szCs w:val="20"/>
          <w:color w:val="auto"/>
        </w:rPr>
        <w:t xml:space="preserve">Section Ten.08. </w:t>
      </w:r>
      <w:r>
        <w:rPr>
          <w:rFonts w:ascii="Times New Roman" w:cs="Times New Roman" w:eastAsia="Times New Roman" w:hAnsi="Times New Roman"/>
          <w:sz w:val="20"/>
          <w:szCs w:val="20"/>
          <w:u w:val="single" w:color="auto"/>
          <w:color w:val="auto"/>
        </w:rPr>
        <w:t>Successor Agents</w:t>
      </w:r>
      <w:r>
        <w:rPr>
          <w:rFonts w:ascii="Times New Roman" w:cs="Times New Roman" w:eastAsia="Times New Roman" w:hAnsi="Times New Roman"/>
          <w:sz w:val="20"/>
          <w:szCs w:val="20"/>
          <w:color w:val="auto"/>
        </w:rPr>
        <w:t>. The Administrative Agent may freely assign its rights and obligations hereunder upon ten days’ notice to each Agent, the Lenders and the Borrower. The Administrative Agent may resign as Administrative Agent upon ten days’ notice to the Lenders, each Agent and the Borrower with such resignation becoming effective upon a successor agent succeeding to the rights, powers and duties of the Agent pursuant to this Section. If the Administrative Agent shall resign as Administrative Agent under this Agreement, then the Required Lenders shall appoint a successor administrative agent. Any Agent may resign as Agent upon ten days’ notice to the Lenders in its Lender Group, the Administrative Agent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72" w:name="page373"/>
    <w:bookmarkEnd w:id="372"/>
    <w:p>
      <w:pPr>
        <w:spacing w:after="0" w:line="233" w:lineRule="auto"/>
        <w:rPr>
          <w:sz w:val="20"/>
          <w:szCs w:val="20"/>
          <w:color w:val="auto"/>
        </w:rPr>
      </w:pPr>
      <w:r>
        <w:rPr>
          <w:rFonts w:ascii="Times New Roman" w:cs="Times New Roman" w:eastAsia="Times New Roman" w:hAnsi="Times New Roman"/>
          <w:sz w:val="22"/>
          <w:szCs w:val="22"/>
          <w:color w:val="auto"/>
        </w:rPr>
        <w:t>each other Agent and the Borrower with such resignation becoming effective upon a successor agent succeeding to the rights, powers and duties of the Agent pursuant to this Section. If an Agent shall resign as Agent under this Agreement, then (i) Owners in its Lender Group having Invested Percentages aggregating greater than 50.0% of the aggregate Invested Percentages of all Owners in such Lender Group, and (ii) Committed Lenders and Liquidity Providers in its Lender Group having Commitments aggregating greater than 50.0% of the aggregate Commitments of all Committed Lenders and Liquidity Providers in such Lender Group shall appoint from among the Committed Lenders (other than the Conduit Lenders) in such Lender Group a successor agent for such Lender Group. Any successor administrative agent or agent shall succeed to the rights, powers and duties of resigning Agent, and the term “Administrative Agent” or “Agent,” as applicable, shall mean such successor administrative agent or agent effective upon its appointment, and the former Agent’s rights, powers and duties as Agent shall be terminated, without any other or further act or deed on the part of such former Agent or any of the parties to this Agreement. After the retiring Agent’s resignation as Agent, the provisions of this Article shall inure to its benefit as to any actions taken or omitted to be taken by it while it was Agent under this Agreement.</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373" w:name="page374"/>
    <w:bookmarkEnd w:id="373"/>
    <w:p>
      <w:pPr>
        <w:jc w:val="center"/>
        <w:ind w:right="360"/>
        <w:spacing w:after="0"/>
        <w:rPr>
          <w:sz w:val="20"/>
          <w:szCs w:val="20"/>
          <w:color w:val="auto"/>
        </w:rPr>
      </w:pPr>
      <w:r>
        <w:rPr>
          <w:rFonts w:ascii="Times New Roman" w:cs="Times New Roman" w:eastAsia="Times New Roman" w:hAnsi="Times New Roman"/>
          <w:sz w:val="22"/>
          <w:szCs w:val="22"/>
          <w:color w:val="auto"/>
        </w:rPr>
        <w:t>ARTICLE ELEVEN</w:t>
      </w:r>
    </w:p>
    <w:p>
      <w:pPr>
        <w:spacing w:after="0" w:line="200" w:lineRule="exact"/>
        <w:rPr>
          <w:sz w:val="20"/>
          <w:szCs w:val="20"/>
          <w:color w:val="auto"/>
        </w:rPr>
      </w:pPr>
    </w:p>
    <w:p>
      <w:pPr>
        <w:spacing w:after="0" w:line="28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ASSIGNMENTS; PARTICIPATIONS</w:t>
      </w:r>
    </w:p>
    <w:p>
      <w:pPr>
        <w:spacing w:after="0" w:line="205"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Eleven.01.</w:t>
      </w:r>
      <w:r>
        <w:rPr>
          <w:sz w:val="20"/>
          <w:szCs w:val="20"/>
          <w:color w:val="auto"/>
        </w:rPr>
        <w:tab/>
      </w:r>
      <w:r>
        <w:rPr>
          <w:rFonts w:ascii="Times New Roman" w:cs="Times New Roman" w:eastAsia="Times New Roman" w:hAnsi="Times New Roman"/>
          <w:sz w:val="20"/>
          <w:szCs w:val="20"/>
          <w:u w:val="single" w:color="auto"/>
          <w:color w:val="auto"/>
        </w:rPr>
        <w:t>Assignments and Participations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160" w:firstLine="757"/>
        <w:spacing w:after="0" w:line="236" w:lineRule="auto"/>
        <w:tabs>
          <w:tab w:leader="none" w:pos="1180"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the Notes or interest therein owned by such Lender pursuant to this Agreement will be acquired for investment only and not with a view to any public distribution thereof, and that such Lender will not offer to sell or otherwise dispose of the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Notes, such Lender has not engaged and will not engage in a general solicitation or general advertising.</w:t>
      </w:r>
    </w:p>
    <w:p>
      <w:pPr>
        <w:spacing w:after="0" w:line="179" w:lineRule="exact"/>
        <w:rPr>
          <w:rFonts w:ascii="Times New Roman" w:cs="Times New Roman" w:eastAsia="Times New Roman" w:hAnsi="Times New Roman"/>
          <w:sz w:val="22"/>
          <w:szCs w:val="22"/>
          <w:color w:val="auto"/>
        </w:rPr>
      </w:pPr>
    </w:p>
    <w:p>
      <w:pPr>
        <w:ind w:firstLine="757"/>
        <w:spacing w:after="0" w:line="255" w:lineRule="auto"/>
        <w:tabs>
          <w:tab w:leader="none" w:pos="118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may upon at least 30 days’ notice to the Borrower, the Administrative Agent and each Agent, assign to one or more banks or other entities all or a portion of its rights and obligations under this Agreement; provided, however,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disbursements of counsel for the Administrative Agent) 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Agent or any Lender Group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74" w:name="page375"/>
    <w:bookmarkEnd w:id="374"/>
    <w:p>
      <w:pPr>
        <w:ind w:firstLine="757"/>
        <w:spacing w:after="0" w:line="232" w:lineRule="auto"/>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spacing w:after="0" w:line="188" w:lineRule="exact"/>
        <w:rPr>
          <w:rFonts w:ascii="Times New Roman" w:cs="Times New Roman" w:eastAsia="Times New Roman" w:hAnsi="Times New Roman"/>
          <w:sz w:val="22"/>
          <w:szCs w:val="22"/>
          <w:color w:val="auto"/>
        </w:rPr>
      </w:pPr>
    </w:p>
    <w:p>
      <w:pPr>
        <w:ind w:right="60" w:firstLine="757"/>
        <w:spacing w:after="0" w:line="235" w:lineRule="auto"/>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its address referred to herein a copy of each Assignment and Acceptance delivered to and accepted by it and a register for the recordation of the names, addresses and Commitment of each Lender and the Principal Amount of each Loan made by each Lender from time to time (the “Lender Register”). The entries in the Lender Register shall be conclusive and binding for all purposes, absent manifest error, and the Borrower and the Lenders may treat each Person whose name is recorded in the Lender Register as a Lender hereunder for all purposes of this Agreement. The Lender Register shall be available for inspection by any Agent or Lender at any reasonable time and from time to time upon reasonable prior notice.</w:t>
      </w:r>
    </w:p>
    <w:p>
      <w:pPr>
        <w:spacing w:after="0" w:line="180" w:lineRule="exact"/>
        <w:rPr>
          <w:rFonts w:ascii="Times New Roman" w:cs="Times New Roman" w:eastAsia="Times New Roman" w:hAnsi="Times New Roman"/>
          <w:sz w:val="22"/>
          <w:szCs w:val="22"/>
          <w:color w:val="auto"/>
        </w:rPr>
      </w:pPr>
    </w:p>
    <w:p>
      <w:pPr>
        <w:ind w:right="160" w:firstLine="757"/>
        <w:spacing w:after="0" w:line="239" w:lineRule="auto"/>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Sections 12.01(a) and 12.01(b),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spacing w:after="0" w:line="178" w:lineRule="exact"/>
        <w:rPr>
          <w:rFonts w:ascii="Times New Roman" w:cs="Times New Roman" w:eastAsia="Times New Roman" w:hAnsi="Times New Roman"/>
          <w:sz w:val="22"/>
          <w:szCs w:val="22"/>
          <w:color w:val="auto"/>
        </w:rPr>
      </w:pPr>
    </w:p>
    <w:p>
      <w:pPr>
        <w:ind w:right="60" w:firstLine="757"/>
        <w:spacing w:after="0" w:line="234" w:lineRule="auto"/>
        <w:tabs>
          <w:tab w:leader="none" w:pos="1180"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may sell participations to one or more banks or other entities in or to all or a portion of its rights and obligations under this Agreement (including all or a portion of its Commitment and each Loan owned by it); provided, however, that (i) such Lender’s obligations under this Agreement (including its Commitment hereunder) shall remain unchanged, (ii) such Lender shall remain solely responsible to the other parties hereto for the performance of such obligations and (iii) the Administrative Agent and the other Lenders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Sections 2.13 and 2.14; provided, however, that no participant shall be entitled to receive payment under either such</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7" w:right="419" w:bottom="1440" w:gutter="0" w:footer="0" w:header="0"/>
        </w:sectPr>
      </w:pPr>
    </w:p>
    <w:bookmarkStart w:id="375" w:name="page376"/>
    <w:bookmarkEnd w:id="375"/>
    <w:p>
      <w:pPr>
        <w:spacing w:after="0" w:line="234" w:lineRule="auto"/>
        <w:rPr>
          <w:sz w:val="20"/>
          <w:szCs w:val="20"/>
          <w:color w:val="auto"/>
        </w:rPr>
      </w:pPr>
      <w:r>
        <w:rPr>
          <w:rFonts w:ascii="Times New Roman" w:cs="Times New Roman" w:eastAsia="Times New Roman" w:hAnsi="Times New Roman"/>
          <w:sz w:val="22"/>
          <w:szCs w:val="22"/>
          <w:color w:val="auto"/>
        </w:rPr>
        <w:t>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Section 12.01.</w:t>
      </w:r>
    </w:p>
    <w:p>
      <w:pPr>
        <w:spacing w:after="0" w:line="176" w:lineRule="exact"/>
        <w:rPr>
          <w:sz w:val="20"/>
          <w:szCs w:val="20"/>
          <w:color w:val="auto"/>
        </w:rPr>
      </w:pPr>
    </w:p>
    <w:p>
      <w:pPr>
        <w:ind w:right="300" w:firstLine="757"/>
        <w:spacing w:after="0" w:line="280" w:lineRule="auto"/>
        <w:tabs>
          <w:tab w:leader="none" w:pos="118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spacing w:after="0" w:line="138" w:lineRule="exact"/>
        <w:rPr>
          <w:rFonts w:ascii="Times New Roman" w:cs="Times New Roman" w:eastAsia="Times New Roman" w:hAnsi="Times New Roman"/>
          <w:sz w:val="20"/>
          <w:szCs w:val="20"/>
          <w:color w:val="auto"/>
        </w:rPr>
      </w:pPr>
    </w:p>
    <w:p>
      <w:pPr>
        <w:ind w:right="20" w:firstLine="757"/>
        <w:spacing w:after="0" w:line="244" w:lineRule="auto"/>
        <w:tabs>
          <w:tab w:leader="none" w:pos="1180"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prohibit any Lender from pledging or assigning as Collateral any of its rights under this Agreement to any Federal Reserve Bank or any other Governmental Authority in accordance with Applicable Law and any such pledge or Collateral assignment may be made without compliance with Section 12.01(a) or 12.01(b).</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6" w:right="459" w:bottom="1440" w:gutter="0" w:footer="0" w:header="0"/>
        </w:sectPr>
      </w:pPr>
    </w:p>
    <w:bookmarkStart w:id="376" w:name="page377"/>
    <w:bookmarkEnd w:id="376"/>
    <w:p>
      <w:pPr>
        <w:jc w:val="center"/>
        <w:ind w:right="300"/>
        <w:spacing w:after="0"/>
        <w:rPr>
          <w:sz w:val="20"/>
          <w:szCs w:val="20"/>
          <w:color w:val="auto"/>
        </w:rPr>
      </w:pPr>
      <w:r>
        <w:rPr>
          <w:rFonts w:ascii="Times New Roman" w:cs="Times New Roman" w:eastAsia="Times New Roman" w:hAnsi="Times New Roman"/>
          <w:sz w:val="22"/>
          <w:szCs w:val="22"/>
          <w:color w:val="auto"/>
        </w:rPr>
        <w:t>ARTICLE TWELVE</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MUTUAL COVENANTS REGARDING CONFIDENTIALITY</w:t>
      </w:r>
    </w:p>
    <w:p>
      <w:pPr>
        <w:spacing w:after="0" w:line="205"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Twelve.01.</w:t>
      </w:r>
      <w:r>
        <w:rPr>
          <w:sz w:val="20"/>
          <w:szCs w:val="20"/>
          <w:color w:val="auto"/>
        </w:rPr>
        <w:tab/>
      </w:r>
      <w:r>
        <w:rPr>
          <w:rFonts w:ascii="Times New Roman" w:cs="Times New Roman" w:eastAsia="Times New Roman" w:hAnsi="Times New Roman"/>
          <w:sz w:val="20"/>
          <w:szCs w:val="20"/>
          <w:u w:val="single" w:color="auto"/>
          <w:color w:val="auto"/>
        </w:rPr>
        <w:t>Covenants of the Borrower, the Servicer, the Backup Servicer, the Account Bank and the</w:t>
      </w:r>
    </w:p>
    <w:p>
      <w:pPr>
        <w:spacing w:after="0" w:line="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u w:val="single" w:color="auto"/>
          <w:color w:val="auto"/>
        </w:rPr>
        <w:t>Custodian</w:t>
      </w:r>
      <w:r>
        <w:rPr>
          <w:rFonts w:ascii="Times New Roman" w:cs="Times New Roman" w:eastAsia="Times New Roman" w:hAnsi="Times New Roman"/>
          <w:sz w:val="20"/>
          <w:szCs w:val="20"/>
          <w:color w:val="auto"/>
        </w:rPr>
        <w:t>. Each of the Borrower, the Servicer, the Backup Servicer, the Account Bank and the Custodian severally and with respect to itself only, covenants and agrees to hold in confidence, and not disclose to any Person, the terms of this Agreement (including any fees payable in connection with this Agreement or the identity of a Lender under this Agreement), except as the Administrative Agent, the related Agent or any such Lender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Backup Servicer, the Account Bank or the Custodian,</w:t>
      </w:r>
    </w:p>
    <w:p>
      <w:pPr>
        <w:spacing w:after="0" w:line="2" w:lineRule="exact"/>
        <w:rPr>
          <w:sz w:val="20"/>
          <w:szCs w:val="20"/>
          <w:color w:val="auto"/>
        </w:rPr>
      </w:pPr>
    </w:p>
    <w:p>
      <w:pPr>
        <w:ind w:right="60" w:firstLine="8"/>
        <w:spacing w:after="0" w:line="232" w:lineRule="auto"/>
        <w:tabs>
          <w:tab w:leader="none" w:pos="378"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Backup Servicer, the Account Bank and the Custodian, as applicable, will use all reasonable efforts to maintain confidentiality and will (unless otherwise prohibited by Applicable Law) notify the Agent or Lender of its intention to make any such disclosure prior to making such disclosure.</w:t>
      </w:r>
    </w:p>
    <w:p>
      <w:pPr>
        <w:spacing w:after="0" w:line="179"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Twelve.02.</w:t>
      </w:r>
      <w:r>
        <w:rPr>
          <w:sz w:val="20"/>
          <w:szCs w:val="20"/>
          <w:color w:val="auto"/>
        </w:rPr>
        <w:tab/>
      </w:r>
      <w:r>
        <w:rPr>
          <w:rFonts w:ascii="Times New Roman" w:cs="Times New Roman" w:eastAsia="Times New Roman" w:hAnsi="Times New Roman"/>
          <w:sz w:val="20"/>
          <w:szCs w:val="20"/>
          <w:u w:val="single" w:color="auto"/>
          <w:color w:val="auto"/>
        </w:rPr>
        <w:t>Covenants of the Administrative Agent, the Agents and the Lenders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0" w:firstLine="757"/>
        <w:spacing w:after="0" w:line="239" w:lineRule="auto"/>
        <w:tabs>
          <w:tab w:leader="none" w:pos="11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covenants and agrees that it will not disclose any of the Confidential Information now or hereafter received or obtained by it without the Borrower’s prior written consent; provided, however, that it may disclose any such Confidential Information to those of its employees or Affiliates directly involved in the transactions contemplated by the Basic Documents or to the Rating Agencies.</w:t>
      </w:r>
    </w:p>
    <w:p>
      <w:pPr>
        <w:spacing w:after="0" w:line="178" w:lineRule="exact"/>
        <w:rPr>
          <w:rFonts w:ascii="Times New Roman" w:cs="Times New Roman" w:eastAsia="Times New Roman" w:hAnsi="Times New Roman"/>
          <w:sz w:val="22"/>
          <w:szCs w:val="22"/>
          <w:color w:val="auto"/>
        </w:rPr>
      </w:pPr>
    </w:p>
    <w:p>
      <w:pPr>
        <w:ind w:right="40" w:firstLine="757"/>
        <w:spacing w:after="0" w:line="266" w:lineRule="auto"/>
        <w:tabs>
          <w:tab w:leader="none" w:pos="118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Administrative Agent, each Agent and each Lender may also disclose any such Confidential Information to its Advisors who need to know such information for the purpose of assisting it in connection with the transactions contemplated by the Basic Documents. Each of the Administrative Agent, each Agent and each Lender agrees to be responsible for any breach of this Agreement by its Affiliates and Advisors, and it agrees that its Affiliates and Advisors will be advised by it of the confidential nature of such information and that it shall cause its Affiliates to be bound by this Agreement.</w:t>
      </w:r>
    </w:p>
    <w:p>
      <w:pPr>
        <w:spacing w:after="0" w:line="154" w:lineRule="exact"/>
        <w:rPr>
          <w:rFonts w:ascii="Times New Roman" w:cs="Times New Roman" w:eastAsia="Times New Roman" w:hAnsi="Times New Roman"/>
          <w:sz w:val="20"/>
          <w:szCs w:val="20"/>
          <w:color w:val="auto"/>
        </w:rPr>
      </w:pPr>
    </w:p>
    <w:p>
      <w:pPr>
        <w:jc w:val="both"/>
        <w:ind w:right="100" w:firstLine="757"/>
        <w:spacing w:after="0" w:line="244" w:lineRule="auto"/>
        <w:tabs>
          <w:tab w:leader="none" w:pos="118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Administrative Agent, any Agent, any Lender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sectPr>
      </w:pPr>
    </w:p>
    <w:bookmarkStart w:id="377" w:name="page378"/>
    <w:bookmarkEnd w:id="377"/>
    <w:p>
      <w:pPr>
        <w:ind w:right="220"/>
        <w:spacing w:after="0" w:line="258" w:lineRule="auto"/>
        <w:rPr>
          <w:sz w:val="20"/>
          <w:szCs w:val="20"/>
          <w:color w:val="auto"/>
        </w:rPr>
      </w:pPr>
      <w:r>
        <w:rPr>
          <w:rFonts w:ascii="Times New Roman" w:cs="Times New Roman" w:eastAsia="Times New Roman" w:hAnsi="Times New Roman"/>
          <w:sz w:val="22"/>
          <w:szCs w:val="22"/>
          <w:color w:val="auto"/>
        </w:rPr>
        <w:t>contemplated by the Basic Documents, or the existence, terms, conditions or other facts of the transactions contemplated by the Basic Documents, including the status thereof.</w:t>
      </w:r>
    </w:p>
    <w:p>
      <w:pPr>
        <w:spacing w:after="0" w:line="157" w:lineRule="exact"/>
        <w:rPr>
          <w:sz w:val="20"/>
          <w:szCs w:val="20"/>
          <w:color w:val="auto"/>
        </w:rPr>
      </w:pPr>
    </w:p>
    <w:p>
      <w:pPr>
        <w:ind w:right="120" w:firstLine="757"/>
        <w:spacing w:after="0" w:line="234" w:lineRule="auto"/>
        <w:tabs>
          <w:tab w:leader="none" w:pos="11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acknowledges and agrees that any Confidential Information provided to it, in whatever form, is the sole property of the Borrower and UACC. Neither such Person nor its Affiliates or Advisors shall use any of the Confidential Information now or hereafter received or obtained from or through the Borrower, UACC or any of their respective Affiliates for any purpose other than for purposes of engaging in, or as otherwise contemplated by, the transactions contemplated by the Basic Documents. The Administrative Agent and each Lender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spacing w:after="0" w:line="180" w:lineRule="exact"/>
        <w:rPr>
          <w:rFonts w:ascii="Times New Roman" w:cs="Times New Roman" w:eastAsia="Times New Roman" w:hAnsi="Times New Roman"/>
          <w:sz w:val="22"/>
          <w:szCs w:val="22"/>
          <w:color w:val="auto"/>
        </w:rPr>
      </w:pPr>
    </w:p>
    <w:p>
      <w:pPr>
        <w:ind w:right="100" w:firstLine="757"/>
        <w:spacing w:after="0" w:line="234" w:lineRule="auto"/>
        <w:tabs>
          <w:tab w:leader="none" w:pos="11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each Agent and each Lender acknowledges that all Confidential Information is considered to be proprietary and of competitive value, and in many instances trade secrets. Each of the Administrative Agent, each Agent and each Lender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Administrative Agent, each Agent and each Lender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spacing w:after="0" w:line="176" w:lineRule="exact"/>
        <w:rPr>
          <w:rFonts w:ascii="Times New Roman" w:cs="Times New Roman" w:eastAsia="Times New Roman" w:hAnsi="Times New Roman"/>
          <w:sz w:val="22"/>
          <w:szCs w:val="22"/>
          <w:color w:val="auto"/>
        </w:rPr>
      </w:pPr>
    </w:p>
    <w:p>
      <w:pPr>
        <w:ind w:firstLine="757"/>
        <w:spacing w:after="0" w:line="233" w:lineRule="auto"/>
        <w:tabs>
          <w:tab w:leader="none" w:pos="118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any Agent, a Lender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UACC in writing (unless it has been advised by an Opinion of Counsel that such notification is prohibited by Applicable Law or regulation) of such requirement so that the Borrower and/or UACC, at their sole cost and expense, may seek a protective order or other appropriate remedy and/or waive compliance with the provisions hereof. The Administrative Agent, each Agent and each Lender agrees to use its reasonable efforts, upon the written request of the Borrower or UACC,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 that it is legally compelled to disclose; provided that it agrees to use reasonable efforts to obtain assurance that confidential treatment will be accorded such Confidential Information by the person or persons to whom it was disclosed.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78" w:name="page379"/>
    <w:bookmarkEnd w:id="378"/>
    <w:p>
      <w:pPr>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the foregoing, it is understood that the Administrative Agent, each Agent and each Lender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Administrative Agent, any Agent or any Lender. Under such circumstances, the related entity agrees to provide notice to the Borrower and UACC as soon as practicable in connection with (and, if possible, before) releasing the Confidential Information to the bank examiner or other regulatory authority pursuant to such request or examination.</w:t>
      </w:r>
    </w:p>
    <w:p>
      <w:pPr>
        <w:spacing w:after="0" w:line="184" w:lineRule="exact"/>
        <w:rPr>
          <w:sz w:val="20"/>
          <w:szCs w:val="20"/>
          <w:color w:val="auto"/>
        </w:rPr>
      </w:pPr>
    </w:p>
    <w:p>
      <w:pPr>
        <w:ind w:right="60" w:firstLine="757"/>
        <w:spacing w:after="0" w:line="239" w:lineRule="auto"/>
        <w:tabs>
          <w:tab w:leader="none" w:pos="118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and agreed that no failure or delay by the Borrower, the Servicer, the Backup Servicer, the Account Bank, the Custodian, the Administrative Agent, each Agent or any Lender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9"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Twelve.03.</w:t>
      </w:r>
      <w:r>
        <w:rPr>
          <w:sz w:val="20"/>
          <w:szCs w:val="20"/>
          <w:color w:val="auto"/>
        </w:rPr>
        <w:tab/>
      </w:r>
      <w:r>
        <w:rPr>
          <w:rFonts w:ascii="Times New Roman" w:cs="Times New Roman" w:eastAsia="Times New Roman" w:hAnsi="Times New Roman"/>
          <w:sz w:val="20"/>
          <w:szCs w:val="20"/>
          <w:u w:val="single" w:color="auto"/>
          <w:color w:val="auto"/>
        </w:rPr>
        <w:t>Non-Confidentiality of Tax Treatment and Tax Structure</w:t>
      </w:r>
      <w:r>
        <w:rPr>
          <w:rFonts w:ascii="Times New Roman" w:cs="Times New Roman" w:eastAsia="Times New Roman" w:hAnsi="Times New Roman"/>
          <w:sz w:val="20"/>
          <w:szCs w:val="20"/>
          <w:color w:val="auto"/>
        </w:rPr>
        <w:t>. Notwithstanding anything to the</w:t>
      </w:r>
    </w:p>
    <w:p>
      <w:pPr>
        <w:spacing w:after="0" w:line="14"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2"/>
          <w:szCs w:val="22"/>
          <w:color w:val="auto"/>
        </w:rPr>
        <w:t>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(other than limitations imposed by State or federal securities laws), the structure and tax aspects of the transactions, and all materials of any kind (including opinions or other tax analyses) that are provided to each such party related to such structure and tax aspects. In this regard, each party hereto acknowledges and agrees that this disclosure of the structure or tax aspects of the transactions is not limited in any way by an express or implied understanding or agreement, oral or written (whether or not such understanding or agreement is legally binding) except as is reasonably necessary to comply with state and federal securities laws. Furthermore, each party hereto acknowledges and agrees that it does not know or have reason to know that it use or disclosure of information relating to the structure or tax aspects of the transactions is limited in any other manner (such as where the transactions are claimed to be proprietary or exclusive) for the benefit of any other Person (other than as it may be limited by State or federal securities laws).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79" w:name="page380"/>
    <w:bookmarkEnd w:id="379"/>
    <w:p>
      <w:pPr>
        <w:jc w:val="center"/>
        <w:ind w:right="120"/>
        <w:spacing w:after="0"/>
        <w:rPr>
          <w:sz w:val="20"/>
          <w:szCs w:val="20"/>
          <w:color w:val="auto"/>
        </w:rPr>
      </w:pPr>
      <w:r>
        <w:rPr>
          <w:rFonts w:ascii="Times New Roman" w:cs="Times New Roman" w:eastAsia="Times New Roman" w:hAnsi="Times New Roman"/>
          <w:sz w:val="22"/>
          <w:szCs w:val="22"/>
          <w:color w:val="auto"/>
        </w:rPr>
        <w:t>ARTICLE THIRTEEN</w:t>
      </w:r>
    </w:p>
    <w:p>
      <w:pPr>
        <w:spacing w:after="0" w:line="200" w:lineRule="exact"/>
        <w:rPr>
          <w:sz w:val="20"/>
          <w:szCs w:val="20"/>
          <w:color w:val="auto"/>
        </w:rPr>
      </w:pPr>
    </w:p>
    <w:p>
      <w:pPr>
        <w:spacing w:after="0" w:line="28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205"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Thirteen.01.</w:t>
      </w:r>
      <w:r>
        <w:rPr>
          <w:sz w:val="20"/>
          <w:szCs w:val="20"/>
          <w:color w:val="auto"/>
        </w:rPr>
        <w:tab/>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59" w:lineRule="auto"/>
        <w:tabs>
          <w:tab w:leader="none" w:pos="118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the Administrative Agent, an Agent or a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Agent and each Lender hereunder are cumulative and are not exclusive of any rights or remedies that they would otherwise have. No waiver of any provision of this Agreement or consent to any departure by the Borrower therefrom shall in any event be effective unless the same shall be permitted by Section 14.01(b), and then such waiver or consent shall be effective only in the specific instance and for the purpose for which given. Without limiting the generality of the foregoing, the making of a Loan shall not be construed as a waiver of any Termination Event or Unmatured Termination Event, regardless of whether the Administrative Agent, an Agent or any Lender may have had notice or knowledge of such Termination Event or Unmatured Termination Event at the time.</w:t>
      </w:r>
    </w:p>
    <w:p>
      <w:pPr>
        <w:spacing w:after="0" w:line="161" w:lineRule="exact"/>
        <w:rPr>
          <w:rFonts w:ascii="Times New Roman" w:cs="Times New Roman" w:eastAsia="Times New Roman" w:hAnsi="Times New Roman"/>
          <w:sz w:val="20"/>
          <w:szCs w:val="20"/>
          <w:color w:val="auto"/>
        </w:rPr>
      </w:pPr>
    </w:p>
    <w:p>
      <w:pPr>
        <w:ind w:right="140" w:firstLine="757"/>
        <w:spacing w:after="0" w:line="244" w:lineRule="auto"/>
        <w:tabs>
          <w:tab w:leader="none" w:pos="1180"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amended or modified except pursuant to an agreement or agreements in writing entered into by the Borrower and the Administrative Agent; provided, that no such agreement shall, without the written consent of:</w:t>
      </w:r>
    </w:p>
    <w:p>
      <w:pPr>
        <w:spacing w:after="0" w:line="172" w:lineRule="exact"/>
        <w:rPr>
          <w:rFonts w:ascii="Times New Roman" w:cs="Times New Roman" w:eastAsia="Times New Roman" w:hAnsi="Times New Roman"/>
          <w:sz w:val="22"/>
          <w:szCs w:val="22"/>
          <w:color w:val="auto"/>
        </w:rPr>
      </w:pPr>
    </w:p>
    <w:p>
      <w:pPr>
        <w:ind w:left="760" w:right="180" w:firstLine="883"/>
        <w:spacing w:after="0" w:line="244" w:lineRule="auto"/>
        <w:tabs>
          <w:tab w:leader="none" w:pos="2078"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(1) amend any provision of Section 2.08, (2) amend any provision of Schedule B or (3) reduce the principal or the rate of Interest on any Loans Outstanding or any fees or other amounts payable hereunder or under any other Basic Documents, and</w:t>
      </w:r>
    </w:p>
    <w:p>
      <w:pPr>
        <w:spacing w:after="0" w:line="172" w:lineRule="exact"/>
        <w:rPr>
          <w:rFonts w:ascii="Times New Roman" w:cs="Times New Roman" w:eastAsia="Times New Roman" w:hAnsi="Times New Roman"/>
          <w:sz w:val="22"/>
          <w:szCs w:val="22"/>
          <w:color w:val="auto"/>
        </w:rPr>
      </w:pPr>
    </w:p>
    <w:p>
      <w:pPr>
        <w:ind w:left="760" w:firstLine="816"/>
        <w:spacing w:after="0" w:line="234" w:lineRule="auto"/>
        <w:tabs>
          <w:tab w:leader="none" w:pos="2011" w:val="left"/>
        </w:tabs>
        <w:numPr>
          <w:ilvl w:val="1"/>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Lenders, (1) change any provision of this Section or the definition of “Required Lenders”, “Termination Event” or “Servicer Termination Event” or any other provision hereof specifying the number or percentage of Lenders required to amend, waive, or otherwise modify any rights hereunder or make any determination or grant any consent hereunder or (2) amend or change the definition of “Advance Rate”, “Borrowing Base”, “Concentration Limits”, “Delinquency Ratio”, “Excess Spread Percentage”, “Overcollateralization Increase Events”, “Reserve Account Required Amount”, “Serviced Portfolio Annualized Default Ratio, “Serviced Portfolio Annualized Net Loss Ratio”, “Serviced Portfolio Delinquency Ratio”, “Serviced Portfolio Extension Ratio” or any provision of this Agreement that uses any of the foregoing terms;</w:t>
      </w:r>
    </w:p>
    <w:p>
      <w:pPr>
        <w:spacing w:after="0" w:line="184"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20"/>
          <w:szCs w:val="20"/>
          <w:color w:val="auto"/>
        </w:rPr>
        <w:t>provided, further, that no such agreement shall amend, modify or otherwise affect the rights, protections or duties of the Servicer, the Custodian, the Backup Servicer, the Account Bank or any Hedge Counterparty hereunder without the prior written consent of the Servicer, the Custodian, the Backup Servicer the Account Bank or any Hedge Counterparty, as the case may be.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sectPr>
      </w:pPr>
    </w:p>
    <w:bookmarkStart w:id="380" w:name="page381"/>
    <w:bookmarkEnd w:id="380"/>
    <w:p>
      <w:pPr>
        <w:ind w:right="120" w:firstLine="757"/>
        <w:spacing w:after="0" w:line="239" w:lineRule="auto"/>
        <w:tabs>
          <w:tab w:leader="none" w:pos="118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waived except pursuant to an agreement or agreements in writing entered into by the Administrative Agent; provided, that no such agreement shall, without the written consent of (i) the Required Lenders, waive any condition set forth in Section 4.02 or (ii) the Servicer, the Custodian, the Backup Servicer, the Account Bank or any Hedge Counterparty, waive its respective rights, protections or duties hereunder.</w:t>
      </w:r>
    </w:p>
    <w:p>
      <w:pPr>
        <w:spacing w:after="0" w:line="178" w:lineRule="exact"/>
        <w:rPr>
          <w:rFonts w:ascii="Times New Roman" w:cs="Times New Roman" w:eastAsia="Times New Roman" w:hAnsi="Times New Roman"/>
          <w:sz w:val="22"/>
          <w:szCs w:val="22"/>
          <w:color w:val="auto"/>
        </w:rPr>
      </w:pPr>
    </w:p>
    <w:p>
      <w:pPr>
        <w:ind w:right="80" w:firstLine="757"/>
        <w:spacing w:after="0" w:line="237" w:lineRule="auto"/>
        <w:tabs>
          <w:tab w:leader="none" w:pos="118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deliver an Opinion of Counsel or an Officer’s Certificate to the Administrative Agent stating that an amendment, modification or waiver without the prior written consent of the Servicer, the Custodian, the Backup Servicer, the Account Bank or any Hedge Counterparty will not affect the rights, protections or duties of each such party. The Borrower shall provide a copy of each executed amendment, waiver or other modification to the Servicer, the Custodian, the Backup Servicer, the Account Bank and each Hedge Counterparty.</w:t>
      </w:r>
    </w:p>
    <w:p>
      <w:pPr>
        <w:spacing w:after="0" w:line="180"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Thirteen.02. </w:t>
      </w: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xml:space="preserve"> All notices and other communications provided for hereunder shall, unless otherwise stated herein, be in writing (including telex communication and communication by facsimile copy) and e-mailed,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telex, when telexed against receipt of answer back, (iii) facsimile copy, when verbal communication of receipt is obtained or (iv) e-mail, when receipt is confirmed by telephone or by reply e-mail from the recipient, except that notices and communications pursuant to Article Two shall not be effective until received with respect to any notice sent by mail or telex.</w:t>
      </w:r>
    </w:p>
    <w:p>
      <w:pPr>
        <w:spacing w:after="0" w:line="180"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Thirteen.03. </w:t>
      </w:r>
      <w:r>
        <w:rPr>
          <w:rFonts w:ascii="Times New Roman" w:cs="Times New Roman" w:eastAsia="Times New Roman" w:hAnsi="Times New Roman"/>
          <w:sz w:val="22"/>
          <w:szCs w:val="22"/>
          <w:u w:val="single" w:color="auto"/>
          <w:color w:val="auto"/>
        </w:rPr>
        <w:t>No Waiver, Rights and Remedies</w:t>
      </w:r>
      <w:r>
        <w:rPr>
          <w:rFonts w:ascii="Times New Roman" w:cs="Times New Roman" w:eastAsia="Times New Roman" w:hAnsi="Times New Roman"/>
          <w:sz w:val="22"/>
          <w:szCs w:val="22"/>
          <w:color w:val="auto"/>
        </w:rPr>
        <w:t>. No failure on the part of each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spacing w:after="0" w:line="180"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Thirteen.04.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Borrower, the Servicer, the Backup Servicer, the Account Bank, the Custodian, each Agent, the Secured Parties and their respective successors and permitted assigns and each Hedge Counterparty shall be an express third-party beneficiary of this Agreement.</w:t>
      </w:r>
    </w:p>
    <w:p>
      <w:pPr>
        <w:spacing w:after="0" w:line="172"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 xml:space="preserve">Section Thirteen.05. </w:t>
      </w:r>
      <w:r>
        <w:rPr>
          <w:rFonts w:ascii="Times New Roman" w:cs="Times New Roman" w:eastAsia="Times New Roman" w:hAnsi="Times New Roman"/>
          <w:sz w:val="22"/>
          <w:szCs w:val="22"/>
          <w:u w:val="single" w:color="auto"/>
          <w:color w:val="auto"/>
        </w:rPr>
        <w:t>Term of this Agreement</w:t>
      </w:r>
      <w:r>
        <w:rPr>
          <w:rFonts w:ascii="Times New Roman" w:cs="Times New Roman" w:eastAsia="Times New Roman" w:hAnsi="Times New Roman"/>
          <w:sz w:val="22"/>
          <w:szCs w:val="22"/>
          <w:color w:val="auto"/>
        </w:rPr>
        <w:t>. 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81" w:name="page382"/>
    <w:bookmarkEnd w:id="381"/>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Thirteen.06.</w:t>
      </w:r>
      <w:r>
        <w:rPr>
          <w:sz w:val="20"/>
          <w:szCs w:val="20"/>
          <w:color w:val="auto"/>
        </w:rPr>
        <w:tab/>
      </w:r>
      <w:r>
        <w:rPr>
          <w:rFonts w:ascii="Times New Roman" w:cs="Times New Roman" w:eastAsia="Times New Roman" w:hAnsi="Times New Roman"/>
          <w:sz w:val="20"/>
          <w:szCs w:val="20"/>
          <w:b w:val="1"/>
          <w:bCs w:val="1"/>
          <w:u w:val="single" w:color="auto"/>
          <w:color w:val="auto"/>
        </w:rPr>
        <w:t>GOVERNING LAW; CONSENT TO JURISDICTION; WAIVER OF OBJECTION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VENUE</w:t>
      </w:r>
      <w:r>
        <w:rPr>
          <w:rFonts w:ascii="Times New Roman" w:cs="Times New Roman" w:eastAsia="Times New Roman" w:hAnsi="Times New Roman"/>
          <w:sz w:val="22"/>
          <w:szCs w:val="22"/>
          <w:b w:val="1"/>
          <w:bCs w:val="1"/>
          <w:color w:val="auto"/>
        </w:rPr>
        <w:t>. THIS AGREEMENT SHALL BE GOVERNED BY, AND CONSTRUED IN ACCORDANCE WITH, THE</w:t>
      </w:r>
    </w:p>
    <w:p>
      <w:pPr>
        <w:spacing w:after="0"/>
        <w:rPr>
          <w:sz w:val="20"/>
          <w:szCs w:val="20"/>
          <w:color w:val="auto"/>
        </w:rPr>
      </w:pPr>
      <w:r>
        <w:rPr>
          <w:rFonts w:ascii="Times New Roman" w:cs="Times New Roman" w:eastAsia="Times New Roman" w:hAnsi="Times New Roman"/>
          <w:sz w:val="22"/>
          <w:szCs w:val="22"/>
          <w:b w:val="1"/>
          <w:bCs w:val="1"/>
          <w:color w:val="auto"/>
        </w:rPr>
        <w:t>LAWS OF THE STATE OF NEW YORK WITHOUT REFERENCE TO ITS CONFLICTS OF LAW PROVISIONS</w:t>
      </w:r>
    </w:p>
    <w:p>
      <w:pPr>
        <w:spacing w:after="0" w:line="3"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22"/>
          <w:szCs w:val="22"/>
          <w:b w:val="1"/>
          <w:bCs w:val="1"/>
          <w:color w:val="auto"/>
        </w:rPr>
        <w:t>(OTHER THAN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 1401 AND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1402 OF THE NEW YORK GENERAL OBLIGATIONS LAW). EACH OF THE PARTIES HERETO HEREBY AGREES TO THE NON-EXCLUSIVE JURISDICTION OF ANY FEDERAL COURT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5"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Thirteen.07. </w:t>
      </w: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 TO THE EXTENT PERMITTED BY APPLICABLE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77"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Thirteen.08.</w:t>
      </w:r>
      <w:r>
        <w:rPr>
          <w:sz w:val="20"/>
          <w:szCs w:val="20"/>
          <w:color w:val="auto"/>
        </w:rPr>
        <w:tab/>
      </w:r>
      <w:r>
        <w:rPr>
          <w:rFonts w:ascii="Times New Roman" w:cs="Times New Roman" w:eastAsia="Times New Roman" w:hAnsi="Times New Roman"/>
          <w:sz w:val="20"/>
          <w:szCs w:val="20"/>
          <w:u w:val="single" w:color="auto"/>
          <w:color w:val="auto"/>
        </w:rPr>
        <w:t>Costs, Expenses and Taxes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00" w:firstLine="757"/>
        <w:spacing w:after="0" w:line="233" w:lineRule="auto"/>
        <w:tabs>
          <w:tab w:leader="none" w:pos="118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rights of indemnification granted to the Administrative Agent, each Agent, the Backup Servicer, the Account Bank, the Secured Parties and its or their Affiliates and officers, directors, employees and agents thereof under Article Ten, the Borrower agrees to pay on demand all reasonable costs and expenses of each Agent, the Backup Servicer, the Account Bank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Section 2.12(d), the reasonable fees and out-of-pocket expenses of counsel for the Backup Servicer, the Account Bank, each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w:t>
      </w:r>
    </w:p>
    <w:p>
      <w:pPr>
        <w:spacing w:after="0" w:line="184" w:lineRule="exact"/>
        <w:rPr>
          <w:rFonts w:ascii="Times New Roman" w:cs="Times New Roman" w:eastAsia="Times New Roman" w:hAnsi="Times New Roman"/>
          <w:sz w:val="22"/>
          <w:szCs w:val="22"/>
          <w:color w:val="auto"/>
        </w:rPr>
      </w:pPr>
    </w:p>
    <w:p>
      <w:pPr>
        <w:ind w:right="100" w:firstLine="757"/>
        <w:spacing w:after="0" w:line="239" w:lineRule="auto"/>
        <w:tabs>
          <w:tab w:leader="none" w:pos="1180"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promptly pay on demand any and all stamp, sales, excise and other taxes and fees payable or determined to be payable in connection with the execution, delivery, filing and recording of this Agreement, the other documents to be delivered hereunder or any agreement or other document providing liquidity support, credit enhancement or other similar support to a Lender in connection with this Agreement or the funding or maintenance of Loans hereunder.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82" w:name="page383"/>
    <w:bookmarkEnd w:id="382"/>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Thirteen.09.</w:t>
      </w:r>
      <w:r>
        <w:rPr>
          <w:sz w:val="20"/>
          <w:szCs w:val="20"/>
          <w:color w:val="auto"/>
        </w:rPr>
        <w:tab/>
      </w:r>
      <w:r>
        <w:rPr>
          <w:rFonts w:ascii="Times New Roman" w:cs="Times New Roman" w:eastAsia="Times New Roman" w:hAnsi="Times New Roman"/>
          <w:sz w:val="20"/>
          <w:szCs w:val="20"/>
          <w:u w:val="single" w:color="auto"/>
          <w:color w:val="auto"/>
        </w:rPr>
        <w:t>No Insolvency Proceedings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220" w:firstLine="757"/>
        <w:spacing w:after="0" w:line="236" w:lineRule="auto"/>
        <w:tabs>
          <w:tab w:leader="none" w:pos="1180"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prior termination of this Agreement, no Lender shall, prior to the date which is one year and one day after the final payment of the Aggregate Unpaids,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spacing w:after="0" w:line="179" w:lineRule="exact"/>
        <w:rPr>
          <w:rFonts w:ascii="Times New Roman" w:cs="Times New Roman" w:eastAsia="Times New Roman" w:hAnsi="Times New Roman"/>
          <w:sz w:val="22"/>
          <w:szCs w:val="22"/>
          <w:color w:val="auto"/>
        </w:rPr>
      </w:pPr>
    </w:p>
    <w:p>
      <w:pPr>
        <w:ind w:right="60" w:firstLine="757"/>
        <w:spacing w:after="0" w:line="280" w:lineRule="auto"/>
        <w:tabs>
          <w:tab w:leader="none" w:pos="1180"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prior termination of this Agreement, each of the Borrower and the Servicer hereby agrees that it shall not institute against, or join any other person in instituting against, any Conduit Lender any Insolvency Proceeding, for one year and a day after the latest maturing Commercial Paper Note or other debt security issued by such Conduit Lender is paid.</w:t>
      </w:r>
    </w:p>
    <w:p>
      <w:pPr>
        <w:spacing w:after="0" w:line="139"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Thirteen.10.</w:t>
      </w:r>
      <w:r>
        <w:rPr>
          <w:sz w:val="20"/>
          <w:szCs w:val="20"/>
          <w:color w:val="auto"/>
        </w:rPr>
        <w:tab/>
      </w:r>
      <w:r>
        <w:rPr>
          <w:rFonts w:ascii="Times New Roman" w:cs="Times New Roman" w:eastAsia="Times New Roman" w:hAnsi="Times New Roman"/>
          <w:sz w:val="20"/>
          <w:szCs w:val="20"/>
          <w:u w:val="single" w:color="auto"/>
          <w:color w:val="auto"/>
        </w:rPr>
        <w:t>Recourse Against Certain Parties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757"/>
        <w:spacing w:after="0" w:line="232" w:lineRule="auto"/>
        <w:tabs>
          <w:tab w:leader="none" w:pos="118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under or with respect to any obligation, covenant or agreement (including the payment of any fees or any other obligations) of each Agent or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the Administrative Agent, the Agents and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shall survive the termination of this Agreement.</w:t>
      </w:r>
    </w:p>
    <w:p>
      <w:pPr>
        <w:spacing w:after="0" w:line="184" w:lineRule="exact"/>
        <w:rPr>
          <w:rFonts w:ascii="Times New Roman" w:cs="Times New Roman" w:eastAsia="Times New Roman" w:hAnsi="Times New Roman"/>
          <w:sz w:val="22"/>
          <w:szCs w:val="22"/>
          <w:color w:val="auto"/>
        </w:rPr>
      </w:pPr>
    </w:p>
    <w:p>
      <w:pPr>
        <w:ind w:right="120" w:firstLine="757"/>
        <w:spacing w:after="0" w:line="239" w:lineRule="auto"/>
        <w:tabs>
          <w:tab w:leader="none" w:pos="1180"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or any other Basic Document to the contrary, no Conduit Lender shall have any obligation to pay any amount required to be paid by it hereunder or thereunder in excess of any amount available to such Conduit Lender after paying or making provision for the payment of its Commercial Paper Notes. All payment obligations of any Conduit Lender hereunder are contingent upon the availability of funds in excess of the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83" w:name="page384"/>
    <w:bookmarkEnd w:id="383"/>
    <w:p>
      <w:pPr>
        <w:spacing w:after="0" w:line="239" w:lineRule="auto"/>
        <w:rPr>
          <w:sz w:val="20"/>
          <w:szCs w:val="20"/>
          <w:color w:val="auto"/>
        </w:rPr>
      </w:pPr>
      <w:r>
        <w:rPr>
          <w:rFonts w:ascii="Times New Roman" w:cs="Times New Roman" w:eastAsia="Times New Roman" w:hAnsi="Times New Roman"/>
          <w:sz w:val="22"/>
          <w:szCs w:val="22"/>
          <w:color w:val="auto"/>
        </w:rPr>
        <w:t>amounts necessary to pay Commercial Paper Notes; and each of the Borrower, the Servicer, the Administrative Agent, each Agent and the Secured Parties agrees that they shall not have a claim under Section 101(5) of the Bankruptcy Code if and to the extent that any such payment obligation exceeds the amount available to any Conduit Lender to pay such amounts after paying or making provision for the payment of its Commercial Paper Notes.</w:t>
      </w:r>
    </w:p>
    <w:p>
      <w:pPr>
        <w:spacing w:after="0" w:line="179"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0"/>
          <w:szCs w:val="20"/>
          <w:color w:val="auto"/>
        </w:rPr>
        <w:t>The provisions of this Section shall survive the termination of this Agreement.</w:t>
      </w:r>
    </w:p>
    <w:p>
      <w:pPr>
        <w:spacing w:after="0" w:line="205"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Thirteen.11. </w:t>
      </w:r>
      <w:r>
        <w:rPr>
          <w:rFonts w:ascii="Times New Roman" w:cs="Times New Roman" w:eastAsia="Times New Roman" w:hAnsi="Times New Roman"/>
          <w:sz w:val="22"/>
          <w:szCs w:val="22"/>
          <w:u w:val="single" w:color="auto"/>
          <w:color w:val="auto"/>
        </w:rPr>
        <w:t>Limitations on Consequential, Indirect and Certain Other Damages</w:t>
      </w:r>
      <w:r>
        <w:rPr>
          <w:rFonts w:ascii="Times New Roman" w:cs="Times New Roman" w:eastAsia="Times New Roman" w:hAnsi="Times New Roman"/>
          <w:sz w:val="22"/>
          <w:szCs w:val="22"/>
          <w:color w:val="auto"/>
        </w:rPr>
        <w:t>. No claim can be made by the Borrower, UACC or any of their respective Affiliates against any Agent, any Secured Party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UACC, to the extent permitted by Applicable Law, hereby waives, releases and agrees not to bring any such claim for any such damages, whether or not accrued and whether or not known or suspected to exist in its favor.</w:t>
      </w:r>
    </w:p>
    <w:p>
      <w:pPr>
        <w:spacing w:after="0" w:line="181"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Thirteen.12. </w:t>
      </w:r>
      <w:r>
        <w:rPr>
          <w:rFonts w:ascii="Times New Roman" w:cs="Times New Roman" w:eastAsia="Times New Roman" w:hAnsi="Times New Roman"/>
          <w:sz w:val="22"/>
          <w:szCs w:val="22"/>
          <w:u w:val="single" w:color="auto"/>
          <w:color w:val="auto"/>
        </w:rPr>
        <w:t>Patriot Act Compliance</w:t>
      </w:r>
      <w:r>
        <w:rPr>
          <w:rFonts w:ascii="Times New Roman" w:cs="Times New Roman" w:eastAsia="Times New Roman" w:hAnsi="Times New Roman"/>
          <w:sz w:val="22"/>
          <w:szCs w:val="22"/>
          <w:color w:val="auto"/>
        </w:rPr>
        <w:t>. Each of the Administrative Agent, each Agent and the Account Bank hereby notifies the Borrower that pursuant to the requirements of the Patriot Act, it, and each other Lender, may be required to obtain, verify and record information that identifies the Borrower, which information includes the name and address of the Borrower, organizational documentation, director and shareholder information, and other information that will allow the Administrative Agent, such Agent, the Account Bank and each Lender to identify the Borrower in accordance with the Patriot Act. This notice is given in accordance with the requirements of the Patriot Act and is effective for the Administrative Agent, each Agent, each Lender and the Account Bank.</w:t>
      </w:r>
    </w:p>
    <w:p>
      <w:pPr>
        <w:spacing w:after="0" w:line="181"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Thirteen.13. </w:t>
      </w:r>
      <w:r>
        <w:rPr>
          <w:rFonts w:ascii="Times New Roman" w:cs="Times New Roman" w:eastAsia="Times New Roman" w:hAnsi="Times New Roman"/>
          <w:sz w:val="22"/>
          <w:szCs w:val="22"/>
          <w:u w:val="single" w:color="auto"/>
          <w:color w:val="auto"/>
        </w:rPr>
        <w:t>Execution in Counterparts; Severability; Integration</w:t>
      </w:r>
      <w:r>
        <w:rPr>
          <w:rFonts w:ascii="Times New Roman" w:cs="Times New Roman" w:eastAsia="Times New Roman" w:hAnsi="Times New Roman"/>
          <w:sz w:val="22"/>
          <w:szCs w:val="22"/>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w:t>
      </w:r>
    </w:p>
    <w:p>
      <w:pPr>
        <w:spacing w:after="0" w:line="72"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0"/>
          <w:szCs w:val="20"/>
          <w:color w:val="auto"/>
        </w:rPr>
        <w:t xml:space="preserve">Section Thirteen.14. </w:t>
      </w:r>
      <w:r>
        <w:rPr>
          <w:rFonts w:ascii="Times New Roman" w:cs="Times New Roman" w:eastAsia="Times New Roman" w:hAnsi="Times New Roman"/>
          <w:sz w:val="20"/>
          <w:szCs w:val="20"/>
          <w:u w:val="single" w:color="auto"/>
          <w:color w:val="auto"/>
        </w:rPr>
        <w:t>Limitation of Liability of Owner Trustee</w:t>
      </w:r>
      <w:r>
        <w:rPr>
          <w:rFonts w:ascii="Times New Roman" w:cs="Times New Roman" w:eastAsia="Times New Roman" w:hAnsi="Times New Roman"/>
          <w:sz w:val="20"/>
          <w:szCs w:val="20"/>
          <w:color w:val="auto"/>
        </w:rPr>
        <w:t>. It is expressly understood and agreed by the parties hereto that (i) this Agreement is executed and delivered by [***],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 covenants, undertakings and agreements by [***], but is made and intended for the purpose for binding only the Borrower, (iii) nothing herein contained shall be construed as creating any liability on [***], individually or personally, to perform any covenant</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384" w:name="page385"/>
    <w:bookmarkEnd w:id="384"/>
    <w:p>
      <w:pPr>
        <w:ind w:right="180"/>
        <w:spacing w:after="0" w:line="236" w:lineRule="auto"/>
        <w:rPr>
          <w:sz w:val="20"/>
          <w:szCs w:val="20"/>
          <w:color w:val="auto"/>
        </w:rPr>
      </w:pPr>
      <w:r>
        <w:rPr>
          <w:rFonts w:ascii="Times New Roman" w:cs="Times New Roman" w:eastAsia="Times New Roman" w:hAnsi="Times New Roman"/>
          <w:sz w:val="22"/>
          <w:szCs w:val="22"/>
          <w:color w:val="auto"/>
        </w:rPr>
        <w:t>either expressed or implied contained herein, all such liability, if any, being expressly waived by the parties hereto and by any Person claiming by, through or under the parties hereto, (iv) [***] has made no investigation as to the accuracy or completeness of any representations and warranties made by the Borrower in this Agreement and (v) under no circumstances shall [***], be personally liable for the payment of any indebtedness or expenses of the Borrower or be liable for the breach or failure of any obligation, duty (including fiduciary duty, if any), representation, warranty or covenant made or undertaken by the Borrower under this Agreement or any other Basic Document.</w:t>
      </w:r>
    </w:p>
    <w:p>
      <w:pPr>
        <w:spacing w:after="0" w:line="72"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Thirteen.15.</w:t>
      </w:r>
      <w:r>
        <w:rPr>
          <w:sz w:val="20"/>
          <w:szCs w:val="20"/>
          <w:color w:val="auto"/>
        </w:rPr>
        <w:tab/>
      </w:r>
      <w:r>
        <w:rPr>
          <w:rFonts w:ascii="Times New Roman" w:cs="Times New Roman" w:eastAsia="Times New Roman" w:hAnsi="Times New Roman"/>
          <w:sz w:val="20"/>
          <w:szCs w:val="20"/>
          <w:u w:val="single" w:color="auto"/>
          <w:color w:val="auto"/>
        </w:rPr>
        <w:t>Effect of Benchmark Changed Circumstances</w:t>
      </w:r>
      <w:r>
        <w:rPr>
          <w:rFonts w:ascii="Times New Roman" w:cs="Times New Roman" w:eastAsia="Times New Roman" w:hAnsi="Times New Roman"/>
          <w:sz w:val="20"/>
          <w:szCs w:val="20"/>
          <w:color w:val="auto"/>
        </w:rPr>
        <w:t>.</w:t>
      </w:r>
    </w:p>
    <w:p>
      <w:pPr>
        <w:spacing w:after="0" w:line="313" w:lineRule="exact"/>
        <w:rPr>
          <w:sz w:val="20"/>
          <w:szCs w:val="20"/>
          <w:color w:val="auto"/>
        </w:rPr>
      </w:pPr>
    </w:p>
    <w:p>
      <w:pPr>
        <w:ind w:right="20" w:firstLine="741"/>
        <w:spacing w:after="0" w:line="234" w:lineRule="auto"/>
        <w:tabs>
          <w:tab w:leader="none" w:pos="116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Subject to Section 14.15(c), in connection with any request for a SOFR Loan or a conversion to or continuation thereof or otherwise, if a SOFR Disruption Event has occurred and is continuing, then, in each case, the Lenders shall promptly give notice thereof to the Borrower. Upon notice thereof by the Lenders to the Borrower, any obligation of the Lenders to make SOFR Loans, and any right of the Borrower to convert any Loan to or continue any Loan as a SOFR Loan, shall be suspended (to the extent of the affected SOFR Loans) until the Lenders revoke such notice. Upon receipt of such notice, (i) the Borrower may revoke any pending request for a borrowing of, conversion to or continuation of SOFR Loans (to the extent of the affected SOFR Loans)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immediately. Upon any such prepayment or conversion, the Borrower shall also pay accrued interest on the amount so prepaid or converted.</w:t>
      </w:r>
    </w:p>
    <w:p>
      <w:pPr>
        <w:spacing w:after="0" w:line="203" w:lineRule="exact"/>
        <w:rPr>
          <w:rFonts w:ascii="Times New Roman" w:cs="Times New Roman" w:eastAsia="Times New Roman" w:hAnsi="Times New Roman"/>
          <w:sz w:val="22"/>
          <w:szCs w:val="22"/>
          <w:color w:val="auto"/>
        </w:rPr>
      </w:pPr>
    </w:p>
    <w:p>
      <w:pPr>
        <w:ind w:firstLine="757"/>
        <w:spacing w:after="0" w:line="257" w:lineRule="auto"/>
        <w:tabs>
          <w:tab w:leader="none" w:pos="1180" w:val="left"/>
        </w:tabs>
        <w:numPr>
          <w:ilvl w:val="1"/>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Laws Affecting SOFR Availability</w:t>
      </w:r>
      <w:r>
        <w:rPr>
          <w:rFonts w:ascii="Times New Roman" w:cs="Times New Roman" w:eastAsia="Times New Roman" w:hAnsi="Times New Roman"/>
          <w:sz w:val="20"/>
          <w:szCs w:val="20"/>
          <w:color w:val="auto"/>
        </w:rPr>
        <w:t>. If, after the date hereof, the introduction of, or any change in, any Applicable Law or any change in the interpretation or administration thereof by any Governmental Authority or comparable agency charged with the interpretation or administration thereof, or compliance by the Lender (or any of its lending offices) with any request or directive (whether or not having the force of law) of any such Governmental Authority or comparable agency, shall make it unlawful or impossible for the Lender (or any of its lending offices) to honor its obligations hereunder to make or maintain any SOFR Loan, or to determine or charge interest based upon SOFR or Adjusted Daily Simple SOFR, the Lender shall promptly give notice thereof to the Borrower (an “Illegality Notice”). Thereafter, until the Lender notifies the Borrower that the circumstances giving rise to such determination no longer exist, (i) any obligation of the Lender to make SOFR Loans, and any right of the Borrower to convert any Loan to a SOFR Loan or continue any Loan as a SOFR Loan, shall be suspended and (ii) if necessary to avoid such illegality, the Lender shall compute the Base Rate without reference to clause (iii) of the definition of “Base Rate”. Upon receipt of an Illegality Notice, the Borrower shall, if necessary to avoid such illegality, upon demand from the Lender (with a copy to the Lender), prepay or, if applicable, convert all SOFR Loans to Base Rate Loans (in each case, if necessary to avoid such illegality, the Lender shall compute the Base Rate without reference to clause (iii) of the definition of “Base Rate”), on the Payment Date therefor, if the Lender may lawfully continue to maintain such SOFR Loans to such day, or immediately, if the Lender may not lawfully continue to maintain such SOFR Loans to such day. Upon any such prepayment or</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85" w:name="page386"/>
    <w:bookmarkEnd w:id="385"/>
    <w:p>
      <w:pPr>
        <w:ind w:right="440"/>
        <w:spacing w:after="0" w:line="258" w:lineRule="auto"/>
        <w:rPr>
          <w:sz w:val="20"/>
          <w:szCs w:val="20"/>
          <w:color w:val="auto"/>
        </w:rPr>
      </w:pPr>
      <w:r>
        <w:rPr>
          <w:rFonts w:ascii="Times New Roman" w:cs="Times New Roman" w:eastAsia="Times New Roman" w:hAnsi="Times New Roman"/>
          <w:sz w:val="22"/>
          <w:szCs w:val="22"/>
          <w:color w:val="auto"/>
        </w:rPr>
        <w:t>conversion, the Borrower shall also pay accrued interest on the amount so prepaid or converted, together with any additional amounts required pursuant to Section 2.07.</w:t>
      </w:r>
    </w:p>
    <w:p>
      <w:pPr>
        <w:spacing w:after="0" w:line="184" w:lineRule="exact"/>
        <w:rPr>
          <w:sz w:val="20"/>
          <w:szCs w:val="20"/>
          <w:color w:val="auto"/>
        </w:rPr>
      </w:pPr>
    </w:p>
    <w:p>
      <w:pPr>
        <w:ind w:left="1180" w:hanging="423"/>
        <w:spacing w:after="0"/>
        <w:tabs>
          <w:tab w:leader="none" w:pos="1180"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ind w:left="760" w:right="140" w:firstLine="883"/>
        <w:spacing w:after="0" w:line="271" w:lineRule="auto"/>
        <w:tabs>
          <w:tab w:leader="none" w:pos="2078" w:val="left"/>
        </w:tabs>
        <w:numPr>
          <w:ilvl w:val="2"/>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Basic Document, upon the occurrence of a Benchmark Transition Event, the Lenders and the Borrower may amend this Agreement to replace the then-current Benchmark with a Benchmark Replacement. Any such amendment with respect to a Benchmark Transition Event will become effective on the date agreed to by the Lenders and the Borrower.</w:t>
      </w:r>
    </w:p>
    <w:p>
      <w:pPr>
        <w:spacing w:after="0" w:line="147" w:lineRule="exact"/>
        <w:rPr>
          <w:rFonts w:ascii="Times New Roman" w:cs="Times New Roman" w:eastAsia="Times New Roman" w:hAnsi="Times New Roman"/>
          <w:sz w:val="20"/>
          <w:szCs w:val="20"/>
          <w:color w:val="auto"/>
        </w:rPr>
      </w:pPr>
    </w:p>
    <w:p>
      <w:pPr>
        <w:ind w:left="760" w:right="120" w:firstLine="816"/>
        <w:spacing w:after="0" w:line="264" w:lineRule="auto"/>
        <w:tabs>
          <w:tab w:leader="none" w:pos="2011" w:val="left"/>
        </w:tabs>
        <w:numPr>
          <w:ilvl w:val="2"/>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Lenders will have the right to make Conforming Changes from time to time and, notwithstanding anything to the contrary herein or in any other Basic Document, any amendments implementing such Conforming Changes will become effective without any further action or consent of any other party to this Agreement or any other Basic Document; provided, however, that any such amendments must not affect the Owner Trustee’s, the Backup Servicer’s or the Account Bank’s rights, indemnities or obligations without its consent.</w:t>
      </w:r>
    </w:p>
    <w:p>
      <w:pPr>
        <w:spacing w:after="0" w:line="154" w:lineRule="exact"/>
        <w:rPr>
          <w:rFonts w:ascii="Times New Roman" w:cs="Times New Roman" w:eastAsia="Times New Roman" w:hAnsi="Times New Roman"/>
          <w:sz w:val="20"/>
          <w:szCs w:val="20"/>
          <w:color w:val="auto"/>
        </w:rPr>
      </w:pPr>
    </w:p>
    <w:p>
      <w:pPr>
        <w:ind w:left="760" w:firstLine="745"/>
        <w:spacing w:after="0" w:line="234" w:lineRule="auto"/>
        <w:tabs>
          <w:tab w:leader="none" w:pos="1940"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Lenders will promptly notify the Borrower of (i) the implementation of any Benchmark Replacement and (ii) the effectiveness of any Conforming Changes in connection with the use, administration, adoption or implementation of a Benchmark Replacement. The Lenders will promptly notify the Borrower of the removal or reinstatement of any tenor of a Benchmark pursuant to Section 14.15(c)(iv). Any determination, decision or election that may be made by the Administrative Agent or Committed Lenders pursuant to this Section 14.15(c),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Basic Document, except, in each case, as expressly required pursuant to this Section 14.15(c).</w:t>
      </w:r>
    </w:p>
    <w:p>
      <w:pPr>
        <w:spacing w:after="0" w:line="176" w:lineRule="exact"/>
        <w:rPr>
          <w:rFonts w:ascii="Times New Roman" w:cs="Times New Roman" w:eastAsia="Times New Roman" w:hAnsi="Times New Roman"/>
          <w:sz w:val="22"/>
          <w:szCs w:val="22"/>
          <w:color w:val="auto"/>
        </w:rPr>
      </w:pPr>
    </w:p>
    <w:p>
      <w:pPr>
        <w:ind w:left="760" w:right="20" w:firstLine="759"/>
        <w:spacing w:after="0" w:line="259" w:lineRule="auto"/>
        <w:tabs>
          <w:tab w:leader="none" w:pos="1954"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Basic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Lenders in their reasonable discretion or</w:t>
      </w:r>
    </w:p>
    <w:p>
      <w:pPr>
        <w:spacing w:after="0" w:line="2" w:lineRule="exact"/>
        <w:rPr>
          <w:rFonts w:ascii="Times New Roman" w:cs="Times New Roman" w:eastAsia="Times New Roman" w:hAnsi="Times New Roman"/>
          <w:sz w:val="20"/>
          <w:szCs w:val="20"/>
          <w:color w:val="auto"/>
        </w:rPr>
      </w:pPr>
    </w:p>
    <w:p>
      <w:pPr>
        <w:ind w:left="760" w:right="80"/>
        <w:spacing w:after="0" w:line="23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 the regulatory supervisor for the administrator of such Benchmark has provided a public statement or publication of information announcing that any tenor for such Benchmark is not or will not be representative, then the Lenders may modify the definition of “Interest Period” (or any similar or analogous definition) for any Benchmark settings at or after such time to remove such unavailable or non-representative tenor and (ii) if a tenor that was removed</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86" w:name="page387"/>
    <w:bookmarkEnd w:id="386"/>
    <w:p>
      <w:pPr>
        <w:ind w:left="760"/>
        <w:spacing w:after="0" w:line="237" w:lineRule="auto"/>
        <w:rPr>
          <w:sz w:val="20"/>
          <w:szCs w:val="20"/>
          <w:color w:val="auto"/>
        </w:rPr>
      </w:pPr>
      <w:r>
        <w:rPr>
          <w:rFonts w:ascii="Times New Roman" w:cs="Times New Roman" w:eastAsia="Times New Roman" w:hAnsi="Times New Roman"/>
          <w:sz w:val="22"/>
          <w:szCs w:val="22"/>
          <w:color w:val="auto"/>
        </w:rPr>
        <w:t>pursuant to clause (i)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Lenders may modify the definition of “Interest Period” (or any similar or analogous definition) for all Benchmark settings at or after such time to reinstate such previously removed tenor.</w:t>
      </w:r>
    </w:p>
    <w:p>
      <w:pPr>
        <w:spacing w:after="0" w:line="180" w:lineRule="exact"/>
        <w:rPr>
          <w:sz w:val="20"/>
          <w:szCs w:val="20"/>
          <w:color w:val="auto"/>
        </w:rPr>
      </w:pPr>
    </w:p>
    <w:p>
      <w:pPr>
        <w:ind w:left="760" w:right="60" w:firstLine="829"/>
        <w:spacing w:after="0" w:line="235" w:lineRule="auto"/>
        <w:tabs>
          <w:tab w:leader="none" w:pos="2024"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(i)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(ii) any outstanding affected SOFR Loans will be deemed to have been converted to Base Rate Loans immediately. During any Benchmark Unavailability Period, the component of Base Rate based upon the then-current Benchmark will not be used in any determination of Base Rate.</w:t>
      </w:r>
    </w:p>
    <w:p>
      <w:pPr>
        <w:spacing w:after="0" w:line="180" w:lineRule="exact"/>
        <w:rPr>
          <w:rFonts w:ascii="Times New Roman" w:cs="Times New Roman" w:eastAsia="Times New Roman" w:hAnsi="Times New Roman"/>
          <w:sz w:val="22"/>
          <w:szCs w:val="22"/>
          <w:color w:val="auto"/>
        </w:rPr>
      </w:pPr>
    </w:p>
    <w:p>
      <w:pPr>
        <w:ind w:left="760" w:right="120" w:firstLine="759"/>
        <w:spacing w:after="0" w:line="235" w:lineRule="auto"/>
        <w:tabs>
          <w:tab w:leader="none" w:pos="1954"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Owner Trustee, the Account Bank or the Backup Servicer shall (i) be responsible for making decisions or determinations in connection with any Benchmark Replacement, Benchmark Replacement Conforming Changes or Benchmark Transition Event or (ii) have any liability for any determination, decision or election made by or on behalf of the Lenders or the Borrower in connection with a Benchmark Transition Event, Benchmark Replacement Conforming Changes or a Benchmark Replacement. Each Lender shall be deemed to waive and release any and all claims against the Owner Trustee, the Account Bank and the Backup Servicer relating to any such determination, decision or election by the Lender or the Borrower.</w:t>
      </w:r>
    </w:p>
    <w:p>
      <w:pPr>
        <w:spacing w:after="0" w:line="181" w:lineRule="exact"/>
        <w:rPr>
          <w:sz w:val="20"/>
          <w:szCs w:val="20"/>
          <w:color w:val="auto"/>
        </w:rPr>
      </w:pPr>
    </w:p>
    <w:p>
      <w:pPr>
        <w:ind w:left="76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Fourteen.16.</w:t>
      </w:r>
      <w:r>
        <w:rPr>
          <w:sz w:val="20"/>
          <w:szCs w:val="20"/>
          <w:color w:val="auto"/>
        </w:rPr>
        <w:tab/>
      </w:r>
      <w:r>
        <w:rPr>
          <w:rFonts w:ascii="Times New Roman" w:cs="Times New Roman" w:eastAsia="Times New Roman" w:hAnsi="Times New Roman"/>
          <w:sz w:val="20"/>
          <w:szCs w:val="20"/>
          <w:u w:val="single" w:color="auto"/>
          <w:color w:val="auto"/>
        </w:rPr>
        <w:t>Recognition of the U.S. Special Resolution Regimes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80" w:firstLine="757"/>
        <w:spacing w:after="0" w:line="237" w:lineRule="auto"/>
        <w:tabs>
          <w:tab w:leader="none" w:pos="118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Lender that is a Covered Entity becomes subject to a proceeding under a U.S. Special Resolution Regime, the transfer from such Lender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of America or a state of the United States or any State.</w:t>
      </w:r>
    </w:p>
    <w:p>
      <w:pPr>
        <w:spacing w:after="0" w:line="112" w:lineRule="exact"/>
        <w:rPr>
          <w:rFonts w:ascii="Times New Roman" w:cs="Times New Roman" w:eastAsia="Times New Roman" w:hAnsi="Times New Roman"/>
          <w:sz w:val="22"/>
          <w:szCs w:val="22"/>
          <w:color w:val="auto"/>
        </w:rPr>
      </w:pPr>
    </w:p>
    <w:p>
      <w:pPr>
        <w:ind w:right="20" w:firstLine="757"/>
        <w:spacing w:after="0" w:line="237" w:lineRule="auto"/>
        <w:tabs>
          <w:tab w:leader="none" w:pos="118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Lender that is a Covered Entity or a BHC Act Affiliate of such Lender becomes subject to a proceeding under a U.S. Special Resolution Regime, Default Rights under this Agreement that may be exercised against such Lender are permitted to be exercised to no greater extent than such Default Rights could be exercised under the U.S. Special Resolution Regime if this Agreement were governed by the laws of the United States of America or a state of the United States or any State.</w:t>
      </w:r>
    </w:p>
    <w:p>
      <w:pPr>
        <w:spacing w:after="0" w:line="9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the following terms have the following meanings:</w:t>
      </w:r>
    </w:p>
    <w:p>
      <w:pPr>
        <w:spacing w:after="0" w:line="138"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“BHC Act Affiliate” has the meaning assigned to the term “affiliate” in, and shall be interpreted in accordance with, 12 U.S.C. §1841(k).</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87" w:name="page388"/>
    <w:bookmarkEnd w:id="387"/>
    <w:p>
      <w:pPr>
        <w:spacing w:after="0" w:line="115" w:lineRule="exact"/>
        <w:rPr>
          <w:sz w:val="20"/>
          <w:szCs w:val="20"/>
          <w:color w:val="auto"/>
        </w:rPr>
      </w:pPr>
    </w:p>
    <w:p>
      <w:pPr>
        <w:ind w:right="240" w:firstLine="749"/>
        <w:spacing w:after="0" w:line="280" w:lineRule="auto"/>
        <w:rPr>
          <w:sz w:val="20"/>
          <w:szCs w:val="20"/>
          <w:color w:val="auto"/>
        </w:rPr>
      </w:pPr>
      <w:r>
        <w:rPr>
          <w:rFonts w:ascii="Times New Roman" w:cs="Times New Roman" w:eastAsia="Times New Roman" w:hAnsi="Times New Roman"/>
          <w:sz w:val="20"/>
          <w:szCs w:val="20"/>
          <w:color w:val="auto"/>
        </w:rPr>
        <w:t>“Covered Entity”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“Default Right” has the meaning assigned to that term in, and shall be interpreted in accordance with, 12 C.F.R.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§§252.81, 47.2 or 382.1, as applicable.</w:t>
      </w:r>
    </w:p>
    <w:p>
      <w:pPr>
        <w:spacing w:after="0" w:line="11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141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tabs>
          <w:tab w:leader="none" w:pos="5720" w:val="left"/>
        </w:tabs>
        <w:rPr>
          <w:sz w:val="20"/>
          <w:szCs w:val="20"/>
          <w:color w:val="auto"/>
        </w:rPr>
      </w:pPr>
      <w:r>
        <w:rPr>
          <w:rFonts w:ascii="Times New Roman" w:cs="Times New Roman" w:eastAsia="Times New Roman" w:hAnsi="Times New Roman"/>
          <w:sz w:val="22"/>
          <w:szCs w:val="22"/>
          <w:color w:val="auto"/>
        </w:rPr>
        <w:t>THE BORROWER:</w:t>
      </w:r>
      <w:r>
        <w:rPr>
          <w:sz w:val="20"/>
          <w:szCs w:val="20"/>
          <w:color w:val="auto"/>
        </w:rPr>
        <w:tab/>
      </w:r>
      <w:r>
        <w:rPr>
          <w:rFonts w:ascii="Times New Roman" w:cs="Times New Roman" w:eastAsia="Times New Roman" w:hAnsi="Times New Roman"/>
          <w:sz w:val="20"/>
          <w:szCs w:val="20"/>
          <w:color w:val="auto"/>
        </w:rPr>
        <w:t>UACC AUTO FINANCING TRUST III</w:t>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By: [***], not in its individual capacity but solely as Owner</w:t>
      </w:r>
    </w:p>
    <w:p>
      <w:pPr>
        <w:spacing w:after="0" w:line="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By: /s/ [***]</w:t>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Name:[***]</w:t>
      </w:r>
    </w:p>
    <w:p>
      <w:pPr>
        <w:ind w:left="6180"/>
        <w:spacing w:after="0"/>
        <w:rPr>
          <w:sz w:val="20"/>
          <w:szCs w:val="20"/>
          <w:color w:val="auto"/>
        </w:rPr>
      </w:pPr>
      <w:r>
        <w:rPr>
          <w:rFonts w:ascii="Times New Roman" w:cs="Times New Roman" w:eastAsia="Times New Roman" w:hAnsi="Times New Roman"/>
          <w:sz w:val="22"/>
          <w:szCs w:val="22"/>
          <w:color w:val="auto"/>
        </w:rPr>
        <w:t>Title:[***]</w:t>
      </w:r>
    </w:p>
    <w:p>
      <w:pPr>
        <w:spacing w:after="0" w:line="18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UACC Auto Financing Trust III</w:t>
      </w:r>
    </w:p>
    <w:p>
      <w:pPr>
        <w:spacing w:after="0" w:line="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c/o [***]</w:t>
      </w:r>
    </w:p>
    <w:p>
      <w:pPr>
        <w:spacing w:after="0" w:line="20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With a copy to:</w:t>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United Auto Credit Corporation</w:t>
      </w:r>
    </w:p>
    <w:p>
      <w:pPr>
        <w:ind w:left="5740"/>
        <w:spacing w:after="0" w:line="230" w:lineRule="auto"/>
        <w:rPr>
          <w:sz w:val="20"/>
          <w:szCs w:val="20"/>
          <w:color w:val="auto"/>
        </w:rPr>
      </w:pPr>
      <w:r>
        <w:rPr>
          <w:rFonts w:ascii="Times New Roman" w:cs="Times New Roman" w:eastAsia="Times New Roman" w:hAnsi="Times New Roman"/>
          <w:sz w:val="22"/>
          <w:szCs w:val="22"/>
          <w:color w:val="auto"/>
        </w:rPr>
        <w:t>1071 Camelback Street</w:t>
      </w:r>
    </w:p>
    <w:p>
      <w:pPr>
        <w:ind w:left="5740"/>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ind w:left="5740"/>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ind w:left="5740"/>
        <w:spacing w:after="0" w:line="231" w:lineRule="auto"/>
        <w:rPr>
          <w:sz w:val="20"/>
          <w:szCs w:val="20"/>
          <w:color w:val="auto"/>
        </w:rPr>
      </w:pPr>
      <w:r>
        <w:rPr>
          <w:rFonts w:ascii="Times New Roman" w:cs="Times New Roman" w:eastAsia="Times New Roman" w:hAnsi="Times New Roman"/>
          <w:sz w:val="22"/>
          <w:szCs w:val="22"/>
          <w:color w:val="auto"/>
        </w:rPr>
        <w:t>Telephone No.: [***]</w:t>
      </w:r>
    </w:p>
    <w:p>
      <w:pPr>
        <w:ind w:left="5740"/>
        <w:spacing w:after="0" w:line="230" w:lineRule="auto"/>
        <w:rPr>
          <w:sz w:val="20"/>
          <w:szCs w:val="20"/>
          <w:color w:val="auto"/>
        </w:rPr>
      </w:pPr>
      <w:r>
        <w:rPr>
          <w:rFonts w:ascii="Times New Roman" w:cs="Times New Roman" w:eastAsia="Times New Roman" w:hAnsi="Times New Roman"/>
          <w:sz w:val="22"/>
          <w:szCs w:val="22"/>
          <w:color w:val="auto"/>
        </w:rPr>
        <w:t>Facsimile No.: [***]</w:t>
      </w:r>
    </w:p>
    <w:p>
      <w:pPr>
        <w:ind w:left="5740"/>
        <w:spacing w:after="0"/>
        <w:rPr>
          <w:sz w:val="20"/>
          <w:szCs w:val="20"/>
          <w:color w:val="auto"/>
        </w:rPr>
      </w:pPr>
      <w:r>
        <w:rPr>
          <w:rFonts w:ascii="Times New Roman" w:cs="Times New Roman" w:eastAsia="Times New Roman" w:hAnsi="Times New Roman"/>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1292860</wp:posOffset>
            </wp:positionV>
            <wp:extent cx="715772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89" w:name="page390"/>
    <w:bookmarkEnd w:id="389"/>
    <w:p>
      <w:pPr>
        <w:ind w:left="100"/>
        <w:spacing w:after="0"/>
        <w:rPr>
          <w:sz w:val="20"/>
          <w:szCs w:val="20"/>
          <w:color w:val="auto"/>
        </w:rPr>
      </w:pPr>
      <w:r>
        <w:rPr>
          <w:rFonts w:ascii="Times New Roman" w:cs="Times New Roman" w:eastAsia="Times New Roman" w:hAnsi="Times New Roman"/>
          <w:sz w:val="22"/>
          <w:szCs w:val="22"/>
          <w:color w:val="auto"/>
        </w:rPr>
        <w:t>THE SERVICER</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AND CUSTODIAN: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UNITED AUTO CREDIT CORPORATION</w:t>
      </w:r>
    </w:p>
    <w:p>
      <w:pPr>
        <w:spacing w:after="0" w:line="466" w:lineRule="exact"/>
        <w:rPr>
          <w:sz w:val="20"/>
          <w:szCs w:val="20"/>
          <w:color w:val="auto"/>
        </w:rPr>
      </w:pPr>
    </w:p>
    <w:p>
      <w:pPr>
        <w:sectPr>
          <w:pgSz w:w="11900" w:h="16838" w:orient="portrait"/>
          <w:cols w:equalWidth="0" w:num="2">
            <w:col w:w="4180" w:space="720"/>
            <w:col w:w="6340"/>
          </w:cols>
          <w:pgMar w:left="320" w:top="1420" w:right="339" w:bottom="1440" w:gutter="0" w:footer="0" w:header="0"/>
        </w:sectPr>
      </w:pPr>
    </w:p>
    <w:p>
      <w:pPr>
        <w:spacing w:after="0" w:line="19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 /s/ Ravi R. Gandhi</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 Ravi R. Gandhi</w:t>
      </w:r>
    </w:p>
    <w:p>
      <w:pPr>
        <w:ind w:left="5340"/>
        <w:spacing w:after="0"/>
        <w:rPr>
          <w:sz w:val="20"/>
          <w:szCs w:val="20"/>
          <w:color w:val="auto"/>
        </w:rPr>
      </w:pPr>
      <w:r>
        <w:rPr>
          <w:rFonts w:ascii="Times New Roman" w:cs="Times New Roman" w:eastAsia="Times New Roman" w:hAnsi="Times New Roman"/>
          <w:sz w:val="22"/>
          <w:szCs w:val="22"/>
          <w:color w:val="auto"/>
        </w:rPr>
        <w:t>Title: EVP &amp; CFO</w:t>
      </w:r>
    </w:p>
    <w:p>
      <w:pPr>
        <w:spacing w:after="0" w:line="1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1071 Camelback Street</w:t>
      </w:r>
    </w:p>
    <w:p>
      <w:pPr>
        <w:ind w:left="4900"/>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ind w:left="4900"/>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ind w:left="4900"/>
        <w:spacing w:after="0" w:line="230" w:lineRule="auto"/>
        <w:rPr>
          <w:sz w:val="20"/>
          <w:szCs w:val="20"/>
          <w:color w:val="auto"/>
        </w:rPr>
      </w:pPr>
      <w:r>
        <w:rPr>
          <w:rFonts w:ascii="Times New Roman" w:cs="Times New Roman" w:eastAsia="Times New Roman" w:hAnsi="Times New Roman"/>
          <w:sz w:val="22"/>
          <w:szCs w:val="22"/>
          <w:color w:val="auto"/>
        </w:rPr>
        <w:t>Telephone No.: [***]</w:t>
      </w:r>
    </w:p>
    <w:p>
      <w:pPr>
        <w:ind w:left="4900"/>
        <w:spacing w:after="0" w:line="231" w:lineRule="auto"/>
        <w:rPr>
          <w:sz w:val="20"/>
          <w:szCs w:val="20"/>
          <w:color w:val="auto"/>
        </w:rPr>
      </w:pPr>
      <w:r>
        <w:rPr>
          <w:rFonts w:ascii="Times New Roman" w:cs="Times New Roman" w:eastAsia="Times New Roman" w:hAnsi="Times New Roman"/>
          <w:sz w:val="22"/>
          <w:szCs w:val="22"/>
          <w:color w:val="auto"/>
        </w:rPr>
        <w:t>Facsimile No.: [***]</w:t>
      </w:r>
    </w:p>
    <w:p>
      <w:pPr>
        <w:jc w:val="center"/>
        <w:ind w:right="3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A&amp;R Warehouse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390" w:name="page391"/>
    <w:bookmarkEnd w:id="390"/>
    <w:p>
      <w:pPr>
        <w:ind w:left="100"/>
        <w:spacing w:after="0"/>
        <w:rPr>
          <w:sz w:val="20"/>
          <w:szCs w:val="20"/>
          <w:color w:val="auto"/>
        </w:rPr>
      </w:pPr>
      <w:r>
        <w:rPr>
          <w:rFonts w:ascii="Times New Roman" w:cs="Times New Roman" w:eastAsia="Times New Roman" w:hAnsi="Times New Roman"/>
          <w:sz w:val="20"/>
          <w:szCs w:val="20"/>
          <w:color w:val="auto"/>
        </w:rPr>
        <w:t>THE BACKUP SERVICER</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AND ACCOUNT BANK:</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Times New Roman" w:cs="Times New Roman" w:eastAsia="Times New Roman" w:hAnsi="Times New Roman"/>
          <w:sz w:val="20"/>
          <w:szCs w:val="20"/>
          <w:color w:val="auto"/>
        </w:rPr>
        <w:t>[***], as Backup Servicer and Account Bank</w:t>
      </w:r>
    </w:p>
    <w:p>
      <w:pPr>
        <w:spacing w:after="0" w:line="489" w:lineRule="exact"/>
        <w:rPr>
          <w:sz w:val="20"/>
          <w:szCs w:val="20"/>
          <w:color w:val="auto"/>
        </w:rPr>
      </w:pPr>
    </w:p>
    <w:p>
      <w:pPr>
        <w:sectPr>
          <w:pgSz w:w="11900" w:h="16838" w:orient="portrait"/>
          <w:cols w:equalWidth="0" w:num="2">
            <w:col w:w="4180" w:space="720"/>
            <w:col w:w="6340"/>
          </w:cols>
          <w:pgMar w:left="320" w:top="1420" w:right="339" w:bottom="1440" w:gutter="0" w:footer="0" w:header="0"/>
        </w:sectPr>
      </w:pPr>
    </w:p>
    <w:p>
      <w:pPr>
        <w:spacing w:after="0" w:line="17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 /s/ [***]</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w:t>
      </w:r>
    </w:p>
    <w:p>
      <w:pPr>
        <w:ind w:left="5340"/>
        <w:spacing w:after="0"/>
        <w:rPr>
          <w:sz w:val="20"/>
          <w:szCs w:val="20"/>
          <w:color w:val="auto"/>
        </w:rPr>
      </w:pPr>
      <w:r>
        <w:rPr>
          <w:rFonts w:ascii="Times New Roman" w:cs="Times New Roman" w:eastAsia="Times New Roman" w:hAnsi="Times New Roman"/>
          <w:sz w:val="22"/>
          <w:szCs w:val="22"/>
          <w:color w:val="auto"/>
        </w:rPr>
        <w:t>Title:[***]</w:t>
      </w:r>
    </w:p>
    <w:p>
      <w:pPr>
        <w:spacing w:after="0" w:line="1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A&amp;R Warehouse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391" w:name="page392"/>
    <w:bookmarkEnd w:id="391"/>
    <w:p>
      <w:pPr>
        <w:ind w:left="100"/>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0" w:lineRule="exact"/>
        <w:rPr>
          <w:sz w:val="20"/>
          <w:szCs w:val="20"/>
          <w:color w:val="auto"/>
        </w:rPr>
      </w:pPr>
      <w:r>
        <w:rPr>
          <w:sz w:val="20"/>
          <w:szCs w:val="20"/>
          <w:color w:val="auto"/>
        </w:rPr>
        <w:br w:type="column"/>
      </w:r>
    </w:p>
    <w:p>
      <w:pPr>
        <w:ind w:right="1240"/>
        <w:spacing w:after="0" w:line="258" w:lineRule="auto"/>
        <w:rPr>
          <w:sz w:val="20"/>
          <w:szCs w:val="20"/>
          <w:color w:val="auto"/>
        </w:rPr>
      </w:pPr>
      <w:r>
        <w:rPr>
          <w:rFonts w:ascii="Times New Roman" w:cs="Times New Roman" w:eastAsia="Times New Roman" w:hAnsi="Times New Roman"/>
          <w:sz w:val="22"/>
          <w:szCs w:val="22"/>
          <w:color w:val="auto"/>
        </w:rPr>
        <w:t>WELLS FARGO BANK, NATIONAL ASSOCIATION, as Administrative Agent</w:t>
      </w:r>
    </w:p>
    <w:p>
      <w:pPr>
        <w:spacing w:after="0" w:line="200" w:lineRule="exact"/>
        <w:rPr>
          <w:sz w:val="20"/>
          <w:szCs w:val="20"/>
          <w:color w:val="auto"/>
        </w:rPr>
      </w:pPr>
    </w:p>
    <w:p>
      <w:pPr>
        <w:sectPr>
          <w:pgSz w:w="11900" w:h="16838" w:orient="portrait"/>
          <w:cols w:equalWidth="0" w:num="2">
            <w:col w:w="4180" w:space="720"/>
            <w:col w:w="6340"/>
          </w:cols>
          <w:pgMar w:left="320" w:top="1420" w:right="339" w:bottom="1440" w:gutter="0" w:footer="0" w:header="0"/>
        </w:sectPr>
      </w:pPr>
    </w:p>
    <w:p>
      <w:pPr>
        <w:spacing w:after="0" w:line="38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 /s/ Jeanine C. Casey</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 Jeanine C. Casey</w:t>
      </w:r>
    </w:p>
    <w:p>
      <w:pPr>
        <w:ind w:left="53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Wells Fargo Bank, National Association</w:t>
      </w:r>
    </w:p>
    <w:p>
      <w:pPr>
        <w:ind w:left="4900"/>
        <w:spacing w:after="0" w:line="230" w:lineRule="auto"/>
        <w:rPr>
          <w:sz w:val="20"/>
          <w:szCs w:val="20"/>
          <w:color w:val="auto"/>
        </w:rPr>
      </w:pPr>
      <w:r>
        <w:rPr>
          <w:rFonts w:ascii="Times New Roman" w:cs="Times New Roman" w:eastAsia="Times New Roman" w:hAnsi="Times New Roman"/>
          <w:sz w:val="22"/>
          <w:szCs w:val="22"/>
          <w:color w:val="auto"/>
        </w:rPr>
        <w:t>550 South Tryon Street</w:t>
      </w:r>
    </w:p>
    <w:p>
      <w:pPr>
        <w:ind w:left="4900"/>
        <w:spacing w:after="0" w:line="230" w:lineRule="auto"/>
        <w:rPr>
          <w:sz w:val="20"/>
          <w:szCs w:val="20"/>
          <w:color w:val="auto"/>
        </w:rPr>
      </w:pPr>
      <w:r>
        <w:rPr>
          <w:rFonts w:ascii="Times New Roman" w:cs="Times New Roman" w:eastAsia="Times New Roman" w:hAnsi="Times New Roman"/>
          <w:sz w:val="22"/>
          <w:szCs w:val="22"/>
          <w:color w:val="auto"/>
        </w:rPr>
        <w:t>Charlotte, North Carolina 28202</w:t>
      </w:r>
    </w:p>
    <w:p>
      <w:pPr>
        <w:ind w:left="4900"/>
        <w:spacing w:after="0" w:line="230" w:lineRule="auto"/>
        <w:rPr>
          <w:sz w:val="20"/>
          <w:szCs w:val="20"/>
          <w:color w:val="auto"/>
        </w:rPr>
      </w:pPr>
      <w:r>
        <w:rPr>
          <w:rFonts w:ascii="Times New Roman" w:cs="Times New Roman" w:eastAsia="Times New Roman" w:hAnsi="Times New Roman"/>
          <w:sz w:val="22"/>
          <w:szCs w:val="22"/>
          <w:color w:val="auto"/>
        </w:rPr>
        <w:t>Attention: [***]</w:t>
      </w:r>
    </w:p>
    <w:p>
      <w:pPr>
        <w:ind w:left="4900"/>
        <w:spacing w:after="0" w:line="231" w:lineRule="auto"/>
        <w:rPr>
          <w:sz w:val="20"/>
          <w:szCs w:val="20"/>
          <w:color w:val="auto"/>
        </w:rPr>
      </w:pPr>
      <w:r>
        <w:rPr>
          <w:rFonts w:ascii="Times New Roman" w:cs="Times New Roman" w:eastAsia="Times New Roman" w:hAnsi="Times New Roman"/>
          <w:sz w:val="22"/>
          <w:szCs w:val="22"/>
          <w:color w:val="auto"/>
        </w:rPr>
        <w:t>Facsimile No.: [***]</w:t>
      </w:r>
    </w:p>
    <w:p>
      <w:pPr>
        <w:ind w:left="4900"/>
        <w:spacing w:after="0" w:line="230" w:lineRule="auto"/>
        <w:rPr>
          <w:sz w:val="20"/>
          <w:szCs w:val="20"/>
          <w:color w:val="auto"/>
        </w:rPr>
      </w:pPr>
      <w:r>
        <w:rPr>
          <w:rFonts w:ascii="Times New Roman" w:cs="Times New Roman" w:eastAsia="Times New Roman" w:hAnsi="Times New Roman"/>
          <w:sz w:val="22"/>
          <w:szCs w:val="22"/>
          <w:color w:val="auto"/>
        </w:rPr>
        <w:t>Telephone No.: [***]</w:t>
      </w:r>
    </w:p>
    <w:p>
      <w:pPr>
        <w:ind w:left="49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A&amp;R Warehouse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392" w:name="page393"/>
    <w:bookmarkEnd w:id="392"/>
    <w:p>
      <w:pPr>
        <w:ind w:left="100"/>
        <w:spacing w:after="0"/>
        <w:tabs>
          <w:tab w:leader="none" w:pos="4880" w:val="left"/>
        </w:tabs>
        <w:rPr>
          <w:sz w:val="20"/>
          <w:szCs w:val="20"/>
          <w:color w:val="auto"/>
        </w:rPr>
      </w:pPr>
      <w:r>
        <w:rPr>
          <w:rFonts w:ascii="Times New Roman" w:cs="Times New Roman" w:eastAsia="Times New Roman" w:hAnsi="Times New Roman"/>
          <w:sz w:val="22"/>
          <w:szCs w:val="22"/>
          <w:color w:val="auto"/>
        </w:rPr>
        <w:t>TYPE OF LENDER:</w:t>
      </w:r>
      <w:r>
        <w:rPr>
          <w:sz w:val="20"/>
          <w:szCs w:val="20"/>
          <w:color w:val="auto"/>
        </w:rPr>
        <w:tab/>
      </w:r>
      <w:r>
        <w:rPr>
          <w:rFonts w:ascii="Times New Roman" w:cs="Times New Roman" w:eastAsia="Times New Roman" w:hAnsi="Times New Roman"/>
          <w:sz w:val="20"/>
          <w:szCs w:val="20"/>
          <w:color w:val="auto"/>
        </w:rPr>
        <w:t>WELLS FARGO BANK, NATIONAL ASSOCIATION</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Committed Lender</w:t>
      </w: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By: /s/ Leah W. Miller</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 Leah W. Miller</w:t>
      </w:r>
    </w:p>
    <w:p>
      <w:pPr>
        <w:ind w:left="53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1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Commitment: $200,000,000 (the “Wells Fargo Commitment”).</w:t>
      </w:r>
    </w:p>
    <w:p>
      <w:pPr>
        <w:spacing w:after="0" w:line="205" w:lineRule="exact"/>
        <w:rPr>
          <w:sz w:val="20"/>
          <w:szCs w:val="20"/>
          <w:color w:val="auto"/>
        </w:rPr>
      </w:pPr>
    </w:p>
    <w:p>
      <w:pPr>
        <w:ind w:left="4900" w:right="280"/>
        <w:spacing w:after="0" w:line="307" w:lineRule="auto"/>
        <w:rPr>
          <w:sz w:val="20"/>
          <w:szCs w:val="20"/>
          <w:color w:val="auto"/>
        </w:rPr>
      </w:pPr>
      <w:r>
        <w:rPr>
          <w:rFonts w:ascii="Times New Roman" w:cs="Times New Roman" w:eastAsia="Times New Roman" w:hAnsi="Times New Roman"/>
          <w:sz w:val="20"/>
          <w:szCs w:val="20"/>
          <w:color w:val="auto"/>
        </w:rPr>
        <w:t>Commitment: An amount not to exceed the Wells Fargo Commitment less the Wells Fargo Lender Percentage of the Loans Outstanding.</w:t>
      </w:r>
    </w:p>
    <w:p>
      <w:pPr>
        <w:spacing w:after="0" w:line="14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550 South Tryon Street</w:t>
      </w:r>
    </w:p>
    <w:p>
      <w:pPr>
        <w:spacing w:after="0" w:line="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Charlotte, North Carolina 28202</w:t>
      </w:r>
    </w:p>
    <w:p>
      <w:pPr>
        <w:ind w:left="4900"/>
        <w:spacing w:after="0" w:line="230" w:lineRule="auto"/>
        <w:rPr>
          <w:sz w:val="20"/>
          <w:szCs w:val="20"/>
          <w:color w:val="auto"/>
        </w:rPr>
      </w:pPr>
      <w:r>
        <w:rPr>
          <w:rFonts w:ascii="Times New Roman" w:cs="Times New Roman" w:eastAsia="Times New Roman" w:hAnsi="Times New Roman"/>
          <w:sz w:val="22"/>
          <w:szCs w:val="22"/>
          <w:color w:val="auto"/>
        </w:rPr>
        <w:t>Attention: [***]</w:t>
      </w:r>
    </w:p>
    <w:p>
      <w:pPr>
        <w:ind w:left="4900"/>
        <w:spacing w:after="0" w:line="230" w:lineRule="auto"/>
        <w:rPr>
          <w:sz w:val="20"/>
          <w:szCs w:val="20"/>
          <w:color w:val="auto"/>
        </w:rPr>
      </w:pPr>
      <w:r>
        <w:rPr>
          <w:rFonts w:ascii="Times New Roman" w:cs="Times New Roman" w:eastAsia="Times New Roman" w:hAnsi="Times New Roman"/>
          <w:sz w:val="22"/>
          <w:szCs w:val="22"/>
          <w:color w:val="auto"/>
        </w:rPr>
        <w:t>Facsimile No.: [***]</w:t>
      </w:r>
    </w:p>
    <w:p>
      <w:pPr>
        <w:ind w:left="4900"/>
        <w:spacing w:after="0" w:line="230" w:lineRule="auto"/>
        <w:rPr>
          <w:sz w:val="20"/>
          <w:szCs w:val="20"/>
          <w:color w:val="auto"/>
        </w:rPr>
      </w:pPr>
      <w:r>
        <w:rPr>
          <w:rFonts w:ascii="Times New Roman" w:cs="Times New Roman" w:eastAsia="Times New Roman" w:hAnsi="Times New Roman"/>
          <w:sz w:val="22"/>
          <w:szCs w:val="22"/>
          <w:color w:val="auto"/>
        </w:rPr>
        <w:t>Telephone No.: [***]</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A&amp;R Warehouse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tc>
      </w:tr>
      <w:tr>
        <w:trPr>
          <w:trHeight w:val="700"/>
        </w:trPr>
        <w:tc>
          <w:tcPr>
            <w:tcW w:w="4080" w:type="dxa"/>
            <w:vAlign w:val="bottom"/>
          </w:tcPr>
          <w:p>
            <w:pPr>
              <w:spacing w:after="0"/>
              <w:rPr>
                <w:sz w:val="24"/>
                <w:szCs w:val="24"/>
                <w:color w:val="auto"/>
              </w:rPr>
            </w:pPr>
          </w:p>
        </w:tc>
        <w:tc>
          <w:tcPr>
            <w:tcW w:w="7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SCHEDULE A</w:t>
            </w:r>
          </w:p>
        </w:tc>
      </w:tr>
      <w:tr>
        <w:trPr>
          <w:trHeight w:val="674"/>
        </w:trPr>
        <w:tc>
          <w:tcPr>
            <w:tcW w:w="4080" w:type="dxa"/>
            <w:vAlign w:val="bottom"/>
          </w:tcPr>
          <w:p>
            <w:pPr>
              <w:spacing w:after="0"/>
              <w:rPr>
                <w:sz w:val="24"/>
                <w:szCs w:val="24"/>
                <w:color w:val="auto"/>
              </w:rPr>
            </w:pPr>
          </w:p>
        </w:tc>
        <w:tc>
          <w:tcPr>
            <w:tcW w:w="71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CONDUIT SUPPLEMENT</w:t>
            </w:r>
          </w:p>
        </w:tc>
      </w:tr>
      <w:tr>
        <w:trPr>
          <w:trHeight w:val="688"/>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Lender Group:</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485"/>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Agent:</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446"/>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Address for Notices:</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239"/>
        </w:trPr>
        <w:tc>
          <w:tcPr>
            <w:tcW w:w="4080" w:type="dxa"/>
            <w:vAlign w:val="bottom"/>
          </w:tcPr>
          <w:p>
            <w:pPr>
              <w:spacing w:after="0"/>
              <w:rPr>
                <w:sz w:val="20"/>
                <w:szCs w:val="20"/>
                <w:color w:val="auto"/>
              </w:rPr>
            </w:pPr>
          </w:p>
        </w:tc>
        <w:tc>
          <w:tcPr>
            <w:tcW w:w="7160" w:type="dxa"/>
            <w:vAlign w:val="bottom"/>
          </w:tcPr>
          <w:p>
            <w:pPr>
              <w:ind w:left="1400"/>
              <w:spacing w:after="0" w:line="239" w:lineRule="exact"/>
              <w:rPr>
                <w:sz w:val="20"/>
                <w:szCs w:val="20"/>
                <w:color w:val="auto"/>
              </w:rPr>
            </w:pPr>
            <w:r>
              <w:rPr>
                <w:rFonts w:ascii="Times New Roman" w:cs="Times New Roman" w:eastAsia="Times New Roman" w:hAnsi="Times New Roman"/>
                <w:sz w:val="22"/>
                <w:szCs w:val="22"/>
                <w:color w:val="auto"/>
              </w:rPr>
              <w:t>__________</w:t>
            </w:r>
          </w:p>
        </w:tc>
      </w:tr>
      <w:tr>
        <w:trPr>
          <w:trHeight w:val="247"/>
        </w:trPr>
        <w:tc>
          <w:tcPr>
            <w:tcW w:w="4080" w:type="dxa"/>
            <w:vAlign w:val="bottom"/>
          </w:tcPr>
          <w:p>
            <w:pPr>
              <w:spacing w:after="0"/>
              <w:rPr>
                <w:sz w:val="21"/>
                <w:szCs w:val="21"/>
                <w:color w:val="auto"/>
              </w:rPr>
            </w:pPr>
          </w:p>
        </w:tc>
        <w:tc>
          <w:tcPr>
            <w:tcW w:w="7160" w:type="dxa"/>
            <w:vAlign w:val="bottom"/>
          </w:tcPr>
          <w:p>
            <w:pPr>
              <w:ind w:left="1400"/>
              <w:spacing w:after="0" w:line="247" w:lineRule="exact"/>
              <w:rPr>
                <w:sz w:val="20"/>
                <w:szCs w:val="20"/>
                <w:color w:val="auto"/>
              </w:rPr>
            </w:pPr>
            <w:r>
              <w:rPr>
                <w:rFonts w:ascii="Times New Roman" w:cs="Times New Roman" w:eastAsia="Times New Roman" w:hAnsi="Times New Roman"/>
                <w:sz w:val="22"/>
                <w:szCs w:val="22"/>
                <w:color w:val="auto"/>
              </w:rPr>
              <w:t xml:space="preserve">__________, </w:t>
            </w:r>
            <w:r>
              <w:rPr>
                <w:rFonts w:ascii="Times New Roman" w:cs="Times New Roman" w:eastAsia="Times New Roman" w:hAnsi="Times New Roman"/>
                <w:sz w:val="22"/>
                <w:szCs w:val="22"/>
                <w:b w:val="1"/>
                <w:bCs w:val="1"/>
                <w:color w:val="auto"/>
              </w:rPr>
              <w:t>__________</w:t>
            </w:r>
            <w:r>
              <w:rPr>
                <w:rFonts w:ascii="Times New Roman" w:cs="Times New Roman" w:eastAsia="Times New Roman" w:hAnsi="Times New Roman"/>
                <w:sz w:val="22"/>
                <w:szCs w:val="22"/>
                <w:color w:val="auto"/>
              </w:rPr>
              <w:t xml:space="preserve"> 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Attention: __________</w:t>
            </w:r>
          </w:p>
        </w:tc>
      </w:tr>
      <w:tr>
        <w:trPr>
          <w:trHeight w:val="282"/>
        </w:trPr>
        <w:tc>
          <w:tcPr>
            <w:tcW w:w="408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Facsimile No.: (___) __-____</w:t>
            </w:r>
          </w:p>
        </w:tc>
      </w:tr>
      <w:tr>
        <w:trPr>
          <w:trHeight w:val="446"/>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Wire Information:</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239"/>
        </w:trPr>
        <w:tc>
          <w:tcPr>
            <w:tcW w:w="4080" w:type="dxa"/>
            <w:vAlign w:val="bottom"/>
          </w:tcPr>
          <w:p>
            <w:pPr>
              <w:spacing w:after="0"/>
              <w:rPr>
                <w:sz w:val="20"/>
                <w:szCs w:val="20"/>
                <w:color w:val="auto"/>
              </w:rPr>
            </w:pPr>
          </w:p>
        </w:tc>
        <w:tc>
          <w:tcPr>
            <w:tcW w:w="7160" w:type="dxa"/>
            <w:vAlign w:val="bottom"/>
          </w:tcPr>
          <w:p>
            <w:pPr>
              <w:ind w:left="1400"/>
              <w:spacing w:after="0" w:line="239" w:lineRule="exact"/>
              <w:rPr>
                <w:sz w:val="20"/>
                <w:szCs w:val="20"/>
                <w:color w:val="auto"/>
              </w:rPr>
            </w:pPr>
            <w:r>
              <w:rPr>
                <w:rFonts w:ascii="Times New Roman" w:cs="Times New Roman" w:eastAsia="Times New Roman" w:hAnsi="Times New Roman"/>
                <w:sz w:val="22"/>
                <w:szCs w:val="22"/>
                <w:color w:val="auto"/>
              </w:rPr>
              <w:t>ABA: __________</w:t>
            </w:r>
          </w:p>
        </w:tc>
      </w:tr>
      <w:tr>
        <w:trPr>
          <w:trHeight w:val="247"/>
        </w:trPr>
        <w:tc>
          <w:tcPr>
            <w:tcW w:w="4080" w:type="dxa"/>
            <w:vAlign w:val="bottom"/>
          </w:tcPr>
          <w:p>
            <w:pPr>
              <w:spacing w:after="0"/>
              <w:rPr>
                <w:sz w:val="21"/>
                <w:szCs w:val="21"/>
                <w:color w:val="auto"/>
              </w:rPr>
            </w:pPr>
          </w:p>
        </w:tc>
        <w:tc>
          <w:tcPr>
            <w:tcW w:w="7160" w:type="dxa"/>
            <w:vAlign w:val="bottom"/>
          </w:tcPr>
          <w:p>
            <w:pPr>
              <w:ind w:left="1400"/>
              <w:spacing w:after="0" w:line="247" w:lineRule="exact"/>
              <w:rPr>
                <w:sz w:val="20"/>
                <w:szCs w:val="20"/>
                <w:color w:val="auto"/>
              </w:rPr>
            </w:pPr>
            <w:r>
              <w:rPr>
                <w:rFonts w:ascii="Times New Roman" w:cs="Times New Roman" w:eastAsia="Times New Roman" w:hAnsi="Times New Roman"/>
                <w:sz w:val="22"/>
                <w:szCs w:val="22"/>
                <w:color w:val="auto"/>
              </w:rPr>
              <w:t xml:space="preserve">Account Number: </w:t>
            </w:r>
            <w:r>
              <w:rPr>
                <w:rFonts w:ascii="Times New Roman" w:cs="Times New Roman" w:eastAsia="Times New Roman" w:hAnsi="Times New Roman"/>
                <w:sz w:val="22"/>
                <w:szCs w:val="22"/>
                <w:b w:val="1"/>
                <w:bCs w:val="1"/>
                <w:color w:val="auto"/>
              </w:rPr>
              <w:t>__________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Account Name: __________</w:t>
            </w:r>
          </w:p>
        </w:tc>
      </w:tr>
      <w:tr>
        <w:trPr>
          <w:trHeight w:val="282"/>
        </w:trPr>
        <w:tc>
          <w:tcPr>
            <w:tcW w:w="408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Re: UACC Auto Financing Trust III</w:t>
            </w:r>
          </w:p>
        </w:tc>
      </w:tr>
      <w:tr>
        <w:trPr>
          <w:trHeight w:val="485"/>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Conduit Lender:</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485"/>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Maximum Loan Amount:</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Commitment of __________</w:t>
            </w:r>
          </w:p>
        </w:tc>
      </w:tr>
      <w:tr>
        <w:trPr>
          <w:trHeight w:val="446"/>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Address for Notices and Investing Office:</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c/o __________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__________, __________ 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Attention: __________</w:t>
            </w:r>
          </w:p>
        </w:tc>
      </w:tr>
      <w:tr>
        <w:trPr>
          <w:trHeight w:val="282"/>
        </w:trPr>
        <w:tc>
          <w:tcPr>
            <w:tcW w:w="408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Facsimile No.: (___) __-____</w:t>
            </w:r>
          </w:p>
        </w:tc>
      </w:tr>
      <w:tr>
        <w:trPr>
          <w:trHeight w:val="446"/>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Wire Information:</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ABA: __________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Account Number: __________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Account Name: __________</w:t>
            </w:r>
          </w:p>
        </w:tc>
      </w:tr>
      <w:tr>
        <w:trPr>
          <w:trHeight w:val="282"/>
        </w:trPr>
        <w:tc>
          <w:tcPr>
            <w:tcW w:w="408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Re: UACC Auto Financing Trust III</w:t>
            </w:r>
          </w:p>
        </w:tc>
      </w:tr>
      <w:tr>
        <w:trPr>
          <w:trHeight w:val="485"/>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Liquidity Provider:</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446"/>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Commitment:</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An amount not to exceed $__________ less the __________</w:t>
            </w:r>
          </w:p>
        </w:tc>
      </w:tr>
      <w:tr>
        <w:trPr>
          <w:trHeight w:val="282"/>
        </w:trPr>
        <w:tc>
          <w:tcPr>
            <w:tcW w:w="408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Percentage of the Loans Outstanding</w:t>
            </w:r>
          </w:p>
        </w:tc>
      </w:tr>
      <w:tr>
        <w:trPr>
          <w:trHeight w:val="446"/>
        </w:trPr>
        <w:tc>
          <w:tcPr>
            <w:tcW w:w="4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Address for Notices and Investing Office:</w:t>
            </w: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080" w:type="dxa"/>
            <w:vAlign w:val="bottom"/>
          </w:tcPr>
          <w:p>
            <w:pPr>
              <w:spacing w:after="0"/>
              <w:rPr>
                <w:sz w:val="21"/>
                <w:szCs w:val="21"/>
                <w:color w:val="auto"/>
              </w:rPr>
            </w:pPr>
          </w:p>
        </w:tc>
        <w:tc>
          <w:tcPr>
            <w:tcW w:w="7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82"/>
        </w:trPr>
        <w:tc>
          <w:tcPr>
            <w:tcW w:w="4080" w:type="dxa"/>
            <w:vAlign w:val="bottom"/>
          </w:tcPr>
          <w:p>
            <w:pPr>
              <w:spacing w:after="0"/>
              <w:rPr>
                <w:sz w:val="24"/>
                <w:szCs w:val="24"/>
                <w:color w:val="auto"/>
              </w:rPr>
            </w:pPr>
          </w:p>
        </w:tc>
        <w:tc>
          <w:tcPr>
            <w:tcW w:w="7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__________, __________ _____</w:t>
            </w:r>
          </w:p>
        </w:tc>
      </w:tr>
      <w:tr>
        <w:trPr>
          <w:trHeight w:val="1653"/>
        </w:trPr>
        <w:tc>
          <w:tcPr>
            <w:tcW w:w="40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253"/>
        </w:trPr>
        <w:tc>
          <w:tcPr>
            <w:tcW w:w="3660" w:type="dxa"/>
            <w:vAlign w:val="bottom"/>
          </w:tcPr>
          <w:p>
            <w:pPr>
              <w:spacing w:after="0"/>
              <w:rPr>
                <w:sz w:val="22"/>
                <w:szCs w:val="22"/>
                <w:color w:val="auto"/>
              </w:rPr>
            </w:pPr>
          </w:p>
        </w:tc>
        <w:tc>
          <w:tcPr>
            <w:tcW w:w="7580" w:type="dxa"/>
            <w:vAlign w:val="bottom"/>
            <w:gridSpan w:val="3"/>
          </w:tcPr>
          <w:p>
            <w:pPr>
              <w:ind w:left="1820"/>
              <w:spacing w:after="0"/>
              <w:rPr>
                <w:sz w:val="20"/>
                <w:szCs w:val="20"/>
                <w:color w:val="auto"/>
              </w:rPr>
            </w:pPr>
            <w:r>
              <w:rPr>
                <w:rFonts w:ascii="Times New Roman" w:cs="Times New Roman" w:eastAsia="Times New Roman" w:hAnsi="Times New Roman"/>
                <w:sz w:val="22"/>
                <w:szCs w:val="22"/>
                <w:color w:val="auto"/>
              </w:rPr>
              <w:t xml:space="preserve">Attention: </w:t>
            </w:r>
            <w:r>
              <w:rPr>
                <w:rFonts w:ascii="Times New Roman" w:cs="Times New Roman" w:eastAsia="Times New Roman" w:hAnsi="Times New Roman"/>
                <w:sz w:val="22"/>
                <w:szCs w:val="22"/>
                <w:b w:val="1"/>
                <w:bCs w:val="1"/>
                <w:color w:val="auto"/>
              </w:rPr>
              <w:t>__________</w:t>
            </w: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4"/>
                <w:szCs w:val="24"/>
                <w:color w:val="auto"/>
              </w:rPr>
            </w:pPr>
          </w:p>
        </w:tc>
        <w:tc>
          <w:tcPr>
            <w:tcW w:w="7580" w:type="dxa"/>
            <w:vAlign w:val="bottom"/>
            <w:gridSpan w:val="3"/>
          </w:tcPr>
          <w:p>
            <w:pPr>
              <w:ind w:left="1820"/>
              <w:spacing w:after="0"/>
              <w:rPr>
                <w:sz w:val="20"/>
                <w:szCs w:val="20"/>
                <w:color w:val="auto"/>
              </w:rPr>
            </w:pPr>
            <w:r>
              <w:rPr>
                <w:rFonts w:ascii="Times New Roman" w:cs="Times New Roman" w:eastAsia="Times New Roman" w:hAnsi="Times New Roman"/>
                <w:sz w:val="22"/>
                <w:szCs w:val="22"/>
                <w:color w:val="auto"/>
              </w:rPr>
              <w:t>Facsimile No.: (___) ___-____</w:t>
            </w:r>
          </w:p>
        </w:tc>
        <w:tc>
          <w:tcPr>
            <w:tcW w:w="0" w:type="dxa"/>
            <w:vAlign w:val="bottom"/>
          </w:tcPr>
          <w:p>
            <w:pPr>
              <w:spacing w:after="0"/>
              <w:rPr>
                <w:sz w:val="1"/>
                <w:szCs w:val="1"/>
                <w:color w:val="auto"/>
              </w:rPr>
            </w:pPr>
          </w:p>
        </w:tc>
      </w:tr>
      <w:tr>
        <w:trPr>
          <w:trHeight w:val="442"/>
        </w:trPr>
        <w:tc>
          <w:tcPr>
            <w:tcW w:w="3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Wire Information:</w:t>
            </w:r>
          </w:p>
        </w:tc>
        <w:tc>
          <w:tcPr>
            <w:tcW w:w="5300" w:type="dxa"/>
            <w:vAlign w:val="bottom"/>
            <w:gridSpan w:val="2"/>
          </w:tcPr>
          <w:p>
            <w:pPr>
              <w:ind w:left="1820"/>
              <w:spacing w:after="0"/>
              <w:rPr>
                <w:sz w:val="20"/>
                <w:szCs w:val="20"/>
                <w:color w:val="auto"/>
              </w:rPr>
            </w:pPr>
            <w:r>
              <w:rPr>
                <w:rFonts w:ascii="Times New Roman" w:cs="Times New Roman" w:eastAsia="Times New Roman" w:hAnsi="Times New Roman"/>
                <w:sz w:val="22"/>
                <w:szCs w:val="22"/>
                <w:b w:val="1"/>
                <w:bCs w:val="1"/>
                <w:color w:val="auto"/>
              </w:rPr>
              <w:t>__________</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660" w:type="dxa"/>
            <w:vAlign w:val="bottom"/>
          </w:tcPr>
          <w:p>
            <w:pPr>
              <w:spacing w:after="0"/>
              <w:rPr>
                <w:sz w:val="21"/>
                <w:szCs w:val="21"/>
                <w:color w:val="auto"/>
              </w:rPr>
            </w:pPr>
          </w:p>
        </w:tc>
        <w:tc>
          <w:tcPr>
            <w:tcW w:w="7580" w:type="dxa"/>
            <w:vAlign w:val="bottom"/>
            <w:gridSpan w:val="3"/>
          </w:tcPr>
          <w:p>
            <w:pPr>
              <w:ind w:left="1820"/>
              <w:spacing w:after="0" w:line="247" w:lineRule="exact"/>
              <w:rPr>
                <w:sz w:val="20"/>
                <w:szCs w:val="20"/>
                <w:color w:val="auto"/>
              </w:rPr>
            </w:pPr>
            <w:r>
              <w:rPr>
                <w:rFonts w:ascii="Times New Roman" w:cs="Times New Roman" w:eastAsia="Times New Roman" w:hAnsi="Times New Roman"/>
                <w:sz w:val="22"/>
                <w:szCs w:val="22"/>
                <w:color w:val="auto"/>
              </w:rPr>
              <w:t xml:space="preserve">ABA: </w:t>
            </w:r>
            <w:r>
              <w:rPr>
                <w:rFonts w:ascii="Times New Roman" w:cs="Times New Roman" w:eastAsia="Times New Roman" w:hAnsi="Times New Roman"/>
                <w:sz w:val="22"/>
                <w:szCs w:val="22"/>
                <w:b w:val="1"/>
                <w:bCs w:val="1"/>
                <w:color w:val="auto"/>
              </w:rPr>
              <w:t>__________</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p>
        </w:tc>
        <w:tc>
          <w:tcPr>
            <w:tcW w:w="7580" w:type="dxa"/>
            <w:vAlign w:val="bottom"/>
            <w:gridSpan w:val="3"/>
          </w:tcPr>
          <w:p>
            <w:pPr>
              <w:ind w:left="1820"/>
              <w:spacing w:after="0" w:line="239" w:lineRule="exact"/>
              <w:rPr>
                <w:sz w:val="20"/>
                <w:szCs w:val="20"/>
                <w:color w:val="auto"/>
              </w:rPr>
            </w:pPr>
            <w:r>
              <w:rPr>
                <w:rFonts w:ascii="Times New Roman" w:cs="Times New Roman" w:eastAsia="Times New Roman" w:hAnsi="Times New Roman"/>
                <w:sz w:val="22"/>
                <w:szCs w:val="22"/>
                <w:color w:val="auto"/>
              </w:rPr>
              <w:t>Account Number: __________</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 xml:space="preserve">Account Name: </w:t>
            </w:r>
            <w:r>
              <w:rPr>
                <w:rFonts w:ascii="Times New Roman" w:cs="Times New Roman" w:eastAsia="Times New Roman" w:hAnsi="Times New Roman"/>
                <w:sz w:val="22"/>
                <w:szCs w:val="22"/>
                <w:b w:val="1"/>
                <w:bCs w:val="1"/>
                <w:color w:val="auto"/>
              </w:rPr>
              <w:t>__________</w:t>
            </w:r>
          </w:p>
        </w:tc>
        <w:tc>
          <w:tcPr>
            <w:tcW w:w="0" w:type="dxa"/>
            <w:vAlign w:val="bottom"/>
          </w:tcPr>
          <w:p>
            <w:pPr>
              <w:spacing w:after="0"/>
              <w:rPr>
                <w:sz w:val="1"/>
                <w:szCs w:val="1"/>
                <w:color w:val="auto"/>
              </w:rPr>
            </w:pPr>
          </w:p>
        </w:tc>
      </w:tr>
      <w:tr>
        <w:trPr>
          <w:trHeight w:val="247"/>
        </w:trPr>
        <w:tc>
          <w:tcPr>
            <w:tcW w:w="3660" w:type="dxa"/>
            <w:vAlign w:val="bottom"/>
          </w:tcPr>
          <w:p>
            <w:pPr>
              <w:spacing w:after="0"/>
              <w:rPr>
                <w:sz w:val="21"/>
                <w:szCs w:val="21"/>
                <w:color w:val="auto"/>
              </w:rPr>
            </w:pPr>
          </w:p>
        </w:tc>
        <w:tc>
          <w:tcPr>
            <w:tcW w:w="7580" w:type="dxa"/>
            <w:vAlign w:val="bottom"/>
            <w:gridSpan w:val="3"/>
          </w:tcPr>
          <w:p>
            <w:pPr>
              <w:ind w:left="1820"/>
              <w:spacing w:after="0" w:line="247" w:lineRule="exact"/>
              <w:rPr>
                <w:sz w:val="20"/>
                <w:szCs w:val="20"/>
                <w:color w:val="auto"/>
              </w:rPr>
            </w:pPr>
            <w:r>
              <w:rPr>
                <w:rFonts w:ascii="Times New Roman" w:cs="Times New Roman" w:eastAsia="Times New Roman" w:hAnsi="Times New Roman"/>
                <w:sz w:val="22"/>
                <w:szCs w:val="22"/>
                <w:color w:val="auto"/>
              </w:rPr>
              <w:t xml:space="preserve">Attn: </w:t>
            </w:r>
            <w:r>
              <w:rPr>
                <w:rFonts w:ascii="Times New Roman" w:cs="Times New Roman" w:eastAsia="Times New Roman" w:hAnsi="Times New Roman"/>
                <w:sz w:val="22"/>
                <w:szCs w:val="22"/>
                <w:b w:val="1"/>
                <w:bCs w:val="1"/>
                <w:color w:val="auto"/>
              </w:rPr>
              <w:t>__________</w:t>
            </w: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4"/>
                <w:szCs w:val="24"/>
                <w:color w:val="auto"/>
              </w:rPr>
            </w:pPr>
          </w:p>
        </w:tc>
        <w:tc>
          <w:tcPr>
            <w:tcW w:w="7580" w:type="dxa"/>
            <w:vAlign w:val="bottom"/>
            <w:gridSpan w:val="3"/>
          </w:tcPr>
          <w:p>
            <w:pPr>
              <w:ind w:left="1820"/>
              <w:spacing w:after="0"/>
              <w:rPr>
                <w:sz w:val="20"/>
                <w:szCs w:val="20"/>
                <w:color w:val="auto"/>
              </w:rPr>
            </w:pPr>
            <w:r>
              <w:rPr>
                <w:rFonts w:ascii="Times New Roman" w:cs="Times New Roman" w:eastAsia="Times New Roman" w:hAnsi="Times New Roman"/>
                <w:sz w:val="22"/>
                <w:szCs w:val="22"/>
                <w:color w:val="auto"/>
              </w:rPr>
              <w:t>Re: UACC Auto Financing Trust III</w:t>
            </w:r>
          </w:p>
        </w:tc>
        <w:tc>
          <w:tcPr>
            <w:tcW w:w="0" w:type="dxa"/>
            <w:vAlign w:val="bottom"/>
          </w:tcPr>
          <w:p>
            <w:pPr>
              <w:spacing w:after="0"/>
              <w:rPr>
                <w:sz w:val="1"/>
                <w:szCs w:val="1"/>
                <w:color w:val="auto"/>
              </w:rPr>
            </w:pPr>
          </w:p>
        </w:tc>
      </w:tr>
      <w:tr>
        <w:trPr>
          <w:trHeight w:val="433"/>
        </w:trPr>
        <w:tc>
          <w:tcPr>
            <w:tcW w:w="3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“Cost of Funds Rate”:</w:t>
            </w:r>
          </w:p>
        </w:tc>
        <w:tc>
          <w:tcPr>
            <w:tcW w:w="7580" w:type="dxa"/>
            <w:vAlign w:val="bottom"/>
            <w:gridSpan w:val="3"/>
          </w:tcPr>
          <w:p>
            <w:pPr>
              <w:ind w:left="1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 be revised for each Lender Group</w:t>
            </w:r>
            <w:r>
              <w:rPr>
                <w:rFonts w:ascii="Times New Roman" w:cs="Times New Roman" w:eastAsia="Times New Roman" w:hAnsi="Times New Roman"/>
                <w:sz w:val="22"/>
                <w:szCs w:val="22"/>
                <w:color w:val="auto"/>
              </w:rPr>
              <w:t>] For __________</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Interest Period, (a) to the</w:t>
            </w:r>
          </w:p>
        </w:tc>
        <w:tc>
          <w:tcPr>
            <w:tcW w:w="0" w:type="dxa"/>
            <w:vAlign w:val="bottom"/>
          </w:tcPr>
          <w:p>
            <w:pPr>
              <w:spacing w:after="0" w:line="20" w:lineRule="exact"/>
              <w:rPr>
                <w:sz w:val="1"/>
                <w:szCs w:val="1"/>
                <w:color w:val="auto"/>
              </w:rPr>
            </w:pPr>
          </w:p>
        </w:tc>
      </w:tr>
      <w:tr>
        <w:trPr>
          <w:trHeight w:val="236"/>
        </w:trPr>
        <w:tc>
          <w:tcPr>
            <w:tcW w:w="3660" w:type="dxa"/>
            <w:vAlign w:val="bottom"/>
          </w:tcPr>
          <w:p>
            <w:pPr>
              <w:spacing w:after="0"/>
              <w:rPr>
                <w:sz w:val="20"/>
                <w:szCs w:val="20"/>
                <w:color w:val="auto"/>
              </w:rPr>
            </w:pPr>
          </w:p>
        </w:tc>
        <w:tc>
          <w:tcPr>
            <w:tcW w:w="5300" w:type="dxa"/>
            <w:vAlign w:val="bottom"/>
            <w:gridSpan w:val="2"/>
          </w:tcPr>
          <w:p>
            <w:pPr>
              <w:ind w:left="1820"/>
              <w:spacing w:after="0" w:line="236" w:lineRule="exact"/>
              <w:rPr>
                <w:sz w:val="20"/>
                <w:szCs w:val="20"/>
                <w:color w:val="auto"/>
              </w:rPr>
            </w:pPr>
            <w:r>
              <w:rPr>
                <w:rFonts w:ascii="Times New Roman" w:cs="Times New Roman" w:eastAsia="Times New Roman" w:hAnsi="Times New Roman"/>
                <w:sz w:val="22"/>
                <w:szCs w:val="22"/>
                <w:color w:val="auto"/>
                <w:w w:val="98"/>
              </w:rPr>
              <w:t>(“____”) means, for any day during any</w:t>
            </w: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extent ____ funds its Invested Percentage of the Loans on such</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day with outstanding Commercial Paper Notes, the per annum</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rate equivalent to the weighted average of the per annum rates</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paid or payable by ____ from time to time as interest on or</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otherwise (by means of interest rate hedges or otherwise taking</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into consideration any incremental carrying costs associated with</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short-term promissory notes issued by ____ maturing on dates</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other than those certain dates on which ____ is to receive funds)</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in respect of the promissory notes issued by ____ that are</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allocated, in whole or in part, by __________ (the “Agent”) (on</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behalf of ____) to fund or maintain any portion of the Loans</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Outstanding during such period, as determined by the Agent (on</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behalf of ____) and reported to the Borrower, which rates shall</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w w:val="99"/>
              </w:rPr>
              <w:t>reflect and give effect to (i) the commissions of placement agents</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and dealers in respect of such promissory notes, to the extent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such commissions are allocated, in whole or in part, to such</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promissory notes by the Agent (on behalf of ____) and (ii) other</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w w:val="99"/>
              </w:rPr>
              <w:t>borrowings by ____, including, without limitation, borrowings to</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fund small or odd dollar amounts that are not easily</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accommodated in the commercial paper market; provided,</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however, that if any component of such rate is a discount rate, in</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calculating the Cost of Funds Rate, the Agent shall for such</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7580" w:type="dxa"/>
            <w:vAlign w:val="bottom"/>
            <w:gridSpan w:val="3"/>
          </w:tcPr>
          <w:p>
            <w:pPr>
              <w:ind w:left="1820"/>
              <w:spacing w:after="0" w:line="243" w:lineRule="exact"/>
              <w:rPr>
                <w:sz w:val="20"/>
                <w:szCs w:val="20"/>
                <w:color w:val="auto"/>
              </w:rPr>
            </w:pPr>
            <w:r>
              <w:rPr>
                <w:rFonts w:ascii="Times New Roman" w:cs="Times New Roman" w:eastAsia="Times New Roman" w:hAnsi="Times New Roman"/>
                <w:sz w:val="22"/>
                <w:szCs w:val="22"/>
                <w:color w:val="auto"/>
              </w:rPr>
              <w:t>component use the rate resulting from converting such discount</w:t>
            </w: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4"/>
                <w:szCs w:val="24"/>
                <w:color w:val="auto"/>
              </w:rPr>
            </w:pPr>
          </w:p>
        </w:tc>
        <w:tc>
          <w:tcPr>
            <w:tcW w:w="7580" w:type="dxa"/>
            <w:vAlign w:val="bottom"/>
            <w:gridSpan w:val="3"/>
          </w:tcPr>
          <w:p>
            <w:pPr>
              <w:ind w:left="1820"/>
              <w:spacing w:after="0"/>
              <w:rPr>
                <w:sz w:val="20"/>
                <w:szCs w:val="20"/>
                <w:color w:val="auto"/>
              </w:rPr>
            </w:pPr>
            <w:r>
              <w:rPr>
                <w:rFonts w:ascii="Times New Roman" w:cs="Times New Roman" w:eastAsia="Times New Roman" w:hAnsi="Times New Roman"/>
                <w:sz w:val="22"/>
                <w:szCs w:val="22"/>
                <w:color w:val="auto"/>
              </w:rPr>
              <w:t>rate to an interest</w:t>
            </w:r>
          </w:p>
        </w:tc>
        <w:tc>
          <w:tcPr>
            <w:tcW w:w="0" w:type="dxa"/>
            <w:vAlign w:val="bottom"/>
          </w:tcPr>
          <w:p>
            <w:pPr>
              <w:spacing w:after="0"/>
              <w:rPr>
                <w:sz w:val="1"/>
                <w:szCs w:val="1"/>
                <w:color w:val="auto"/>
              </w:rPr>
            </w:pPr>
          </w:p>
        </w:tc>
      </w:tr>
      <w:tr>
        <w:trPr>
          <w:trHeight w:val="526"/>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300213599v4</w:t>
            </w:r>
          </w:p>
        </w:tc>
        <w:tc>
          <w:tcPr>
            <w:tcW w:w="7580" w:type="dxa"/>
            <w:vAlign w:val="bottom"/>
            <w:gridSpan w:val="3"/>
          </w:tcPr>
          <w:p>
            <w:pPr>
              <w:ind w:left="1620"/>
              <w:spacing w:after="0"/>
              <w:rPr>
                <w:sz w:val="20"/>
                <w:szCs w:val="20"/>
                <w:color w:val="auto"/>
              </w:rPr>
            </w:pPr>
            <w:r>
              <w:rPr>
                <w:rFonts w:ascii="Times New Roman" w:cs="Times New Roman" w:eastAsia="Times New Roman" w:hAnsi="Times New Roman"/>
                <w:sz w:val="22"/>
                <w:szCs w:val="22"/>
                <w:color w:val="auto"/>
              </w:rPr>
              <w:t>SA-148</w:t>
            </w:r>
          </w:p>
        </w:tc>
        <w:tc>
          <w:tcPr>
            <w:tcW w:w="0" w:type="dxa"/>
            <w:vAlign w:val="bottom"/>
          </w:tcPr>
          <w:p>
            <w:pPr>
              <w:spacing w:after="0"/>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9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4"/>
        </w:trPr>
        <w:tc>
          <w:tcPr>
            <w:tcW w:w="36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95" w:name="page396"/>
    <w:bookmarkEnd w:id="395"/>
    <w:p>
      <w:pPr>
        <w:ind w:left="5480"/>
        <w:spacing w:after="0"/>
        <w:rPr>
          <w:sz w:val="20"/>
          <w:szCs w:val="20"/>
          <w:color w:val="auto"/>
        </w:rPr>
      </w:pPr>
      <w:r>
        <w:rPr>
          <w:rFonts w:ascii="Times New Roman" w:cs="Times New Roman" w:eastAsia="Times New Roman" w:hAnsi="Times New Roman"/>
          <w:sz w:val="20"/>
          <w:szCs w:val="20"/>
          <w:color w:val="auto"/>
        </w:rPr>
        <w:t>bearing equivalent rate per annum, and (b) otherwise, the</w:t>
      </w:r>
    </w:p>
    <w:p>
      <w:pPr>
        <w:spacing w:after="0" w:line="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Alternative Rate.</w:t>
      </w:r>
    </w:p>
    <w:p>
      <w:pPr>
        <w:spacing w:after="0" w:line="200" w:lineRule="exact"/>
        <w:rPr>
          <w:sz w:val="20"/>
          <w:szCs w:val="20"/>
          <w:color w:val="auto"/>
        </w:rPr>
      </w:pPr>
    </w:p>
    <w:p>
      <w:pPr>
        <w:spacing w:after="0" w:line="26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SA-149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420" w:right="115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ELIGIBLE RECEIVABLE CRITERIA</w:t>
      </w:r>
    </w:p>
    <w:p>
      <w:pPr>
        <w:spacing w:after="0" w:line="31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An “Eligible Receivable” means, with respect to all Receivables, a Receivable as to which all of the following conditions are satisfied:</w:t>
      </w:r>
    </w:p>
    <w:p>
      <w:pPr>
        <w:spacing w:after="0" w:line="157" w:lineRule="exact"/>
        <w:rPr>
          <w:sz w:val="20"/>
          <w:szCs w:val="20"/>
          <w:color w:val="auto"/>
        </w:rPr>
      </w:pPr>
    </w:p>
    <w:p>
      <w:pPr>
        <w:ind w:left="760" w:right="60" w:firstLine="745"/>
        <w:spacing w:after="0" w:line="307" w:lineRule="auto"/>
        <w:tabs>
          <w:tab w:leader="none" w:pos="194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payable in Dollars in the United States and with respect to which, at the time of origination, the related Obligor provided as its most recent billing address an address located in the United States or one of its territories;</w:t>
      </w:r>
    </w:p>
    <w:p>
      <w:pPr>
        <w:spacing w:after="0" w:line="112" w:lineRule="exact"/>
        <w:rPr>
          <w:rFonts w:ascii="Times New Roman" w:cs="Times New Roman" w:eastAsia="Times New Roman" w:hAnsi="Times New Roman"/>
          <w:sz w:val="20"/>
          <w:szCs w:val="20"/>
          <w:color w:val="auto"/>
        </w:rPr>
      </w:pPr>
    </w:p>
    <w:p>
      <w:pPr>
        <w:ind w:left="760" w:right="220" w:firstLine="745"/>
        <w:spacing w:after="0" w:line="307" w:lineRule="auto"/>
        <w:tabs>
          <w:tab w:leader="none" w:pos="194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the related Obligor is not an Affiliate of the Originator, the U.S. government or any State or any agency, department or instrumentality of the U.S. government or any State or other government entity;</w:t>
      </w:r>
    </w:p>
    <w:p>
      <w:pPr>
        <w:spacing w:after="0" w:line="112" w:lineRule="exact"/>
        <w:rPr>
          <w:rFonts w:ascii="Times New Roman" w:cs="Times New Roman" w:eastAsia="Times New Roman" w:hAnsi="Times New Roman"/>
          <w:sz w:val="20"/>
          <w:szCs w:val="20"/>
          <w:color w:val="auto"/>
        </w:rPr>
      </w:pPr>
    </w:p>
    <w:p>
      <w:pPr>
        <w:ind w:left="760" w:right="300" w:firstLine="745"/>
        <w:spacing w:after="0" w:line="244" w:lineRule="auto"/>
        <w:tabs>
          <w:tab w:leader="none" w:pos="1940"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if the primary Obligor has a credit bureau score obtained from Fair-Isaacs Corporation, Experian, Equifax of TransUnion LLC, the score is at least [***] and the weighted average credit bureau score (for non-zero scores) of all Obligors of Eligible Receivables is not less than [***];</w:t>
      </w:r>
    </w:p>
    <w:p>
      <w:pPr>
        <w:spacing w:after="0" w:line="172" w:lineRule="exact"/>
        <w:rPr>
          <w:rFonts w:ascii="Times New Roman" w:cs="Times New Roman" w:eastAsia="Times New Roman" w:hAnsi="Times New Roman"/>
          <w:sz w:val="22"/>
          <w:szCs w:val="22"/>
          <w:color w:val="auto"/>
        </w:rPr>
      </w:pPr>
    </w:p>
    <w:p>
      <w:pPr>
        <w:ind w:left="760" w:right="480" w:firstLine="745"/>
        <w:spacing w:after="0" w:line="258" w:lineRule="auto"/>
        <w:tabs>
          <w:tab w:leader="none" w:pos="1940"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an original Principal Balance of not more than $[***] and the related Obligor is required to make payments to the Post Office Boxes or the Local Bank Account under the control of the Servicer;</w:t>
      </w:r>
    </w:p>
    <w:p>
      <w:pPr>
        <w:spacing w:after="0" w:line="157" w:lineRule="exact"/>
        <w:rPr>
          <w:rFonts w:ascii="Times New Roman" w:cs="Times New Roman" w:eastAsia="Times New Roman" w:hAnsi="Times New Roman"/>
          <w:sz w:val="22"/>
          <w:szCs w:val="22"/>
          <w:color w:val="auto"/>
        </w:rPr>
      </w:pPr>
    </w:p>
    <w:p>
      <w:pPr>
        <w:ind w:left="760" w:right="20" w:firstLine="745"/>
        <w:spacing w:after="0" w:line="239" w:lineRule="auto"/>
        <w:tabs>
          <w:tab w:leader="none" w:pos="1940"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 first Scheduled Payment due no more than [***]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a Defaulted Receivable (a) at the time such Receivable first becomes part of the Collateral or</w:t>
      </w:r>
    </w:p>
    <w:p>
      <w:pPr>
        <w:spacing w:after="0" w:line="36" w:lineRule="exact"/>
        <w:rPr>
          <w:rFonts w:ascii="Times New Roman" w:cs="Times New Roman" w:eastAsia="Times New Roman" w:hAnsi="Times New Roman"/>
          <w:sz w:val="20"/>
          <w:szCs w:val="20"/>
          <w:color w:val="auto"/>
        </w:rPr>
      </w:pPr>
    </w:p>
    <w:p>
      <w:pPr>
        <w:ind w:left="1060" w:hanging="303"/>
        <w:spacing w:after="0"/>
        <w:tabs>
          <w:tab w:leader="none" w:pos="1060"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related Cutoff Date;</w:t>
      </w:r>
    </w:p>
    <w:p>
      <w:pPr>
        <w:spacing w:after="0" w:line="181"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no more than [***]% of any related Scheduled Payment is more than [***]days past due at the time such Receivable first becomes part of the Collateral;</w:t>
      </w:r>
    </w:p>
    <w:p>
      <w:pPr>
        <w:spacing w:after="0" w:line="157" w:lineRule="exact"/>
        <w:rPr>
          <w:rFonts w:ascii="Times New Roman" w:cs="Times New Roman" w:eastAsia="Times New Roman" w:hAnsi="Times New Roman"/>
          <w:sz w:val="22"/>
          <w:szCs w:val="22"/>
          <w:color w:val="auto"/>
        </w:rPr>
      </w:pPr>
    </w:p>
    <w:p>
      <w:pPr>
        <w:ind w:left="760" w:right="120" w:firstLine="745"/>
        <w:spacing w:after="0" w:line="237" w:lineRule="auto"/>
        <w:tabs>
          <w:tab w:leader="none" w:pos="2372"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sold and originated in the United States in the ordinary course of the Originator’s business pursuant to a transaction constituting a bona fide sale, which was created as a result of an advance by the Originator in the ordinary course of its business, directly to or for the benefit of an Obligor for the purchase or refinancing of the Financed Vehicle and which, to the best of the Borrower’s knowledge, was originated without fraud or misrepresentation;</w:t>
      </w:r>
    </w:p>
    <w:p>
      <w:pPr>
        <w:spacing w:after="0" w:line="180" w:lineRule="exact"/>
        <w:rPr>
          <w:rFonts w:ascii="Times New Roman" w:cs="Times New Roman" w:eastAsia="Times New Roman" w:hAnsi="Times New Roman"/>
          <w:sz w:val="22"/>
          <w:szCs w:val="22"/>
          <w:color w:val="auto"/>
        </w:rPr>
      </w:pPr>
    </w:p>
    <w:p>
      <w:pPr>
        <w:jc w:val="both"/>
        <w:ind w:left="760" w:right="240" w:firstLine="745"/>
        <w:spacing w:after="0" w:line="244" w:lineRule="auto"/>
        <w:tabs>
          <w:tab w:leader="none" w:pos="1940" w:val="left"/>
        </w:tabs>
        <w:numPr>
          <w:ilvl w:val="1"/>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satisfies in all material respects the requirements of the Credit and Collection Policy as in effect as of the related Cutoff Date, was underwritten by the Originator in accordance with the Credit and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97" w:name="page398"/>
    <w:bookmarkEnd w:id="397"/>
    <w:p>
      <w:pPr>
        <w:ind w:left="760" w:right="1020"/>
        <w:spacing w:after="0" w:line="258" w:lineRule="auto"/>
        <w:rPr>
          <w:sz w:val="20"/>
          <w:szCs w:val="20"/>
          <w:color w:val="auto"/>
        </w:rPr>
      </w:pPr>
      <w:r>
        <w:rPr>
          <w:rFonts w:ascii="Times New Roman" w:cs="Times New Roman" w:eastAsia="Times New Roman" w:hAnsi="Times New Roman"/>
          <w:sz w:val="22"/>
          <w:szCs w:val="22"/>
          <w:color w:val="auto"/>
        </w:rPr>
        <w:t>Policy, which shall have complied with, at the time of its origination, and shall remain in compliance with, all Requirements of Law, including all consumer protection laws;</w:t>
      </w:r>
    </w:p>
    <w:p>
      <w:pPr>
        <w:spacing w:after="0" w:line="157" w:lineRule="exact"/>
        <w:rPr>
          <w:sz w:val="20"/>
          <w:szCs w:val="20"/>
          <w:color w:val="auto"/>
        </w:rPr>
      </w:pPr>
    </w:p>
    <w:p>
      <w:pPr>
        <w:ind w:left="760" w:right="100" w:firstLine="745"/>
        <w:spacing w:after="0" w:line="239" w:lineRule="auto"/>
        <w:tabs>
          <w:tab w:leader="none" w:pos="194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Borrower will have good and marketable title thereto and as to which there is no Lien (other than Liens arising pursuant to the related Receivable) against the related Financed Vehicle, and as to which at any time, the Administrative Agent, for the benefit of the Secured Parties, shall have a valid and perfected first priority security interest, free and clear of all Liens and rights of others;</w:t>
      </w:r>
    </w:p>
    <w:p>
      <w:pPr>
        <w:spacing w:after="0" w:line="178" w:lineRule="exact"/>
        <w:rPr>
          <w:rFonts w:ascii="Times New Roman" w:cs="Times New Roman" w:eastAsia="Times New Roman" w:hAnsi="Times New Roman"/>
          <w:sz w:val="22"/>
          <w:szCs w:val="22"/>
          <w:color w:val="auto"/>
        </w:rPr>
      </w:pPr>
    </w:p>
    <w:p>
      <w:pPr>
        <w:ind w:left="760" w:right="160" w:firstLine="745"/>
        <w:spacing w:after="0" w:line="239" w:lineRule="auto"/>
        <w:tabs>
          <w:tab w:leader="none" w:pos="194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 of no fewer than [***] months and no more than [***] months;</w:t>
      </w:r>
    </w:p>
    <w:p>
      <w:pPr>
        <w:spacing w:after="0" w:line="178" w:lineRule="exact"/>
        <w:rPr>
          <w:rFonts w:ascii="Times New Roman" w:cs="Times New Roman" w:eastAsia="Times New Roman" w:hAnsi="Times New Roman"/>
          <w:sz w:val="22"/>
          <w:szCs w:val="22"/>
          <w:color w:val="auto"/>
        </w:rPr>
      </w:pPr>
    </w:p>
    <w:p>
      <w:pPr>
        <w:ind w:left="760" w:right="420" w:firstLine="745"/>
        <w:spacing w:after="0" w:line="244" w:lineRule="auto"/>
        <w:tabs>
          <w:tab w:leader="none" w:pos="194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in the event that such Receivable is prepaid by the Obligor, a prepayment that fully pays the Principal Balance of such Receivable and any interest accrued at the related APR through the date of prepayment;</w:t>
      </w:r>
    </w:p>
    <w:p>
      <w:pPr>
        <w:spacing w:after="0" w:line="172" w:lineRule="exact"/>
        <w:rPr>
          <w:rFonts w:ascii="Times New Roman" w:cs="Times New Roman" w:eastAsia="Times New Roman" w:hAnsi="Times New Roman"/>
          <w:sz w:val="22"/>
          <w:szCs w:val="22"/>
          <w:color w:val="auto"/>
        </w:rPr>
      </w:pPr>
    </w:p>
    <w:p>
      <w:pPr>
        <w:ind w:left="760" w:right="100" w:firstLine="745"/>
        <w:spacing w:after="0" w:line="244" w:lineRule="auto"/>
        <w:tabs>
          <w:tab w:leader="none" w:pos="2372"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originated in the United States by the Originator a Dealer approved by the Originator and which was sold to the Originator pursuant to a Dealer Agreement and sold to the Borrower by the Originator pursuant to the Purchase Agreement;</w:t>
      </w:r>
    </w:p>
    <w:p>
      <w:pPr>
        <w:spacing w:after="0" w:line="172" w:lineRule="exact"/>
        <w:rPr>
          <w:rFonts w:ascii="Times New Roman" w:cs="Times New Roman" w:eastAsia="Times New Roman" w:hAnsi="Times New Roman"/>
          <w:sz w:val="22"/>
          <w:szCs w:val="22"/>
          <w:color w:val="auto"/>
        </w:rPr>
      </w:pPr>
    </w:p>
    <w:p>
      <w:pPr>
        <w:ind w:left="760" w:firstLine="745"/>
        <w:spacing w:after="0" w:line="271" w:lineRule="auto"/>
        <w:tabs>
          <w:tab w:leader="none" w:pos="2372"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a commercial vehicle weighing over two tons, designated for racing, modified for use as a public delivery vehicle or any other commercial use.</w:t>
      </w:r>
    </w:p>
    <w:p>
      <w:pPr>
        <w:spacing w:after="0" w:line="147" w:lineRule="exact"/>
        <w:rPr>
          <w:rFonts w:ascii="Times New Roman" w:cs="Times New Roman" w:eastAsia="Times New Roman" w:hAnsi="Times New Roman"/>
          <w:sz w:val="20"/>
          <w:szCs w:val="20"/>
          <w:color w:val="auto"/>
        </w:rPr>
      </w:pPr>
    </w:p>
    <w:p>
      <w:pPr>
        <w:ind w:left="760" w:right="340" w:firstLine="745"/>
        <w:spacing w:after="0" w:line="244" w:lineRule="auto"/>
        <w:tabs>
          <w:tab w:leader="none" w:pos="194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spacing w:after="0" w:line="172" w:lineRule="exact"/>
        <w:rPr>
          <w:rFonts w:ascii="Times New Roman" w:cs="Times New Roman" w:eastAsia="Times New Roman" w:hAnsi="Times New Roman"/>
          <w:sz w:val="22"/>
          <w:szCs w:val="22"/>
          <w:color w:val="auto"/>
        </w:rPr>
      </w:pPr>
    </w:p>
    <w:p>
      <w:pPr>
        <w:ind w:left="760" w:right="540" w:firstLine="745"/>
        <w:spacing w:after="0" w:line="258" w:lineRule="auto"/>
        <w:tabs>
          <w:tab w:leader="none" w:pos="2372"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which with the proceeds of Commercial Paper Notes would constitute a “current transaction” within the meaning of Section 3(a)(3) of the Securities Act;</w:t>
      </w:r>
    </w:p>
    <w:p>
      <w:pPr>
        <w:spacing w:after="0" w:line="157" w:lineRule="exact"/>
        <w:rPr>
          <w:rFonts w:ascii="Times New Roman" w:cs="Times New Roman" w:eastAsia="Times New Roman" w:hAnsi="Times New Roman"/>
          <w:sz w:val="22"/>
          <w:szCs w:val="22"/>
          <w:color w:val="auto"/>
        </w:rPr>
      </w:pPr>
    </w:p>
    <w:p>
      <w:pPr>
        <w:ind w:left="760" w:right="200" w:firstLine="745"/>
        <w:spacing w:after="0" w:line="239" w:lineRule="auto"/>
        <w:tabs>
          <w:tab w:leader="none" w:pos="2372"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spacing w:after="0" w:line="178"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372"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pursuant to a Contract with respect to which each of the Originator and the Borrower has performed all obligations required to be performed by it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SB-151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98" w:name="page399"/>
    <w:bookmarkEnd w:id="398"/>
    <w:p>
      <w:pPr>
        <w:ind w:left="760" w:right="220"/>
        <w:spacing w:after="0" w:line="280" w:lineRule="auto"/>
        <w:rPr>
          <w:sz w:val="20"/>
          <w:szCs w:val="20"/>
          <w:color w:val="auto"/>
        </w:rPr>
      </w:pPr>
      <w:r>
        <w:rPr>
          <w:rFonts w:ascii="Times New Roman" w:cs="Times New Roman" w:eastAsia="Times New Roman" w:hAnsi="Times New Roman"/>
          <w:sz w:val="20"/>
          <w:szCs w:val="20"/>
          <w:color w:val="auto"/>
        </w:rPr>
        <w:t>thereunder, including shipment of the related Financed Vehicle in good repair, without defects and in satisfactory order and/or the performance of the services purchased thereunder and, at the time such Receivable first became part of the Collateral, neither the Originator or the Borrower had done anything to impair the rights of the Secured Parties therein;</w:t>
      </w:r>
    </w:p>
    <w:p>
      <w:pPr>
        <w:spacing w:after="0" w:line="139" w:lineRule="exact"/>
        <w:rPr>
          <w:sz w:val="20"/>
          <w:szCs w:val="20"/>
          <w:color w:val="auto"/>
        </w:rPr>
      </w:pPr>
    </w:p>
    <w:p>
      <w:pPr>
        <w:ind w:left="760" w:right="20" w:firstLine="745"/>
        <w:spacing w:after="0" w:line="237" w:lineRule="auto"/>
        <w:tabs>
          <w:tab w:leader="none" w:pos="2372"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spacing w:after="0" w:line="178" w:lineRule="exact"/>
        <w:rPr>
          <w:rFonts w:ascii="Times New Roman" w:cs="Times New Roman" w:eastAsia="Times New Roman" w:hAnsi="Times New Roman"/>
          <w:sz w:val="22"/>
          <w:szCs w:val="22"/>
          <w:color w:val="auto"/>
        </w:rPr>
      </w:pPr>
    </w:p>
    <w:p>
      <w:pPr>
        <w:ind w:left="760" w:right="40" w:firstLine="745"/>
        <w:spacing w:after="0" w:line="234" w:lineRule="auto"/>
        <w:tabs>
          <w:tab w:leader="none" w:pos="2372"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there is, in the case of a Receivable evidenced by Tangible Chattel Paper, only one original Contract related thereto and, in the case of a Receivable evidenced by Electronic Chattel Paper, a single, authoritative copy of the record or records comprising the Contract related thereto, which copy is unique and identifiable (all within the meaning of Section 9-105 of the UCC) and is held in the Electronic Vault under the Electronic Vault Agreement, and, in each case,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except in accordance with the Credit and Collection Policy;</w:t>
      </w:r>
    </w:p>
    <w:p>
      <w:pPr>
        <w:spacing w:after="0" w:line="176" w:lineRule="exact"/>
        <w:rPr>
          <w:rFonts w:ascii="Times New Roman" w:cs="Times New Roman" w:eastAsia="Times New Roman" w:hAnsi="Times New Roman"/>
          <w:sz w:val="22"/>
          <w:szCs w:val="22"/>
          <w:color w:val="auto"/>
        </w:rPr>
      </w:pPr>
    </w:p>
    <w:p>
      <w:pPr>
        <w:ind w:left="760" w:right="220" w:firstLine="745"/>
        <w:spacing w:after="0" w:line="236" w:lineRule="auto"/>
        <w:tabs>
          <w:tab w:leader="none" w:pos="2372"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is required by the terms of the related Contract to be covered by an individual physical damage insurance policy in at least the minimum amount required by applicable State law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spacing w:after="0" w:line="179"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constitutes either Tangible Chattel Paper or Electronic Chattel Paper;</w:t>
      </w:r>
    </w:p>
    <w:p>
      <w:pPr>
        <w:spacing w:after="0" w:line="205"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372"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Contract evidencing such Receivable, including the description of the motor vehicle and/or services contained therein, is in all respects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SB-152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99" w:name="page400"/>
    <w:bookmarkEnd w:id="399"/>
    <w:p>
      <w:pPr>
        <w:ind w:left="760"/>
        <w:spacing w:after="0"/>
        <w:rPr>
          <w:sz w:val="20"/>
          <w:szCs w:val="20"/>
          <w:color w:val="auto"/>
        </w:rPr>
      </w:pPr>
      <w:r>
        <w:rPr>
          <w:rFonts w:ascii="Times New Roman" w:cs="Times New Roman" w:eastAsia="Times New Roman" w:hAnsi="Times New Roman"/>
          <w:sz w:val="22"/>
          <w:szCs w:val="22"/>
          <w:color w:val="auto"/>
        </w:rPr>
        <w:t>complete, accurate and represents the entire agreement between the Originator and the Obligor;</w:t>
      </w:r>
    </w:p>
    <w:p>
      <w:pPr>
        <w:spacing w:after="0" w:line="205" w:lineRule="exact"/>
        <w:rPr>
          <w:sz w:val="20"/>
          <w:szCs w:val="20"/>
          <w:color w:val="auto"/>
        </w:rPr>
      </w:pPr>
    </w:p>
    <w:p>
      <w:pPr>
        <w:ind w:left="2360" w:hanging="855"/>
        <w:spacing w:after="0"/>
        <w:tabs>
          <w:tab w:leader="none" w:pos="236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Custodian is holding the related Receivable File for the benefit of the</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Secured Parties;</w:t>
      </w:r>
    </w:p>
    <w:p>
      <w:pPr>
        <w:spacing w:after="0" w:line="181" w:lineRule="exact"/>
        <w:rPr>
          <w:rFonts w:ascii="Times New Roman" w:cs="Times New Roman" w:eastAsia="Times New Roman" w:hAnsi="Times New Roman"/>
          <w:sz w:val="22"/>
          <w:szCs w:val="22"/>
          <w:color w:val="auto"/>
        </w:rPr>
      </w:pPr>
    </w:p>
    <w:p>
      <w:pPr>
        <w:ind w:left="2360" w:hanging="855"/>
        <w:spacing w:after="0"/>
        <w:tabs>
          <w:tab w:leader="none" w:pos="236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an “eligible asset” as defined in Rule 3a-7 under the Investment Company Act;</w:t>
      </w:r>
    </w:p>
    <w:p>
      <w:pPr>
        <w:spacing w:after="0" w:line="205" w:lineRule="exact"/>
        <w:rPr>
          <w:rFonts w:ascii="Times New Roman" w:cs="Times New Roman" w:eastAsia="Times New Roman" w:hAnsi="Times New Roman"/>
          <w:sz w:val="22"/>
          <w:szCs w:val="22"/>
          <w:color w:val="auto"/>
        </w:rPr>
      </w:pPr>
    </w:p>
    <w:p>
      <w:pPr>
        <w:jc w:val="both"/>
        <w:ind w:left="760" w:right="340" w:firstLine="745"/>
        <w:spacing w:after="0" w:line="244" w:lineRule="auto"/>
        <w:tabs>
          <w:tab w:leader="none" w:pos="23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any compromise, extension, rebate, adjustment, amendment or modification (including by the extension of time for payment or the granting of any discounts, allowances or credits) was made as permitted by the Credit and Collection Policy and [***];</w:t>
      </w:r>
    </w:p>
    <w:p>
      <w:pPr>
        <w:spacing w:after="0" w:line="172" w:lineRule="exact"/>
        <w:rPr>
          <w:rFonts w:ascii="Times New Roman" w:cs="Times New Roman" w:eastAsia="Times New Roman" w:hAnsi="Times New Roman"/>
          <w:sz w:val="22"/>
          <w:szCs w:val="22"/>
          <w:color w:val="auto"/>
        </w:rPr>
      </w:pPr>
    </w:p>
    <w:p>
      <w:pPr>
        <w:ind w:left="760" w:firstLine="745"/>
        <w:spacing w:after="0" w:line="237" w:lineRule="auto"/>
        <w:tabs>
          <w:tab w:leader="none" w:pos="23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spacing w:after="0" w:line="180" w:lineRule="exact"/>
        <w:rPr>
          <w:rFonts w:ascii="Times New Roman" w:cs="Times New Roman" w:eastAsia="Times New Roman" w:hAnsi="Times New Roman"/>
          <w:sz w:val="22"/>
          <w:szCs w:val="22"/>
          <w:color w:val="auto"/>
        </w:rPr>
      </w:pPr>
    </w:p>
    <w:p>
      <w:pPr>
        <w:ind w:left="760" w:right="240" w:firstLine="745"/>
        <w:spacing w:after="0" w:line="258" w:lineRule="auto"/>
        <w:tabs>
          <w:tab w:leader="none" w:pos="23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has not been repossessed from the Obligor on or prior to the related Cutoff Date;</w:t>
      </w:r>
    </w:p>
    <w:p>
      <w:pPr>
        <w:spacing w:after="0" w:line="157" w:lineRule="exact"/>
        <w:rPr>
          <w:rFonts w:ascii="Times New Roman" w:cs="Times New Roman" w:eastAsia="Times New Roman" w:hAnsi="Times New Roman"/>
          <w:sz w:val="22"/>
          <w:szCs w:val="22"/>
          <w:color w:val="auto"/>
        </w:rPr>
      </w:pPr>
    </w:p>
    <w:p>
      <w:pPr>
        <w:ind w:left="760" w:right="20" w:firstLine="745"/>
        <w:spacing w:after="0" w:line="244" w:lineRule="auto"/>
        <w:tabs>
          <w:tab w:leader="none" w:pos="23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spacing w:after="0" w:line="172" w:lineRule="exact"/>
        <w:rPr>
          <w:rFonts w:ascii="Times New Roman" w:cs="Times New Roman" w:eastAsia="Times New Roman" w:hAnsi="Times New Roman"/>
          <w:sz w:val="22"/>
          <w:szCs w:val="22"/>
          <w:color w:val="auto"/>
        </w:rPr>
      </w:pPr>
    </w:p>
    <w:p>
      <w:pPr>
        <w:ind w:left="760" w:right="280" w:firstLine="745"/>
        <w:spacing w:after="0" w:line="244" w:lineRule="auto"/>
        <w:tabs>
          <w:tab w:leader="none" w:pos="23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all proceeds on the related Contract were fully disbursed and there is no requirement for future advances thereunder and all fees and expenses in connection with the origination of the Receivable have been paid;</w:t>
      </w:r>
    </w:p>
    <w:p>
      <w:pPr>
        <w:spacing w:after="0" w:line="172" w:lineRule="exact"/>
        <w:rPr>
          <w:rFonts w:ascii="Times New Roman" w:cs="Times New Roman" w:eastAsia="Times New Roman" w:hAnsi="Times New Roman"/>
          <w:sz w:val="22"/>
          <w:szCs w:val="22"/>
          <w:color w:val="auto"/>
        </w:rPr>
      </w:pPr>
    </w:p>
    <w:p>
      <w:pPr>
        <w:ind w:left="760" w:right="40" w:firstLine="745"/>
        <w:spacing w:after="0" w:line="244" w:lineRule="auto"/>
        <w:tabs>
          <w:tab w:leader="none" w:pos="23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provide for the substitution, exchange or addition of any Financed Vehicle to such Receivable and with respect to which the related Financed Vehicle was properly delivered to the related Obligor in good repair, without defects and in satisfactory order;</w:t>
      </w:r>
    </w:p>
    <w:p>
      <w:pPr>
        <w:spacing w:after="0" w:line="17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48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Servicer holds the Certificate of Title or the application for a Certificate of Title for the related Financed Vehicle or the Servicer will obtain within [***]days of the related Cutoff Date a Certificate of Title with respect to the Financed Vehicle as to which the Servicer holds only such application;</w:t>
      </w:r>
    </w:p>
    <w:p>
      <w:pPr>
        <w:spacing w:after="0" w:line="172" w:lineRule="exact"/>
        <w:rPr>
          <w:rFonts w:ascii="Times New Roman" w:cs="Times New Roman" w:eastAsia="Times New Roman" w:hAnsi="Times New Roman"/>
          <w:sz w:val="22"/>
          <w:szCs w:val="22"/>
          <w:color w:val="auto"/>
        </w:rPr>
      </w:pPr>
    </w:p>
    <w:p>
      <w:pPr>
        <w:ind w:left="760" w:right="100" w:firstLine="745"/>
        <w:spacing w:after="0" w:line="244" w:lineRule="auto"/>
        <w:tabs>
          <w:tab w:leader="none" w:pos="237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Dealer (a) was selected by the Originator based on the Credit and Collection Policy, the Dealer’s financial operating history and record of compliance with requirements under applicable United States federal and State</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SB-153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400" w:name="page401"/>
    <w:bookmarkEnd w:id="400"/>
    <w:p>
      <w:pPr>
        <w:ind w:left="760" w:right="540"/>
        <w:spacing w:after="0" w:line="258" w:lineRule="auto"/>
        <w:rPr>
          <w:sz w:val="20"/>
          <w:szCs w:val="20"/>
          <w:color w:val="auto"/>
        </w:rPr>
      </w:pPr>
      <w:r>
        <w:rPr>
          <w:rFonts w:ascii="Times New Roman" w:cs="Times New Roman" w:eastAsia="Times New Roman" w:hAnsi="Times New Roman"/>
          <w:sz w:val="22"/>
          <w:szCs w:val="22"/>
          <w:color w:val="auto"/>
        </w:rPr>
        <w:t>law, (b) is authorized to originate such Receivable for sale to the Originator and (c) has not engaged in any conduct constituting fraud or misrepresentation with respect to such Receivable;</w:t>
      </w:r>
    </w:p>
    <w:p>
      <w:pPr>
        <w:spacing w:after="0" w:line="157" w:lineRule="exact"/>
        <w:rPr>
          <w:sz w:val="20"/>
          <w:szCs w:val="20"/>
          <w:color w:val="auto"/>
        </w:rPr>
      </w:pPr>
    </w:p>
    <w:p>
      <w:pPr>
        <w:ind w:left="760" w:right="20" w:firstLine="745"/>
        <w:spacing w:after="0" w:line="233" w:lineRule="auto"/>
        <w:tabs>
          <w:tab w:leader="none" w:pos="237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spacing w:after="0" w:line="178"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37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if the related Financed Vehicle is titled in the State of Texas, such Financed Vehicle is a “motor vehicle” as defined in Section 501.002 of the Texas Transportation Code;</w:t>
      </w:r>
    </w:p>
    <w:p>
      <w:pPr>
        <w:spacing w:after="0" w:line="157" w:lineRule="exact"/>
        <w:rPr>
          <w:rFonts w:ascii="Times New Roman" w:cs="Times New Roman" w:eastAsia="Times New Roman" w:hAnsi="Times New Roman"/>
          <w:sz w:val="22"/>
          <w:szCs w:val="22"/>
          <w:color w:val="auto"/>
        </w:rPr>
      </w:pPr>
    </w:p>
    <w:p>
      <w:pPr>
        <w:ind w:left="760" w:right="440" w:firstLine="745"/>
        <w:spacing w:after="0" w:line="258" w:lineRule="auto"/>
        <w:tabs>
          <w:tab w:leader="none" w:pos="237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has not been stamped or otherwise marked to show any interest of any other Person or any such stamp or other mark has been cancelled;</w:t>
      </w:r>
    </w:p>
    <w:p>
      <w:pPr>
        <w:spacing w:after="0" w:line="157" w:lineRule="exact"/>
        <w:rPr>
          <w:rFonts w:ascii="Times New Roman" w:cs="Times New Roman" w:eastAsia="Times New Roman" w:hAnsi="Times New Roman"/>
          <w:sz w:val="22"/>
          <w:szCs w:val="22"/>
          <w:color w:val="auto"/>
        </w:rPr>
      </w:pPr>
    </w:p>
    <w:p>
      <w:pPr>
        <w:ind w:left="760" w:right="540" w:firstLine="745"/>
        <w:spacing w:after="0" w:line="258" w:lineRule="auto"/>
        <w:tabs>
          <w:tab w:leader="none" w:pos="237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inclusion of which would not cause the weighted average Loan-to-Value Ratio of all Eligible Receivables to be more than [***]%;</w:t>
      </w:r>
    </w:p>
    <w:p>
      <w:pPr>
        <w:spacing w:after="0" w:line="157" w:lineRule="exact"/>
        <w:rPr>
          <w:rFonts w:ascii="Times New Roman" w:cs="Times New Roman" w:eastAsia="Times New Roman" w:hAnsi="Times New Roman"/>
          <w:sz w:val="22"/>
          <w:szCs w:val="22"/>
          <w:color w:val="auto"/>
        </w:rPr>
      </w:pPr>
    </w:p>
    <w:p>
      <w:pPr>
        <w:ind w:left="760" w:right="840" w:firstLine="745"/>
        <w:spacing w:after="0" w:line="258" w:lineRule="auto"/>
        <w:tabs>
          <w:tab w:leader="none" w:pos="2642"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meets such other reasonable criteria mutually agreed upon by the Borrower and the Administrative Agent from time to time; and</w:t>
      </w:r>
    </w:p>
    <w:p>
      <w:pPr>
        <w:spacing w:after="0" w:line="157" w:lineRule="exact"/>
        <w:rPr>
          <w:sz w:val="20"/>
          <w:szCs w:val="20"/>
          <w:color w:val="auto"/>
        </w:rPr>
      </w:pPr>
    </w:p>
    <w:p>
      <w:pPr>
        <w:ind w:left="760" w:firstLine="749"/>
        <w:spacing w:after="0" w:line="236" w:lineRule="auto"/>
        <w:rPr>
          <w:sz w:val="20"/>
          <w:szCs w:val="20"/>
          <w:color w:val="auto"/>
        </w:rPr>
      </w:pPr>
      <w:r>
        <w:rPr>
          <w:rFonts w:ascii="Times New Roman" w:cs="Times New Roman" w:eastAsia="Times New Roman" w:hAnsi="Times New Roman"/>
          <w:sz w:val="22"/>
          <w:szCs w:val="22"/>
          <w:color w:val="auto"/>
        </w:rPr>
        <w:t>(xl) 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SB-154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C</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OF RECEIVABLES</w:t>
      </w:r>
    </w:p>
    <w:p>
      <w:pPr>
        <w:spacing w:after="0" w:line="3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(Original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1162685</wp:posOffset>
            </wp:positionV>
            <wp:extent cx="7157720" cy="425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1" w:right="33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LOCATION OF RECEIVABLE FILES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1071 Camelback Street</w:t>
      </w:r>
    </w:p>
    <w:p>
      <w:pPr>
        <w:spacing w:after="0"/>
        <w:rPr>
          <w:sz w:val="20"/>
          <w:szCs w:val="20"/>
          <w:color w:val="auto"/>
        </w:rPr>
      </w:pPr>
      <w:r>
        <w:rPr>
          <w:rFonts w:ascii="Times New Roman" w:cs="Times New Roman" w:eastAsia="Times New Roman" w:hAnsi="Times New Roman"/>
          <w:sz w:val="22"/>
          <w:szCs w:val="22"/>
          <w:color w:val="auto"/>
        </w:rPr>
        <w:t>Newport Beach, California 92660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1487805</wp:posOffset>
            </wp:positionV>
            <wp:extent cx="7157720"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OF DOCUMENTS</w:t>
      </w:r>
    </w:p>
    <w:p>
      <w:pPr>
        <w:spacing w:after="0" w:line="313" w:lineRule="exact"/>
        <w:rPr>
          <w:sz w:val="20"/>
          <w:szCs w:val="20"/>
          <w:color w:val="auto"/>
        </w:rPr>
      </w:pPr>
    </w:p>
    <w:p>
      <w:pPr>
        <w:ind w:left="760" w:right="200" w:hanging="752"/>
        <w:spacing w:after="0" w:line="237" w:lineRule="auto"/>
        <w:tabs>
          <w:tab w:leader="none" w:pos="44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Warehouse Agreement, dated as of July 16, 2013, among UACC Auto Financing Trust III, as borrower (the “Borrower”), United Auto Credit Corporation (“UACC”), as servicer and as custodian, [***], as backup servicer and account bank, the Lenders (as defined therein) from time to time parties thereto, the Agents for the Lender Groups (as defined therein) from time to time parties thereto and Wells Fargo Bank, National Association, as administrative agent (the “Administrative Agent”).</w:t>
      </w:r>
    </w:p>
    <w:p>
      <w:pPr>
        <w:spacing w:after="0" w:line="180"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and Contribution Agreement, dated as of May 30, 2012, between UACC and the Borrower.</w:t>
      </w:r>
    </w:p>
    <w:p>
      <w:pPr>
        <w:spacing w:after="0" w:line="20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Agreement, dated as of May 30, 2012, between UACC and the Borrower.</w:t>
      </w:r>
    </w:p>
    <w:p>
      <w:pPr>
        <w:spacing w:after="0" w:line="20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 Letter, dated as of May 30, 2012, among UACC, the Borrower and the Administrative Agent.</w:t>
      </w:r>
    </w:p>
    <w:p>
      <w:pPr>
        <w:spacing w:after="0" w:line="20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of Attorney, dated as of May 30, 2012, from the Borrower to the Administrative Agent.</w:t>
      </w:r>
    </w:p>
    <w:p>
      <w:pPr>
        <w:spacing w:after="0" w:line="20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 of the Borrower in favor of Wells Fargo Bank, National Association, dated July 16, 2013.</w:t>
      </w:r>
    </w:p>
    <w:p>
      <w:pPr>
        <w:spacing w:after="0" w:line="20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Opinion of [***]dated May 30, 2012, as to certain non-consolidation matters.</w:t>
      </w:r>
    </w:p>
    <w:p>
      <w:pPr>
        <w:spacing w:after="0" w:line="20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Opinion of [***], dated May 30, 2012, as to certain true-sale matters.</w:t>
      </w:r>
    </w:p>
    <w:p>
      <w:pPr>
        <w:spacing w:after="0" w:line="205"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Opinion of [***], dated July 16, 2013, as to certain corporate and security interest matters.</w:t>
      </w:r>
    </w:p>
    <w:p>
      <w:pPr>
        <w:spacing w:after="0" w:line="205" w:lineRule="exact"/>
        <w:rPr>
          <w:rFonts w:ascii="Times New Roman" w:cs="Times New Roman" w:eastAsia="Times New Roman" w:hAnsi="Times New Roman"/>
          <w:sz w:val="22"/>
          <w:szCs w:val="22"/>
          <w:color w:val="auto"/>
        </w:rPr>
      </w:pPr>
    </w:p>
    <w:p>
      <w:pPr>
        <w:ind w:left="760" w:right="460" w:hanging="752"/>
        <w:spacing w:after="0" w:line="258" w:lineRule="auto"/>
        <w:tabs>
          <w:tab w:leader="none" w:pos="44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Opinion of Peter Krogh, Esq., General Counsel of the Borrower and UACC, dated July 16, 2013, as to certain corporate matters.</w:t>
      </w:r>
    </w:p>
    <w:p>
      <w:pPr>
        <w:spacing w:after="0" w:line="157"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Trust Agreement, dated as of May 30, 2012, between UACC, as depositor, and the Owner Trustee.</w:t>
      </w:r>
    </w:p>
    <w:p>
      <w:pPr>
        <w:spacing w:after="0" w:line="205" w:lineRule="exact"/>
        <w:rPr>
          <w:rFonts w:ascii="Times New Roman" w:cs="Times New Roman" w:eastAsia="Times New Roman" w:hAnsi="Times New Roman"/>
          <w:sz w:val="22"/>
          <w:szCs w:val="22"/>
          <w:color w:val="auto"/>
        </w:rPr>
      </w:pPr>
    </w:p>
    <w:p>
      <w:pPr>
        <w:ind w:left="760" w:right="420" w:hanging="752"/>
        <w:spacing w:after="0" w:line="258" w:lineRule="auto"/>
        <w:tabs>
          <w:tab w:leader="none" w:pos="44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Intercreditor Agreement, dated as of February 2, 2011, among [***], UACC, UACC Auto Financing Trust, UACC Auto Financing Trust II and UACC Auto Financing Trust III.</w:t>
      </w:r>
    </w:p>
    <w:p>
      <w:pPr>
        <w:spacing w:after="0" w:line="157" w:lineRule="exact"/>
        <w:rPr>
          <w:rFonts w:ascii="Times New Roman" w:cs="Times New Roman" w:eastAsia="Times New Roman" w:hAnsi="Times New Roman"/>
          <w:sz w:val="22"/>
          <w:szCs w:val="22"/>
          <w:color w:val="auto"/>
        </w:rPr>
      </w:pPr>
    </w:p>
    <w:p>
      <w:pPr>
        <w:ind w:left="760" w:right="420" w:hanging="752"/>
        <w:spacing w:after="0" w:line="244" w:lineRule="auto"/>
        <w:tabs>
          <w:tab w:leader="none" w:pos="443"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Intercreditor Party Supplement, dated as of May 30, 2012, among UACC, UACC Auto Financing Trust, UACC Auto Financing Trust II, UACC Auto Financing Trust III, [***], The Royal Bank of Scotland PLC and 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04" w:name="page405"/>
    <w:bookmarkEnd w:id="404"/>
    <w:p>
      <w:pPr>
        <w:ind w:left="760" w:hanging="752"/>
        <w:spacing w:after="0" w:line="258" w:lineRule="auto"/>
        <w:tabs>
          <w:tab w:leader="none" w:pos="443"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Account Control Agreement relating to the Collateral Account (as defined therein, and subject to the Intercreditor Agreement), dated as of February 2, 2011, among UACC Auto Financing Trust, UACC and [***].</w:t>
      </w:r>
    </w:p>
    <w:p>
      <w:pPr>
        <w:spacing w:after="0" w:line="157" w:lineRule="exact"/>
        <w:rPr>
          <w:rFonts w:ascii="Times New Roman" w:cs="Times New Roman" w:eastAsia="Times New Roman" w:hAnsi="Times New Roman"/>
          <w:sz w:val="22"/>
          <w:szCs w:val="22"/>
          <w:color w:val="auto"/>
        </w:rPr>
      </w:pPr>
    </w:p>
    <w:p>
      <w:pPr>
        <w:ind w:left="760" w:hanging="752"/>
        <w:spacing w:after="0" w:line="258" w:lineRule="auto"/>
        <w:tabs>
          <w:tab w:leader="none" w:pos="443" w:val="left"/>
        </w:tabs>
        <w:numPr>
          <w:ilvl w:val="0"/>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Controlled Accounts Control Agreement relating to the Collection Account and the Reserve Account, dated as of May 30, 2012, among the Borrower, the Servicer, the Administrative Agent and [***].</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SE-158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06" w:right="599" w:bottom="1440" w:gutter="0" w:footer="0" w:header="0"/>
        </w:sectPr>
      </w:pPr>
    </w:p>
    <w:bookmarkStart w:id="405" w:name="page406"/>
    <w:bookmarkEnd w:id="40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F</w:t>
      </w:r>
    </w:p>
    <w:p>
      <w:pPr>
        <w:spacing w:after="0" w:line="200" w:lineRule="exact"/>
        <w:rPr>
          <w:sz w:val="20"/>
          <w:szCs w:val="20"/>
          <w:color w:val="auto"/>
        </w:rPr>
      </w:pPr>
    </w:p>
    <w:p>
      <w:pPr>
        <w:spacing w:after="0" w:line="2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BACKUP SERVICING PROCEDURES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backup servicing functions and procedures, and items to be provided in support thereof:</w:t>
      </w:r>
    </w:p>
    <w:p>
      <w:pPr>
        <w:spacing w:after="0" w:line="232" w:lineRule="exact"/>
        <w:rPr>
          <w:sz w:val="20"/>
          <w:szCs w:val="20"/>
          <w:color w:val="auto"/>
        </w:rPr>
      </w:pPr>
    </w:p>
    <w:p>
      <w:pPr>
        <w:ind w:left="760" w:right="20" w:hanging="365"/>
        <w:spacing w:after="0" w:line="241" w:lineRule="auto"/>
        <w:tabs>
          <w:tab w:leader="none" w:pos="83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Ability to conduct additional on-site due diligence with Agent/Lender and its representatives, including but not limited to management meetings and technology/systems meetings;</w:t>
      </w:r>
    </w:p>
    <w:p>
      <w:pPr>
        <w:spacing w:after="0" w:line="1" w:lineRule="exact"/>
        <w:rPr>
          <w:rFonts w:ascii="Times New Roman" w:cs="Times New Roman" w:eastAsia="Times New Roman" w:hAnsi="Times New Roman"/>
          <w:sz w:val="22"/>
          <w:szCs w:val="22"/>
          <w:color w:val="auto"/>
        </w:rPr>
      </w:pPr>
    </w:p>
    <w:p>
      <w:pPr>
        <w:ind w:left="820" w:hanging="425"/>
        <w:spacing w:after="0" w:line="230" w:lineRule="auto"/>
        <w:tabs>
          <w:tab w:leader="none" w:pos="8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servicing system/provider from the current servicer in detail to allow for mapping, if necessary;</w:t>
      </w:r>
    </w:p>
    <w:p>
      <w:pPr>
        <w:ind w:left="820" w:hanging="425"/>
        <w:spacing w:after="0" w:line="230" w:lineRule="auto"/>
        <w:tabs>
          <w:tab w:leader="none" w:pos="8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tape, to be provided on a monthly basis;</w:t>
      </w:r>
    </w:p>
    <w:p>
      <w:pPr>
        <w:ind w:left="820" w:hanging="425"/>
        <w:spacing w:after="0" w:line="230" w:lineRule="auto"/>
        <w:tabs>
          <w:tab w:leader="none" w:pos="8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Copy of payment histories on a sample of accounts (to assess compliance risk)</w:t>
      </w:r>
    </w:p>
    <w:p>
      <w:pPr>
        <w:ind w:left="760" w:right="40" w:hanging="365"/>
        <w:spacing w:after="0" w:line="230" w:lineRule="auto"/>
        <w:tabs>
          <w:tab w:leader="none" w:pos="83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lockbox structure (segregated vs. co-mingled/payment types offered) and title administration process (e.g. who holds the titles, title aging report, ELT vendor);</w:t>
      </w:r>
    </w:p>
    <w:p>
      <w:pPr>
        <w:ind w:left="820" w:hanging="425"/>
        <w:spacing w:after="0" w:line="230" w:lineRule="auto"/>
        <w:tabs>
          <w:tab w:leader="none" w:pos="8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Copy of updated servicing policies and procedures and any changes to policies and procedures thereafter;</w:t>
      </w:r>
    </w:p>
    <w:p>
      <w:pPr>
        <w:ind w:left="820" w:hanging="425"/>
        <w:spacing w:after="0" w:line="230" w:lineRule="auto"/>
        <w:tabs>
          <w:tab w:leader="none" w:pos="82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Litigation log; and</w:t>
      </w:r>
    </w:p>
    <w:p>
      <w:pPr>
        <w:ind w:left="760" w:right="20" w:hanging="365"/>
        <w:spacing w:after="0" w:line="236" w:lineRule="auto"/>
        <w:tabs>
          <w:tab w:leader="none" w:pos="830"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Historical performance (delinquency rates, loss rates, etc.) at the managed portfolio level, provided on a monthly basis thereafter</w:t>
      </w:r>
      <w:r>
        <w:rPr>
          <w:rFonts w:ascii="Calibri" w:cs="Calibri" w:eastAsia="Calibri" w:hAnsi="Calibri"/>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1272540</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FUNDING REQUEST</w:t>
      </w:r>
    </w:p>
    <w:p>
      <w:pPr>
        <w:spacing w:after="0" w:line="3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0"/>
          <w:szCs w:val="20"/>
          <w:color w:val="auto"/>
        </w:rPr>
        <w:t>____________, 201_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230" w:lineRule="auto"/>
        <w:rPr>
          <w:sz w:val="20"/>
          <w:szCs w:val="20"/>
          <w:color w:val="auto"/>
        </w:rPr>
      </w:pPr>
      <w:r>
        <w:rPr>
          <w:rFonts w:ascii="Times New Roman" w:cs="Times New Roman" w:eastAsia="Times New Roman" w:hAnsi="Times New Roman"/>
          <w:sz w:val="22"/>
          <w:szCs w:val="22"/>
          <w:color w:val="auto"/>
        </w:rPr>
        <w:t>550 South Tryon Street</w:t>
      </w:r>
    </w:p>
    <w:p>
      <w:pPr>
        <w:spacing w:after="0" w:line="230" w:lineRule="auto"/>
        <w:rPr>
          <w:sz w:val="20"/>
          <w:szCs w:val="20"/>
          <w:color w:val="auto"/>
        </w:rPr>
      </w:pPr>
      <w:r>
        <w:rPr>
          <w:rFonts w:ascii="Times New Roman" w:cs="Times New Roman" w:eastAsia="Times New Roman" w:hAnsi="Times New Roman"/>
          <w:sz w:val="22"/>
          <w:szCs w:val="22"/>
          <w:color w:val="auto"/>
        </w:rPr>
        <w:t>Charlotte, North Carolina 28202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Brian Grushkin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right="5200" w:firstLine="802"/>
        <w:spacing w:after="0" w:line="423"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III Warehouse Agreement</w:t>
      </w:r>
      <w:r>
        <w:rPr>
          <w:rFonts w:ascii="Times New Roman" w:cs="Times New Roman" w:eastAsia="Times New Roman" w:hAnsi="Times New Roman"/>
          <w:sz w:val="22"/>
          <w:szCs w:val="22"/>
          <w:color w:val="auto"/>
        </w:rPr>
        <w:t xml:space="preserve"> Ladies and Gentlemen:</w:t>
      </w:r>
    </w:p>
    <w:p>
      <w:pPr>
        <w:spacing w:after="0" w:line="1" w:lineRule="exact"/>
        <w:rPr>
          <w:sz w:val="20"/>
          <w:szCs w:val="20"/>
          <w:color w:val="auto"/>
        </w:rPr>
      </w:pPr>
    </w:p>
    <w:p>
      <w:pPr>
        <w:ind w:right="200" w:firstLine="749"/>
        <w:spacing w:after="0" w:line="235" w:lineRule="auto"/>
        <w:rPr>
          <w:sz w:val="20"/>
          <w:szCs w:val="20"/>
          <w:color w:val="auto"/>
        </w:rPr>
      </w:pPr>
      <w:r>
        <w:rPr>
          <w:rFonts w:ascii="Times New Roman" w:cs="Times New Roman" w:eastAsia="Times New Roman" w:hAnsi="Times New Roman"/>
          <w:sz w:val="22"/>
          <w:szCs w:val="22"/>
          <w:color w:val="auto"/>
        </w:rPr>
        <w:t>The undersigned is a Responsible Officer of UACC Auto Financing Trust III (the “Borrower”) and is authorized to execute and deliver this Funding Request on behalf of the Borrower pursuant to the Amended and Restated Warehouse Agreement, dated as of July 16, 2013 (as amended, restated, supplemented or otherwise modified from time to time, the “Warehouse Agreement”), among the Borrower, United Auto Credit Corporation, as servicer and as custodian, [***], as backup servicer and account bank, the Lenders from time to time party thereto, the Agents from time to time party thereto, and Wells Fargo Bank, National Association, as administrative agent. Capitalized terms not otherwise defined herein have the meanings ascribed thereto in the Warehouse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hereby requests that a Loan be made under the Warehouse Agreement on __________, ____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of $__________.</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connection with the foregoing, the undersigned hereby certifies, on behalf of the Borrower, as follows:</w:t>
      </w:r>
    </w:p>
    <w:p>
      <w:pPr>
        <w:spacing w:after="0" w:line="205" w:lineRule="exact"/>
        <w:rPr>
          <w:sz w:val="20"/>
          <w:szCs w:val="20"/>
          <w:color w:val="auto"/>
        </w:rPr>
      </w:pPr>
    </w:p>
    <w:p>
      <w:pPr>
        <w:ind w:right="100" w:firstLine="757"/>
        <w:spacing w:after="0" w:line="239" w:lineRule="auto"/>
        <w:tabs>
          <w:tab w:leader="none" w:pos="118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Borrowing Base (calculated as of the previous Determination Date or, with respect to Receivables added to the Collateral following such Determination Date, but prior to or on such date of determination, the related Cutoff Date) is __________. Attached to this Funding Request is a true, complete and correct calculation of the Borrowing Base and all components thereof.</w:t>
      </w:r>
    </w:p>
    <w:p>
      <w:pPr>
        <w:spacing w:after="0" w:line="178" w:lineRule="exact"/>
        <w:rPr>
          <w:rFonts w:ascii="Times New Roman" w:cs="Times New Roman" w:eastAsia="Times New Roman" w:hAnsi="Times New Roman"/>
          <w:sz w:val="22"/>
          <w:szCs w:val="22"/>
          <w:color w:val="auto"/>
        </w:rPr>
      </w:pPr>
    </w:p>
    <w:p>
      <w:pPr>
        <w:ind w:right="160" w:firstLine="757"/>
        <w:spacing w:after="0" w:line="258" w:lineRule="auto"/>
        <w:tabs>
          <w:tab w:leader="none" w:pos="118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conditions applicable to the requested Loan as set forth in the Warehouse Agreement have been satisfied as of the date hereof and will remain satisfied to the date of such Loan, including:</w:t>
      </w:r>
    </w:p>
    <w:p>
      <w:pPr>
        <w:spacing w:after="0" w:line="157" w:lineRule="exact"/>
        <w:rPr>
          <w:rFonts w:ascii="Times New Roman" w:cs="Times New Roman" w:eastAsia="Times New Roman" w:hAnsi="Times New Roman"/>
          <w:sz w:val="22"/>
          <w:szCs w:val="22"/>
          <w:color w:val="auto"/>
        </w:rPr>
      </w:pPr>
    </w:p>
    <w:p>
      <w:pPr>
        <w:ind w:left="760" w:right="40" w:firstLine="745"/>
        <w:spacing w:after="0" w:line="244" w:lineRule="auto"/>
        <w:tabs>
          <w:tab w:leader="none" w:pos="194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contained in Article Five of the Warehouse Agreement are true and correct in all respects on and as of the date hereof, before and after giving effect to the Loan and to the application of the proceeds therefrom as though made on and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07" w:name="page408"/>
    <w:bookmarkEnd w:id="407"/>
    <w:p>
      <w:pPr>
        <w:ind w:left="760" w:right="160" w:firstLine="745"/>
        <w:spacing w:after="0" w:line="258" w:lineRule="auto"/>
        <w:tabs>
          <w:tab w:leader="none" w:pos="1940" w:val="left"/>
        </w:tabs>
        <w:numPr>
          <w:ilvl w:val="2"/>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or would result from such Loan or from the application of the proceeds therefrom, which constitutes a Termination Event;</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2"/>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in material compliance with each of its covenants set forth in the Warehouse Agreement;</w:t>
      </w:r>
    </w:p>
    <w:p>
      <w:pPr>
        <w:spacing w:after="0" w:line="36"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and</w:t>
      </w:r>
    </w:p>
    <w:p>
      <w:pPr>
        <w:spacing w:after="0" w:line="181" w:lineRule="exact"/>
        <w:rPr>
          <w:rFonts w:ascii="Times New Roman" w:cs="Times New Roman" w:eastAsia="Times New Roman" w:hAnsi="Times New Roman"/>
          <w:sz w:val="20"/>
          <w:szCs w:val="20"/>
          <w:color w:val="auto"/>
        </w:rPr>
      </w:pPr>
    </w:p>
    <w:p>
      <w:pPr>
        <w:ind w:left="1940" w:hanging="435"/>
        <w:spacing w:after="0"/>
        <w:tabs>
          <w:tab w:leader="none" w:pos="1940" w:val="left"/>
        </w:tabs>
        <w:numPr>
          <w:ilvl w:val="2"/>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best of the Borrower’s knowledge, no event has occurred which constitutes a Servicer Termination</w:t>
      </w:r>
    </w:p>
    <w:p>
      <w:pPr>
        <w:spacing w:after="0" w:line="36"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Event.</w:t>
      </w:r>
    </w:p>
    <w:p>
      <w:pPr>
        <w:spacing w:after="0" w:line="181"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1"/>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Loan will not, on the Funding Date, exceed the Available Amount.</w:t>
      </w:r>
    </w:p>
    <w:p>
      <w:pPr>
        <w:spacing w:after="0" w:line="205"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Coverage Ratio, with respect to the Receivables being added to the Collateral on such Funding Date,</w:t>
      </w:r>
    </w:p>
    <w:p>
      <w:pPr>
        <w:spacing w:after="0" w:line="36" w:lineRule="exact"/>
        <w:rPr>
          <w:rFonts w:ascii="Times New Roman" w:cs="Times New Roman" w:eastAsia="Times New Roman" w:hAnsi="Times New Roman"/>
          <w:sz w:val="20"/>
          <w:szCs w:val="20"/>
          <w:color w:val="auto"/>
        </w:rPr>
      </w:pPr>
    </w:p>
    <w:p>
      <w:pPr>
        <w:ind w:right="380" w:firstLine="8"/>
        <w:spacing w:after="0" w:line="235" w:lineRule="auto"/>
        <w:tabs>
          <w:tab w:leader="none" w:pos="293"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equal to ____%, which is equal to or less than the Advance Rate, or (b) in the case of a Reborrowing, is equal to ___%, which is equal to or less than the Collateral Coverage Ratio with respect to all Receivables then constituting a portion of the Collateral.</w:t>
      </w:r>
    </w:p>
    <w:p>
      <w:pPr>
        <w:spacing w:after="0" w:line="176" w:lineRule="exact"/>
        <w:rPr>
          <w:rFonts w:ascii="Times New Roman" w:cs="Times New Roman" w:eastAsia="Times New Roman" w:hAnsi="Times New Roman"/>
          <w:sz w:val="22"/>
          <w:szCs w:val="22"/>
          <w:color w:val="auto"/>
        </w:rPr>
      </w:pPr>
    </w:p>
    <w:p>
      <w:pPr>
        <w:jc w:val="both"/>
        <w:ind w:right="220" w:firstLine="757"/>
        <w:spacing w:after="0" w:line="307" w:lineRule="auto"/>
        <w:tabs>
          <w:tab w:leader="none" w:pos="118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Attached hereto is a true, correct and complete Schedule A to the Purchase Agreement, reflecting all Receivables which will become part of the Collateral on the Funding Date, each Receivable reflected thereon being an Eligible Receivable.</w:t>
      </w:r>
    </w:p>
    <w:p>
      <w:pPr>
        <w:spacing w:after="0" w:line="90"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4820" w:type="dxa"/>
            <w:vAlign w:val="bottom"/>
          </w:tcPr>
          <w:p>
            <w:pPr>
              <w:spacing w:after="0"/>
              <w:rPr>
                <w:sz w:val="20"/>
                <w:szCs w:val="20"/>
                <w:color w:val="auto"/>
              </w:rPr>
            </w:pPr>
            <w:r>
              <w:rPr>
                <w:rFonts w:ascii="Times New Roman" w:cs="Times New Roman" w:eastAsia="Times New Roman" w:hAnsi="Times New Roman"/>
                <w:sz w:val="22"/>
                <w:szCs w:val="22"/>
                <w:color w:val="auto"/>
                <w:w w:val="99"/>
              </w:rPr>
              <w:t>(6)  The Cutoff Date with respect to the Receivables is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 201 .</w:t>
            </w:r>
          </w:p>
        </w:tc>
      </w:tr>
      <w:tr>
        <w:trPr>
          <w:trHeight w:val="20"/>
        </w:trPr>
        <w:tc>
          <w:tcPr>
            <w:tcW w:w="4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80" w:hanging="423"/>
        <w:spacing w:after="0"/>
        <w:tabs>
          <w:tab w:leader="none" w:pos="1180"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and after giving effect to the requested Loan, the Borrower is Solvent.</w:t>
      </w:r>
    </w:p>
    <w:p>
      <w:pPr>
        <w:spacing w:after="0" w:line="205" w:lineRule="exact"/>
        <w:rPr>
          <w:rFonts w:ascii="Times New Roman" w:cs="Times New Roman" w:eastAsia="Times New Roman" w:hAnsi="Times New Roman"/>
          <w:sz w:val="22"/>
          <w:szCs w:val="22"/>
          <w:color w:val="auto"/>
        </w:rPr>
      </w:pPr>
    </w:p>
    <w:p>
      <w:pPr>
        <w:ind w:left="4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UACC AUTO FINANCING TRUST III</w:t>
      </w:r>
    </w:p>
    <w:p>
      <w:pPr>
        <w:spacing w:after="0" w:line="232" w:lineRule="exact"/>
        <w:rPr>
          <w:rFonts w:ascii="Times New Roman" w:cs="Times New Roman" w:eastAsia="Times New Roman" w:hAnsi="Times New Roman"/>
          <w:sz w:val="22"/>
          <w:szCs w:val="22"/>
          <w:color w:val="auto"/>
        </w:rPr>
      </w:pPr>
    </w:p>
    <w:p>
      <w:pPr>
        <w:ind w:left="4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25844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5">
                      <a:extLst>
                        <a:ext uri="{28A0092B-C50C-407E-A947-70E740481C1C}"/>
                      </a:extLst>
                    </a:blip>
                    <a:srcRect/>
                    <a:stretch>
                      <a:fillRect/>
                    </a:stretch>
                  </pic:blipFill>
                  <pic:spPr bwMode="auto">
                    <a:xfrm>
                      <a:off x="0" y="0"/>
                      <a:ext cx="25844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A-161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6" w:right="399" w:bottom="1440" w:gutter="0" w:footer="0" w:header="0"/>
        </w:sectPr>
      </w:pPr>
    </w:p>
    <w:bookmarkStart w:id="408" w:name="page409"/>
    <w:bookmarkEnd w:id="40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w:t>
      </w:r>
    </w:p>
    <w:p>
      <w:pPr>
        <w:spacing w:after="0" w:line="313"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20"/>
          <w:szCs w:val="20"/>
          <w:color w:val="auto"/>
        </w:rPr>
        <w:t>July 16, 2013</w:t>
      </w:r>
    </w:p>
    <w:p>
      <w:pPr>
        <w:spacing w:after="0" w:line="228"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20"/>
          <w:szCs w:val="20"/>
          <w:color w:val="auto"/>
        </w:rPr>
        <w:t>FOR VALUE RECEIVED, the undersigned, UACC AUTO FINANCING TRUST III, a Delaware statutory trust (the “Borrower”), promises to pay to the order of WELLS FARGO BANK, NATIONAL ASSOCIATION, as agent for the Lenders (the “Administrative Agent”), at the office of the Administrative Agent set forth in the Amended and Restated Warehouse Agreement, dated as of July 16, 2013 (as amended, restated, supplemented or otherwise modified from time to time, the “Warehouse Agreement”) among the Borrower, United Auto Credit Corporation, as servicer and as custodian, [***], as backup servicer and account bank, the Lenders named therein, the Agents named therein and the Administrative Agent, on the Termination Date, in lawful money of the United States of America and in immediately available funds, the principal amount of</w:t>
      </w:r>
    </w:p>
    <w:p>
      <w:pPr>
        <w:spacing w:after="0" w:line="6" w:lineRule="exact"/>
        <w:rPr>
          <w:sz w:val="20"/>
          <w:szCs w:val="20"/>
          <w:color w:val="auto"/>
        </w:rPr>
      </w:pPr>
    </w:p>
    <w:p>
      <w:pPr>
        <w:ind w:right="60" w:firstLine="8"/>
        <w:spacing w:after="0" w:line="260" w:lineRule="auto"/>
        <w:tabs>
          <w:tab w:leader="none" w:pos="521"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 Upon the execution of this Note by the Borrower and the delivery hereof to the Administrative Agent, this Note shall replace in its entirety the $[***] Note, dated May 30, 2012, of the Borrower in favor of Wells Fargo Bank, National Association.</w:t>
      </w:r>
    </w:p>
    <w:p>
      <w:pPr>
        <w:spacing w:after="0" w:line="160"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The Administrative Agent is authorized to record, on the schedules annexed hereto and made a part hereof or on other appropriate records, the date and the amount each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Administrative Agent to make any such recordation (or any error in such recordation) shall not affect the obligations of the Borrower hereunder or under the Warehouse Agreement in respect of the Loans or each Lender’s Invested Percentage thereof.</w:t>
      </w:r>
    </w:p>
    <w:p>
      <w:pPr>
        <w:spacing w:after="0" w:line="181"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spacing w:after="0" w:line="17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Upon the occurrence of a Termination Event, the Administrative Agent, on behalf of the Secured Parties, shall have all of the remedies specified in the Warehouse Agreement. The Borrower hereby waives presentment, demand, protest and all notices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09" w:name="page410"/>
    <w:bookmarkEnd w:id="409"/>
    <w:p>
      <w:pPr>
        <w:ind w:firstLine="749"/>
        <w:spacing w:after="0" w:line="282" w:lineRule="auto"/>
        <w:rPr>
          <w:sz w:val="20"/>
          <w:szCs w:val="20"/>
          <w:color w:val="auto"/>
        </w:rPr>
      </w:pPr>
      <w:r>
        <w:rPr>
          <w:rFonts w:ascii="Times New Roman" w:cs="Times New Roman" w:eastAsia="Times New Roman" w:hAnsi="Times New Roman"/>
          <w:sz w:val="20"/>
          <w:szCs w:val="20"/>
          <w:b w:val="1"/>
          <w:bCs w:val="1"/>
          <w:color w:val="auto"/>
        </w:rPr>
        <w:t>THIS NOTE SHALL BE GOVERNED BY, AND CONSTRUED AND INTERPRETED IN ACCORDANCE WITH, THE LAWS OF THE STATE OF NEW YORK WITHOUT REGARD TO PRINCIPLES OF CONFLICTS OF LAW (OTHER THAN SECTIONS 5-1401 AND 5-1402 OF THE NEW YORK GENERAL OBLIGATIONS LAW).</w:t>
      </w:r>
    </w:p>
    <w:p>
      <w:pPr>
        <w:spacing w:after="0" w:line="1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III, as Borrower</w:t>
      </w: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B-163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03" w:right="659" w:bottom="1440" w:gutter="0" w:footer="0" w:header="0"/>
        </w:sectPr>
      </w:pPr>
    </w:p>
    <w:bookmarkStart w:id="410" w:name="page411"/>
    <w:bookmarkEnd w:id="410"/>
    <w:p>
      <w:pPr>
        <w:jc w:val="center"/>
        <w:ind w:right="-659"/>
        <w:spacing w:after="0"/>
        <w:rPr>
          <w:sz w:val="20"/>
          <w:szCs w:val="20"/>
          <w:color w:val="auto"/>
        </w:rPr>
      </w:pPr>
      <w:r>
        <w:rPr>
          <w:rFonts w:ascii="Times New Roman" w:cs="Times New Roman" w:eastAsia="Times New Roman" w:hAnsi="Times New Roman"/>
          <w:sz w:val="22"/>
          <w:szCs w:val="22"/>
          <w:color w:val="auto"/>
        </w:rPr>
        <w:t>Schedule 1 to</w:t>
      </w:r>
    </w:p>
    <w:p>
      <w:pPr>
        <w:spacing w:after="0" w:line="1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Note</w:t>
      </w:r>
    </w:p>
    <w:p>
      <w:pPr>
        <w:spacing w:after="0" w:line="195" w:lineRule="exact"/>
        <w:rPr>
          <w:sz w:val="20"/>
          <w:szCs w:val="20"/>
          <w:color w:val="auto"/>
        </w:rPr>
      </w:pPr>
    </w:p>
    <w:p>
      <w:pPr>
        <w:ind w:left="140"/>
        <w:spacing w:after="0"/>
        <w:tabs>
          <w:tab w:leader="none" w:pos="3460" w:val="left"/>
          <w:tab w:leader="none" w:pos="6160" w:val="left"/>
          <w:tab w:leader="none" w:pos="9080" w:val="left"/>
        </w:tabs>
        <w:rPr>
          <w:sz w:val="20"/>
          <w:szCs w:val="20"/>
          <w:color w:val="auto"/>
        </w:rPr>
      </w:pPr>
      <w:r>
        <w:rPr>
          <w:rFonts w:ascii="Times New Roman" w:cs="Times New Roman" w:eastAsia="Times New Roman" w:hAnsi="Times New Roman"/>
          <w:sz w:val="22"/>
          <w:szCs w:val="22"/>
          <w:u w:val="single" w:color="auto"/>
          <w:color w:val="auto"/>
        </w:rPr>
        <w:t>Invested Percentage of Loans</w:t>
      </w:r>
      <w:r>
        <w:rPr>
          <w:sz w:val="20"/>
          <w:szCs w:val="20"/>
          <w:color w:val="auto"/>
        </w:rPr>
        <w:tab/>
      </w:r>
      <w:r>
        <w:rPr>
          <w:rFonts w:ascii="Times New Roman" w:cs="Times New Roman" w:eastAsia="Times New Roman" w:hAnsi="Times New Roman"/>
          <w:sz w:val="22"/>
          <w:szCs w:val="22"/>
          <w:color w:val="auto"/>
        </w:rPr>
        <w:t>Interest on Loans</w:t>
      </w:r>
      <w:r>
        <w:rPr>
          <w:sz w:val="20"/>
          <w:szCs w:val="20"/>
          <w:color w:val="auto"/>
        </w:rPr>
        <w:tab/>
      </w:r>
      <w:r>
        <w:rPr>
          <w:rFonts w:ascii="Times New Roman" w:cs="Times New Roman" w:eastAsia="Times New Roman" w:hAnsi="Times New Roman"/>
          <w:sz w:val="22"/>
          <w:szCs w:val="22"/>
          <w:color w:val="auto"/>
        </w:rPr>
        <w:t>Payments on Loans</w:t>
      </w:r>
      <w:r>
        <w:rPr>
          <w:sz w:val="20"/>
          <w:szCs w:val="20"/>
          <w:color w:val="auto"/>
        </w:rPr>
        <w:tab/>
      </w:r>
      <w:r>
        <w:rPr>
          <w:rFonts w:ascii="Times New Roman" w:cs="Times New Roman" w:eastAsia="Times New Roman" w:hAnsi="Times New Roman"/>
          <w:sz w:val="20"/>
          <w:szCs w:val="20"/>
          <w:color w:val="auto"/>
        </w:rPr>
        <w:t>Notation by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19685</wp:posOffset>
            </wp:positionV>
            <wp:extent cx="520573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9">
                      <a:extLst>
                        <a:ext uri="{28A0092B-C50C-407E-A947-70E740481C1C}"/>
                      </a:extLst>
                    </a:blip>
                    <a:srcRect/>
                    <a:stretch>
                      <a:fillRect/>
                    </a:stretch>
                  </pic:blipFill>
                  <pic:spPr bwMode="auto">
                    <a:xfrm>
                      <a:off x="0" y="0"/>
                      <a:ext cx="520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B-164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06" w:right="99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ASSIGNMENT AND ACCEPTANCE</w:t>
      </w:r>
    </w:p>
    <w:p>
      <w:pPr>
        <w:spacing w:after="0" w:line="3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Dated __________, 201</w:t>
      </w:r>
    </w:p>
    <w:p>
      <w:pPr>
        <w:spacing w:after="0" w:line="205"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Reference is made to the Amended and Restated Warehouse Agreement, dated as of July 16, 2013 (as amended, restated, supplemented or otherwise modified from time to time, the “Warehouse Agreement”), among UACC Auto Financing Trust III, as borrower, United Auto Credit Corporation, as servicer and as custodian, [***] , as backup servicer and account bank, the lenders from time to time parties thereto and the agents from time to time parties thereto, and Wells Fargo Bank, National Association, as administrative agent (the “Administrative Agent”). Capitalized terms used but not otherwise defined herein shall have the meaning given to them in the Warehouse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__________________ (the “Assignor”) and ___________________ (the “Assignee”) agree as follows:</w:t>
      </w:r>
    </w:p>
    <w:p>
      <w:pPr>
        <w:spacing w:after="0" w:line="205" w:lineRule="exact"/>
        <w:rPr>
          <w:sz w:val="20"/>
          <w:szCs w:val="20"/>
          <w:color w:val="auto"/>
        </w:rPr>
      </w:pPr>
    </w:p>
    <w:p>
      <w:pPr>
        <w:ind w:right="120" w:firstLine="757"/>
        <w:spacing w:after="0" w:line="236" w:lineRule="auto"/>
        <w:tabs>
          <w:tab w:leader="none" w:pos="118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hereby sells and assigns to the Assignee, and the Assignee hereby purchases and assumes from the Assignor, that interest in and to all of the Assignor’s rights and obligations under the Warehouse Agreement as of the date hereof which represents the percentage interest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spacing w:after="0" w:line="179" w:lineRule="exact"/>
        <w:rPr>
          <w:rFonts w:ascii="Times New Roman" w:cs="Times New Roman" w:eastAsia="Times New Roman" w:hAnsi="Times New Roman"/>
          <w:sz w:val="22"/>
          <w:szCs w:val="22"/>
          <w:color w:val="auto"/>
        </w:rPr>
      </w:pPr>
    </w:p>
    <w:p>
      <w:pPr>
        <w:ind w:right="380" w:firstLine="757"/>
        <w:spacing w:after="0" w:line="258" w:lineRule="auto"/>
        <w:tabs>
          <w:tab w:leader="none" w:pos="118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represents and warrants that it is the legal and beneficial owner of the interest being assigned by it hereunder and that such interest is free and clear of any Lien.</w:t>
      </w:r>
    </w:p>
    <w:p>
      <w:pPr>
        <w:spacing w:after="0" w:line="157" w:lineRule="exact"/>
        <w:rPr>
          <w:rFonts w:ascii="Times New Roman" w:cs="Times New Roman" w:eastAsia="Times New Roman" w:hAnsi="Times New Roman"/>
          <w:sz w:val="22"/>
          <w:szCs w:val="22"/>
          <w:color w:val="auto"/>
        </w:rPr>
      </w:pPr>
    </w:p>
    <w:p>
      <w:pPr>
        <w:ind w:right="60" w:firstLine="757"/>
        <w:spacing w:after="0" w:line="258" w:lineRule="auto"/>
        <w:tabs>
          <w:tab w:leader="none" w:pos="1180"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997585</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12" w:name="page413"/>
    <w:bookmarkEnd w:id="412"/>
    <w:p>
      <w:pPr>
        <w:ind w:right="100"/>
        <w:spacing w:after="0" w:line="239" w:lineRule="auto"/>
        <w:rPr>
          <w:sz w:val="20"/>
          <w:szCs w:val="20"/>
          <w:color w:val="auto"/>
        </w:rPr>
      </w:pPr>
      <w:r>
        <w:rPr>
          <w:rFonts w:ascii="Times New Roman" w:cs="Times New Roman" w:eastAsia="Times New Roman" w:hAnsi="Times New Roman"/>
          <w:sz w:val="22"/>
          <w:szCs w:val="22"/>
          <w:color w:val="auto"/>
        </w:rPr>
        <w:t>powers as are reasonably incidental thereto; (vi) the Assignee agrees that it will perform in accordance with their terms all of the obligations which by 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spacing w:after="0" w:line="179" w:lineRule="exact"/>
        <w:rPr>
          <w:sz w:val="20"/>
          <w:szCs w:val="20"/>
          <w:color w:val="auto"/>
        </w:rPr>
      </w:pPr>
    </w:p>
    <w:p>
      <w:pPr>
        <w:ind w:right="20" w:firstLine="757"/>
        <w:spacing w:after="0" w:line="280" w:lineRule="auto"/>
        <w:tabs>
          <w:tab w:leader="none" w:pos="118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execution of this Assignment and Acceptance by the Assignor and the Assignee, it will be delivered to the Administrative Agent for acceptance. The effective date of this Assignment and Acceptance (the “Assignment Date”) shall be the date of acceptance thereof by the Administrative Agent, unless a later date is specified in Section 3 of Schedule 1.</w:t>
      </w:r>
    </w:p>
    <w:p>
      <w:pPr>
        <w:spacing w:after="0" w:line="138" w:lineRule="exact"/>
        <w:rPr>
          <w:rFonts w:ascii="Times New Roman" w:cs="Times New Roman" w:eastAsia="Times New Roman" w:hAnsi="Times New Roman"/>
          <w:sz w:val="20"/>
          <w:szCs w:val="20"/>
          <w:color w:val="auto"/>
        </w:rPr>
      </w:pPr>
    </w:p>
    <w:p>
      <w:pPr>
        <w:ind w:right="600" w:firstLine="757"/>
        <w:spacing w:after="0" w:line="244" w:lineRule="auto"/>
        <w:tabs>
          <w:tab w:leader="none" w:pos="11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spacing w:after="0" w:line="172" w:lineRule="exact"/>
        <w:rPr>
          <w:rFonts w:ascii="Times New Roman" w:cs="Times New Roman" w:eastAsia="Times New Roman" w:hAnsi="Times New Roman"/>
          <w:sz w:val="22"/>
          <w:szCs w:val="22"/>
          <w:color w:val="auto"/>
        </w:rPr>
      </w:pPr>
    </w:p>
    <w:p>
      <w:pPr>
        <w:ind w:right="20" w:firstLine="757"/>
        <w:spacing w:after="0" w:line="236" w:lineRule="auto"/>
        <w:tabs>
          <w:tab w:leader="none" w:pos="11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coving all or the remaining portion of an assigning Assignor’s rights and obligations under the Warehouse Agreement, Assignor shall cease to be a party thereto).</w:t>
      </w:r>
    </w:p>
    <w:p>
      <w:pPr>
        <w:spacing w:after="0" w:line="179" w:lineRule="exact"/>
        <w:rPr>
          <w:rFonts w:ascii="Times New Roman" w:cs="Times New Roman" w:eastAsia="Times New Roman" w:hAnsi="Times New Roman"/>
          <w:sz w:val="22"/>
          <w:szCs w:val="22"/>
          <w:color w:val="auto"/>
        </w:rPr>
      </w:pPr>
    </w:p>
    <w:p>
      <w:pPr>
        <w:ind w:firstLine="757"/>
        <w:spacing w:after="0" w:line="237" w:lineRule="auto"/>
        <w:tabs>
          <w:tab w:leader="none" w:pos="11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spacing w:after="0" w:line="176" w:lineRule="exact"/>
        <w:rPr>
          <w:rFonts w:ascii="Times New Roman" w:cs="Times New Roman" w:eastAsia="Times New Roman" w:hAnsi="Times New Roman"/>
          <w:sz w:val="22"/>
          <w:szCs w:val="22"/>
          <w:color w:val="auto"/>
        </w:rPr>
      </w:pPr>
    </w:p>
    <w:p>
      <w:pPr>
        <w:ind w:right="940" w:firstLine="757"/>
        <w:spacing w:after="0" w:line="261" w:lineRule="auto"/>
        <w:tabs>
          <w:tab w:leader="none" w:pos="11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THIS ASSIGNMENT AND ACCEPTANCE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C-166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13" w:name="page414"/>
    <w:bookmarkEnd w:id="413"/>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Assignor and the Assignee have executed this Acceptance and Assignment as of the __ day of ________, 201 .</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UACC Auto Financing Trust III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30" w:lineRule="auto"/>
        <w:rPr>
          <w:sz w:val="20"/>
          <w:szCs w:val="20"/>
          <w:color w:val="auto"/>
        </w:rPr>
      </w:pPr>
      <w:r>
        <w:rPr>
          <w:rFonts w:ascii="Times New Roman" w:cs="Times New Roman" w:eastAsia="Times New Roman" w:hAnsi="Times New Roman"/>
          <w:sz w:val="22"/>
          <w:szCs w:val="22"/>
          <w:color w:val="auto"/>
        </w:rPr>
        <w:t>1071 Camelback Street</w:t>
      </w:r>
    </w:p>
    <w:p>
      <w:pPr>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spacing w:after="0" w:line="231" w:lineRule="auto"/>
        <w:rPr>
          <w:sz w:val="20"/>
          <w:szCs w:val="20"/>
          <w:color w:val="auto"/>
        </w:rPr>
      </w:pPr>
      <w:r>
        <w:rPr>
          <w:rFonts w:ascii="Times New Roman" w:cs="Times New Roman" w:eastAsia="Times New Roman" w:hAnsi="Times New Roman"/>
          <w:sz w:val="22"/>
          <w:szCs w:val="22"/>
          <w:color w:val="auto"/>
        </w:rPr>
        <w:t>Telephone No.: [***]</w:t>
      </w: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C-167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7" w:right="579" w:bottom="1440" w:gutter="0" w:footer="0" w:header="0"/>
        </w:sectPr>
      </w:pPr>
    </w:p>
    <w:bookmarkStart w:id="414" w:name="page415"/>
    <w:bookmarkEnd w:id="414"/>
    <w:tbl>
      <w:tblPr>
        <w:tblLayout w:type="fixed"/>
        <w:tblInd w:w="1740" w:type="dxa"/>
        <w:tblCellMar>
          <w:top w:w="0" w:type="dxa"/>
          <w:left w:w="0" w:type="dxa"/>
          <w:bottom w:w="0" w:type="dxa"/>
          <w:right w:w="0" w:type="dxa"/>
        </w:tblCellMar>
      </w:tblPr>
      <w:tr>
        <w:trPr>
          <w:trHeight w:val="253"/>
        </w:trPr>
        <w:tc>
          <w:tcPr>
            <w:tcW w:w="800" w:type="dxa"/>
            <w:vAlign w:val="bottom"/>
          </w:tcPr>
          <w:p>
            <w:pPr>
              <w:spacing w:after="0"/>
              <w:rPr>
                <w:sz w:val="22"/>
                <w:szCs w:val="22"/>
                <w:color w:val="auto"/>
              </w:rPr>
            </w:pPr>
          </w:p>
        </w:tc>
        <w:tc>
          <w:tcPr>
            <w:tcW w:w="458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8"/>
              </w:rPr>
              <w:t>Schedule 1</w:t>
            </w:r>
          </w:p>
        </w:tc>
        <w:tc>
          <w:tcPr>
            <w:tcW w:w="1780" w:type="dxa"/>
            <w:vAlign w:val="bottom"/>
          </w:tcPr>
          <w:p>
            <w:pPr>
              <w:spacing w:after="0"/>
              <w:rPr>
                <w:sz w:val="22"/>
                <w:szCs w:val="22"/>
                <w:color w:val="auto"/>
              </w:rPr>
            </w:pPr>
          </w:p>
        </w:tc>
      </w:tr>
      <w:tr>
        <w:trPr>
          <w:trHeight w:val="243"/>
        </w:trPr>
        <w:tc>
          <w:tcPr>
            <w:tcW w:w="800" w:type="dxa"/>
            <w:vAlign w:val="bottom"/>
          </w:tcPr>
          <w:p>
            <w:pPr>
              <w:spacing w:after="0"/>
              <w:rPr>
                <w:sz w:val="21"/>
                <w:szCs w:val="21"/>
                <w:color w:val="auto"/>
              </w:rPr>
            </w:pPr>
          </w:p>
        </w:tc>
        <w:tc>
          <w:tcPr>
            <w:tcW w:w="4580" w:type="dxa"/>
            <w:vAlign w:val="bottom"/>
          </w:tcPr>
          <w:p>
            <w:pPr>
              <w:jc w:val="center"/>
              <w:ind w:left="1472"/>
              <w:spacing w:after="0" w:line="243" w:lineRule="exact"/>
              <w:rPr>
                <w:sz w:val="20"/>
                <w:szCs w:val="20"/>
                <w:color w:val="auto"/>
              </w:rPr>
            </w:pPr>
            <w:r>
              <w:rPr>
                <w:rFonts w:ascii="Times New Roman" w:cs="Times New Roman" w:eastAsia="Times New Roman" w:hAnsi="Times New Roman"/>
                <w:sz w:val="22"/>
                <w:szCs w:val="22"/>
                <w:color w:val="auto"/>
                <w:w w:val="93"/>
              </w:rPr>
              <w:t>to</w:t>
            </w:r>
          </w:p>
        </w:tc>
        <w:tc>
          <w:tcPr>
            <w:tcW w:w="1780" w:type="dxa"/>
            <w:vAlign w:val="bottom"/>
          </w:tcPr>
          <w:p>
            <w:pPr>
              <w:spacing w:after="0"/>
              <w:rPr>
                <w:sz w:val="21"/>
                <w:szCs w:val="21"/>
                <w:color w:val="auto"/>
              </w:rPr>
            </w:pPr>
          </w:p>
        </w:tc>
      </w:tr>
      <w:tr>
        <w:trPr>
          <w:trHeight w:val="243"/>
        </w:trPr>
        <w:tc>
          <w:tcPr>
            <w:tcW w:w="800" w:type="dxa"/>
            <w:vAlign w:val="bottom"/>
          </w:tcPr>
          <w:p>
            <w:pPr>
              <w:spacing w:after="0"/>
              <w:rPr>
                <w:sz w:val="21"/>
                <w:szCs w:val="21"/>
                <w:color w:val="auto"/>
              </w:rPr>
            </w:pPr>
          </w:p>
        </w:tc>
        <w:tc>
          <w:tcPr>
            <w:tcW w:w="4580" w:type="dxa"/>
            <w:vAlign w:val="bottom"/>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Assignment and Acceptance</w:t>
            </w:r>
          </w:p>
        </w:tc>
        <w:tc>
          <w:tcPr>
            <w:tcW w:w="1780" w:type="dxa"/>
            <w:vAlign w:val="bottom"/>
          </w:tcPr>
          <w:p>
            <w:pPr>
              <w:spacing w:after="0"/>
              <w:rPr>
                <w:sz w:val="21"/>
                <w:szCs w:val="21"/>
                <w:color w:val="auto"/>
              </w:rPr>
            </w:pPr>
          </w:p>
        </w:tc>
      </w:tr>
      <w:tr>
        <w:trPr>
          <w:trHeight w:val="282"/>
        </w:trPr>
        <w:tc>
          <w:tcPr>
            <w:tcW w:w="800" w:type="dxa"/>
            <w:vAlign w:val="bottom"/>
          </w:tcPr>
          <w:p>
            <w:pPr>
              <w:spacing w:after="0"/>
              <w:rPr>
                <w:sz w:val="24"/>
                <w:szCs w:val="24"/>
                <w:color w:val="auto"/>
              </w:rPr>
            </w:pPr>
          </w:p>
        </w:tc>
        <w:tc>
          <w:tcPr>
            <w:tcW w:w="458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Dated _________, 201</w:t>
            </w:r>
          </w:p>
        </w:tc>
        <w:tc>
          <w:tcPr>
            <w:tcW w:w="1780" w:type="dxa"/>
            <w:vAlign w:val="bottom"/>
          </w:tcPr>
          <w:p>
            <w:pPr>
              <w:spacing w:after="0"/>
              <w:rPr>
                <w:sz w:val="24"/>
                <w:szCs w:val="24"/>
                <w:color w:val="auto"/>
              </w:rPr>
            </w:pPr>
          </w:p>
        </w:tc>
      </w:tr>
      <w:tr>
        <w:trPr>
          <w:trHeight w:val="635"/>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w:t>
            </w:r>
          </w:p>
        </w:tc>
        <w:tc>
          <w:tcPr>
            <w:tcW w:w="178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18"/>
        </w:trPr>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Percentage Interest:</w:t>
            </w:r>
          </w:p>
        </w:tc>
        <w:tc>
          <w:tcPr>
            <w:tcW w:w="1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w:t>
            </w:r>
          </w:p>
        </w:tc>
      </w:tr>
      <w:tr>
        <w:trPr>
          <w:trHeight w:val="541"/>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w:t>
            </w:r>
          </w:p>
        </w:tc>
        <w:tc>
          <w:tcPr>
            <w:tcW w:w="178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18"/>
        </w:trPr>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Assignee’s Commitment:</w:t>
            </w:r>
          </w:p>
        </w:tc>
        <w:tc>
          <w:tcPr>
            <w:tcW w:w="178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6"/>
              </w:rPr>
              <w:t>$_____________</w:t>
            </w:r>
          </w:p>
        </w:tc>
      </w:tr>
      <w:tr>
        <w:trPr>
          <w:trHeight w:val="485"/>
        </w:trPr>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Aggregate Lender Advances Owing to the Assignee:</w:t>
            </w:r>
          </w:p>
        </w:tc>
        <w:tc>
          <w:tcPr>
            <w:tcW w:w="178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6"/>
              </w:rPr>
              <w:t>$_____________</w:t>
            </w:r>
          </w:p>
        </w:tc>
      </w:tr>
      <w:tr>
        <w:trPr>
          <w:trHeight w:val="541"/>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w:t>
            </w:r>
          </w:p>
        </w:tc>
        <w:tc>
          <w:tcPr>
            <w:tcW w:w="178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18"/>
        </w:trPr>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Assignment Date: _____________, 201</w:t>
            </w:r>
          </w:p>
        </w:tc>
        <w:tc>
          <w:tcPr>
            <w:tcW w:w="1780" w:type="dxa"/>
            <w:vAlign w:val="bottom"/>
          </w:tcPr>
          <w:p>
            <w:pPr>
              <w:spacing w:after="0"/>
              <w:rPr>
                <w:sz w:val="24"/>
                <w:szCs w:val="24"/>
                <w:color w:val="auto"/>
              </w:rPr>
            </w:pPr>
          </w:p>
        </w:tc>
      </w:tr>
      <w:tr>
        <w:trPr>
          <w:trHeight w:val="723"/>
        </w:trPr>
        <w:tc>
          <w:tcPr>
            <w:tcW w:w="800" w:type="dxa"/>
            <w:vAlign w:val="bottom"/>
          </w:tcPr>
          <w:p>
            <w:pPr>
              <w:spacing w:after="0"/>
              <w:rPr>
                <w:sz w:val="24"/>
                <w:szCs w:val="24"/>
                <w:color w:val="auto"/>
              </w:rPr>
            </w:pPr>
          </w:p>
        </w:tc>
        <w:tc>
          <w:tcPr>
            <w:tcW w:w="4580" w:type="dxa"/>
            <w:vAlign w:val="bottom"/>
          </w:tcPr>
          <w:p>
            <w:pPr>
              <w:jc w:val="center"/>
              <w:ind w:left="1492"/>
              <w:spacing w:after="0"/>
              <w:rPr>
                <w:sz w:val="20"/>
                <w:szCs w:val="20"/>
                <w:color w:val="auto"/>
              </w:rPr>
            </w:pPr>
            <w:r>
              <w:rPr>
                <w:rFonts w:ascii="Times New Roman" w:cs="Times New Roman" w:eastAsia="Times New Roman" w:hAnsi="Times New Roman"/>
                <w:sz w:val="22"/>
                <w:szCs w:val="22"/>
                <w:color w:val="auto"/>
                <w:w w:val="98"/>
              </w:rPr>
              <w:t>C-168</w:t>
            </w:r>
          </w:p>
        </w:tc>
        <w:tc>
          <w:tcPr>
            <w:tcW w:w="178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6" w:right="1440"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t>
      </w:r>
    </w:p>
    <w:p>
      <w:pPr>
        <w:spacing w:after="0" w:line="3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[Provided In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1231265</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1" w:right="3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POWER OF ATTORNEY</w:t>
      </w:r>
    </w:p>
    <w:p>
      <w:pPr>
        <w:spacing w:after="0" w:line="313"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This Power of Attorney (this “Power of Attorney”) is executed and delivered by UACC Auto Financing Trust III (“Grantor”) to Wells Fargo Bank, National Association, as Administrative Agent (“Attorney”), pursuant to the Amended and Restated Warehouse Agreement, dated as of July 16, 2013 (as amended, restated, supplemented or otherwise modified from time to time, the “Warehouse Agreement”), among UACC Auto Financing Trust III, as borrower (the “Borrower”), United Auto Credit Corporation, as servicer and as custodian, [***], as backup servicer and account bank, the lenders from time to time parties thereto, the agents from time to time parties thereto, and Wells Fargo Bank, National Association, as administrative agent. Capitalized terms used herein that are not otherwise defined shall have the meanings ascribed thereto in the Warehouse Agreement.</w:t>
      </w:r>
    </w:p>
    <w:p>
      <w:pPr>
        <w:spacing w:after="0" w:line="184"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 or Attorney has provided its written consent thereto.</w:t>
      </w:r>
    </w:p>
    <w:p>
      <w:pPr>
        <w:spacing w:after="0" w:line="184" w:lineRule="exact"/>
        <w:rPr>
          <w:sz w:val="20"/>
          <w:szCs w:val="20"/>
          <w:color w:val="auto"/>
        </w:rPr>
      </w:pPr>
    </w:p>
    <w:p>
      <w:pPr>
        <w:ind w:right="240" w:firstLine="749"/>
        <w:spacing w:after="0" w:line="232" w:lineRule="auto"/>
        <w:rPr>
          <w:sz w:val="20"/>
          <w:szCs w:val="20"/>
          <w:color w:val="auto"/>
        </w:rPr>
      </w:pPr>
      <w:r>
        <w:rPr>
          <w:rFonts w:ascii="Times New Roman" w:cs="Times New Roman" w:eastAsia="Times New Roman" w:hAnsi="Times New Roman"/>
          <w:sz w:val="22"/>
          <w:szCs w:val="22"/>
          <w:color w:val="auto"/>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17" w:name="page418"/>
    <w:bookmarkEnd w:id="417"/>
    <w:p>
      <w:pPr>
        <w:spacing w:after="0" w:line="234" w:lineRule="auto"/>
        <w:rPr>
          <w:sz w:val="20"/>
          <w:szCs w:val="20"/>
          <w:color w:val="auto"/>
        </w:rPr>
      </w:pPr>
      <w:r>
        <w:rPr>
          <w:rFonts w:ascii="Times New Roman" w:cs="Times New Roman" w:eastAsia="Times New Roman" w:hAnsi="Times New Roman"/>
          <w:sz w:val="22"/>
          <w:szCs w:val="22"/>
          <w:color w:val="auto"/>
        </w:rPr>
        <w:t>Grantor’s property, and execute, in connection with such sale or action, any endorsements, assignments or other instruments of 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Grantor hereby ratifies, to the extent permitted by Applicable Law, all that said attorneys shall lawfully do or cause to be done by virtue 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this Power of Attorney is executed by Grantor as of this __ day of November 2016.</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III</w:t>
      </w: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Sworn to and subscribed before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 this __ day of November 2016</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E-171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F</w:t>
      </w:r>
    </w:p>
    <w:p>
      <w:pPr>
        <w:spacing w:after="0" w:line="200" w:lineRule="exact"/>
        <w:rPr>
          <w:sz w:val="20"/>
          <w:szCs w:val="20"/>
          <w:color w:val="auto"/>
        </w:rPr>
      </w:pP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1231265</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1" w:right="339"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RELEASE OF DOCUMENTS</w:t>
      </w:r>
    </w:p>
    <w:p>
      <w:pPr>
        <w:spacing w:after="0" w:line="3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10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9">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1310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0">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205" w:lineRule="exact"/>
        <w:rPr>
          <w:sz w:val="20"/>
          <w:szCs w:val="20"/>
          <w:color w:val="auto"/>
        </w:rPr>
      </w:pPr>
    </w:p>
    <w:p>
      <w:pPr>
        <w:ind w:right="5200" w:firstLine="802"/>
        <w:spacing w:after="0" w:line="434"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III Warehouse Agreement</w:t>
      </w:r>
      <w:r>
        <w:rPr>
          <w:rFonts w:ascii="Times New Roman" w:cs="Times New Roman" w:eastAsia="Times New Roman" w:hAnsi="Times New Roman"/>
          <w:sz w:val="22"/>
          <w:szCs w:val="22"/>
          <w:color w:val="auto"/>
        </w:rPr>
        <w:t xml:space="preserve"> Ladies and Gentlemen:</w:t>
      </w:r>
    </w:p>
    <w:p>
      <w:pPr>
        <w:spacing w:after="0" w:line="2"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Amended and Restated Warehouse Agreement, dated as of July 16, 2013 (as amended, restated, supplemented or otherwise modified from time to time, the “Warehouse Agreement”), among UACC Auto Financing Trust III, as borrower, United Auto Credit Corporation, as servicer (the “Servicer”) and as custodian, [***], as backup servicer and account bank, the lenders from time to time parties thereto, the agents from time to time parties thereto and Wells Fargo Bank, National Association, as administrative agent (the “Administrative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undersigned, in its capacity as Servicer under the Warehouse Agreement, hereby requests (check one):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that the Custodian release to the Servicer the Receivable Files or other documents set forth on Schedule A to this</w:t>
      </w:r>
    </w:p>
    <w:p>
      <w:pPr>
        <w:spacing w:after="0" w:line="37" w:lineRule="exact"/>
        <w:rPr>
          <w:sz w:val="20"/>
          <w:szCs w:val="20"/>
          <w:color w:val="auto"/>
        </w:rPr>
      </w:pPr>
    </w:p>
    <w:p>
      <w:pPr>
        <w:ind w:right="560"/>
        <w:spacing w:after="0" w:line="235" w:lineRule="auto"/>
        <w:rPr>
          <w:sz w:val="20"/>
          <w:szCs w:val="20"/>
          <w:color w:val="auto"/>
        </w:rPr>
      </w:pPr>
      <w:r>
        <w:rPr>
          <w:rFonts w:ascii="Times New Roman" w:cs="Times New Roman" w:eastAsia="Times New Roman" w:hAnsi="Times New Roman"/>
          <w:sz w:val="22"/>
          <w:szCs w:val="22"/>
          <w:color w:val="auto"/>
        </w:rPr>
        <w:t>Release of Documents. All documents so released to the Servicer shall be held by the Servicer in trust for the benefit of the Administrative Agent in accordance with the terms of the Warehouse Agreement and the Servicer agrees to return to the Custodian the Receivable File or other such documents when the Servicer’s need therefor no longer exists.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 that the Custodian permanently release to the Servicer the Receivable Files or other documents set forth on</w:t>
      </w:r>
    </w:p>
    <w:p>
      <w:pPr>
        <w:spacing w:after="0" w:line="14" w:lineRule="exact"/>
        <w:rPr>
          <w:sz w:val="20"/>
          <w:szCs w:val="20"/>
          <w:color w:val="auto"/>
        </w:rPr>
      </w:pPr>
    </w:p>
    <w:p>
      <w:pPr>
        <w:ind w:right="360"/>
        <w:spacing w:after="0" w:line="235" w:lineRule="auto"/>
        <w:rPr>
          <w:sz w:val="20"/>
          <w:szCs w:val="20"/>
          <w:color w:val="auto"/>
        </w:rPr>
      </w:pPr>
      <w:r>
        <w:rPr>
          <w:rFonts w:ascii="Times New Roman" w:cs="Times New Roman" w:eastAsia="Times New Roman" w:hAnsi="Times New Roman"/>
          <w:sz w:val="22"/>
          <w:szCs w:val="22"/>
          <w:color w:val="auto"/>
        </w:rPr>
        <w:t>Schedule B to this Release of Documents and the Servicer certifies with respect to such Receivable Files that the related Receivable has been liquidated, prepaid or repaid and that all amounts received in connection with such liquidated Receivable have been credited to the Collection Account as provided in the Warehouse Agreement.</w:t>
      </w:r>
    </w:p>
    <w:p>
      <w:pPr>
        <w:spacing w:after="0" w:line="17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1714500</wp:posOffset>
            </wp:positionV>
            <wp:extent cx="7157720"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20" w:name="page421"/>
    <w:bookmarkEnd w:id="420"/>
    <w:p>
      <w:pPr>
        <w:ind w:left="760"/>
        <w:spacing w:after="0"/>
        <w:rPr>
          <w:sz w:val="20"/>
          <w:szCs w:val="20"/>
          <w:color w:val="auto"/>
        </w:rPr>
      </w:pPr>
      <w:r>
        <w:rPr>
          <w:rFonts w:ascii="Times New Roman" w:cs="Times New Roman" w:eastAsia="Times New Roman" w:hAnsi="Times New Roman"/>
          <w:sz w:val="20"/>
          <w:szCs w:val="20"/>
          <w:color w:val="auto"/>
        </w:rPr>
        <w:t>The undersigned has executed this Release of Documents as of the date first written above.</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jc w:val="center"/>
        <w:ind w:right="-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499"/>
        <w:spacing w:after="0"/>
        <w:rPr>
          <w:sz w:val="20"/>
          <w:szCs w:val="20"/>
          <w:color w:val="auto"/>
        </w:rPr>
      </w:pPr>
      <w:r>
        <w:rPr>
          <w:rFonts w:ascii="Times New Roman" w:cs="Times New Roman" w:eastAsia="Times New Roman" w:hAnsi="Times New Roman"/>
          <w:sz w:val="20"/>
          <w:szCs w:val="20"/>
          <w:color w:val="auto"/>
        </w:rPr>
        <w:t>AGREED AND ACCEPTED:</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85598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2">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18986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3">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2"/>
          <w:szCs w:val="22"/>
          <w:color w:val="auto"/>
        </w:rPr>
        <w:t>Name:</w:t>
      </w:r>
    </w:p>
    <w:p>
      <w:pPr>
        <w:ind w:left="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G-174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421" w:name="page422"/>
    <w:bookmarkEnd w:id="42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RECEIVABLE RECEIPT</w:t>
      </w:r>
    </w:p>
    <w:p>
      <w:pPr>
        <w:spacing w:after="0" w:line="3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National Association</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0" w:lineRule="auto"/>
        <w:rPr>
          <w:sz w:val="20"/>
          <w:szCs w:val="20"/>
          <w:color w:val="auto"/>
        </w:rPr>
      </w:pPr>
      <w:r>
        <w:rPr>
          <w:rFonts w:ascii="Times New Roman" w:cs="Times New Roman" w:eastAsia="Times New Roman" w:hAnsi="Times New Roman"/>
          <w:sz w:val="22"/>
          <w:szCs w:val="22"/>
          <w:color w:val="auto"/>
        </w:rPr>
        <w:t>550 South Tryon Street</w:t>
      </w:r>
    </w:p>
    <w:p>
      <w:pPr>
        <w:spacing w:after="0" w:line="230" w:lineRule="auto"/>
        <w:rPr>
          <w:sz w:val="20"/>
          <w:szCs w:val="20"/>
          <w:color w:val="auto"/>
        </w:rPr>
      </w:pPr>
      <w:r>
        <w:rPr>
          <w:rFonts w:ascii="Times New Roman" w:cs="Times New Roman" w:eastAsia="Times New Roman" w:hAnsi="Times New Roman"/>
          <w:sz w:val="22"/>
          <w:szCs w:val="22"/>
          <w:color w:val="auto"/>
        </w:rPr>
        <w:t>Charlotte, North Carolina 28202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Steven J. Ellis</w:t>
      </w:r>
    </w:p>
    <w:p>
      <w:pPr>
        <w:spacing w:after="0" w:line="181" w:lineRule="exact"/>
        <w:rPr>
          <w:sz w:val="20"/>
          <w:szCs w:val="20"/>
          <w:color w:val="auto"/>
        </w:rPr>
      </w:pPr>
    </w:p>
    <w:p>
      <w:pPr>
        <w:ind w:right="5200" w:firstLine="802"/>
        <w:spacing w:after="0" w:line="434"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III Warehouse Agreement</w:t>
      </w:r>
      <w:r>
        <w:rPr>
          <w:rFonts w:ascii="Times New Roman" w:cs="Times New Roman" w:eastAsia="Times New Roman" w:hAnsi="Times New Roman"/>
          <w:sz w:val="22"/>
          <w:szCs w:val="22"/>
          <w:color w:val="auto"/>
        </w:rPr>
        <w:t xml:space="preserve"> Ladies and Gentlemen:</w:t>
      </w:r>
    </w:p>
    <w:p>
      <w:pPr>
        <w:spacing w:after="0" w:line="2"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Amended and Restated Warehouse Agreement, dated as of July 16, 2013 (as amended, restated, supplemented or otherwise modified from time to time, the “Warehouse Agreement”), among UACC Auto Financing Trust III, as borrower, United Auto Credit Corporation (“UACC”), as servicer and as custodian (in such capacity, the “Custodian”), [***], as backup servicer and account bank, the lenders from time to time parties thereto, the agents from time to time parties thereto and Wells Fargo Bank, National Association, as administrative agent (the “Administrative Agent”).</w:t>
      </w:r>
    </w:p>
    <w:p>
      <w:pPr>
        <w:spacing w:after="0" w:line="180"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The undersigned, on behalf of UACC, in its capacity as Custodian under the Warehouse Agreement, hereby acknowledges (i) delivery of the executed original counterpart of the Contracts set forth on Schedule 1 hereto, evidencing the related Receivables and (ii) stating that the executed original counterparts of the Contracts set forth on Schedule 2 hereto have not been delivered to the Custodian or are mutilated or damaged in any material respect.</w:t>
      </w:r>
    </w:p>
    <w:p>
      <w:pPr>
        <w:spacing w:after="0" w:line="17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1284605</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22" w:name="page423"/>
    <w:bookmarkEnd w:id="422"/>
    <w:p>
      <w:pPr>
        <w:jc w:val="right"/>
        <w:spacing w:after="0"/>
        <w:rPr>
          <w:sz w:val="20"/>
          <w:szCs w:val="20"/>
          <w:color w:val="auto"/>
        </w:rPr>
      </w:pPr>
      <w:r>
        <w:rPr>
          <w:rFonts w:ascii="Times New Roman" w:cs="Times New Roman" w:eastAsia="Times New Roman" w:hAnsi="Times New Roman"/>
          <w:sz w:val="22"/>
          <w:szCs w:val="22"/>
          <w:color w:val="auto"/>
        </w:rPr>
        <w:t>Schedule 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H-176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22"/>
          <w:szCs w:val="22"/>
          <w:color w:val="auto"/>
        </w:rPr>
        <w:t>Schedule 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H-177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300213599v4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24" w:name="page425"/>
    <w:bookmarkEnd w:id="42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I</w:t>
      </w: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AUTHORIZED REPRESENTATIVES</w:t>
      </w:r>
    </w:p>
    <w:p>
      <w:pPr>
        <w:spacing w:after="0" w:line="25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889000</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1" w:right="339" w:bottom="1440" w:gutter="0" w:footer="0" w:header="0"/>
        </w:sectPr>
      </w:pPr>
    </w:p>
    <w:bookmarkStart w:id="425" w:name="page426"/>
    <w:bookmarkEnd w:id="42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7" w:lineRule="exact"/>
        <w:rPr>
          <w:sz w:val="20"/>
          <w:szCs w:val="20"/>
          <w:color w:val="auto"/>
        </w:rPr>
      </w:pPr>
    </w:p>
    <w:p>
      <w:pPr>
        <w:ind w:left="2746" w:right="200" w:hanging="2746"/>
        <w:spacing w:after="0" w:line="281" w:lineRule="auto"/>
        <w:tabs>
          <w:tab w:leader="none" w:pos="43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both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4"/>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Borrower,</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Servicer and Custodian,</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Backup Servicer and Account Bank,</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the LENDERS</w:t>
      </w:r>
    </w:p>
    <w:p>
      <w:pPr>
        <w:spacing w:after="0" w:line="14"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1"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and</w:t>
      </w:r>
    </w:p>
    <w:p>
      <w:pPr>
        <w:spacing w:after="0" w:line="205" w:lineRule="exact"/>
        <w:rPr>
          <w:sz w:val="20"/>
          <w:szCs w:val="20"/>
          <w:color w:val="auto"/>
        </w:rPr>
      </w:pPr>
    </w:p>
    <w:p>
      <w:pPr>
        <w:ind w:left="4486"/>
        <w:spacing w:after="0"/>
        <w:rPr>
          <w:sz w:val="20"/>
          <w:szCs w:val="20"/>
          <w:color w:val="auto"/>
        </w:rPr>
      </w:pPr>
      <w:r>
        <w:rPr>
          <w:rFonts w:ascii="Times New Roman" w:cs="Times New Roman" w:eastAsia="Times New Roman" w:hAnsi="Times New Roman"/>
          <w:sz w:val="22"/>
          <w:szCs w:val="22"/>
          <w:color w:val="auto"/>
        </w:rPr>
        <w:t>CAPITAL ONE, N.A.,</w:t>
      </w:r>
    </w:p>
    <w:p>
      <w:pPr>
        <w:spacing w:after="0" w:line="14" w:lineRule="exact"/>
        <w:rPr>
          <w:sz w:val="20"/>
          <w:szCs w:val="20"/>
          <w:color w:val="auto"/>
        </w:rPr>
      </w:pPr>
    </w:p>
    <w:p>
      <w:pPr>
        <w:ind w:left="4406"/>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406400</wp:posOffset>
            </wp:positionV>
            <wp:extent cx="242316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9">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86"/>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14" w:lineRule="exact"/>
        <w:rPr>
          <w:sz w:val="20"/>
          <w:szCs w:val="20"/>
          <w:color w:val="auto"/>
        </w:rPr>
      </w:pPr>
    </w:p>
    <w:p>
      <w:pPr>
        <w:ind w:left="4106"/>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08"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Dated as of March 29, 2021</w:t>
      </w:r>
    </w:p>
    <w:p>
      <w:pPr>
        <w:spacing w:after="0" w:line="205" w:lineRule="exact"/>
        <w:rPr>
          <w:sz w:val="20"/>
          <w:szCs w:val="20"/>
          <w:color w:val="auto"/>
        </w:rPr>
      </w:pPr>
    </w:p>
    <w:p>
      <w:pPr>
        <w:jc w:val="center"/>
        <w:ind w:right="134"/>
        <w:spacing w:after="0"/>
        <w:rPr>
          <w:sz w:val="20"/>
          <w:szCs w:val="20"/>
          <w:color w:val="auto"/>
        </w:rPr>
      </w:pPr>
      <w:r>
        <w:rPr>
          <w:rFonts w:ascii="Times New Roman" w:cs="Times New Roman" w:eastAsia="Times New Roman" w:hAnsi="Times New Roman"/>
          <w:sz w:val="22"/>
          <w:szCs w:val="22"/>
          <w:color w:val="auto"/>
        </w:rPr>
        <w:t>as amended through August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2261870</wp:posOffset>
            </wp:positionH>
            <wp:positionV relativeFrom="paragraph">
              <wp:posOffset>156210</wp:posOffset>
            </wp:positionV>
            <wp:extent cx="242316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0">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2018665</wp:posOffset>
            </wp:positionV>
            <wp:extent cx="715772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6"/>
          </w:cols>
          <w:pgMar w:left="474" w:top="755" w:right="339"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86"/>
        </w:trPr>
        <w:tc>
          <w:tcPr>
            <w:tcW w:w="3020" w:type="dxa"/>
            <w:vAlign w:val="bottom"/>
          </w:tcPr>
          <w:p>
            <w:pPr>
              <w:spacing w:after="0"/>
              <w:rPr>
                <w:sz w:val="24"/>
                <w:szCs w:val="24"/>
                <w:color w:val="auto"/>
              </w:rPr>
            </w:pPr>
          </w:p>
        </w:tc>
        <w:tc>
          <w:tcPr>
            <w:tcW w:w="7620" w:type="dxa"/>
            <w:vAlign w:val="bottom"/>
          </w:tcPr>
          <w:p>
            <w:pPr>
              <w:ind w:left="14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6"/>
        </w:trPr>
        <w:tc>
          <w:tcPr>
            <w:tcW w:w="3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92"/>
        </w:trPr>
        <w:tc>
          <w:tcPr>
            <w:tcW w:w="106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ONE DEFINITIONS; CONSTRUCTION</w:t>
            </w:r>
          </w:p>
        </w:tc>
        <w:tc>
          <w:tcPr>
            <w:tcW w:w="140" w:type="dxa"/>
            <w:vAlign w:val="bottom"/>
          </w:tcPr>
          <w:p>
            <w:pPr>
              <w:spacing w:after="0"/>
              <w:rPr>
                <w:sz w:val="24"/>
                <w:szCs w:val="2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1.01.</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Definitions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1.02.</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Accounting Terms and Determinations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1.03.</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Computation of Time Periods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82"/>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1.04.</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Interpretation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73"/>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0000FF"/>
              </w:rPr>
              <w:t>ARTICLE TWO LOANS</w:t>
            </w:r>
          </w:p>
        </w:tc>
        <w:tc>
          <w:tcPr>
            <w:tcW w:w="76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2.01.</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Loans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2.02.</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Funding Mechanics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2.03.</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Reductions of Commitments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2.04.</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Extensions of Commitments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2.05.</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The Notes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2.06.</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Optional Principal Repayments; Interpayments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2.07.</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Payments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2.08.</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Settlement Procedures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2.09.</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Mandatory Payments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2.10.</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Payments, Computations, Etc.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2.11.</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Collections and Allocations; Investment of Funds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2.12.</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Fees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2.13.</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Increased Costs; Capital Adequacy; Illegality; Rating Requests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2.14.</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Taxes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2.15.</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Securitizations.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2.16.</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Sharing of Payments, Etc.</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2.17.</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The Account Bank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82"/>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2.18.</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Benchmark Replacement Setting</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473"/>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0000FF"/>
              </w:rPr>
              <w:t>ARTICLE THREE SECURITY</w:t>
            </w:r>
          </w:p>
        </w:tc>
        <w:tc>
          <w:tcPr>
            <w:tcW w:w="76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3.01.</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Collateral and Back-Up Collateral</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3.02.</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Release of Collateral; No Legal Title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3.03.</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Protection of Security Interest; Administrative Agent, as Attorney-in-Fact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3.04.</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Assignment of the Purchase Agreement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3.05.</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Waiver of Certain Laws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473"/>
        </w:trPr>
        <w:tc>
          <w:tcPr>
            <w:tcW w:w="106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FOUR CONDITIONS OF CLOSING AND LOANS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4.01.</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Conditions to Closing and Initial Loan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82"/>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4.02.</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Conditions Precedent to All Loans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473"/>
        </w:trPr>
        <w:tc>
          <w:tcPr>
            <w:tcW w:w="106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FIVE REPRESENTATIONS AND WARRANTIES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5.01.</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Representations and Warranties of the Borrower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43"/>
        </w:trPr>
        <w:tc>
          <w:tcPr>
            <w:tcW w:w="302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0000FF"/>
              </w:rPr>
              <w:t>Section 5.02.</w:t>
            </w:r>
          </w:p>
        </w:tc>
        <w:tc>
          <w:tcPr>
            <w:tcW w:w="7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0000FF"/>
                <w:w w:val="99"/>
              </w:rPr>
              <w:t>Representations and Warranties of the Borrower Relating to this Agreement and the</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0"/>
        </w:trPr>
        <w:tc>
          <w:tcPr>
            <w:tcW w:w="3020" w:type="dxa"/>
            <w:vAlign w:val="bottom"/>
          </w:tcPr>
          <w:p>
            <w:pPr>
              <w:spacing w:after="0"/>
              <w:rPr>
                <w:sz w:val="23"/>
                <w:szCs w:val="23"/>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Receivables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2"/>
        </w:trPr>
        <w:tc>
          <w:tcPr>
            <w:tcW w:w="302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5.03.</w:t>
            </w:r>
          </w:p>
        </w:tc>
        <w:tc>
          <w:tcPr>
            <w:tcW w:w="7620" w:type="dxa"/>
            <w:vAlign w:val="bottom"/>
          </w:tcPr>
          <w:p>
            <w:pPr>
              <w:ind w:left="240"/>
              <w:spacing w:after="0"/>
              <w:rPr>
                <w:sz w:val="20"/>
                <w:szCs w:val="20"/>
                <w:color w:val="auto"/>
              </w:rPr>
            </w:pPr>
            <w:r>
              <w:rPr>
                <w:rFonts w:ascii="Times New Roman" w:cs="Times New Roman" w:eastAsia="Times New Roman" w:hAnsi="Times New Roman"/>
                <w:sz w:val="22"/>
                <w:szCs w:val="22"/>
                <w:color w:val="0000FF"/>
              </w:rPr>
              <w:t>Representations and Warranties of the Servicer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606425</wp:posOffset>
            </wp:positionV>
            <wp:extent cx="7157720"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3" w:right="339" w:bottom="1440" w:gutter="0" w:footer="0" w:header="0"/>
        </w:sectPr>
      </w:pPr>
    </w:p>
    <w:bookmarkStart w:id="427" w:name="page428"/>
    <w:bookmarkEnd w:id="427"/>
    <w:tbl>
      <w:tblPr>
        <w:tblLayout w:type="fixed"/>
        <w:tblInd w:w="0" w:type="dxa"/>
        <w:tblCellMar>
          <w:top w:w="0" w:type="dxa"/>
          <w:left w:w="0" w:type="dxa"/>
          <w:bottom w:w="0" w:type="dxa"/>
          <w:right w:w="0" w:type="dxa"/>
        </w:tblCellMar>
      </w:tblPr>
      <w:tr>
        <w:trPr>
          <w:trHeight w:val="253"/>
        </w:trPr>
        <w:tc>
          <w:tcPr>
            <w:tcW w:w="296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681"/>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5.04.</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Retransfer of Certain Receivables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82"/>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5.05.</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Representations and Warranties of the Backup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73"/>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0000FF"/>
              </w:rPr>
              <w:t>ARTICLE SIX COVENANTS</w:t>
            </w:r>
          </w:p>
        </w:tc>
        <w:tc>
          <w:tcPr>
            <w:tcW w:w="77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6.01.</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Affirmative Covenants of the Borrower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6.02.</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Negative Covenants of the Borrower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6.03.</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Covenant of the Borrower Relating to Hedge Transactions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6.04.</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Affirmative Covenants of the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87</w:t>
            </w:r>
          </w:p>
        </w:tc>
      </w:tr>
      <w:tr>
        <w:trPr>
          <w:trHeight w:val="282"/>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6.05.</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Negative Covenants of the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90</w:t>
            </w:r>
          </w:p>
        </w:tc>
      </w:tr>
      <w:tr>
        <w:trPr>
          <w:trHeight w:val="473"/>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SEVEN ADMINISTRATION AND SERVICING OF RECEIVABLES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7.01.</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Designation of Servicing</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7.02.</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Servicing Compensation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7.03.</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Duties of the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7.04.</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Collection of Payments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7.05.</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Payment of Certain Expenses by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7.06.</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Reports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7.07.</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Due Diligence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7.08.</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Annual Statement as to Compliance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7.09.</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Annual Independent Public Accountant’s Reports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43"/>
        </w:trPr>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0000FF"/>
              </w:rPr>
              <w:t>Section 7.10.</w:t>
            </w:r>
          </w:p>
        </w:tc>
        <w:tc>
          <w:tcPr>
            <w:tcW w:w="7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0000FF"/>
              </w:rPr>
              <w:t>Rights Prior to Assumption of Duties by the Backup Servicer or Designation of</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2960" w:type="dxa"/>
            <w:vAlign w:val="bottom"/>
          </w:tcPr>
          <w:p>
            <w:pPr>
              <w:spacing w:after="0"/>
              <w:rPr>
                <w:sz w:val="23"/>
                <w:szCs w:val="23"/>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Successor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43"/>
        </w:trPr>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0000FF"/>
              </w:rPr>
              <w:t>Section 7.11.</w:t>
            </w:r>
          </w:p>
        </w:tc>
        <w:tc>
          <w:tcPr>
            <w:tcW w:w="770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0000FF"/>
                <w:w w:val="99"/>
              </w:rPr>
              <w:t>Rights After Assumption of Duties by Backup Servicer or Designation of Successor</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2960" w:type="dxa"/>
            <w:vAlign w:val="bottom"/>
          </w:tcPr>
          <w:p>
            <w:pPr>
              <w:spacing w:after="0"/>
              <w:rPr>
                <w:sz w:val="23"/>
                <w:szCs w:val="23"/>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Servicer; Liability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7.12.</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Limitation on Liability of the Servicer and Others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7.13.</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The Servicer Not to Resign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7.14.</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Servicer Termination Events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7.15.</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Appointment of Successor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7.16.</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Merger or Consolidation, Assumption of Obligations or Resignation of the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7.17.</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Responsibilities of the Borrower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7.18.</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Custody of Receivable Files.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7.19.</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Duties of Custodian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82"/>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7.20.</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Certain Duties for Electronic Contracts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473"/>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EIGHT THE BACKUP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8.01.</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Designation of the Backup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8.02.</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Duties of the Backup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8.03.</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Backup Servicing Compensation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8.04.</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Backup Servicer Removal</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8.05.</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Backup Servicer Not to Resign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8.06.</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Monthly Backup Servicer Certificate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82"/>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8.07.</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Covenants of the Backup Servicer</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473"/>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NINE TERMINATION EVENTS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70"/>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9.01.</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Termination Events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115</w:t>
            </w:r>
          </w:p>
        </w:tc>
      </w:tr>
      <w:tr>
        <w:trPr>
          <w:trHeight w:val="282"/>
        </w:trPr>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9.02.</w:t>
            </w:r>
          </w:p>
        </w:tc>
        <w:tc>
          <w:tcPr>
            <w:tcW w:w="7700" w:type="dxa"/>
            <w:vAlign w:val="bottom"/>
          </w:tcPr>
          <w:p>
            <w:pPr>
              <w:ind w:left="300"/>
              <w:spacing w:after="0"/>
              <w:rPr>
                <w:sz w:val="20"/>
                <w:szCs w:val="20"/>
                <w:color w:val="auto"/>
              </w:rPr>
            </w:pPr>
            <w:r>
              <w:rPr>
                <w:rFonts w:ascii="Times New Roman" w:cs="Times New Roman" w:eastAsia="Times New Roman" w:hAnsi="Times New Roman"/>
                <w:sz w:val="22"/>
                <w:szCs w:val="22"/>
                <w:color w:val="0000FF"/>
              </w:rPr>
              <w:t>Actions Upon Occurrence of the Termination Date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118</w:t>
            </w:r>
          </w:p>
        </w:tc>
      </w:tr>
    </w:tbl>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36" w:right="339" w:bottom="1440" w:gutter="0" w:footer="0" w:header="0"/>
        </w:sectPr>
      </w:pPr>
    </w:p>
    <w:bookmarkStart w:id="428" w:name="page429"/>
    <w:bookmarkEnd w:id="428"/>
    <w:tbl>
      <w:tblPr>
        <w:tblLayout w:type="fixed"/>
        <w:tblInd w:w="0" w:type="dxa"/>
        <w:tblCellMar>
          <w:top w:w="0" w:type="dxa"/>
          <w:left w:w="0" w:type="dxa"/>
          <w:bottom w:w="0" w:type="dxa"/>
          <w:right w:w="0" w:type="dxa"/>
        </w:tblCellMar>
      </w:tblPr>
      <w:tr>
        <w:trPr>
          <w:trHeight w:val="253"/>
        </w:trPr>
        <w:tc>
          <w:tcPr>
            <w:tcW w:w="258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681"/>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9.03.</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Exercise of Remedies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9.04.</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Waiver of Certain Laws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82"/>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9.05.</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Power of Attorney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473"/>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TEN INDEMNIFICATION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82"/>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10.01.</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Indemnities by the Borrower and UACC</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473"/>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ELEVEN THE ADMINISTRATIVE AGENT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11.01.</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Authorization and Action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11.02.</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Delegation of Duties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11.03.</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Exculpatory Provisions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11.04.</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Reliance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11.05.</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Non-Reliance on Administrative Agent and Other Lenders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129</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11.06.</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Indemnification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11.07.</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Administrative Agent in its Individual Capacity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282"/>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11.08.</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Successor Agents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130</w:t>
            </w:r>
          </w:p>
        </w:tc>
      </w:tr>
      <w:tr>
        <w:trPr>
          <w:trHeight w:val="473"/>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TWELVE ASSIGNMENTS; PARTICIPATIONS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282"/>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12.01.</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Assignments and Participations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131</w:t>
            </w:r>
          </w:p>
        </w:tc>
      </w:tr>
      <w:tr>
        <w:trPr>
          <w:trHeight w:val="473"/>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THIRTEEN MUTUAL COVENANTS REGARDING CONFIDENTIALITY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243"/>
        </w:trPr>
        <w:tc>
          <w:tcPr>
            <w:tcW w:w="25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0000FF"/>
              </w:rPr>
              <w:t>Section 13.01.</w:t>
            </w:r>
          </w:p>
        </w:tc>
        <w:tc>
          <w:tcPr>
            <w:tcW w:w="812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0000FF"/>
                <w:w w:val="98"/>
              </w:rPr>
              <w:t>Covenants of the Borrower, the Servicer, the Backup Servicer, the Account Bank and</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2580" w:type="dxa"/>
            <w:vAlign w:val="bottom"/>
          </w:tcPr>
          <w:p>
            <w:pPr>
              <w:spacing w:after="0"/>
              <w:rPr>
                <w:sz w:val="23"/>
                <w:szCs w:val="23"/>
                <w:color w:val="auto"/>
              </w:rPr>
            </w:pP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the Custodian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13.02.</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Covenants of the Administrative Agent and the Lenders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134</w:t>
            </w:r>
          </w:p>
        </w:tc>
      </w:tr>
      <w:tr>
        <w:trPr>
          <w:trHeight w:val="282"/>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13.03.</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Non-Confidentiality of Tax Treatment and Tax Structure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137</w:t>
            </w:r>
          </w:p>
        </w:tc>
      </w:tr>
      <w:tr>
        <w:trPr>
          <w:trHeight w:val="473"/>
        </w:trPr>
        <w:tc>
          <w:tcPr>
            <w:tcW w:w="1070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ARTICLE FOURTEEN MISCELLANEOUS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137</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14.01.</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Amendments and Waivers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137</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14.02.</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Notices, Etc.</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139</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14.03.</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No Waiver, Rights and Remedies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139</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14.04.</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Binding Effect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139</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14.05.</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Term of this Agreement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139</w:t>
            </w:r>
          </w:p>
        </w:tc>
      </w:tr>
      <w:tr>
        <w:trPr>
          <w:trHeight w:val="243"/>
        </w:trPr>
        <w:tc>
          <w:tcPr>
            <w:tcW w:w="25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0000FF"/>
              </w:rPr>
              <w:t>Section 14.06.</w:t>
            </w:r>
          </w:p>
        </w:tc>
        <w:tc>
          <w:tcPr>
            <w:tcW w:w="812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0000FF"/>
                <w:w w:val="99"/>
              </w:rPr>
              <w:t>GOVERNING LAW; CONSENT TO JURISDICTION; WAIVER OF OBJECTION</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0"/>
        </w:trPr>
        <w:tc>
          <w:tcPr>
            <w:tcW w:w="2580" w:type="dxa"/>
            <w:vAlign w:val="bottom"/>
          </w:tcPr>
          <w:p>
            <w:pPr>
              <w:spacing w:after="0"/>
              <w:rPr>
                <w:sz w:val="23"/>
                <w:szCs w:val="23"/>
                <w:color w:val="auto"/>
              </w:rPr>
            </w:pP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TO VENUE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139</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14.07.</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WAIVER OF JURY TRIAL</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140</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14.08.</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Costs and Expenses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140</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14.09.</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No Insolvency Proceedings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140</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14.10.</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Recourse Against Certain Parties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140</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14.11.</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Limitations on Consequential, Indirect and Certain Other Damages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141</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14.12.</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AML Law Compliance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141</w:t>
            </w:r>
          </w:p>
        </w:tc>
      </w:tr>
      <w:tr>
        <w:trPr>
          <w:trHeight w:val="270"/>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14.13.</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Execution in Counterparts; Severability; Integration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141</w:t>
            </w:r>
          </w:p>
        </w:tc>
      </w:tr>
      <w:tr>
        <w:trPr>
          <w:trHeight w:val="282"/>
        </w:trPr>
        <w:tc>
          <w:tcPr>
            <w:tcW w:w="2580" w:type="dxa"/>
            <w:vAlign w:val="bottom"/>
          </w:tcPr>
          <w:p>
            <w:pPr>
              <w:ind w:left="640"/>
              <w:spacing w:after="0"/>
              <w:rPr>
                <w:sz w:val="20"/>
                <w:szCs w:val="20"/>
                <w:color w:val="auto"/>
              </w:rPr>
            </w:pPr>
            <w:r>
              <w:rPr>
                <w:rFonts w:ascii="Times New Roman" w:cs="Times New Roman" w:eastAsia="Times New Roman" w:hAnsi="Times New Roman"/>
                <w:sz w:val="22"/>
                <w:szCs w:val="22"/>
                <w:color w:val="0000FF"/>
              </w:rPr>
              <w:t>Section 14.14.</w:t>
            </w:r>
          </w:p>
        </w:tc>
        <w:tc>
          <w:tcPr>
            <w:tcW w:w="8120" w:type="dxa"/>
            <w:vAlign w:val="bottom"/>
          </w:tcPr>
          <w:p>
            <w:pPr>
              <w:ind w:left="680"/>
              <w:spacing w:after="0"/>
              <w:rPr>
                <w:sz w:val="20"/>
                <w:szCs w:val="20"/>
                <w:color w:val="auto"/>
              </w:rPr>
            </w:pPr>
            <w:r>
              <w:rPr>
                <w:rFonts w:ascii="Times New Roman" w:cs="Times New Roman" w:eastAsia="Times New Roman" w:hAnsi="Times New Roman"/>
                <w:sz w:val="22"/>
                <w:szCs w:val="22"/>
                <w:color w:val="0000FF"/>
              </w:rPr>
              <w:t>Limitation of Liability of Owner Trustee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36" w:right="339" w:bottom="1440" w:gutter="0" w:footer="0" w:header="0"/>
        </w:sectPr>
      </w:pPr>
    </w:p>
    <w:bookmarkStart w:id="429" w:name="page430"/>
    <w:bookmarkEnd w:id="429"/>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tcPr>
          <w:p>
            <w:pPr>
              <w:jc w:val="center"/>
              <w:ind w:right="472"/>
              <w:spacing w:after="0"/>
              <w:rPr>
                <w:sz w:val="20"/>
                <w:szCs w:val="20"/>
                <w:color w:val="auto"/>
              </w:rPr>
            </w:pPr>
            <w:r>
              <w:rPr>
                <w:rFonts w:ascii="Times New Roman" w:cs="Times New Roman" w:eastAsia="Times New Roman" w:hAnsi="Times New Roman"/>
                <w:sz w:val="22"/>
                <w:szCs w:val="22"/>
                <w:color w:val="auto"/>
                <w:w w:val="97"/>
              </w:rPr>
              <w:t>SCHEDULES</w:t>
            </w:r>
          </w:p>
        </w:tc>
        <w:tc>
          <w:tcPr>
            <w:tcW w:w="680" w:type="dxa"/>
            <w:vAlign w:val="bottom"/>
          </w:tcPr>
          <w:p>
            <w:pPr>
              <w:spacing w:after="0"/>
              <w:rPr>
                <w:sz w:val="24"/>
                <w:szCs w:val="24"/>
                <w:color w:val="auto"/>
              </w:rPr>
            </w:pPr>
          </w:p>
        </w:tc>
      </w:tr>
      <w:tr>
        <w:trPr>
          <w:trHeight w:val="41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55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Representations and Warranties Regarding Security Interest</w:t>
            </w:r>
          </w:p>
        </w:tc>
        <w:tc>
          <w:tcPr>
            <w:tcW w:w="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4"/>
              </w:rPr>
              <w:t>SA-1</w:t>
            </w: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B</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Eligible Receivable Criteria</w:t>
            </w:r>
          </w:p>
        </w:tc>
        <w:tc>
          <w:tcPr>
            <w:tcW w:w="28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SB-1</w:t>
            </w: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C</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of Receivables</w:t>
            </w:r>
          </w:p>
        </w:tc>
        <w:tc>
          <w:tcPr>
            <w:tcW w:w="28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SC-1</w:t>
            </w: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D</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Location of Receivable Files</w:t>
            </w:r>
          </w:p>
        </w:tc>
        <w:tc>
          <w:tcPr>
            <w:tcW w:w="28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SD-1</w:t>
            </w:r>
          </w:p>
        </w:tc>
        <w:tc>
          <w:tcPr>
            <w:tcW w:w="680" w:type="dxa"/>
            <w:vAlign w:val="bottom"/>
          </w:tcPr>
          <w:p>
            <w:pPr>
              <w:spacing w:after="0"/>
              <w:rPr>
                <w:sz w:val="21"/>
                <w:szCs w:val="2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Schedule E</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22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SE-1</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917"/>
        </w:trPr>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tcPr>
          <w:p>
            <w:pPr>
              <w:jc w:val="center"/>
              <w:ind w:right="452"/>
              <w:spacing w:after="0"/>
              <w:rPr>
                <w:sz w:val="20"/>
                <w:szCs w:val="20"/>
                <w:color w:val="auto"/>
              </w:rPr>
            </w:pPr>
            <w:r>
              <w:rPr>
                <w:rFonts w:ascii="Times New Roman" w:cs="Times New Roman" w:eastAsia="Times New Roman" w:hAnsi="Times New Roman"/>
                <w:sz w:val="22"/>
                <w:szCs w:val="22"/>
                <w:color w:val="auto"/>
                <w:w w:val="97"/>
              </w:rPr>
              <w:t>EXHIBITS</w:t>
            </w:r>
          </w:p>
        </w:tc>
        <w:tc>
          <w:tcPr>
            <w:tcW w:w="680" w:type="dxa"/>
            <w:vAlign w:val="bottom"/>
          </w:tcPr>
          <w:p>
            <w:pPr>
              <w:spacing w:after="0"/>
              <w:rPr>
                <w:sz w:val="24"/>
                <w:szCs w:val="24"/>
                <w:color w:val="auto"/>
              </w:rPr>
            </w:pPr>
          </w:p>
        </w:tc>
      </w:tr>
      <w:tr>
        <w:trPr>
          <w:trHeight w:val="41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Form of Funding Request</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A-1</w:t>
            </w:r>
          </w:p>
        </w:tc>
        <w:tc>
          <w:tcPr>
            <w:tcW w:w="2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 –</w:t>
            </w:r>
          </w:p>
        </w:tc>
        <w:tc>
          <w:tcPr>
            <w:tcW w:w="31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Form of Note B-1</w:t>
            </w:r>
          </w:p>
        </w:tc>
        <w:tc>
          <w:tcPr>
            <w:tcW w:w="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 –</w:t>
            </w:r>
          </w:p>
        </w:tc>
        <w:tc>
          <w:tcPr>
            <w:tcW w:w="354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rPr>
              <w:t>Form of Assignment and Acceptance</w:t>
            </w:r>
          </w:p>
        </w:tc>
        <w:tc>
          <w:tcPr>
            <w:tcW w:w="24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C-1</w:t>
            </w: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Credit and Collection Policy</w:t>
            </w:r>
          </w:p>
        </w:tc>
        <w:tc>
          <w:tcPr>
            <w:tcW w:w="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D-1</w:t>
            </w:r>
          </w:p>
        </w:tc>
        <w:tc>
          <w:tcPr>
            <w:tcW w:w="24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 –</w:t>
            </w:r>
          </w:p>
        </w:tc>
        <w:tc>
          <w:tcPr>
            <w:tcW w:w="312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Form of Power of Attorney  E-1</w:t>
            </w:r>
          </w:p>
        </w:tc>
        <w:tc>
          <w:tcPr>
            <w:tcW w:w="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 –</w:t>
            </w:r>
          </w:p>
        </w:tc>
        <w:tc>
          <w:tcPr>
            <w:tcW w:w="86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F-1</w:t>
            </w:r>
          </w:p>
        </w:tc>
        <w:tc>
          <w:tcPr>
            <w:tcW w:w="4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Release of Documents</w:t>
            </w:r>
          </w:p>
        </w:tc>
        <w:tc>
          <w:tcPr>
            <w:tcW w:w="24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G-1</w:t>
            </w:r>
          </w:p>
        </w:tc>
        <w:tc>
          <w:tcPr>
            <w:tcW w:w="680" w:type="dxa"/>
            <w:vAlign w:val="bottom"/>
          </w:tcPr>
          <w:p>
            <w:pPr>
              <w:spacing w:after="0"/>
              <w:rPr>
                <w:sz w:val="21"/>
                <w:szCs w:val="21"/>
                <w:color w:val="auto"/>
              </w:rPr>
            </w:pPr>
          </w:p>
        </w:tc>
      </w:tr>
      <w:tr>
        <w:trPr>
          <w:trHeight w:val="243"/>
        </w:trPr>
        <w:tc>
          <w:tcPr>
            <w:tcW w:w="11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Receivable Receipt</w:t>
            </w:r>
          </w:p>
        </w:tc>
        <w:tc>
          <w:tcPr>
            <w:tcW w:w="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H-1</w:t>
            </w:r>
          </w:p>
        </w:tc>
        <w:tc>
          <w:tcPr>
            <w:tcW w:w="24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Exhibit I –</w:t>
            </w: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Form of Securitization Release</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I-1</w:t>
            </w:r>
          </w:p>
        </w:tc>
        <w:tc>
          <w:tcPr>
            <w:tcW w:w="24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430" w:name="page431"/>
    <w:bookmarkEnd w:id="430"/>
    <w:p>
      <w:pPr>
        <w:jc w:val="center"/>
        <w:spacing w:after="0"/>
        <w:rPr>
          <w:sz w:val="20"/>
          <w:szCs w:val="20"/>
          <w:color w:val="auto"/>
        </w:rPr>
      </w:pPr>
      <w:r>
        <w:rPr>
          <w:rFonts w:ascii="Times New Roman" w:cs="Times New Roman" w:eastAsia="Times New Roman" w:hAnsi="Times New Roman"/>
          <w:sz w:val="22"/>
          <w:szCs w:val="22"/>
          <w:color w:val="auto"/>
        </w:rPr>
        <w:t>AMENDED AND RESTATED WAREHOUSE AGREEMENT</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This Amended and Restated Warehouse Agreement, dated as of March 29, 2021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among UACC Auto Financing Trust V, a Delaware statutory trust, as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Auto Credit Corporation, a California corporation (“</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as servicer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and as custodian (in such capacity, the “</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as backup servicer (in such capacity, the “</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and as account bank (in such capacity, the “</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the lenders from time to time parties 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Capital One, N.A., as administrative agent for the Lenders and as agent for the Secured Parties (as defined herein)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amends and restates in its entirety the Warehouse Agreement, dated as of July 11, 2019 (as amended by Amendment No. 1 thereto dated as of March 11, 2020, Amendment No. 2 thereto dated as of April 27, 2020 and Amendment No. 3 thereto dated as of October 5, 2020, the “</w:t>
      </w:r>
      <w:r>
        <w:rPr>
          <w:rFonts w:ascii="Times New Roman" w:cs="Times New Roman" w:eastAsia="Times New Roman" w:hAnsi="Times New Roman"/>
          <w:sz w:val="22"/>
          <w:szCs w:val="22"/>
          <w:u w:val="single" w:color="auto"/>
          <w:color w:val="auto"/>
        </w:rPr>
        <w:t>Existing Agreement</w:t>
      </w:r>
      <w:r>
        <w:rPr>
          <w:rFonts w:ascii="Times New Roman" w:cs="Times New Roman" w:eastAsia="Times New Roman" w:hAnsi="Times New Roman"/>
          <w:sz w:val="22"/>
          <w:szCs w:val="22"/>
          <w:color w:val="auto"/>
        </w:rPr>
        <w:t>”) among the foregoing parties. This Agreement shall not constitute a novation of the obligations and liabilities existing under the Existing Agreement or evidence payment of all or any of such obligations and liabilities.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was formed for the purpose of taking assignments of, and holding, various assets, including motor vehicle finance contracts, amounts received on or in respect of such finance contracts and proceeds of the foregoing;</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has requested that the Lenders make loans to the Borrower from time to time, the proceeds of which will be used to finance the purchase price of motor vehicle retail installment contracts as described herein; and</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Lenders have agreed to make such loans to the Borrower and [***] has agreed to act as Backup Servicer and Account Bank, in each case upon the terms and subject to the conditions set forth herein.</w:t>
      </w:r>
    </w:p>
    <w:p>
      <w:pPr>
        <w:spacing w:after="0" w:line="157"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20"/>
          <w:szCs w:val="20"/>
          <w:color w:val="auto"/>
        </w:rPr>
        <w:t>NOW THEREFORE, in consideration of the premises and for other good and valuable consideration, the receipt and sufficiency of which are hereby acknowledged, the parties hereto agree, effective as of the Restatement Closing Date, as follows:</w:t>
      </w:r>
    </w:p>
    <w:p>
      <w:pPr>
        <w:spacing w:after="0" w:line="11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ARTICLE ONE</w:t>
      </w:r>
    </w:p>
    <w:p>
      <w:pPr>
        <w:spacing w:after="0" w:line="1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DEFINITIONS; CONSTRUCTION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Definitions</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Whenever used herein, unless the context otherwise requires, the following words and phrases shall have the following meanings: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Bank Fee</w:t>
      </w:r>
      <w:r>
        <w:rPr>
          <w:rFonts w:ascii="Times New Roman" w:cs="Times New Roman" w:eastAsia="Times New Roman" w:hAnsi="Times New Roman"/>
          <w:sz w:val="22"/>
          <w:szCs w:val="22"/>
          <w:color w:val="auto"/>
        </w:rPr>
        <w:t>” means $[***] per month.</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31" w:name="page432"/>
    <w:bookmarkEnd w:id="431"/>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Collateral</w:t>
      </w:r>
      <w:r>
        <w:rPr>
          <w:rFonts w:ascii="Times New Roman" w:cs="Times New Roman" w:eastAsia="Times New Roman" w:hAnsi="Times New Roman"/>
          <w:sz w:val="22"/>
          <w:szCs w:val="22"/>
          <w:color w:val="auto"/>
        </w:rPr>
        <w:t>” means, with respect to each Account, such Account, together with all cash, securities, financial assets (as defined in Section 8-102(a)(9) of the UCC) and investments and other property from time to time deposited or credited to such Account and all proceeds thereof.</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the Controlled Accounts Control Agreement relating to the Collection Account and the Reserve Account, dated as of the Closing Date, among the Borrower, the Servicer, the Administrative Agent and the Account Bank.</w:t>
      </w:r>
    </w:p>
    <w:p>
      <w:pPr>
        <w:spacing w:after="0" w:line="1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the Collection Account, the Local Bank Account, the Reserve Account and the Hedge Collateral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Portfolio Receivables</w:t>
      </w:r>
      <w:r>
        <w:rPr>
          <w:rFonts w:ascii="Times New Roman" w:cs="Times New Roman" w:eastAsia="Times New Roman" w:hAnsi="Times New Roman"/>
          <w:sz w:val="22"/>
          <w:szCs w:val="22"/>
          <w:color w:val="auto"/>
        </w:rPr>
        <w:t>” means Receivables purchased by UACC pursuant to a sale and purchase agreement that is approved by the Administrative Agent.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Amount</w:t>
      </w:r>
      <w:r>
        <w:rPr>
          <w:rFonts w:ascii="Times New Roman" w:cs="Times New Roman" w:eastAsia="Times New Roman" w:hAnsi="Times New Roman"/>
          <w:sz w:val="22"/>
          <w:szCs w:val="22"/>
          <w:color w:val="auto"/>
        </w:rPr>
        <w:t>” has the meaning given to such term in Section 2.14(a).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Advance Rate</w:t>
      </w:r>
      <w:r>
        <w:rPr>
          <w:rFonts w:ascii="Times New Roman" w:cs="Times New Roman" w:eastAsia="Times New Roman" w:hAnsi="Times New Roman"/>
          <w:sz w:val="20"/>
          <w:szCs w:val="20"/>
          <w:color w:val="auto"/>
        </w:rPr>
        <w:t>” means, with respect to any day, (i) so long as the Termination Date has not occurred and (a)(1) no Overcollateralization Increase Event has occurred or an Overcollateralization Increase Event has occurred that has been cured and</w:t>
      </w:r>
    </w:p>
    <w:p>
      <w:pPr>
        <w:spacing w:after="0" w:line="2" w:lineRule="exact"/>
        <w:rPr>
          <w:sz w:val="20"/>
          <w:szCs w:val="20"/>
          <w:color w:val="auto"/>
        </w:rPr>
      </w:pPr>
    </w:p>
    <w:p>
      <w:pPr>
        <w:jc w:val="both"/>
        <w:ind w:firstLine="8"/>
        <w:spacing w:after="0" w:line="233" w:lineRule="auto"/>
        <w:tabs>
          <w:tab w:leader="none" w:pos="320"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Commitment Termination Date, with respect to (A) an Acquired Portfolio Receivable, a percentage approved in writing by the Administrative Agent and (B) all Receivables other than an Acquired Portfolio Receivable, [***]% and (b)(1) an Overcollateralization Increase Event has occurred that has not been cured [***]%, or (ii) following the occurrence of the Termination Date, [***]%.</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means accountants, attorneys, consultants, advisors, credit enhancers, liquidity providers and Persons similar to the foregoing and the respective directors, officers, employees and managers of each of the foregoing.</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Party</w:t>
      </w:r>
      <w:r>
        <w:rPr>
          <w:rFonts w:ascii="Times New Roman" w:cs="Times New Roman" w:eastAsia="Times New Roman" w:hAnsi="Times New Roman"/>
          <w:sz w:val="22"/>
          <w:szCs w:val="22"/>
          <w:color w:val="auto"/>
        </w:rPr>
        <w:t>” has the meaning given to such term in Section 2.13(a).</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means, as of any day, the sum of the Commitments of each Lender.</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Net Principal Balance</w:t>
      </w:r>
      <w:r>
        <w:rPr>
          <w:rFonts w:ascii="Times New Roman" w:cs="Times New Roman" w:eastAsia="Times New Roman" w:hAnsi="Times New Roman"/>
          <w:sz w:val="22"/>
          <w:szCs w:val="22"/>
          <w:color w:val="auto"/>
        </w:rPr>
        <w:t>” means, as of any day, (i) the aggregate Net Principal Balance minus (ii) the Excess Concentration Amount.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32" w:name="page433"/>
    <w:bookmarkEnd w:id="432"/>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Unpaids</w:t>
      </w:r>
      <w:r>
        <w:rPr>
          <w:rFonts w:ascii="Times New Roman" w:cs="Times New Roman" w:eastAsia="Times New Roman" w:hAnsi="Times New Roman"/>
          <w:sz w:val="22"/>
          <w:szCs w:val="22"/>
          <w:color w:val="auto"/>
        </w:rPr>
        <w:t>” means, as of any day, an amount equal to the sum of (i) the Loans Outstanding, (ii) all accrued but unpaid Interest and (iii) all Unused Fees and other Obligations owed (whether due or accrued) by the Borrower to the Secured Parties, the Backup Servicer, the Account Bank and the Custodian (if other than UACC) under this Agreement and the other Basic Documents.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means, for any day, a rate per annum equal to the greatest of (i) [***], (ii) the NYFRB Rate in effect on such day plus [***] % and (iii) the applicable Term SOFR Reference Rate on the Reference Date with respect to such day plus [***] %. Any change in the Alternate Base Rate due to a change in the Prime Rate, the NYFRB Rate or the applicable Term SOFR Reference Rate shall be effective from and including the effective date of such change in the Prime Rate, the NYFRB Rate or the Term SOFR Reference Rate, respectively. If the Alternate Base Rate is being used as an alternate rate of interest pursuant to Section 2.11 (for the avoidance of doubt, only until the earlier to occur of (a) any amendment relating to the Alternate Base Rate becoming effective pursuant to Section 14.01 and (b) the occurrence of a Benchmark Transition Date with respect to the then-applicable Benchmark), then the Alternate Base Rate shall be the greater of the rate determined pursuant to clauses (i) and (ii) above and shall be determined without reference to clause (iii) above; provided that, if such Alternate Base Rate as so determined would be less than the Floor, such Alternate Base Rate will be deemed to be the Floor for the purposes of this Agreement and the other Basic Documents.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 Loan</w:t>
      </w:r>
      <w:r>
        <w:rPr>
          <w:rFonts w:ascii="Times New Roman" w:cs="Times New Roman" w:eastAsia="Times New Roman" w:hAnsi="Times New Roman"/>
          <w:sz w:val="22"/>
          <w:szCs w:val="22"/>
          <w:color w:val="auto"/>
        </w:rPr>
        <w:t>” means a Loan that bears interest based on the Alternate Base Rate.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AML Law</w:t>
      </w:r>
      <w:r>
        <w:rPr>
          <w:rFonts w:ascii="Times New Roman" w:cs="Times New Roman" w:eastAsia="Times New Roman" w:hAnsi="Times New Roman"/>
          <w:sz w:val="22"/>
          <w:szCs w:val="22"/>
          <w:color w:val="auto"/>
        </w:rPr>
        <w:t>” has the meaning given to such term in Section 14.12.</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means the period commencing on the earlier to occur of (i) the Commitment Termination Date and (ii) the Termination Date, and ending on the Facility Termination Date.</w:t>
      </w:r>
    </w:p>
    <w:p>
      <w:pPr>
        <w:spacing w:after="0" w:line="157"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Amount Financed</w:t>
      </w:r>
      <w:r>
        <w:rPr>
          <w:rFonts w:ascii="Times New Roman" w:cs="Times New Roman" w:eastAsia="Times New Roman" w:hAnsi="Times New Roman"/>
          <w:sz w:val="20"/>
          <w:szCs w:val="20"/>
          <w:color w:val="auto"/>
        </w:rPr>
        <w:t>” 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spacing w:after="0" w:line="13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Percentage Rate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or any other Applicable Law, “Annual Percentage Rate” or “APR” shall refer to such reduced rate.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Annualized Default Ratio</w:t>
      </w:r>
      <w:r>
        <w:rPr>
          <w:rFonts w:ascii="Times New Roman" w:cs="Times New Roman" w:eastAsia="Times New Roman" w:hAnsi="Times New Roman"/>
          <w:sz w:val="22"/>
          <w:szCs w:val="22"/>
          <w:color w:val="auto"/>
        </w:rPr>
        <w:t>” means, with respect to any Payment Date and the related Collection Period, the product of</w:t>
      </w:r>
    </w:p>
    <w:p>
      <w:pPr>
        <w:spacing w:after="0" w:line="14" w:lineRule="exact"/>
        <w:rPr>
          <w:sz w:val="20"/>
          <w:szCs w:val="20"/>
          <w:color w:val="auto"/>
        </w:rPr>
      </w:pPr>
    </w:p>
    <w:p>
      <w:pPr>
        <w:ind w:right="20" w:firstLine="8"/>
        <w:spacing w:after="0" w:line="237" w:lineRule="auto"/>
        <w:tabs>
          <w:tab w:leader="none" w:pos="276"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and (ii) the percentage equivalent of a fraction, (a) the numerator of which equals the aggregate Principal Balance of all Receivables that became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33" w:name="page434"/>
    <w:bookmarkEnd w:id="433"/>
    <w:p>
      <w:pPr>
        <w:spacing w:after="0" w:line="258" w:lineRule="auto"/>
        <w:rPr>
          <w:sz w:val="20"/>
          <w:szCs w:val="20"/>
          <w:color w:val="auto"/>
        </w:rPr>
      </w:pPr>
      <w:r>
        <w:rPr>
          <w:rFonts w:ascii="Times New Roman" w:cs="Times New Roman" w:eastAsia="Times New Roman" w:hAnsi="Times New Roman"/>
          <w:sz w:val="22"/>
          <w:szCs w:val="22"/>
          <w:color w:val="auto"/>
        </w:rPr>
        <w:t>Defaulted Receivables during such Collection Period and (b) the denominator of which equals the aggregate Principal Balance of all Receivables as of the related Determination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Annualized Net Loss Ratio</w:t>
      </w:r>
      <w:r>
        <w:rPr>
          <w:rFonts w:ascii="Times New Roman" w:cs="Times New Roman" w:eastAsia="Times New Roman" w:hAnsi="Times New Roman"/>
          <w:sz w:val="20"/>
          <w:szCs w:val="20"/>
          <w:color w:val="auto"/>
        </w:rPr>
        <w:t>” means, with respect to any Payment Date and the related Collection Period, the product of</w:t>
      </w:r>
    </w:p>
    <w:p>
      <w:pPr>
        <w:spacing w:after="0" w:line="37" w:lineRule="exact"/>
        <w:rPr>
          <w:sz w:val="20"/>
          <w:szCs w:val="20"/>
          <w:color w:val="auto"/>
        </w:rPr>
      </w:pPr>
    </w:p>
    <w:p>
      <w:pPr>
        <w:jc w:val="both"/>
        <w:ind w:firstLine="8"/>
        <w:spacing w:after="0" w:line="235" w:lineRule="auto"/>
        <w:tabs>
          <w:tab w:leader="none" w:pos="291"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and (ii) the percentage equivalent of a fraction, (a) the numerator of which equals the aggregate Net Losses for such Collection Period and (b) the denominator of which equals the aggregate Principal Balance of all Receivables as of the related Determination Date.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including Regulation AB, and the Exchange Act), and applicable judgments, decrees, injunctions, writs, orders or line actions of any court, arbitrator or other administrative, judicial or quasi-judicial tribunal or agency of competent jurisdiction.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has the meaning given to such term in the Fee Letter.</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means an assignment and acceptance agreement between a Lender and an Eligible Assignee, in substantially the form of Exhibit C hereto.</w:t>
      </w:r>
    </w:p>
    <w:p>
      <w:pPr>
        <w:spacing w:after="0" w:line="157"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Authoritative Copy</w:t>
      </w:r>
      <w:r>
        <w:rPr>
          <w:rFonts w:ascii="Times New Roman" w:cs="Times New Roman" w:eastAsia="Times New Roman" w:hAnsi="Times New Roman"/>
          <w:sz w:val="20"/>
          <w:szCs w:val="20"/>
          <w:color w:val="auto"/>
        </w:rPr>
        <w:t>” means, with respect to any Electronic Contract, a copy of such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spacing w:after="0" w:line="1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Officer</w:t>
      </w:r>
      <w:r>
        <w:rPr>
          <w:rFonts w:ascii="Times New Roman" w:cs="Times New Roman" w:eastAsia="Times New Roman" w:hAnsi="Times New Roman"/>
          <w:sz w:val="22"/>
          <w:szCs w:val="22"/>
          <w:color w:val="auto"/>
        </w:rPr>
        <w:t>” means, with respect to any Person other than a natural person, any officer of such Person, including any president, vice president, executive vice president, assistant vice president, treasurer, assistant treasurer, secretary or assistant secretary or any other officer performing functions similar to those performed by such officers.</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Representative</w:t>
      </w:r>
      <w:r>
        <w:rPr>
          <w:rFonts w:ascii="Times New Roman" w:cs="Times New Roman" w:eastAsia="Times New Roman" w:hAnsi="Times New Roman"/>
          <w:sz w:val="22"/>
          <w:szCs w:val="22"/>
          <w:color w:val="auto"/>
        </w:rPr>
        <w:t>” means, with respect to the Borrower, the president or any executive vice president of UACC, as attorney-in-fact for the Borrower.</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means, as of any day, the positive amount, if any, by which the Facility Amount exceeds the Loans Outstanding on such day.</w:t>
      </w:r>
    </w:p>
    <w:p>
      <w:pPr>
        <w:spacing w:after="0" w:line="15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Funds</w:t>
      </w:r>
      <w:r>
        <w:rPr>
          <w:rFonts w:ascii="Times New Roman" w:cs="Times New Roman" w:eastAsia="Times New Roman" w:hAnsi="Times New Roman"/>
          <w:sz w:val="20"/>
          <w:szCs w:val="20"/>
          <w:color w:val="auto"/>
        </w:rPr>
        <w:t>” means, for any Payment Date and the related Collection Period, the sum of (i) Collections on deposit in the Collection Account, to the extent received during or in respect of the related Collection Period, (ii) any Reserve Account Withdrawal Amount, (iii) any Monthly Accrued Interest Payment Amount made by UACC pursuant to Section 6.04(o) and (iv) investments earnings pursuant to Section 2.11(f) in excess of the Reserve Account Required Amount described in Section 2.11(f).</w:t>
      </w:r>
    </w:p>
    <w:p>
      <w:pPr>
        <w:spacing w:after="0" w:line="14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Funds Shortfall</w:t>
      </w:r>
      <w:r>
        <w:rPr>
          <w:rFonts w:ascii="Times New Roman" w:cs="Times New Roman" w:eastAsia="Times New Roman" w:hAnsi="Times New Roman"/>
          <w:sz w:val="22"/>
          <w:szCs w:val="22"/>
          <w:color w:val="auto"/>
        </w:rPr>
        <w:t>” means, for any Payment Date and the related Collection Period, the positive excess, if any, of (i) the amount necessary to make all distributions required 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34" w:name="page435"/>
    <w:bookmarkEnd w:id="434"/>
    <w:p>
      <w:pPr>
        <w:spacing w:after="0" w:line="258" w:lineRule="auto"/>
        <w:rPr>
          <w:sz w:val="20"/>
          <w:szCs w:val="20"/>
          <w:color w:val="auto"/>
        </w:rPr>
      </w:pPr>
      <w:r>
        <w:rPr>
          <w:rFonts w:ascii="Times New Roman" w:cs="Times New Roman" w:eastAsia="Times New Roman" w:hAnsi="Times New Roman"/>
          <w:sz w:val="22"/>
          <w:szCs w:val="22"/>
          <w:color w:val="auto"/>
        </w:rPr>
        <w:t>be made pursuant to clauses (i) through (v) of Section 2.08 over (ii) Available Funds (without taking into account any Reserve Account Withdrawal Amount).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w:t>
      </w:r>
    </w:p>
    <w:p>
      <w:pPr>
        <w:spacing w:after="0" w:line="37" w:lineRule="exact"/>
        <w:rPr>
          <w:sz w:val="20"/>
          <w:szCs w:val="20"/>
          <w:color w:val="auto"/>
        </w:rPr>
      </w:pPr>
    </w:p>
    <w:p>
      <w:pPr>
        <w:jc w:val="both"/>
        <w:ind w:firstLine="8"/>
        <w:spacing w:after="0" w:line="260" w:lineRule="auto"/>
        <w:tabs>
          <w:tab w:leader="none" w:pos="306"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2.18(d).</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Servicer Termination Notice</w:t>
      </w:r>
      <w:r>
        <w:rPr>
          <w:rFonts w:ascii="Times New Roman" w:cs="Times New Roman" w:eastAsia="Times New Roman" w:hAnsi="Times New Roman"/>
          <w:sz w:val="22"/>
          <w:szCs w:val="22"/>
          <w:color w:val="auto"/>
        </w:rPr>
        <w:t>” has the meaning given to such term in Section 8.04.</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Backup Servicing Fee</w:t>
      </w:r>
      <w:r>
        <w:rPr>
          <w:rFonts w:ascii="Times New Roman" w:cs="Times New Roman" w:eastAsia="Times New Roman" w:hAnsi="Times New Roman"/>
          <w:sz w:val="22"/>
          <w:szCs w:val="22"/>
          <w:color w:val="auto"/>
        </w:rPr>
        <w:t>” means the fee payable to the Backup Servicer on each Payment Date in accordance with Section 2.12(b) in an amount equal to $[***] per month.</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Code (Title 11 of the United States Code).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w:t>
      </w:r>
      <w:r>
        <w:rPr>
          <w:rFonts w:ascii="Times New Roman" w:cs="Times New Roman" w:eastAsia="Times New Roman" w:hAnsi="Times New Roman"/>
          <w:sz w:val="22"/>
          <w:szCs w:val="22"/>
          <w:color w:val="auto"/>
        </w:rPr>
        <w:t>” means the second Basel Accord issued by the Basel Committee on Banking Supervision.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III</w:t>
      </w:r>
      <w:r>
        <w:rPr>
          <w:rFonts w:ascii="Times New Roman" w:cs="Times New Roman" w:eastAsia="Times New Roman" w:hAnsi="Times New Roman"/>
          <w:sz w:val="22"/>
          <w:szCs w:val="22"/>
          <w:color w:val="auto"/>
        </w:rPr>
        <w:t>” means the third Basel Accord issued by the Basel Committee on Banking Supervision.</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Basic Documents</w:t>
      </w:r>
      <w:r>
        <w:rPr>
          <w:rFonts w:ascii="Times New Roman" w:cs="Times New Roman" w:eastAsia="Times New Roman" w:hAnsi="Times New Roman"/>
          <w:sz w:val="22"/>
          <w:szCs w:val="22"/>
          <w:color w:val="auto"/>
        </w:rPr>
        <w:t>” means this Agreement, each Note, the Purchase Agreement, each Transfer Agreement, the Fee Letter, the Intercreditor Agreement, the Intercreditor Party Supplement, the Trust Agreement, the Account Control Agreement, the ICA Account Control Agreement, the E-Vault Access Agreement (if any), the Electronic Collateral Control Agreement (if any), the Title Administrator Agreement (if any), all Hedging Agreements and any other document, certificate, opinion, agreement or writing the execution of which is necessary or incidental to carrying out the transactions contemplated by this Agreement or any of the other foregoing documents.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means, initially, Term SOFR; provided, that if a Benchmark Transition Event and its related Benchmark Replacement Date have occurred with respect to Term SOFR or the then-current Benchmark, then “Benchmark” means the applicable Benchmark Replacement to the extent that such Benchmark Replacement has replaced such prior benchmark rate pursuant to Section 2.18(a).</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sum of: (i) the alternate benchmark rate that has been selected by the Administrative Agent and the Borrower as the replacement for the then-current Benchmark giving due consideration to (A) any selection or recommendation of a replacement benchmark rate or the mechanism for determining such a rate by the Relevant Governmental Body or (B) any evolving or then-prevailing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35" w:name="page436"/>
    <w:bookmarkEnd w:id="435"/>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market convention for determining a benchmark rate as a replacement to the then-current Benchmark for U.S. dollar-denominated syndicated credit facilities at such time in the United States and (ii)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will be deemed to be the Floor for the purposes of this Agreement and the other Basic Documents.</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81" w:lineRule="exact"/>
        <w:rPr>
          <w:sz w:val="20"/>
          <w:szCs w:val="20"/>
          <w:color w:val="auto"/>
        </w:rPr>
      </w:pPr>
    </w:p>
    <w:p>
      <w:pPr>
        <w:ind w:left="2320" w:hanging="440"/>
        <w:spacing w:after="0"/>
        <w:tabs>
          <w:tab w:leader="none" w:pos="2320"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(i) or (ii) of the definition of “Benchmark Transition Event”, the later of the date</w:t>
      </w:r>
    </w:p>
    <w:p>
      <w:pPr>
        <w:spacing w:after="0" w:line="13" w:lineRule="exact"/>
        <w:rPr>
          <w:rFonts w:ascii="Times New Roman" w:cs="Times New Roman" w:eastAsia="Times New Roman" w:hAnsi="Times New Roman"/>
          <w:sz w:val="22"/>
          <w:szCs w:val="22"/>
          <w:color w:val="auto"/>
        </w:rPr>
      </w:pPr>
    </w:p>
    <w:p>
      <w:pPr>
        <w:jc w:val="both"/>
        <w:ind w:left="760" w:hanging="3"/>
        <w:spacing w:after="0" w:line="235" w:lineRule="auto"/>
        <w:tabs>
          <w:tab w:leader="none" w:pos="1071"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public statement or publication of information referenced therein and (b)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left="760" w:firstLine="1120"/>
        <w:spacing w:after="0" w:line="234" w:lineRule="auto"/>
        <w:tabs>
          <w:tab w:leader="none" w:pos="2315"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(iii)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 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(iii) and even if any Available Tenor of such Benchmark (or such component thereof) continues to be provided on such date.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w:t>
      </w:r>
    </w:p>
    <w:p>
      <w:pPr>
        <w:spacing w:after="0" w:line="14" w:lineRule="exact"/>
        <w:rPr>
          <w:sz w:val="20"/>
          <w:szCs w:val="20"/>
          <w:color w:val="auto"/>
        </w:rPr>
      </w:pPr>
    </w:p>
    <w:p>
      <w:pPr>
        <w:ind w:firstLine="8"/>
        <w:spacing w:after="0" w:line="237" w:lineRule="auto"/>
        <w:tabs>
          <w:tab w:leader="none" w:pos="261"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(ii) with respect to any Benchmark upon the occurrence of the applicable event or events set forth therein with respect to all then-current Available Tenors of such Benchmark (or the published component used in the calculation thereof).</w:t>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36" w:name="page437"/>
    <w:bookmarkEnd w:id="436"/>
    <w:p>
      <w:pPr>
        <w:jc w:val="both"/>
        <w:ind w:left="760" w:firstLine="1120"/>
        <w:spacing w:after="0" w:line="237" w:lineRule="auto"/>
        <w:tabs>
          <w:tab w:leader="none" w:pos="2315"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34" w:lineRule="auto"/>
        <w:tabs>
          <w:tab w:leader="none" w:pos="2315"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66" w:lineRule="auto"/>
        <w:tabs>
          <w:tab w:leader="none" w:pos="2315"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2.18 and (b) ending at the time that a Benchmark Replacement has replaced the then-current Benchmark for all purposes hereunder and under any Loan Document in accordance with Section 2.18.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37" w:name="page438"/>
    <w:bookmarkEnd w:id="437"/>
    <w:p>
      <w:pPr>
        <w:spacing w:after="0" w:line="200" w:lineRule="exact"/>
        <w:rPr>
          <w:sz w:val="20"/>
          <w:szCs w:val="20"/>
          <w:color w:val="auto"/>
        </w:rPr>
      </w:pPr>
    </w:p>
    <w:p>
      <w:pPr>
        <w:spacing w:after="0" w:line="22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(i) employee benefit plans (as defined in Section 3(3) of ERISA) that are subject to Title I of ERISA, (ii) plans described in Section 4975(e)(1) of the Code, including individual retirement accounts or Keogh Plans that are not exempt under Section 4975(g) of the Code and (iii) any entities whose underlying assets include plan assets by reason of a plan’s investment in such entities.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Basic Documents</w:t>
      </w:r>
      <w:r>
        <w:rPr>
          <w:rFonts w:ascii="Times New Roman" w:cs="Times New Roman" w:eastAsia="Times New Roman" w:hAnsi="Times New Roman"/>
          <w:sz w:val="22"/>
          <w:szCs w:val="22"/>
          <w:color w:val="auto"/>
        </w:rPr>
        <w:t>” means all Basic Documents to which the Borrower is a party or by which it is bound.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Amounts</w:t>
      </w:r>
      <w:r>
        <w:rPr>
          <w:rFonts w:ascii="Times New Roman" w:cs="Times New Roman" w:eastAsia="Times New Roman" w:hAnsi="Times New Roman"/>
          <w:sz w:val="22"/>
          <w:szCs w:val="22"/>
          <w:color w:val="auto"/>
        </w:rPr>
        <w:t>” has the meaning given to such term in Section 10.01(a).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Party</w:t>
      </w:r>
      <w:r>
        <w:rPr>
          <w:rFonts w:ascii="Times New Roman" w:cs="Times New Roman" w:eastAsia="Times New Roman" w:hAnsi="Times New Roman"/>
          <w:sz w:val="22"/>
          <w:szCs w:val="22"/>
          <w:color w:val="auto"/>
        </w:rPr>
        <w:t>” has the meaning given to such term in Section 10.01(a).</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means the bank account of the Borrower, as notified to the Administrative Agent from time to time in writing by the Borrower, into which all Principal Amounts shall be deposited, which account, as of the Closing Date, is in the name UACC Auto Financing Trust V, at the Local Bank.</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as of any day, an amount equal to the lesser of (i) the product of the applicable Advance Rate and the Aggregate Net Principal Balance, and (ii) the Aggregate Commitment.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means such amount or amounts as shall compensate any Lender for any loss, cost or expense (but excluding lost profits) incurred by such Lender (as reasonably determined by such Lender) as a result of any prepayment of a Loan (and interest thereon).</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(i) any day other than a Saturday or a Sunday on which commercial banking institutions are not required or authorized to be closed in Los Angeles, California, New York, New York, Chicago, Illinois, Wilmington, Delaware or Minneapolis, Minnesota and (ii) if the term “Business Day” is used in connection with the Term SOFR Reference Rate, such day must also be a U.S. Government Securities Business Day.</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xml:space="preserve">” means (a) securities with maturities of 90 days or less from the date of acquisition issued or fully guaranteed or insured by the United States Government or any agency thereof, (b) certificates of deposit and SOFR time deposits with maturities of 90 days or less from the date of acquisition and overnight bank deposits of any commercial bank having capital and surplus in excess of $500,000,000, (c) repurchase obligations of any commercial bank satisfying the requirements of </w:t>
      </w:r>
      <w:r>
        <w:rPr>
          <w:rFonts w:ascii="Times New Roman" w:cs="Times New Roman" w:eastAsia="Times New Roman" w:hAnsi="Times New Roman"/>
          <w:sz w:val="20"/>
          <w:szCs w:val="20"/>
          <w:u w:val="single" w:color="auto"/>
          <w:color w:val="auto"/>
        </w:rPr>
        <w:t>clause</w:t>
      </w:r>
    </w:p>
    <w:p>
      <w:pPr>
        <w:spacing w:after="0" w:line="2" w:lineRule="exact"/>
        <w:rPr>
          <w:sz w:val="20"/>
          <w:szCs w:val="20"/>
          <w:color w:val="auto"/>
        </w:rPr>
      </w:pPr>
    </w:p>
    <w:p>
      <w:pPr>
        <w:jc w:val="both"/>
        <w:ind w:firstLine="8"/>
        <w:spacing w:after="0" w:line="232" w:lineRule="auto"/>
        <w:tabs>
          <w:tab w:leader="none" w:pos="307" w:val="left"/>
        </w:tabs>
        <w:numPr>
          <w:ilvl w:val="0"/>
          <w:numId w:val="3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this definition, having a term of not more than seven days with respect to securities issued or fully guaranteed or insured by the United States Government, (d) commercial paper of a domestic issuer rated at least A-1 or the equivalent thereof by Standard &amp; Poor’s Rating Services, a Standard &amp; Poor’s Financial Services LLC business (“S&amp;P”) or P-1 or the equivalent thereof by Moody’s Investors Service, Inc. (“Moody’s”) and in either case maturing within 90 days after the day of acquisition, (e) securities with maturities of 90 days or less from the date of acquisition issued or fully guaranteed by any state, commonwealth or territory of the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8" w:name="page439"/>
    <w:bookmarkEnd w:id="438"/>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(f) securities with maturities of 90 days or less from the date of acquisition backed by standby letters of credit issued by any commercial bank satisfying the requirements of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definition, (g) shares of money market mutual or similar funds which invest exclusively in assets satisfying the requirements of </w:t>
      </w:r>
      <w:r>
        <w:rPr>
          <w:rFonts w:ascii="Times New Roman" w:cs="Times New Roman" w:eastAsia="Times New Roman" w:hAnsi="Times New Roman"/>
          <w:sz w:val="22"/>
          <w:szCs w:val="22"/>
          <w:u w:val="single" w:color="auto"/>
          <w:color w:val="auto"/>
        </w:rPr>
        <w:t>clauses (a) through (f)</w:t>
      </w:r>
      <w:r>
        <w:rPr>
          <w:rFonts w:ascii="Times New Roman" w:cs="Times New Roman" w:eastAsia="Times New Roman" w:hAnsi="Times New Roman"/>
          <w:sz w:val="22"/>
          <w:szCs w:val="22"/>
          <w:color w:val="auto"/>
        </w:rPr>
        <w:t xml:space="preserve"> of this definition, (h) investments in money market or common trust funds having a rating from each of Moody’s and S&amp;P in the highest investment category for short-term unsecured debt obligations or certificates of deposit granted thereby, or (i) undrawn commitments under other credit facilities of UACC or its consolidated subsidiaries for which UACC or any such subsidiary can meet all conditions precedent to borrowing such amounts and for which the use of such amounts is unrestricted under such credit facilities.</w:t>
      </w:r>
    </w:p>
    <w:p>
      <w:pPr>
        <w:spacing w:after="0" w:line="203"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 of Title</w:t>
      </w:r>
      <w:r>
        <w:rPr>
          <w:rFonts w:ascii="Times New Roman" w:cs="Times New Roman" w:eastAsia="Times New Roman" w:hAnsi="Times New Roman"/>
          <w:sz w:val="20"/>
          <w:szCs w:val="20"/>
          <w:color w:val="auto"/>
        </w:rPr>
        <w:t>” 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Registrar</w:t>
      </w:r>
      <w:r>
        <w:rPr>
          <w:rFonts w:ascii="Times New Roman" w:cs="Times New Roman" w:eastAsia="Times New Roman" w:hAnsi="Times New Roman"/>
          <w:sz w:val="22"/>
          <w:szCs w:val="22"/>
          <w:color w:val="auto"/>
        </w:rPr>
        <w:t>” has the meaning given to such term in the Trust Agreement.</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the failure (i) of Vroom, Inc. to own (directly or through wholly owned subsidiaries or other entities), free and clear of Liens, at least 51% of the outstanding voting interests of UACC, except in the event of an initial public offering of equity securities of UACC, or (ii) by UACC to own, directly or indirectly, all of the outstanding beneficial interests of the Borrower, or (B) any transaction or event as a result of which any Person or Persons who were not equity holders of Vroom, Inc. immediately prior to such transaction or event owns, directly or indirectly, more than 50% of the total voting power of the issued and outstanding voting stock of Vroom, Inc. (provided that a change in equity holders in connection with which the Controlling Person of both transferor and transferee stockholders is the same Person shall not be deemed a change in equity holders for purposes of this clause (B)).</w:t>
      </w:r>
    </w:p>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any Receivable or Serviced Portfolio Receivable required to be charged off in accordance with the Credit and Collection Policy.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July 11, 2019.</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given to such term in Section 3.01(a).</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Coverage Ratio</w:t>
      </w:r>
      <w:r>
        <w:rPr>
          <w:rFonts w:ascii="Times New Roman" w:cs="Times New Roman" w:eastAsia="Times New Roman" w:hAnsi="Times New Roman"/>
          <w:sz w:val="22"/>
          <w:szCs w:val="22"/>
          <w:color w:val="auto"/>
        </w:rPr>
        <w:t>” means, as of any day, the percentage equivalent of a fraction, the numerator of which equals all Loans Outstanding as of the last day of the most recent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39" w:name="page440"/>
    <w:bookmarkEnd w:id="439"/>
    <w:p>
      <w:pPr>
        <w:jc w:val="both"/>
        <w:spacing w:after="0" w:line="258" w:lineRule="auto"/>
        <w:rPr>
          <w:sz w:val="20"/>
          <w:szCs w:val="20"/>
          <w:color w:val="auto"/>
        </w:rPr>
      </w:pPr>
      <w:r>
        <w:rPr>
          <w:rFonts w:ascii="Times New Roman" w:cs="Times New Roman" w:eastAsia="Times New Roman" w:hAnsi="Times New Roman"/>
          <w:sz w:val="22"/>
          <w:szCs w:val="22"/>
          <w:color w:val="auto"/>
        </w:rPr>
        <w:t>Collection Period minus any amounts to be distributed pursuant to Section 2.08(v) on the related Payment Date and the denominator of which equals the Aggregate Net Principal Balance as of the last day of such Collection Period.</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Coverage Ratio Failure</w:t>
      </w:r>
      <w:r>
        <w:rPr>
          <w:rFonts w:ascii="Times New Roman" w:cs="Times New Roman" w:eastAsia="Times New Roman" w:hAnsi="Times New Roman"/>
          <w:sz w:val="22"/>
          <w:szCs w:val="22"/>
          <w:color w:val="auto"/>
        </w:rPr>
        <w:t>” means the circumstance in which (i) all Loans Outstanding as of the last day of the most recent Collection Period minus any amounts to be distributed pursuant to Section 2.08(v) on the related Payment Date exceeds the Borrowing Base as of the last day of such Collection Period and (ii) the Collateral Coverage Ratio as of the last day of such Collection Period exceeds (a) the sum of the minimum Collateral Coverage Ratio as of the last day of the second preceding Collection Period through the last day of the seventh preceding Collection Period and [***]% and (b) [***]%.</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means a segregated account established by the Servicer with the Account Bank, in the name of the Borrower, for the benefit of the Secured Parties, into which all Collections shall be deposited.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means, with respect to any Payment Date, the immediately preceding calendar month, except for the first Payment Date, in which case such term means the period beginning on the initial Cutoff Date to and including the last day of July 2019.</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with respect to any Collection Period and the related Payment Date, (i) all cash collections or other cash proceeds of any Receivable received by the Borrower, the Servicer and the Backup Servicer in its capacity as Successor Servicer (including from the Originator or the Borrower) from or on behalf of any Obligor in payment of any amounts owed in respect of such Receivable, including all Release Amounts or Release Price amounts deposited in the Collection Account pursuant to Section 5.04,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(iii) all payments received by or on behalf of the Borrower pursuant to any Hedging Agreement or Hedge Transaction and (iv) all amounts received by the Borrower or the Servicer as proceeds of Collateral sold pursuant to Section 9.02(b)(iv); in each case received and deposited during or in respect of such Collection Period or such Payment Date.</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w:t>
      </w:r>
      <w:r>
        <w:rPr>
          <w:rFonts w:ascii="Times New Roman" w:cs="Times New Roman" w:eastAsia="Times New Roman" w:hAnsi="Times New Roman"/>
          <w:sz w:val="22"/>
          <w:szCs w:val="22"/>
          <w:color w:val="auto"/>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Proposed Extension Date</w:t>
      </w:r>
      <w:r>
        <w:rPr>
          <w:rFonts w:ascii="Times New Roman" w:cs="Times New Roman" w:eastAsia="Times New Roman" w:hAnsi="Times New Roman"/>
          <w:sz w:val="22"/>
          <w:szCs w:val="22"/>
          <w:color w:val="auto"/>
        </w:rPr>
        <w:t>” means the earlier of (i) a date no less than [***] days after the Closing Date or any date that the Commitment Termination Date is extended in accordance with Section 2.04 and (ii) each date upon which the Aggregate Commitment has been increased above $[***].</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the earlier of (i) August 29, 2025 or such later date to which the Commitment Termination Date may be extended in accordance with Section 2.04(a) and (ii) the Termination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0" w:name="page441"/>
    <w:bookmarkEnd w:id="440"/>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Lender</w:t>
      </w:r>
      <w:r>
        <w:rPr>
          <w:rFonts w:ascii="Times New Roman" w:cs="Times New Roman" w:eastAsia="Times New Roman" w:hAnsi="Times New Roman"/>
          <w:sz w:val="22"/>
          <w:szCs w:val="22"/>
          <w:color w:val="auto"/>
        </w:rPr>
        <w:t>” means any Lender that is designated as a Committed Lender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Limits</w:t>
      </w:r>
      <w:r>
        <w:rPr>
          <w:rFonts w:ascii="Times New Roman" w:cs="Times New Roman" w:eastAsia="Times New Roman" w:hAnsi="Times New Roman"/>
          <w:sz w:val="22"/>
          <w:szCs w:val="22"/>
          <w:color w:val="auto"/>
        </w:rPr>
        <w:t>” means that, as of any day, based on the aggregate Net Principal Balance of the Eligible Receivables (excluding any Receivables that are Acquired Portfolio Receivables):</w:t>
      </w:r>
    </w:p>
    <w:p>
      <w:pPr>
        <w:spacing w:after="0" w:line="157" w:lineRule="exact"/>
        <w:rPr>
          <w:sz w:val="20"/>
          <w:szCs w:val="20"/>
          <w:color w:val="auto"/>
        </w:rPr>
      </w:pPr>
    </w:p>
    <w:p>
      <w:pPr>
        <w:jc w:val="both"/>
        <w:ind w:left="760" w:firstLine="1120"/>
        <w:spacing w:after="0" w:line="256" w:lineRule="auto"/>
        <w:tabs>
          <w:tab w:leader="none" w:pos="2381"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billing addresses of the related Obligors, (a) the State having the highest aggregate Net Principal Balance of the Receivables (excluding any Acquired Portfolio Receivables) does not account for more than with respect to (1) any State other than the States of California and Texas, [***]% of the aggregate Net Principal Balance (excluding any Acquired Portfolio Receivables), (2) the State of California, [***]% of the aggregate Net Principal Balance (excluding any Acquired Portfolio Receivables) and (3) the State of Texas, [***]% of the aggregate Net Principal Balance (excluding any Acquired Portfolio Receivables), (b) each of the two States having the second and third highest aggregate Net Principal Balance of the Receivables (excluding any Acquired Portfolio Receivables) does not account for more than [***]% of the aggregate Net Principal Balance (excluding any Acquired Portfolio Receivables),</w:t>
      </w:r>
    </w:p>
    <w:p>
      <w:pPr>
        <w:spacing w:after="0" w:line="3" w:lineRule="exact"/>
        <w:rPr>
          <w:rFonts w:ascii="Times New Roman" w:cs="Times New Roman" w:eastAsia="Times New Roman" w:hAnsi="Times New Roman"/>
          <w:sz w:val="20"/>
          <w:szCs w:val="20"/>
          <w:color w:val="auto"/>
        </w:rPr>
      </w:pPr>
    </w:p>
    <w:p>
      <w:pPr>
        <w:jc w:val="both"/>
        <w:ind w:left="760" w:hanging="3"/>
        <w:spacing w:after="0" w:line="233" w:lineRule="auto"/>
        <w:tabs>
          <w:tab w:leader="none" w:pos="1086"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State having the fourth highest aggregate Net Principal Balance of the Receivables (excluding any Acquired Portfolio Receivables) does not account for more than [***]% of the aggregate Net Principal Balance (excluding any Acquired Portfolio Receivables) and (d) no other State’s aggregate Net Principal Balance of the Receivables (excluding any Acquired Portfolio Receivables) accounts for more than [***]% of the aggregate Net Principal Balance (excluding any Acquired Portfolio Receivables);</w:t>
      </w:r>
    </w:p>
    <w:p>
      <w:pPr>
        <w:spacing w:after="0" w:line="177"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1"/>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(excluding any Acquired Portfolio Receivables) has original terms greater than [***] months related to Financed Vehicles with mileages greater than [***] miles;</w:t>
      </w:r>
    </w:p>
    <w:p>
      <w:pPr>
        <w:spacing w:after="0" w:line="172" w:lineRule="exact"/>
        <w:rPr>
          <w:sz w:val="20"/>
          <w:szCs w:val="20"/>
          <w:color w:val="auto"/>
        </w:rPr>
      </w:pPr>
    </w:p>
    <w:p>
      <w:pPr>
        <w:jc w:val="both"/>
        <w:ind w:left="760" w:firstLine="1120"/>
        <w:spacing w:after="0" w:line="266" w:lineRule="auto"/>
        <w:tabs>
          <w:tab w:leader="none" w:pos="2315"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more than [***]% of the aggregate Net Principal Balance of the Eligible Receivables (excluding any Acquired Portfolio Receivables) relates to primary Obligors who do not have credit bureau scores or who have credit bureau scores equal to zero as of the time of origination of the related Contract and (b) No more than [***]% of the aggregate Net Principal Balance of Eligible Receivables (excluding any Acquired Portfolio Receivables) relates to primary Obligors who have credit bureau scores less than [***] as of the time of origination of the related Contract;</w:t>
      </w:r>
    </w:p>
    <w:p>
      <w:pPr>
        <w:spacing w:after="0" w:line="154" w:lineRule="exact"/>
        <w:rPr>
          <w:rFonts w:ascii="Times New Roman" w:cs="Times New Roman" w:eastAsia="Times New Roman" w:hAnsi="Times New Roman"/>
          <w:sz w:val="20"/>
          <w:szCs w:val="20"/>
          <w:color w:val="auto"/>
        </w:rPr>
      </w:pPr>
    </w:p>
    <w:p>
      <w:pPr>
        <w:jc w:val="both"/>
        <w:ind w:left="760" w:firstLine="1120"/>
        <w:spacing w:after="0" w:line="236" w:lineRule="auto"/>
        <w:tabs>
          <w:tab w:leader="none" w:pos="2315"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Dealer (excluding any Dealer associated with the Vroom Origination Channel) accounts for more than [***]% of the aggregate Net Principal Balance of the Eligible Receivables (excluding any Acquired Portfolio Receivables), and (b) the Dealers (excluding any Dealer associated with the Vroom Origination Channel) having the first, second and third highest aggregate Net Principal Balance of Eligible Receivables (excluding any Acquired Portfolio Receivables) collectively do not account for more than [***]% of the aggregate Net Principal Balance of the Eligible Receivables;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1" w:name="page442"/>
    <w:bookmarkEnd w:id="441"/>
    <w:p>
      <w:pPr>
        <w:jc w:val="both"/>
        <w:ind w:left="760" w:firstLine="1120"/>
        <w:spacing w:after="0" w:line="244" w:lineRule="auto"/>
        <w:tabs>
          <w:tab w:leader="none" w:pos="2315"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(excluding any Acquired Portfolio Receivables) relates to Receivables with respect to which the related APR is greater than [***]%; and</w:t>
      </w:r>
    </w:p>
    <w:p>
      <w:pPr>
        <w:spacing w:after="0" w:line="172" w:lineRule="exact"/>
        <w:rPr>
          <w:rFonts w:ascii="Times New Roman" w:cs="Times New Roman" w:eastAsia="Times New Roman" w:hAnsi="Times New Roman"/>
          <w:sz w:val="22"/>
          <w:szCs w:val="22"/>
          <w:color w:val="auto"/>
        </w:rPr>
      </w:pPr>
    </w:p>
    <w:p>
      <w:pPr>
        <w:ind w:left="760" w:right="40" w:firstLine="1120"/>
        <w:spacing w:after="0" w:line="258" w:lineRule="auto"/>
        <w:tabs>
          <w:tab w:leader="none" w:pos="2315"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 of the aggregate Net Principal Balance of the Eligible Receivables relates to Vroom Receivables.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2.18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Basic Documents).</w:t>
      </w:r>
    </w:p>
    <w:p>
      <w:pPr>
        <w:spacing w:after="0" w:line="16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information with respect to the Borrower or UACC, their respective businesses or financial condition, the Receivables or Serviced Portfolio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from a third party who is not known by such Person to be subject to an obligation of confidentiality or otherwise prohibited from transmitting such information.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Continued Errors</w:t>
      </w:r>
      <w:r>
        <w:rPr>
          <w:rFonts w:ascii="Times New Roman" w:cs="Times New Roman" w:eastAsia="Times New Roman" w:hAnsi="Times New Roman"/>
          <w:sz w:val="22"/>
          <w:szCs w:val="22"/>
          <w:color w:val="auto"/>
        </w:rPr>
        <w:t>” has the meaning given to such term in Section 7.10(e).</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retail installment sale contract executed by an Obligor for a Financed Vehicle under which an extension of credit by the Originator is made in the ordinary course of business to such Obligor and which is secured by the related Financed Vehicle which the Borrower acquires all right, title or interest to from UACC pursuant to the Purchase Agreement or a related Transfer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2" w:name="page443"/>
    <w:bookmarkEnd w:id="442"/>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an entity, whether through the ability to exercise voting power, by contract or otherwise. (“Controlled” and “Controlling” have the meaning correlative thereto).</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Cram Down Loss</w:t>
      </w:r>
      <w:r>
        <w:rPr>
          <w:rFonts w:ascii="Times New Roman" w:cs="Times New Roman" w:eastAsia="Times New Roman" w:hAnsi="Times New Roman"/>
          <w:sz w:val="22"/>
          <w:szCs w:val="22"/>
          <w:color w:val="auto"/>
        </w:rPr>
        <w:t>” 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lower of the contract rate or the rate of interest specified by the court in such order) of the Scheduled Payments as so modified or restructured. A “Cram Down Loss” shall be deemed to have occurred on the date such order is entered.</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means, (x) with respect to the initial Servicer, the credit and collection policies of the Servicer or (y) with respect to any Successor Servicer, the customary credit and collection policies of such Successor Servicer. The Credit and Collection Policy, as in effect on the Closing Date, is attached hereto as Exhibit D.</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means, (i) so long as no Custodian Termination Event has occurred, UACC, acting directly as Custodian and/or [***] as an agent of UACC, and (ii) following the occurrence of a Custodian Termination Event, [***] or a different successor custodian appointed pursuant to Section 7.19(j).</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Fee</w:t>
      </w:r>
      <w:r>
        <w:rPr>
          <w:rFonts w:ascii="Times New Roman" w:cs="Times New Roman" w:eastAsia="Times New Roman" w:hAnsi="Times New Roman"/>
          <w:sz w:val="22"/>
          <w:szCs w:val="22"/>
          <w:color w:val="auto"/>
        </w:rPr>
        <w:t>” means the fee payable to the Custodian on each Payment Date in accordance with Section 2.12(b), in an amount equal to, if the Custodian is (i) UACC, $0 (as the Servicing Fee covers the compensation of UACC as Custodian), and (ii) any entity other than UACC, the amount agreed upon by such Custodian, the Borrower and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Termination Event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Cutoff Date</w:t>
      </w:r>
      <w:r>
        <w:rPr>
          <w:rFonts w:ascii="Times New Roman" w:cs="Times New Roman" w:eastAsia="Times New Roman" w:hAnsi="Times New Roman"/>
          <w:sz w:val="22"/>
          <w:szCs w:val="22"/>
          <w:color w:val="auto"/>
        </w:rPr>
        <w:t>” means, with respect to Receivables transferred to the Borrower on each Funding Date, such date as shall be identified as the Cutoff Date in the related Funding Request.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w:t>
      </w:r>
      <w:r>
        <w:rPr>
          <w:rFonts w:ascii="Times New Roman" w:cs="Times New Roman" w:eastAsia="Times New Roman" w:hAnsi="Times New Roman"/>
          <w:sz w:val="22"/>
          <w:szCs w:val="22"/>
          <w:color w:val="auto"/>
        </w:rPr>
        <w:t>” 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 Agreement</w:t>
      </w:r>
      <w:r>
        <w:rPr>
          <w:rFonts w:ascii="Times New Roman" w:cs="Times New Roman" w:eastAsia="Times New Roman" w:hAnsi="Times New Roman"/>
          <w:sz w:val="22"/>
          <w:szCs w:val="22"/>
          <w:color w:val="auto"/>
        </w:rPr>
        <w:t>” means an existing agreement between a Dealer and the Originator regarding the terms and conditions of the acquisition by the Originator from such Dealer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3" w:name="page444"/>
    <w:bookmarkEnd w:id="443"/>
    <w:p>
      <w:pPr>
        <w:jc w:val="both"/>
        <w:spacing w:after="0" w:line="237" w:lineRule="auto"/>
        <w:rPr>
          <w:sz w:val="20"/>
          <w:szCs w:val="20"/>
          <w:color w:val="auto"/>
        </w:rPr>
      </w:pPr>
      <w:r>
        <w:rPr>
          <w:rFonts w:ascii="Times New Roman" w:cs="Times New Roman" w:eastAsia="Times New Roman" w:hAnsi="Times New Roman"/>
          <w:sz w:val="22"/>
          <w:szCs w:val="22"/>
          <w:color w:val="auto"/>
        </w:rPr>
        <w:t>Contracts and the related Receivables, which agreement includes (i) certain representations, warranties and covenants of such Dealer with respect to the Contracts and related Receivables sold by such Dealer, including that such Dealer has all applicable licenses and approvals to originate Receivables that are Eligible Receivables, and (ii) the agreement of such Dealer to repurchase Contracts and any related Receivable with respect to which one or more of such representations and warranties has been breached.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means the sum of (a) the Interest Rate and (b) [***]%.</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with respect to any Collection Period, a Receivable for which, as of the last day of such Collection Period, (i) the Servicer has repossessed the related Financed Vehicle and either (a) the Servicer has sold and received proceeds on each sale for such Financed Vehicle and received the proceeds of such sale or (b) 90 days have passed since repossession, (ii) the Servicer has determined in good faith and in accordance with the Credit and Collection Policy that it has received all amounts it expects to recover, (iii) 10% or more of a scheduled payment became 121 or more days delinquent (or 211 or more days delinquent, in the case of a repossessed Financed Vehicle) or (iv) the Servicer has settled such Receivable in accordance with the Credit and Collection Policy.</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aggregate Principal Balance of all Eligible Receivables as of such Determination Date.</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any Receivable, other than a Defaulted Receivable, with respect to which more than 10% of any Scheduled Payment remains unpaid for more than 60 days after the related due date as of any Determination Date.</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w:t>
      </w:r>
      <w:r>
        <w:rPr>
          <w:rFonts w:ascii="Times New Roman" w:cs="Times New Roman" w:eastAsia="Times New Roman" w:hAnsi="Times New Roman"/>
          <w:sz w:val="22"/>
          <w:szCs w:val="22"/>
          <w:color w:val="auto"/>
        </w:rPr>
        <w:t>” means (x) with respect to a Tangible Contract or other item in a Receivable File (other than an Electronic Contract), to deliver physical possession of such Tangible Contract or item via personal delivery or reputable overnight delivery service and (y) with respect to an Electronic Contract, to initiate a transfer (or cause the Originator to initiate a transfer) of such Electronic Contract from the Originator Vault Partition to the Warehouse Vault Partition. The terms “</w:t>
      </w: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Delivered</w:t>
      </w:r>
      <w:r>
        <w:rPr>
          <w:rFonts w:ascii="Times New Roman" w:cs="Times New Roman" w:eastAsia="Times New Roman" w:hAnsi="Times New Roman"/>
          <w:sz w:val="22"/>
          <w:szCs w:val="22"/>
          <w:color w:val="auto"/>
        </w:rPr>
        <w:t>” have corollary meanings.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Derivative</w:t>
      </w:r>
      <w:r>
        <w:rPr>
          <w:rFonts w:ascii="Times New Roman" w:cs="Times New Roman" w:eastAsia="Times New Roman" w:hAnsi="Times New Roman"/>
          <w:sz w:val="22"/>
          <w:szCs w:val="22"/>
          <w:color w:val="auto"/>
        </w:rPr>
        <w:t>” means any (i) exchange-traded or over-the-counter forward, future, option, swap, cap, collar, floor or foreign exchange contract or any combination of the foregoing,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means, with respect to any Payment Date and the related Collection Period, the last day of such Collection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4" w:name="page445"/>
    <w:bookmarkEnd w:id="444"/>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Dissenting Lender</w:t>
      </w:r>
      <w:r>
        <w:rPr>
          <w:rFonts w:ascii="Times New Roman" w:cs="Times New Roman" w:eastAsia="Times New Roman" w:hAnsi="Times New Roman"/>
          <w:sz w:val="20"/>
          <w:szCs w:val="20"/>
          <w:color w:val="auto"/>
        </w:rPr>
        <w:t>” means a Non-Extending Lender from the date of its refusal notice or the end of the Election Period.</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means The Dodd-Frank Wall Street Reform and Consumer Protection Act (Pub.L. 111-203, H.R.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4173), as amended.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E-Vault Access Agreement</w:t>
      </w:r>
      <w:r>
        <w:rPr>
          <w:rFonts w:ascii="Times New Roman" w:cs="Times New Roman" w:eastAsia="Times New Roman" w:hAnsi="Times New Roman"/>
          <w:sz w:val="22"/>
          <w:szCs w:val="22"/>
          <w:color w:val="auto"/>
        </w:rPr>
        <w:t>” shall mean an access agreement by and between the E-Vault Provider and the Custodian in form and substance satisfactory to the Administrative Agent, with such changes as may be agreed to in writing by the Administrative Agent from time to time.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E-Vault Provider</w:t>
      </w:r>
      <w:r>
        <w:rPr>
          <w:rFonts w:ascii="Times New Roman" w:cs="Times New Roman" w:eastAsia="Times New Roman" w:hAnsi="Times New Roman"/>
          <w:sz w:val="22"/>
          <w:szCs w:val="22"/>
          <w:color w:val="auto"/>
        </w:rPr>
        <w:t>” shall mean [***], [***] or such other Person that is satisfactory to the Administrative Agent.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E-Vault System</w:t>
      </w:r>
      <w:r>
        <w:rPr>
          <w:rFonts w:ascii="Times New Roman" w:cs="Times New Roman" w:eastAsia="Times New Roman" w:hAnsi="Times New Roman"/>
          <w:sz w:val="22"/>
          <w:szCs w:val="22"/>
          <w:color w:val="auto"/>
        </w:rPr>
        <w:t>” shall mean the “[***]” maintained by the E-Vault Provider (if [***]), the “[***]” maintained by the E-Vault Provider (if [***]) or any similar system maintained by any other E-Vault Provider.</w:t>
      </w:r>
    </w:p>
    <w:p>
      <w:pPr>
        <w:spacing w:after="0" w:line="123" w:lineRule="exact"/>
        <w:rPr>
          <w:sz w:val="20"/>
          <w:szCs w:val="20"/>
          <w:color w:val="auto"/>
        </w:rPr>
      </w:pPr>
    </w:p>
    <w:p>
      <w:pPr>
        <w:ind w:left="7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Election Period</w:t>
      </w:r>
      <w:r>
        <w:rPr>
          <w:rFonts w:ascii="Times New Roman" w:cs="Times New Roman" w:eastAsia="Times New Roman" w:hAnsi="Times New Roman"/>
          <w:sz w:val="20"/>
          <w:szCs w:val="20"/>
          <w:color w:val="auto"/>
        </w:rPr>
        <w:t>” means the 60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period following the date of a request for an extension pursuant to Section 2.04(a).</w:t>
      </w:r>
    </w:p>
    <w:p>
      <w:pPr>
        <w:spacing w:after="0" w:line="2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Collateral Control Agreement</w:t>
      </w:r>
      <w:r>
        <w:rPr>
          <w:rFonts w:ascii="Times New Roman" w:cs="Times New Roman" w:eastAsia="Times New Roman" w:hAnsi="Times New Roman"/>
          <w:sz w:val="22"/>
          <w:szCs w:val="22"/>
          <w:color w:val="auto"/>
        </w:rPr>
        <w:t>” shall mean an electronic collateral control agreement by and among the E-Vault Provider, the Custodian and the Administrative Agent in form and substance satisfactory to the Administrative Agent, with such changes as may be agreed to in writing by the Administrative Agent from time to time.</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Contract</w:t>
      </w:r>
      <w:r>
        <w:rPr>
          <w:rFonts w:ascii="Times New Roman" w:cs="Times New Roman" w:eastAsia="Times New Roman" w:hAnsi="Times New Roman"/>
          <w:sz w:val="22"/>
          <w:szCs w:val="22"/>
          <w:color w:val="auto"/>
        </w:rPr>
        <w:t>” means a Contract that constitutes “electronic chattel paper” under and as defined in Section 9-102(31) of the UCC.</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Person (i) whose short-term rating is not less than the Short-Term Rating Requirement, or whose obligations under this Agreement are guaranteed by a Person whose short-term rating is not less than the Short-Term Rating Requirement, (ii) who is either a multi-seller commercial paper conduit or an Affiliate of a Lender or the Administrative Agent or (iii) who is acceptable to the Administrative Agent; provided that, so long as no Termination Event or Servicer Termination Event has occurred and is continuing, such Person, if not an Affiliate of the Lender, or the Administrative Agent, shall be acceptable to the Borrower.</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Commercial Vehicles</w:t>
      </w:r>
      <w:r>
        <w:rPr>
          <w:rFonts w:ascii="Times New Roman" w:cs="Times New Roman" w:eastAsia="Times New Roman" w:hAnsi="Times New Roman"/>
          <w:sz w:val="22"/>
          <w:szCs w:val="22"/>
          <w:color w:val="auto"/>
        </w:rPr>
        <w:t>” means Ford, Chevrolet, GMC, Dodge or imported trucks with: (i) a rating of 2 tons or less, and (ii) cab and chassis bodies limited to stake body, stake body with lift gate, dump body, cube van, cargo van, Ford transit or other equivalent small commercial vehicles (excluding tow trucks, bobtails, slidebacks, flatbed carriers, food trucks and other catering vehicles).</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means, on any day, any Receivable (i) for which the related Receivable File is in the possession of the Servicer or the Custodian, (ii) which is identified on the Schedule of Receivables delivered by the Borrower to the Administrative Agent as part of 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22"/>
          <w:szCs w:val="22"/>
          <w:color w:val="auto"/>
        </w:rPr>
        <w:t>Funding Request and (iii) which satisfies each of the eligibility requirements set forth on Schedule B hereto.</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and the regulations promulgated and rulings issued thereunder.</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(i) any corporation which is a member of the same controlled group of corporations (within the meaning of Section 414(b) of the Code) as the Borrower or as Servicer, as applicable, (ii) a trade or business (whether or not incorporated) under common control (within the meaning of Section 414(c) of the Code) with the Borrower or with the Servicer, as applicable (iii) a member of the same affiliated service group (within the meaning of Section 414(m) of the Code) as the Borrower or as Servicer, as applicable, any corporation described in clause (i) above or any trade or business described in clause (ii) above.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Errors</w:t>
      </w:r>
      <w:r>
        <w:rPr>
          <w:rFonts w:ascii="Times New Roman" w:cs="Times New Roman" w:eastAsia="Times New Roman" w:hAnsi="Times New Roman"/>
          <w:sz w:val="22"/>
          <w:szCs w:val="22"/>
          <w:color w:val="auto"/>
        </w:rPr>
        <w:t>” has the meaning given to such term in Section 7.10(e).</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Concentration Amount</w:t>
      </w:r>
      <w:r>
        <w:rPr>
          <w:rFonts w:ascii="Times New Roman" w:cs="Times New Roman" w:eastAsia="Times New Roman" w:hAnsi="Times New Roman"/>
          <w:sz w:val="22"/>
          <w:szCs w:val="22"/>
          <w:color w:val="auto"/>
        </w:rPr>
        <w:t>” means, with respect to any day, without duplication, the aggregate Net Principal Balance of Receivables that cause one or more of the Concentration Limits to not be met; provided, however, that the Excess Concentration Amount will be $0 on any day (i) during the first two full Collection Periods following a Securitization (including a Securitization that closed prior to the Closing Date) or (ii) until the Loans Outstanding first exceed $[***] following the Closing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(i) net income Taxes, franchise Taxes (imposed in lieu of net income Taxes) and branch profits Taxes, in each case imposed on any Lender or the Administrative Agent as a result of a present or former connection between such Lender (including any applicable lending office) or the Administrative Agent and the jurisdiction of the Governmental Authority imposing such Tax or any political subdivision or taxing authority thereof or therein (other than any such connection arising from such Lender’s or the Administrative Agent’s having executed, delivered, become a party to or performed its obligations or received a payment under, received or perfected a security interest under, engaged in any other transaction pursuant to or enforced, this Agreement or the other Basic Documents, or sold or assigned any interest in a Loan or any Basic Document),</w:t>
      </w:r>
    </w:p>
    <w:p>
      <w:pPr>
        <w:spacing w:after="0" w:line="6" w:lineRule="exact"/>
        <w:rPr>
          <w:sz w:val="20"/>
          <w:szCs w:val="20"/>
          <w:color w:val="auto"/>
        </w:rPr>
      </w:pPr>
    </w:p>
    <w:p>
      <w:pPr>
        <w:jc w:val="both"/>
        <w:ind w:firstLine="8"/>
        <w:spacing w:after="0" w:line="233" w:lineRule="auto"/>
        <w:tabs>
          <w:tab w:leader="none" w:pos="322"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U.S. withholding Taxes that result from a Lender’s failure to comply with the requirements of Section 2.14(d), (iii) in the case of any Non-U.S. Lender, any U.S withholding Taxes that are imposed on amounts payable to such Non-U.S. Lender at the time such Non-U.S. Lender becomes a party to this Agreement or changes the applicable lending office with respect to this Agreement and (iv) any withholding Taxes under FATCA.</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Receivables</w:t>
      </w:r>
      <w:r>
        <w:rPr>
          <w:rFonts w:ascii="Times New Roman" w:cs="Times New Roman" w:eastAsia="Times New Roman" w:hAnsi="Times New Roman"/>
          <w:sz w:val="22"/>
          <w:szCs w:val="22"/>
          <w:color w:val="auto"/>
        </w:rPr>
        <w:t>” means the Receivables that become a part of the Collateral in connection with the Initial Loan.</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Exported</w:t>
      </w:r>
      <w:r>
        <w:rPr>
          <w:rFonts w:ascii="Times New Roman" w:cs="Times New Roman" w:eastAsia="Times New Roman" w:hAnsi="Times New Roman"/>
          <w:sz w:val="22"/>
          <w:szCs w:val="22"/>
          <w:color w:val="auto"/>
        </w:rPr>
        <w:t>” with respect to a Contract, means the Custodian has decommissioned the related electronic chattel paper and the Authoritative Copy of such Contract is printed out pursuant to a “Paper Out”™ within the meaning specified in the System Description. “Export” and “Exporting” shall have corollary meanings.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46" w:name="page447"/>
    <w:bookmarkEnd w:id="446"/>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Receivable</w:t>
      </w:r>
      <w:r>
        <w:rPr>
          <w:rFonts w:ascii="Times New Roman" w:cs="Times New Roman" w:eastAsia="Times New Roman" w:hAnsi="Times New Roman"/>
          <w:sz w:val="22"/>
          <w:szCs w:val="22"/>
          <w:color w:val="auto"/>
        </w:rPr>
        <w:t>” means any Receivable for which an extension or payment deferment was made (or is in effect) pursuant to the Credit and Collection Policy.</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Receivables that were Extended Receivables during such Collection Period and (ii) the denominator of which equals the daily average aggregate Principal Balance of all Receivables during such Collection Period.</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Amount</w:t>
      </w:r>
      <w:r>
        <w:rPr>
          <w:rFonts w:ascii="Times New Roman" w:cs="Times New Roman" w:eastAsia="Times New Roman" w:hAnsi="Times New Roman"/>
          <w:sz w:val="22"/>
          <w:szCs w:val="22"/>
          <w:color w:val="auto"/>
        </w:rPr>
        <w:t>” means (i) prior to the Termination Date, the lesser of the Aggregate Commitment on such day and $150,000,000 (if prior to September 24, 2022) or $200,000,000 (if on or September 24, 2022 ), and (ii) on and after the Termination Date, the Loans Outstanding.</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Turbo Date</w:t>
      </w:r>
      <w:r>
        <w:rPr>
          <w:rFonts w:ascii="Times New Roman" w:cs="Times New Roman" w:eastAsia="Times New Roman" w:hAnsi="Times New Roman"/>
          <w:sz w:val="22"/>
          <w:szCs w:val="22"/>
          <w:color w:val="auto"/>
        </w:rPr>
        <w:t>” means the earlier of (i) the date that is one year after the first day of the [***] and (ii) the declaration or automatic occurrence of a Termination Event.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earlier of (i) the date following the Termination Date on which the Aggregate Unpaids have been indefeasibly paid in full and (ii) the Final Maturity Date.</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 166/167 Rules</w:t>
      </w:r>
      <w:r>
        <w:rPr>
          <w:rFonts w:ascii="Times New Roman" w:cs="Times New Roman" w:eastAsia="Times New Roman" w:hAnsi="Times New Roman"/>
          <w:sz w:val="22"/>
          <w:szCs w:val="22"/>
          <w:color w:val="auto"/>
        </w:rPr>
        <w:t>” 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December 15, 2009, by the Federal Accounting Standard Board.</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 and any fiscal or regulatory legislation, rules or official administrative practices adopted pursuant to any intergovernmental agreement, treaty or convention among Governmental Authorities and implementing such Sections of the Code.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dated as of May 24, 2022, among the Borrower, the Servicer and the Administrative Agent, setting forth the Unused Fee Rate, the Upfront Fee and the Applicable Margin.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72 months following the end of the Revolving Period.</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Financed Vehicle</w:t>
      </w:r>
      <w:r>
        <w:rPr>
          <w:rFonts w:ascii="Times New Roman" w:cs="Times New Roman" w:eastAsia="Times New Roman" w:hAnsi="Times New Roman"/>
          <w:sz w:val="22"/>
          <w:szCs w:val="22"/>
          <w:color w:val="auto"/>
        </w:rPr>
        <w:t>” means, with respect to a Receivable or a Serviced Portfolio Receivable, any new or used automobile, light-duty truck, minivan, sport utility vehicle or other passenger vehicle (including any Eligible Commercial Vehicle), together with all accessions thereto, securing the related Obligor’s Indebtedness thereunder.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47" w:name="page448"/>
    <w:bookmarkEnd w:id="447"/>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with respect to the Benchmark provided in this Agreement (as of the Closing Date, the modification, amendment or renewal of this Agreement or otherwise), which, as of the Closing Date, is [***]%.</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Foreclosure Event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Formation Documents</w:t>
      </w:r>
      <w:r>
        <w:rPr>
          <w:rFonts w:ascii="Times New Roman" w:cs="Times New Roman" w:eastAsia="Times New Roman" w:hAnsi="Times New Roman"/>
          <w:sz w:val="22"/>
          <w:szCs w:val="22"/>
          <w:color w:val="auto"/>
        </w:rPr>
        <w:t>” means, with respect to (i) the Borrower, the Trust Agreement and certificate of trust and (ii) UACC, its articles of incorporation and bylaws.</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each Business Day on which a Loan is made and Receivables are added to the Collateral in connection with such Loan.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Request</w:t>
      </w:r>
      <w:r>
        <w:rPr>
          <w:rFonts w:ascii="Times New Roman" w:cs="Times New Roman" w:eastAsia="Times New Roman" w:hAnsi="Times New Roman"/>
          <w:sz w:val="22"/>
          <w:szCs w:val="22"/>
          <w:color w:val="auto"/>
        </w:rPr>
        <w:t>” means a written notice from the Borrower requesting a Loan and including the items required by Section 2.01(b), substantially in the form of Exhibit A 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with respect to any Person, any nation or government, any State or other political subdivision thereof, any entity exercising executive, legislative, judicial, regulatory or administrative functions of or pertaining to government, any bank examiner, any central bank or comparable agency and any court or arbitrator having jurisdiction over such Person.</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Breakage Costs</w:t>
      </w:r>
      <w:r>
        <w:rPr>
          <w:rFonts w:ascii="Times New Roman" w:cs="Times New Roman" w:eastAsia="Times New Roman" w:hAnsi="Times New Roman"/>
          <w:sz w:val="22"/>
          <w:szCs w:val="22"/>
          <w:color w:val="auto"/>
        </w:rPr>
        <w:t>” means, with respect to any Hedge Transaction, any amount payable by the Borrower to the related Hedge Counterparty upon the early termination of such Hedge Transaction or any portion thereof.</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w:t>
      </w:r>
      <w:r>
        <w:rPr>
          <w:rFonts w:ascii="Times New Roman" w:cs="Times New Roman" w:eastAsia="Times New Roman" w:hAnsi="Times New Roman"/>
          <w:sz w:val="22"/>
          <w:szCs w:val="22"/>
          <w:color w:val="auto"/>
        </w:rPr>
        <w:t>” means all of the rights of the Borrower, whether now existing or hereafter acquired, in and to all Hedging Agreements, Hedge Transactions, any amounts on deposit in the Hedge Collateral Accounts, and all present and future amounts payable by all Hedge Counterparties to the Borrower under or in connection with such Hedging Agreements and Hedge Transactions with such Hedge Counterparties.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Collateral Account</w:t>
      </w:r>
      <w:r>
        <w:rPr>
          <w:rFonts w:ascii="Times New Roman" w:cs="Times New Roman" w:eastAsia="Times New Roman" w:hAnsi="Times New Roman"/>
          <w:sz w:val="22"/>
          <w:szCs w:val="22"/>
          <w:color w:val="auto"/>
        </w:rPr>
        <w:t>” has the meaning given to such term in Section 6.03(c).</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Counterparty</w:t>
      </w:r>
      <w:r>
        <w:rPr>
          <w:rFonts w:ascii="Times New Roman" w:cs="Times New Roman" w:eastAsia="Times New Roman" w:hAnsi="Times New Roman"/>
          <w:sz w:val="22"/>
          <w:szCs w:val="22"/>
          <w:color w:val="auto"/>
        </w:rPr>
        <w:t>” means any entity that (i) on the date of entering into any Hedging Agreement, is either a Lender or an Affiliate of a Lender or (ii) on the date of entering into any Hedge Transaction (a) is an interest rate swap dealer that has been approved in writing by the Administrative Agent (which approval shall not be unreasonably withheld), (b) whose debt ratings meet each of the Long-Term Rating Requirement and the Short-Term Rating Requirement and (c) agrees that in the event that Moody’s or Standard &amp; Poor’s reduces its long-term unsecured debt rating below the Long-Term Rating Requirement or its short-term unsecured debt rating below the Short-Term Rating Requirement, it shall (1) transfer its rights and obligations under each Hedge Transaction to another entity that meets the requirements of this definition and has entered into a Hedging Agreement with the Borrower on or prior to the date of such transfer or (2) post collateral in an amount and form and upon such terms as are satisfactory to the Administrative Agent in its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8" w:name="page449"/>
    <w:bookmarkEnd w:id="44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sole discretion. Each Hedge Counterparty must consent to the assignment of the Borrower’s rights under the Hedging Agreement to the Administrative Agent pursuant to Section 6.03(b).</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Transaction</w:t>
      </w:r>
      <w:r>
        <w:rPr>
          <w:rFonts w:ascii="Times New Roman" w:cs="Times New Roman" w:eastAsia="Times New Roman" w:hAnsi="Times New Roman"/>
          <w:sz w:val="22"/>
          <w:szCs w:val="22"/>
          <w:color w:val="auto"/>
        </w:rPr>
        <w:t>” means each transaction between the Borrower and a Hedge Counterparty entered into pursuant to Section 6.03(a), which transaction shall be governed by a Hedging Agreement.</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each agreement between the Borrower and a Hedge Counterparty which governs one or more Hedge Transactions entered into pursuant to Section 6.03(a), which agreement shall be an interest rate cap, interest rate swap or other interest rate hedging agreement evidenced by either (i) a “Master Agreement” in a form published by the International Swaps and Derivatives Association, Inc. (“ISDA”), together with a “Schedule” thereto, any applicable “Credit Support Annex” thereto and each “Confirmation” thereunder confirming the specific terms of each such Hedge Transaction, in form and substance satisfactory to the Administrative Agent, or (ii) an ISDA long-form confirmation.</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ICA Account Control Agreement</w:t>
      </w:r>
      <w:r>
        <w:rPr>
          <w:rFonts w:ascii="Times New Roman" w:cs="Times New Roman" w:eastAsia="Times New Roman" w:hAnsi="Times New Roman"/>
          <w:sz w:val="22"/>
          <w:szCs w:val="22"/>
          <w:color w:val="auto"/>
        </w:rPr>
        <w:t>” means the Deposit Account Control Agreement relating to the Collateral Account (as defined therein, and subject to the Intercreditor Agreement), dated as of February 2, 2011, among UACC Auto Financing Trust, UACC and [***].</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and any day,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in respect of acceptances issued or created for the account of such Person, (iii) all liabilities secured by any Lien on any property owned by such Person even though such Person has not assumed or otherwise become liable for the payment thereof and (iv) all indebtedness, obligations or liabilities of that Person in respect of Derivatives.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means all Borrower Indemnified Amounts, UACC Indemnified Amounts and Seller Indemnified Amounts.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means the Borrower Indemnified Parties, UACC Indemnified Parties and the Seller Indemnified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(i) Taxes, other than Excluded Taxes, imposed on or with respect to any payment made by or on account of any obligation of the Borrower under the Loan or any Basic Document and (ii) to the extent not otherwise described in (i) Other Taxes.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means the first Loan made on or after the Closing Date.</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means, with respect to any Person, (i)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(ii) the commencement by such Person of a voluntary case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49" w:name="page450"/>
    <w:bookmarkEnd w:id="449"/>
    <w:p>
      <w:pPr>
        <w:jc w:val="both"/>
        <w:spacing w:after="0" w:line="237" w:lineRule="auto"/>
        <w:rPr>
          <w:sz w:val="20"/>
          <w:szCs w:val="20"/>
          <w:color w:val="auto"/>
        </w:rPr>
      </w:pPr>
      <w:r>
        <w:rPr>
          <w:rFonts w:ascii="Times New Roman" w:cs="Times New Roman" w:eastAsia="Times New Roman" w:hAnsi="Times New Roman"/>
          <w:sz w:val="22"/>
          <w:szCs w:val="22"/>
          <w:color w:val="auto"/>
        </w:rPr>
        <w:t>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Laws</w:t>
      </w:r>
      <w:r>
        <w:rPr>
          <w:rFonts w:ascii="Times New Roman" w:cs="Times New Roman" w:eastAsia="Times New Roman" w:hAnsi="Times New Roman"/>
          <w:sz w:val="22"/>
          <w:szCs w:val="22"/>
          <w:color w:val="auto"/>
        </w:rPr>
        <w:t>” 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means any “instrument” (as defined in Article 9 of the UCC), other than an instrument that constitutes part of chattel paper.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Policy</w:t>
      </w:r>
      <w:r>
        <w:rPr>
          <w:rFonts w:ascii="Times New Roman" w:cs="Times New Roman" w:eastAsia="Times New Roman" w:hAnsi="Times New Roman"/>
          <w:sz w:val="22"/>
          <w:szCs w:val="22"/>
          <w:color w:val="auto"/>
        </w:rPr>
        <w:t>” 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means any amounts payable or any payments made under any Insurance Policy.</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that certain Intercreditor Agreement, dated as of February 2, 2011, among [***], UACC, UACC Auto Financing Trust and each of the intercreditor parties thereto.</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Party Supplement</w:t>
      </w:r>
      <w:r>
        <w:rPr>
          <w:rFonts w:ascii="Times New Roman" w:cs="Times New Roman" w:eastAsia="Times New Roman" w:hAnsi="Times New Roman"/>
          <w:sz w:val="22"/>
          <w:szCs w:val="22"/>
          <w:color w:val="auto"/>
        </w:rPr>
        <w:t>” means the Intercreditor Party Supplement, dated as of the Closing Date, among the Borrower, the Administrative Agent and the parties to the Intercreditor Agreement.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means Collections on deposit in the Collection Account that are used to repay at least $[***] in principal amount of Loans Outstanding pursuant to Section 2.06(e).</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means, for any Interest Period and each Loan (or portion thereof) outstanding during such Interest Period, interest on the outstanding Principal Amount of such Loan computed pursuant to Section 2.07; provided, however,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with respect to any Payment Date, the immediately preceding Collection Period (or, in the case of the first Payment Date following the Closing Date, from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50" w:name="page451"/>
    <w:bookmarkEnd w:id="450"/>
    <w:p>
      <w:pPr>
        <w:jc w:val="both"/>
        <w:spacing w:after="0" w:line="244" w:lineRule="auto"/>
        <w:rPr>
          <w:sz w:val="20"/>
          <w:szCs w:val="20"/>
          <w:color w:val="auto"/>
        </w:rPr>
      </w:pPr>
      <w:r>
        <w:rPr>
          <w:rFonts w:ascii="Times New Roman" w:cs="Times New Roman" w:eastAsia="Times New Roman" w:hAnsi="Times New Roman"/>
          <w:sz w:val="22"/>
          <w:szCs w:val="22"/>
          <w:color w:val="auto"/>
        </w:rPr>
        <w:t>including the Closing Date to and including the last day of the Collection Period in which the Closing Date occurs); provided, however, that any Interest Period that commences before the Facility Termination Date that would otherwise end after the Facility Termination Date shall end on the Facility Termination Date.</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xml:space="preserve">” means, with respect to any Loan (or portion thereof) on any day, the sum of (i) Term SOFR on such day and (ii) the Applicable Margin; provided, however, that for the avoidance of doubt, upon the automatic occurrence, or the declaration of the occurrence, of the Termination Date in accordance with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the Interest Rate for each Loan (or portion thereof) shall be a rate per annum equal to the Default Rate.</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Invested Percentage</w:t>
      </w:r>
      <w:r>
        <w:rPr>
          <w:rFonts w:ascii="Times New Roman" w:cs="Times New Roman" w:eastAsia="Times New Roman" w:hAnsi="Times New Roman"/>
          <w:sz w:val="22"/>
          <w:szCs w:val="22"/>
          <w:color w:val="auto"/>
        </w:rPr>
        <w:t>” means, for a Lender on any day, the percentage equivalent of (i) the sum of (a) the portion of the Loans Outstanding (if any) funded by such Lender on or prior to such day, plus (b) any portion of the Loans Outstanding acquired by such Lender on or prior to such day as an assignee from another Lender pursuant to an Assignment and Acceptance, minus (c) any portion of the Loans Outstanding assigned by such Lender to an assignee on or prior to such day pursuant to an Assignment and Acceptance, divided by (ii) the Loans Outstanding on such day.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a Committed Lender,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all of the Committed Lenders.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Advance</w:t>
      </w:r>
      <w:r>
        <w:rPr>
          <w:rFonts w:ascii="Times New Roman" w:cs="Times New Roman" w:eastAsia="Times New Roman" w:hAnsi="Times New Roman"/>
          <w:sz w:val="22"/>
          <w:szCs w:val="22"/>
          <w:color w:val="auto"/>
        </w:rPr>
        <w:t>” means, with respect to a Committed Lender, such Lender’s Lender Percentage of the Principal Amount of a particular Loan to be made to the Borrower on a Funding Date.</w:t>
      </w:r>
    </w:p>
    <w:p>
      <w:pPr>
        <w:spacing w:after="0" w:line="157" w:lineRule="exact"/>
        <w:rPr>
          <w:sz w:val="20"/>
          <w:szCs w:val="20"/>
          <w:color w:val="auto"/>
        </w:rPr>
      </w:pPr>
    </w:p>
    <w:p>
      <w:pPr>
        <w:jc w:val="both"/>
        <w:ind w:firstLine="81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Percentage</w:t>
      </w:r>
      <w:r>
        <w:rPr>
          <w:rFonts w:ascii="Times New Roman" w:cs="Times New Roman" w:eastAsia="Times New Roman" w:hAnsi="Times New Roman"/>
          <w:sz w:val="22"/>
          <w:szCs w:val="22"/>
          <w:color w:val="auto"/>
        </w:rPr>
        <w:t>” means, with respect to a Committed Lender, its Commitment as a percentage of the Aggregate Commitment.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Register</w:t>
      </w:r>
      <w:r>
        <w:rPr>
          <w:rFonts w:ascii="Times New Roman" w:cs="Times New Roman" w:eastAsia="Times New Roman" w:hAnsi="Times New Roman"/>
          <w:sz w:val="22"/>
          <w:szCs w:val="22"/>
          <w:color w:val="auto"/>
        </w:rPr>
        <w:t>” has the meaning given to such term in Section 12.01(d).</w:t>
      </w:r>
    </w:p>
    <w:p>
      <w:pPr>
        <w:spacing w:after="0" w:line="205"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means, with respect to any Person as of any day, the ratio of such Person’s total Indebtedness (less the sum of such Person’s (i) unrestricted cash on hand in excess of $[***] and (ii) restricted cash used for any prefunding of Securitizations) to its Tangible Net Worth, in each case, as of the last day of the immediately preceding calendar quarter.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charge, claim, security interest or encumbrance of any kind.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has the meaning given to such term in Section 2.01(a).</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1" w:name="page452"/>
    <w:bookmarkEnd w:id="451"/>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Loan-to-Value Ratio</w:t>
      </w:r>
      <w:r>
        <w:rPr>
          <w:rFonts w:ascii="Times New Roman" w:cs="Times New Roman" w:eastAsia="Times New Roman" w:hAnsi="Times New Roman"/>
          <w:sz w:val="22"/>
          <w:szCs w:val="22"/>
          <w:color w:val="auto"/>
        </w:rPr>
        <w:t>” 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79"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 Outstanding</w:t>
      </w:r>
      <w:r>
        <w:rPr>
          <w:rFonts w:ascii="Times New Roman" w:cs="Times New Roman" w:eastAsia="Times New Roman" w:hAnsi="Times New Roman"/>
          <w:sz w:val="20"/>
          <w:szCs w:val="20"/>
          <w:color w:val="auto"/>
        </w:rPr>
        <w:t>” means, on any day, the aggregate Principal Amount of Loans made on or prior to such day, reduced from time to time by payments and distributions in respect of principal of such Loans in accordance with the terms hereof.</w:t>
      </w:r>
    </w:p>
    <w:p>
      <w:pPr>
        <w:spacing w:after="0" w:line="11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w:t>
      </w:r>
      <w:r>
        <w:rPr>
          <w:rFonts w:ascii="Times New Roman" w:cs="Times New Roman" w:eastAsia="Times New Roman" w:hAnsi="Times New Roman"/>
          <w:sz w:val="22"/>
          <w:szCs w:val="22"/>
          <w:color w:val="auto"/>
        </w:rPr>
        <w:t>” means [***] or, so long as no Termination Event or Servicer Termination Event shall have occurred and is continuing, any other bank selected by the Servicer (and consented to by the Administrative Agent, such consent not to be unreasonably withheld, conditioned or delayed) that is a Qualified Institution.</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Bank Account</w:t>
      </w:r>
      <w:r>
        <w:rPr>
          <w:rFonts w:ascii="Times New Roman" w:cs="Times New Roman" w:eastAsia="Times New Roman" w:hAnsi="Times New Roman"/>
          <w:sz w:val="22"/>
          <w:szCs w:val="22"/>
          <w:color w:val="auto"/>
        </w:rPr>
        <w:t>” means a bank account established and maintained by the Servicer at the Local Bank for the benefit of the Secured Parties pursuant to the Intercreditor Agreement and the Intercreditor Party Supplement.</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Rating Requirement</w:t>
      </w:r>
      <w:r>
        <w:rPr>
          <w:rFonts w:ascii="Times New Roman" w:cs="Times New Roman" w:eastAsia="Times New Roman" w:hAnsi="Times New Roman"/>
          <w:sz w:val="22"/>
          <w:szCs w:val="22"/>
          <w:color w:val="auto"/>
        </w:rPr>
        <w:t>” means, with respect to any Person, that such Person has a long-term unsecured debt rating of not less than A by Standard &amp; Poor’s and not less than A2 by Moody’s.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clauses (a), (b) and (c), taken as a whole, (iii) the rights and remedies of the Secured Parties under this Agreement or any other Basic Document,</w:t>
      </w:r>
    </w:p>
    <w:p>
      <w:pPr>
        <w:spacing w:after="0" w:line="1" w:lineRule="exact"/>
        <w:rPr>
          <w:sz w:val="20"/>
          <w:szCs w:val="20"/>
          <w:color w:val="auto"/>
        </w:rPr>
      </w:pPr>
    </w:p>
    <w:p>
      <w:pPr>
        <w:jc w:val="both"/>
        <w:ind w:firstLine="8"/>
        <w:spacing w:after="0" w:line="235" w:lineRule="auto"/>
        <w:tabs>
          <w:tab w:leader="none" w:pos="37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Lawful Rate</w:t>
      </w:r>
      <w:r>
        <w:rPr>
          <w:rFonts w:ascii="Times New Roman" w:cs="Times New Roman" w:eastAsia="Times New Roman" w:hAnsi="Times New Roman"/>
          <w:sz w:val="22"/>
          <w:szCs w:val="22"/>
          <w:color w:val="auto"/>
        </w:rPr>
        <w:t>” means the highest rate of interest permissible under Applicable Law.</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Accrued Interest Payment Amount</w:t>
      </w:r>
      <w:r>
        <w:rPr>
          <w:rFonts w:ascii="Times New Roman" w:cs="Times New Roman" w:eastAsia="Times New Roman" w:hAnsi="Times New Roman"/>
          <w:sz w:val="22"/>
          <w:szCs w:val="22"/>
          <w:color w:val="auto"/>
        </w:rPr>
        <w:t>” means, with respect to any Payment Date and the related Collection Period during which an Interpayment is made, an amount equal to the sum of, without duplication, (i) the amount, if any, by which Collections for such Collection Period are not sufficient to make the Interest payments described in clause (iv) of Section 2.08 on such Payment Date and (ii) an amount equal to Interest on the Loans repaid by such Interpayment through the end of the related Interest Period.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Backup Servicer Certificate</w:t>
      </w:r>
      <w:r>
        <w:rPr>
          <w:rFonts w:ascii="Times New Roman" w:cs="Times New Roman" w:eastAsia="Times New Roman" w:hAnsi="Times New Roman"/>
          <w:sz w:val="22"/>
          <w:szCs w:val="22"/>
          <w:color w:val="auto"/>
        </w:rPr>
        <w:t>” means a monthly report of the Backup Servicer in the form agreed upon among the Backup Servicer, the Borrower and the Administrative Agent.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2" w:name="page453"/>
    <w:bookmarkEnd w:id="452"/>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 Payment Amount</w:t>
      </w:r>
      <w:r>
        <w:rPr>
          <w:rFonts w:ascii="Times New Roman" w:cs="Times New Roman" w:eastAsia="Times New Roman" w:hAnsi="Times New Roman"/>
          <w:sz w:val="22"/>
          <w:szCs w:val="22"/>
          <w:color w:val="auto"/>
        </w:rPr>
        <w:t>” means, with respect to any Payment Date and the related Collection Period, the amount, if any, necessary to reduce the Loans Outstanding to the Borrowing Base as of the last day of such Collection Period.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means a monthly statement of the Servicer delivered on each Reporting Date with respect to the immediately preceding Collection Period, [***], which may be modified from time to time as mutually agreed by the Servicer, the Backup Servicer, the Account Bank and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which is or was at any time during the current year or the immediately preceding five years contributed to by the Borrower or any ERISA Affiliate of the Borrower, or by the Servicer or any ERISA Affiliate of the Servicer, as applicable, on behalf of its employees.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Receivables that first became Defaulted Receivables during such Collection Period minus (ii) all Recoveries received by the Servicer during such Collection Period.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Principal Balance</w:t>
      </w:r>
      <w:r>
        <w:rPr>
          <w:rFonts w:ascii="Times New Roman" w:cs="Times New Roman" w:eastAsia="Times New Roman" w:hAnsi="Times New Roman"/>
          <w:sz w:val="22"/>
          <w:szCs w:val="22"/>
          <w:color w:val="auto"/>
        </w:rPr>
        <w:t>” means on any day with respect to all of the Receivables or a specified portion of the Receivables, as indicated by the context, the aggregate Principal Balance of all such Receivables that are Eligible Receivables.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means, after its respective Commitment Termination Date, each Committed Lender that has declined to extend such Commitment Termination Date in accordance with Section 2.04, to the extent not replaced pursuant to Section 2.04(b).</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Lender</w:t>
      </w:r>
      <w:r>
        <w:rPr>
          <w:rFonts w:ascii="Times New Roman" w:cs="Times New Roman" w:eastAsia="Times New Roman" w:hAnsi="Times New Roman"/>
          <w:sz w:val="22"/>
          <w:szCs w:val="22"/>
          <w:color w:val="auto"/>
        </w:rPr>
        <w:t>” means a Lender that is not a “United States person” as defined in Code Section 7701(a)(30).</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has the meaning given to such term in Section 2.05(a).</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loans, advances, debts, liabilities, indemnities and obligations for monetary amounts owing by the Borrower to the Secured Parties, the Administrative Agent, the Backup Servicer, the Account Bank,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any Hedging Agreement or any other Basic Document, whether or not evidenced by any separate note, agreement or other instrument, including all principal, interest (including interest that accrues after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3" w:name="page454"/>
    <w:bookmarkEnd w:id="453"/>
    <w:p>
      <w:pPr>
        <w:jc w:val="both"/>
        <w:spacing w:after="0" w:line="239" w:lineRule="auto"/>
        <w:rPr>
          <w:sz w:val="20"/>
          <w:szCs w:val="20"/>
          <w:color w:val="auto"/>
        </w:rPr>
      </w:pPr>
      <w:r>
        <w:rPr>
          <w:rFonts w:ascii="Times New Roman" w:cs="Times New Roman" w:eastAsia="Times New Roman" w:hAnsi="Times New Roman"/>
          <w:sz w:val="22"/>
          <w:szCs w:val="22"/>
          <w:color w:val="auto"/>
        </w:rPr>
        <w:t>the commencement against the Borrower of any action under the Bankruptcy Code), amounts payable pursuant to Section 2.13, Breakage Costs, Hedge Breakage Costs, Indemnified Amounts, fees, including any and all arrangement fees, loan fees and Unused Fees, and any and all other fees, expenses, costs, indemnities or other sums (including attorney fees and disbursements) chargeable to the Borrower under the Basic Documents.</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each Person obligated to make payments pursuant to a Receivable or Serviced Portfolio Receivable, including any guarantor thereof.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by any officer of the Borrower, the Servicer, the Originator, the Backup Servicer or the Custodian, as the case may be, and delivered to the Administrative Agent.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with respect to any Person, a written opinion of counsel, who is reasonably acceptable to the Administrative Agent.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UACC.</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 Vault Partition</w:t>
      </w:r>
      <w:r>
        <w:rPr>
          <w:rFonts w:ascii="Times New Roman" w:cs="Times New Roman" w:eastAsia="Times New Roman" w:hAnsi="Times New Roman"/>
          <w:sz w:val="22"/>
          <w:szCs w:val="22"/>
          <w:color w:val="auto"/>
        </w:rPr>
        <w:t>” shall mean the segregated partition of the E-Vault System governed by an E-Vault Access Agreement which reflects the owner of record as UACC.</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recording, stamp, documentary, court, intangible, recording, filing or similar taxes, charges or levies arising from any payment made under this Agreement or from the execution, delivery, performance, registration or enforcement of, from the receipt or perfection of a security interest under, or otherwise with respect to this Agreement or other Basic Document.</w:t>
      </w:r>
    </w:p>
    <w:p>
      <w:pPr>
        <w:spacing w:after="0" w:line="179"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Warehouse Agreements</w:t>
      </w:r>
      <w:r>
        <w:rPr>
          <w:rFonts w:ascii="Times New Roman" w:cs="Times New Roman" w:eastAsia="Times New Roman" w:hAnsi="Times New Roman"/>
          <w:sz w:val="20"/>
          <w:szCs w:val="20"/>
          <w:color w:val="auto"/>
        </w:rPr>
        <w:t>” means all warehouse agreements, credit agreements, funding agreements or similar agreements of UACC and its Affiliates, other than this Agreement, that are secured or collateralized by motor vehicle receivables.</w:t>
      </w:r>
    </w:p>
    <w:p>
      <w:pPr>
        <w:spacing w:after="0" w:line="11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Overcollateralization Increase Events</w:t>
      </w:r>
      <w:r>
        <w:rPr>
          <w:rFonts w:ascii="Times New Roman" w:cs="Times New Roman" w:eastAsia="Times New Roman" w:hAnsi="Times New Roman"/>
          <w:sz w:val="22"/>
          <w:szCs w:val="22"/>
          <w:color w:val="auto"/>
        </w:rPr>
        <w:t>” means, that as of any Payment Date, any of the following events occurs: (i) the arithmetic mean of the Serviced Portfolio Delinquency Ratio for the related Collection Period and the two previous Collection Periods exceeds [***]%; (ii) the arithmetic mean of the Delinquency Ratio for the related Collection Period and the two previous Collection Periods exceeds [***]%; (iii)(a) with respect to Payment Dates occurring in the months of April through October, the arithmetic mean of the Serviced Portfolio Annualized Net Loss Ratio for the related Collection Period and the two previous Collection Periods exceeds [***]% and (b) with respect to all other Payment Dates, the arithmetic mean of the Serviced Portfolio Annualized Net Loss Ratio for the related Collection Period and the two previous Collection Periods exceeds [***]%; (iv) the UACC Excess Spread Percentage for the related Collection Period is less than [***]% or the Vroom Excess Spread Percentage for the related Collection Period is less than [***]%; (v) the arithmetic mean of the Serviced Portfolio Extension Ratio for the related Collection Period and the two previous Collection Period exceeds [***]%; (vi) the arithmetic mean of the Serviced Portfolio Annualized Default Ratio for the related Collection Period and the two previous Collection Periods exceeds [***]%, (vii)(a) with respect to Payment Dates occurring 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4" w:name="page455"/>
    <w:bookmarkEnd w:id="454"/>
    <w:p>
      <w:pPr>
        <w:jc w:val="both"/>
        <w:spacing w:after="0" w:line="233" w:lineRule="auto"/>
        <w:rPr>
          <w:sz w:val="20"/>
          <w:szCs w:val="20"/>
          <w:color w:val="auto"/>
        </w:rPr>
      </w:pPr>
      <w:r>
        <w:rPr>
          <w:rFonts w:ascii="Times New Roman" w:cs="Times New Roman" w:eastAsia="Times New Roman" w:hAnsi="Times New Roman"/>
          <w:sz w:val="22"/>
          <w:szCs w:val="22"/>
          <w:color w:val="auto"/>
        </w:rPr>
        <w:t>the months of April through October, the arithmetic mean of the Annualized Net Loss Ratio for the related Collection Period and the two previous Collection Periods exceeds [***]% and (b) with respect to all other Payment Dates, the arithmetic mean of the Annualized Net Loss Ratio for the related Collection Period and the two previous Collection Periods exceeds [***]%; (viii) the arithmetic mean of the Extension Ratio for the related Collection Period and the two previous Collection Period exceeds [***]%; or (ix) the arithmetic mean of the Annualized Default Ratio for the related Collection Period and the two previous Collection Periods exceeds [***]%; provided that no Overcollateralization Increase Event specified in the foregoing clauses (ii) and (iv) and clauses (vii) through (ix) shall be deemed to have occurred until the Loans Outstanding first exceed $[***] following the Closing Date or any Securitization Date. Notwithstanding the foregoing, any Overcollateralization Increase Event may be cured and deemed not to exist if for three consecutive Payment Dates following a Payment Date on which such Overcollateralization Increase Event occurred, (a) such Overcollateralization Increase Event shall not exist and (b) no other Overcollateralization Increase Event shall have occurred.</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Overcollateralization Percentage</w:t>
      </w:r>
      <w:r>
        <w:rPr>
          <w:rFonts w:ascii="Times New Roman" w:cs="Times New Roman" w:eastAsia="Times New Roman" w:hAnsi="Times New Roman"/>
          <w:sz w:val="20"/>
          <w:szCs w:val="20"/>
          <w:color w:val="auto"/>
        </w:rPr>
        <w:t>” means, as of any date of determination, a fraction, expressed as a percentage, equal to</w:t>
      </w:r>
    </w:p>
    <w:p>
      <w:pPr>
        <w:spacing w:after="0" w:line="37" w:lineRule="exact"/>
        <w:rPr>
          <w:sz w:val="20"/>
          <w:szCs w:val="20"/>
          <w:color w:val="auto"/>
        </w:rPr>
      </w:pPr>
    </w:p>
    <w:p>
      <w:pPr>
        <w:ind w:firstLine="8"/>
        <w:spacing w:after="0" w:line="237" w:lineRule="auto"/>
        <w:tabs>
          <w:tab w:leader="none" w:pos="340"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 (x) the Aggregate Net Principal Balance of all Eligible Receivables as of such date over (y) the Loans Outstanding on such date, divided by (b) the Aggregate Net Principal Balance of all Eligible Receivables as of such date.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Trustee</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w:t>
      </w:r>
      <w:r>
        <w:rPr>
          <w:rFonts w:ascii="Times New Roman" w:cs="Times New Roman" w:eastAsia="Times New Roman" w:hAnsi="Times New Roman"/>
          <w:sz w:val="22"/>
          <w:szCs w:val="22"/>
          <w:color w:val="auto"/>
        </w:rPr>
        <w:t>” means the Lenders that are owners of record of the Notes.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Paper-In Contract</w:t>
      </w:r>
      <w:r>
        <w:rPr>
          <w:rFonts w:ascii="Times New Roman" w:cs="Times New Roman" w:eastAsia="Times New Roman" w:hAnsi="Times New Roman"/>
          <w:sz w:val="22"/>
          <w:szCs w:val="22"/>
          <w:color w:val="auto"/>
        </w:rPr>
        <w:t>” means a Tangible Contract that has been converted to an Electronic Contract in accordance with the requirements of the E-Vault System.</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Vroom Finance Holdings, LLC, a Delaware limited liability company, and its successors.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w:t>
      </w:r>
      <w:r>
        <w:rPr>
          <w:rFonts w:ascii="Times New Roman" w:cs="Times New Roman" w:eastAsia="Times New Roman" w:hAnsi="Times New Roman"/>
          <w:sz w:val="22"/>
          <w:szCs w:val="22"/>
          <w:color w:val="auto"/>
        </w:rPr>
        <w:t>” means the occurrence of the election of one or more Non-Extending Lenders after the Commitment Termination Date to not extend its Commitment, unless such Non-Extending Lender is replaced pursuant to Section 2.04(b) or unless the Termination Date shall have occurred.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 Amount</w:t>
      </w:r>
      <w:r>
        <w:rPr>
          <w:rFonts w:ascii="Times New Roman" w:cs="Times New Roman" w:eastAsia="Times New Roman" w:hAnsi="Times New Roman"/>
          <w:sz w:val="22"/>
          <w:szCs w:val="22"/>
          <w:color w:val="auto"/>
        </w:rPr>
        <w:t>” means the portion of Loans Outstanding payable in connection with a Partial Expiration Event.</w:t>
      </w:r>
    </w:p>
    <w:p>
      <w:pPr>
        <w:spacing w:after="0" w:line="171" w:lineRule="exact"/>
        <w:rPr>
          <w:sz w:val="20"/>
          <w:szCs w:val="20"/>
          <w:color w:val="auto"/>
        </w:rPr>
      </w:pPr>
    </w:p>
    <w:p>
      <w:pPr>
        <w:jc w:val="both"/>
        <w:ind w:firstLine="749"/>
        <w:spacing w:after="0" w:line="21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or, if any such day is not a Business Day, the next succeeding Business Day, commencing August 12, 2019.</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of the Borrower, or by the Servicer or any ERISA Affiliate of the Servicer, as applicable, for any of its employees or (b) maintained pursuant to a collective bargaining agreement or any other arrangement under which more than one employer makes contributions and to which the Borrower or any ERISA Affiliate of the Borrower, or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5" w:name="page456"/>
    <w:bookmarkEnd w:id="455"/>
    <w:p>
      <w:pPr>
        <w:spacing w:after="0" w:line="258" w:lineRule="auto"/>
        <w:rPr>
          <w:sz w:val="20"/>
          <w:szCs w:val="20"/>
          <w:color w:val="auto"/>
        </w:rPr>
      </w:pPr>
      <w:r>
        <w:rPr>
          <w:rFonts w:ascii="Times New Roman" w:cs="Times New Roman" w:eastAsia="Times New Roman" w:hAnsi="Times New Roman"/>
          <w:sz w:val="22"/>
          <w:szCs w:val="22"/>
          <w:color w:val="auto"/>
        </w:rPr>
        <w:t>which the Servicer or any ERISA Affiliate of the Servicer, as applicable, is then making or accruing an obligation to make contributions or has within the preceding five plan years made contributions.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any of the following types of investments:</w:t>
      </w:r>
    </w:p>
    <w:p>
      <w:pPr>
        <w:spacing w:after="0" w:line="205" w:lineRule="exact"/>
        <w:rPr>
          <w:sz w:val="20"/>
          <w:szCs w:val="20"/>
          <w:color w:val="auto"/>
        </w:rPr>
      </w:pPr>
    </w:p>
    <w:p>
      <w:pPr>
        <w:jc w:val="both"/>
        <w:ind w:left="940" w:right="20" w:firstLine="753"/>
        <w:spacing w:after="0" w:line="307" w:lineRule="auto"/>
        <w:tabs>
          <w:tab w:leader="none" w:pos="212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obligations of the United States, the full and timely payment of which are backed by the full faith and credit of the United States and which have a maturity of not more than 270 days from the date of acquisition;</w:t>
      </w:r>
    </w:p>
    <w:p>
      <w:pPr>
        <w:spacing w:after="0" w:line="112" w:lineRule="exact"/>
        <w:rPr>
          <w:rFonts w:ascii="Times New Roman" w:cs="Times New Roman" w:eastAsia="Times New Roman" w:hAnsi="Times New Roman"/>
          <w:sz w:val="20"/>
          <w:szCs w:val="20"/>
          <w:color w:val="auto"/>
        </w:rPr>
      </w:pPr>
    </w:p>
    <w:p>
      <w:pPr>
        <w:jc w:val="both"/>
        <w:ind w:left="860" w:firstLine="647"/>
        <w:spacing w:after="0" w:line="264" w:lineRule="exact"/>
        <w:tabs>
          <w:tab w:leader="none" w:pos="1947"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w:t>
      </w:r>
    </w:p>
    <w:p>
      <w:pPr>
        <w:spacing w:after="0" w:line="146" w:lineRule="exact"/>
        <w:rPr>
          <w:rFonts w:ascii="Times New Roman" w:cs="Times New Roman" w:eastAsia="Times New Roman" w:hAnsi="Times New Roman"/>
          <w:sz w:val="22"/>
          <w:szCs w:val="22"/>
          <w:color w:val="auto"/>
        </w:rPr>
      </w:pPr>
    </w:p>
    <w:p>
      <w:pPr>
        <w:ind w:left="860" w:right="60" w:firstLine="647"/>
        <w:spacing w:after="0" w:line="258" w:lineRule="auto"/>
        <w:tabs>
          <w:tab w:leader="none" w:pos="1947"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ten days for underlying securities of the types described in clauses (i) and (ii) above entered into with any bank of the type described in clause (ii) above;</w:t>
      </w:r>
    </w:p>
    <w:p>
      <w:pPr>
        <w:spacing w:after="0" w:line="122" w:lineRule="exact"/>
        <w:rPr>
          <w:rFonts w:ascii="Times New Roman" w:cs="Times New Roman" w:eastAsia="Times New Roman" w:hAnsi="Times New Roman"/>
          <w:sz w:val="22"/>
          <w:szCs w:val="22"/>
          <w:color w:val="auto"/>
        </w:rPr>
      </w:pPr>
    </w:p>
    <w:p>
      <w:pPr>
        <w:ind w:left="1940" w:hanging="433"/>
        <w:spacing w:after="0" w:line="253" w:lineRule="exact"/>
        <w:tabs>
          <w:tab w:leader="none" w:pos="194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253" w:lineRule="exact"/>
        <w:rPr>
          <w:rFonts w:ascii="Times New Roman" w:cs="Times New Roman" w:eastAsia="Times New Roman" w:hAnsi="Times New Roman"/>
          <w:sz w:val="22"/>
          <w:szCs w:val="22"/>
          <w:color w:val="auto"/>
        </w:rPr>
      </w:pPr>
    </w:p>
    <w:p>
      <w:pPr>
        <w:jc w:val="both"/>
        <w:ind w:left="860" w:firstLine="647"/>
        <w:spacing w:after="0" w:line="239" w:lineRule="auto"/>
        <w:tabs>
          <w:tab w:leader="none" w:pos="1947"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registered under the Investment Company Act having a rating, at the time of such investment, of not less than Aaa by Moody’s and AAAm by Standard &amp; Poor’s (including any such funds for which the Account Bank in its individual capacity, or any of its Affiliates, receives compensation as administrator, sponsor, agent or the like);</w:t>
      </w:r>
    </w:p>
    <w:p>
      <w:pPr>
        <w:spacing w:after="0" w:line="178" w:lineRule="exact"/>
        <w:rPr>
          <w:rFonts w:ascii="Times New Roman" w:cs="Times New Roman" w:eastAsia="Times New Roman" w:hAnsi="Times New Roman"/>
          <w:sz w:val="22"/>
          <w:szCs w:val="22"/>
          <w:color w:val="auto"/>
        </w:rPr>
      </w:pPr>
    </w:p>
    <w:p>
      <w:pPr>
        <w:jc w:val="both"/>
        <w:ind w:left="860" w:firstLine="647"/>
        <w:spacing w:after="0" w:line="257" w:lineRule="exact"/>
        <w:tabs>
          <w:tab w:leader="none" w:pos="1947"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 and</w:t>
      </w:r>
    </w:p>
    <w:p>
      <w:pPr>
        <w:spacing w:after="0" w:line="148" w:lineRule="exact"/>
        <w:rPr>
          <w:rFonts w:ascii="Times New Roman" w:cs="Times New Roman" w:eastAsia="Times New Roman" w:hAnsi="Times New Roman"/>
          <w:sz w:val="22"/>
          <w:szCs w:val="22"/>
          <w:color w:val="auto"/>
        </w:rPr>
      </w:pPr>
    </w:p>
    <w:p>
      <w:pPr>
        <w:ind w:left="1940" w:hanging="433"/>
        <w:spacing w:after="0"/>
        <w:tabs>
          <w:tab w:leader="none" w:pos="1940"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investments approved in writing by the Administrative Agent;</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provided, that each of the Permitted Investments may be purchased by the Account Bank or through an Affiliate of the Account Bank.</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(i) Liens in favor of the Administrative Agent, as agent for the Secured Parties, created pursuant to this Agreement or any other Basic Document and (ii) Liens related to a Financed Vehicle for taxes, labor, materials or storage, (iii) Liens for taxes and assessments and governmental charges or levies that are not yet due and payable or that are being contested in good faith and by proper proceedings and as to which appropriate reserves are being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6" w:name="page457"/>
    <w:bookmarkEnd w:id="456"/>
    <w:p>
      <w:pPr>
        <w:jc w:val="both"/>
        <w:spacing w:after="0" w:line="258" w:lineRule="auto"/>
        <w:rPr>
          <w:sz w:val="20"/>
          <w:szCs w:val="20"/>
          <w:color w:val="auto"/>
        </w:rPr>
      </w:pPr>
      <w:r>
        <w:rPr>
          <w:rFonts w:ascii="Times New Roman" w:cs="Times New Roman" w:eastAsia="Times New Roman" w:hAnsi="Times New Roman"/>
          <w:sz w:val="22"/>
          <w:szCs w:val="22"/>
          <w:color w:val="auto"/>
        </w:rPr>
        <w:t>maintained, provided that they have been fully reserved for in accordance with GAAP, and (iv) with respect to the Accounts, Liens in favor of the Account Bank.</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w:t>
      </w:r>
      <w:r>
        <w:rPr>
          <w:rFonts w:ascii="Times New Roman" w:cs="Times New Roman" w:eastAsia="Times New Roman" w:hAnsi="Times New Roman"/>
          <w:sz w:val="22"/>
          <w:szCs w:val="22"/>
          <w:color w:val="auto"/>
        </w:rPr>
        <w:t>” means one or more post office boxes established and maintained by the Servicer for the benefit of the Secured Parties pursuant to the Intercreditor Agreement and the Intercreditor Party Supplement.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 Processor</w:t>
      </w:r>
      <w:r>
        <w:rPr>
          <w:rFonts w:ascii="Times New Roman" w:cs="Times New Roman" w:eastAsia="Times New Roman" w:hAnsi="Times New Roman"/>
          <w:sz w:val="22"/>
          <w:szCs w:val="22"/>
          <w:color w:val="auto"/>
        </w:rPr>
        <w:t>” means [***] and any other Person that may from time to time perform lockbox services with respect to one or more Post Office Boxes.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means a Power of Attorney of the Borrower appointing the Administrative Agent as its lawful attorney in accordance with Section 9.05, in substantially the form of Exhibit 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for any date of determination means the highest rate of interest (or if a range is given, the highest prime rate) published in [***] on such date as constituting the “prime rate” or “base rate” in such publication’s table of [***] or, if [***] is not published on such date, then in [***] most recently published.</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means, with respect to any Loan, the aggregate amount advanced by the Lenders on the Funding Date in respect of such Loan.</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Balance</w:t>
      </w:r>
      <w:r>
        <w:rPr>
          <w:rFonts w:ascii="Times New Roman" w:cs="Times New Roman" w:eastAsia="Times New Roman" w:hAnsi="Times New Roman"/>
          <w:sz w:val="22"/>
          <w:szCs w:val="22"/>
          <w:color w:val="auto"/>
        </w:rPr>
        <w:t>” means, with respect to a Receivable or Serviced Portfolio Receivable, as of the close of business on a Determination Date, the Amount Financed of such Receivable or Serviced Portfolio Receivable minus the sum of the following related amounts, without duplication, (i) that portion of all Scheduled Payments actually received on or prior to such day allocable to principal using the Simple Interest Method, (ii) any payment of the Release Price or Release Amount with respect to a Receivable allocable to principal, (iii) any Cram Down Loss and (iv) any prepayment in full or any partial prepayment applied in reduction of principal.</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the Purchase and Contribution Agreement, dated as of the Closing Date, between UACC and the Borrower, and each Transfer Agreement.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w:t>
      </w:r>
      <w:r>
        <w:rPr>
          <w:rFonts w:ascii="Times New Roman" w:cs="Times New Roman" w:eastAsia="Times New Roman" w:hAnsi="Times New Roman"/>
          <w:sz w:val="22"/>
          <w:szCs w:val="22"/>
          <w:color w:val="auto"/>
        </w:rPr>
        <w:t>” 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means a data tape, which shall include as to each Receivable such information as shall be agreed upon by the Administrative Agent and the Servicer, including such information as the Administrative Agent may reasonably request from time to time to satisfy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22"/>
          <w:szCs w:val="22"/>
          <w:color w:val="auto"/>
        </w:rPr>
        <w:t>fulfill regulatory requirements applicable to the Secured Parties, including capital treatment under Basel II or Basel III.</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any nationally recognized statistical ratings organization acceptable to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Request</w:t>
      </w:r>
      <w:r>
        <w:rPr>
          <w:rFonts w:ascii="Times New Roman" w:cs="Times New Roman" w:eastAsia="Times New Roman" w:hAnsi="Times New Roman"/>
          <w:sz w:val="22"/>
          <w:szCs w:val="22"/>
          <w:color w:val="auto"/>
        </w:rPr>
        <w:t>” means a written request by the Administrative Agent to the Borrower and the Servicer, stating that the Administrative Agent intends to request that one or more Rating Agencies publicly issue a rating of at least the Required Rating to the transactions contemplated by this Agreement.</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Reborrowing</w:t>
      </w:r>
      <w:r>
        <w:rPr>
          <w:rFonts w:ascii="Times New Roman" w:cs="Times New Roman" w:eastAsia="Times New Roman" w:hAnsi="Times New Roman"/>
          <w:sz w:val="22"/>
          <w:szCs w:val="22"/>
          <w:color w:val="auto"/>
        </w:rPr>
        <w:t>” means, to the extent that any portion of the Loans has been repaid in connection with a repayment pursuant to Section 2.06 or a Securitization pursuant to Section 2.15, the reborrowing by the Borrower of all or a portion of such repaid amounts otherwise subject to and in accordance with the terms hereof.</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refinancing or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 File</w:t>
      </w:r>
      <w:r>
        <w:rPr>
          <w:rFonts w:ascii="Times New Roman" w:cs="Times New Roman" w:eastAsia="Times New Roman" w:hAnsi="Times New Roman"/>
          <w:sz w:val="20"/>
          <w:szCs w:val="20"/>
          <w:color w:val="auto"/>
        </w:rPr>
        <w:t>” means, with respect to each Receivable and the related Contract, (i) (x) in the case of a Tangible Contract, the original fully executed Contract, (y) in the case of an Electronic Contract, an Authoritative Copy of the executed Contract and (z) in the case of a Contract which has been Exported, the physical rendering of the related Electronic Contract produced upon Export, together with the related document history report, and (ii) any instruments or documents that may modify the terms and conditions of such Receivable or Contract and the original endorsements or assignments of such Contract.</w:t>
      </w:r>
    </w:p>
    <w:p>
      <w:pPr>
        <w:spacing w:after="0" w:line="15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Receipt</w:t>
      </w:r>
      <w:r>
        <w:rPr>
          <w:rFonts w:ascii="Times New Roman" w:cs="Times New Roman" w:eastAsia="Times New Roman" w:hAnsi="Times New Roman"/>
          <w:sz w:val="22"/>
          <w:szCs w:val="22"/>
          <w:color w:val="auto"/>
        </w:rPr>
        <w:t>” means the receivable receipt substantially in the form attached hereto as Exhibit H executed by the Custodian for the benefit of the Administrative Agent.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with respect to any Contract, all documents, books, records and other information (including computer programs, tapes, disks, punch cards, data processing software and related property and rights) maintained with respect to any related item of Collateral and the related Obligor.</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Recoveries</w:t>
      </w:r>
      <w:r>
        <w:rPr>
          <w:rFonts w:ascii="Times New Roman" w:cs="Times New Roman" w:eastAsia="Times New Roman" w:hAnsi="Times New Roman"/>
          <w:sz w:val="22"/>
          <w:szCs w:val="22"/>
          <w:color w:val="auto"/>
        </w:rPr>
        <w:t>” means, with respect to any Payment Date and the related Collection Period, all monies collected from whatever source during such Collection Period in respect of a Defaulted Receivable, including Insurance Proceeds (but excluding payment of the related Release Price or Release Amount), net of any amounts required by Applicable Law to be remitted to the related Obligor and net of the Servicer’s reasonable out-of-pocket expenses (other than overhead) incurred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58" w:name="page459"/>
    <w:bookmarkEnd w:id="458"/>
    <w:p>
      <w:pPr>
        <w:jc w:val="both"/>
        <w:spacing w:after="0" w:line="258" w:lineRule="auto"/>
        <w:rPr>
          <w:sz w:val="20"/>
          <w:szCs w:val="20"/>
          <w:color w:val="auto"/>
        </w:rPr>
      </w:pPr>
      <w:r>
        <w:rPr>
          <w:rFonts w:ascii="Times New Roman" w:cs="Times New Roman" w:eastAsia="Times New Roman" w:hAnsi="Times New Roman"/>
          <w:sz w:val="22"/>
          <w:szCs w:val="22"/>
          <w:color w:val="auto"/>
        </w:rPr>
        <w:t>in connection with the liquidation of such Defaulted Receivable and the related Financed Vehicle, to the extent not previously reimbursed to the Servicer.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Date</w:t>
      </w:r>
      <w:r>
        <w:rPr>
          <w:rFonts w:ascii="Times New Roman" w:cs="Times New Roman" w:eastAsia="Times New Roman" w:hAnsi="Times New Roman"/>
          <w:sz w:val="22"/>
          <w:szCs w:val="22"/>
          <w:color w:val="auto"/>
        </w:rPr>
        <w:t>” with respect to any setting of the then-current Benchmark means (a) if such Benchmark is Term SOFR, then two (2) U.S. Government Securities Business Days prior to such setting and (b) if such Benchmark is not Term SOFR, then the time determined by the Administrative Agent in accordance with the Conforming Changes.</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 of Titles</w:t>
      </w:r>
      <w:r>
        <w:rPr>
          <w:rFonts w:ascii="Times New Roman" w:cs="Times New Roman" w:eastAsia="Times New Roman" w:hAnsi="Times New Roman"/>
          <w:sz w:val="22"/>
          <w:szCs w:val="22"/>
          <w:color w:val="auto"/>
        </w:rPr>
        <w:t>” means, with respect to any State, the governmental agency or body responsible for the registration of, and the issuance of certificates of title relating to, motor vehicles and liens thereon.</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AB</w:t>
      </w:r>
      <w:r>
        <w:rPr>
          <w:rFonts w:ascii="Times New Roman" w:cs="Times New Roman" w:eastAsia="Times New Roman" w:hAnsi="Times New Roman"/>
          <w:sz w:val="22"/>
          <w:szCs w:val="22"/>
          <w:color w:val="auto"/>
        </w:rPr>
        <w:t>” means Subpart 229.1100 – Asset Backed Securities (Regulation AB), 17 C.F.R. §§229.1100-229.1125, as such may be amended from time to time, and subject to such clarification and interpretation as have been provided by the Commission in the adopting releases (Asset Backed Securities, Securities Act Release No. 33 8518, 70 Fed. Reg. 1,506, 1,531 (Jan. 7, 2005) and the portions of Asset-Backed Securities Disclosure and Registration, Securities Act Release No. 33-9638, 79 Fed. Reg. 57,184 (Sept. 24, 2014)) that are in effect on any specific date or by the staff of the Commission, or as may be provided by the Commission or its staff from time to time.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Amount</w:t>
      </w:r>
      <w:r>
        <w:rPr>
          <w:rFonts w:ascii="Times New Roman" w:cs="Times New Roman" w:eastAsia="Times New Roman" w:hAnsi="Times New Roman"/>
          <w:sz w:val="22"/>
          <w:szCs w:val="22"/>
          <w:color w:val="auto"/>
        </w:rPr>
        <w:t>” means, as of the related Release Date, the deposit amount for a retransfer of Receivables under Section 5.04(b), in an amount equal to (i) the related Aggregate Unpaids minus (ii) the related amount, if any, available in the Collection Account and the Reserve Account on such Payment Date.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means a Payment Date specified by the Borrower in connection with the retransfer of the Receivables under Section 5.04(b).</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Price</w:t>
      </w:r>
      <w:r>
        <w:rPr>
          <w:rFonts w:ascii="Times New Roman" w:cs="Times New Roman" w:eastAsia="Times New Roman" w:hAnsi="Times New Roman"/>
          <w:sz w:val="22"/>
          <w:szCs w:val="22"/>
          <w:color w:val="auto"/>
        </w:rPr>
        <w:t>” means an amount equal to the Principal Balance of each Receivable retransferred or repurchased pursuant to Section 5.04(a) or (b), plus accrued interest on such Receivable (at the related APR) through the date of such retransfer or repurchase, all Breakage Costs, if any, arising out of or relating to such retransfer or repurchase, and all Hedge Breakage Costs, if any, due to the relevant Hedge Counterparties for any termination in whole or in part of one or more transactions related to the relevant Hedging Agreement, as required by the terms of any Hedging Agreement as a result of such retransfer or repurchase.</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for which the 30-day notice provision has not been waived.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Date</w:t>
      </w:r>
      <w:r>
        <w:rPr>
          <w:rFonts w:ascii="Times New Roman" w:cs="Times New Roman" w:eastAsia="Times New Roman" w:hAnsi="Times New Roman"/>
          <w:sz w:val="22"/>
          <w:szCs w:val="22"/>
          <w:color w:val="auto"/>
        </w:rPr>
        <w:t>” means the date which is two Business Days prior to any Payment Date.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Hedging Period</w:t>
      </w:r>
      <w:r>
        <w:rPr>
          <w:rFonts w:ascii="Times New Roman" w:cs="Times New Roman" w:eastAsia="Times New Roman" w:hAnsi="Times New Roman"/>
          <w:sz w:val="22"/>
          <w:szCs w:val="22"/>
          <w:color w:val="auto"/>
        </w:rPr>
        <w:t>” means the period commencing 90 days after the occurrence of an Overcollateralization Increase Event resulting from the breach of the UACC Excess Spread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59" w:name="page460"/>
    <w:bookmarkEnd w:id="45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Percentage or Vroom Excess Spread Percentage, as applicable, and ending on the earlier of (i) the date on which such Overcollateralization Increase Event has been cured or waived and (ii) the Termination Date.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Legend</w:t>
      </w:r>
      <w:r>
        <w:rPr>
          <w:rFonts w:ascii="Times New Roman" w:cs="Times New Roman" w:eastAsia="Times New Roman" w:hAnsi="Times New Roman"/>
          <w:sz w:val="22"/>
          <w:szCs w:val="22"/>
          <w:color w:val="auto"/>
        </w:rPr>
        <w:t>” shall mean a legend applied by the E-Vault System to every page of a Contract which identifies the owner of Record as “UACC Auto Financing Trust V, with Capital One, N.A., as Administrative Agent, as secured party through its designated custodian, United Auto Credit Corporation”.</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 particular time, Lenders with aggregate Commitments in excess of [***]% of the Aggregate Commitment.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Rating</w:t>
      </w:r>
      <w:r>
        <w:rPr>
          <w:rFonts w:ascii="Times New Roman" w:cs="Times New Roman" w:eastAsia="Times New Roman" w:hAnsi="Times New Roman"/>
          <w:sz w:val="22"/>
          <w:szCs w:val="22"/>
          <w:color w:val="auto"/>
        </w:rPr>
        <w:t>” means, with respect to any Rating Agency, a long-term unsecured debt rating of BBB or its equivalent issued by such Rating Agency.</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 upon such Person or to which such Person is subject, whether federal, State or local (including usury laws, the Federal Truth in Lending Act, Regulations U and T of the Federal Reserve Board and Regulations B, X and Z of the Consumer Financial Protection Bureau).</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means a segregated account established by the Servicer with the Account Bank, for the benefit of the Secured Parties.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Amount</w:t>
      </w:r>
      <w:r>
        <w:rPr>
          <w:rFonts w:ascii="Times New Roman" w:cs="Times New Roman" w:eastAsia="Times New Roman" w:hAnsi="Times New Roman"/>
          <w:sz w:val="22"/>
          <w:szCs w:val="22"/>
          <w:color w:val="auto"/>
        </w:rPr>
        <w:t>” means on any day, the amount on deposit in the Reserve Account.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Required Amount</w:t>
      </w:r>
      <w:r>
        <w:rPr>
          <w:rFonts w:ascii="Times New Roman" w:cs="Times New Roman" w:eastAsia="Times New Roman" w:hAnsi="Times New Roman"/>
          <w:sz w:val="22"/>
          <w:szCs w:val="22"/>
          <w:color w:val="auto"/>
        </w:rPr>
        <w:t>” means, on any day, if the Loans Outstanding are (i) $[***], $[***] and (ii) greater than $[***], the greater of (a) $[***] and (b) the product of (1) [***]% and (2) the highest aggregate Principal Balance of the Receivables included in the Collateral since the later of the Closing Date or the most recent Securitization Date.</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 Account Withdrawal Amount</w:t>
      </w:r>
      <w:r>
        <w:rPr>
          <w:rFonts w:ascii="Times New Roman" w:cs="Times New Roman" w:eastAsia="Times New Roman" w:hAnsi="Times New Roman"/>
          <w:sz w:val="22"/>
          <w:szCs w:val="22"/>
          <w:color w:val="auto"/>
        </w:rPr>
        <w:t>” means, with respect to any Payment Date (i) during the Revolving Period on which an Available Funds Shortfall exists, an amount equal to the lesser of (a) the Reserve Account Amount and (b) the Available Funds Shortfall and (ii) following the occurrence of (a) the Termination Date so long as no Foreclosure Event has occurred, all or a portion of the Reserve Account Amount, as designated by the Administrative Agent pursuant to Section 2.11(d), or (b) a Foreclosure Event, the Reserve Account Amount.</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when used with respect to (i) any Person other than the Borrower, any officer of such Person, including any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0" w:name="page461"/>
    <w:bookmarkEnd w:id="460"/>
    <w:p>
      <w:pPr>
        <w:jc w:val="both"/>
        <w:spacing w:after="0" w:line="258" w:lineRule="auto"/>
        <w:rPr>
          <w:sz w:val="20"/>
          <w:szCs w:val="20"/>
          <w:color w:val="auto"/>
        </w:rPr>
      </w:pPr>
      <w:r>
        <w:rPr>
          <w:rFonts w:ascii="Times New Roman" w:cs="Times New Roman" w:eastAsia="Times New Roman" w:hAnsi="Times New Roman"/>
          <w:sz w:val="22"/>
          <w:szCs w:val="22"/>
          <w:color w:val="auto"/>
        </w:rPr>
        <w:t>and (ii) the Borrower, any Authorized Representative or officer of the Owner Trustee having direct responsibility for the Owner Trustee’s duties under the Trust Agreement.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Closing Date</w:t>
      </w:r>
      <w:r>
        <w:rPr>
          <w:rFonts w:ascii="Times New Roman" w:cs="Times New Roman" w:eastAsia="Times New Roman" w:hAnsi="Times New Roman"/>
          <w:sz w:val="22"/>
          <w:szCs w:val="22"/>
          <w:color w:val="auto"/>
        </w:rPr>
        <w:t>” means August 31, 2023.</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means the period commencing on the Restatement Closing Date and ending on the earlier to occur of (i) the Commitment Termination Date and (ii) the day immediately preceding the Termination Date.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the subject or target of any Sanctions broadly restricting or prohibiting dealings with such country or territory (as of the date of this Agreement, the Sanctioned Countries include the Crimea region of Ukraine and the countries of Cuba, Iran, North Korea and Syria).</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any Person, or Person acting on behalf of any Person, with whom dealings are restricted or prohibited under Sanctions, including (a) any Person named on any Sanctions-related the list of designated Persons maintained by OFAC, the U.S. Department of State, or by the United Nations Security Council, her Majesty’s Treasury of the United Kingdom, the European Union or any EU member state, (b) any Person located, operating under the laws of, organized or resident in, or any Governmental Authority or governmental instrumentality of, a Sanctioned Country or (c) any Person directly or indirectly, in whole or in part, owned by, controlled by, or acting on behalf of any Person described in (a) or (b) above.</w:t>
      </w:r>
    </w:p>
    <w:p>
      <w:pPr>
        <w:spacing w:after="0" w:line="154" w:lineRule="exact"/>
        <w:rPr>
          <w:sz w:val="20"/>
          <w:szCs w:val="20"/>
          <w:color w:val="auto"/>
        </w:rPr>
      </w:pPr>
    </w:p>
    <w:p>
      <w:pPr>
        <w:jc w:val="both"/>
        <w:ind w:firstLine="73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the U.S. Department of Commerce, or the U.S. Department of State (b) the United Nations Security Council, the European Union or Her Majesty’s Treasury of the United Kingdom, or (c) any other similar sanctions imposed by a governmental body to which the Borrower or Servicer, or any of the Borrower or Servicer’s Subsidiaries and/or Affiliates are subject, as applicable.</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Receivables</w:t>
      </w:r>
      <w:r>
        <w:rPr>
          <w:rFonts w:ascii="Times New Roman" w:cs="Times New Roman" w:eastAsia="Times New Roman" w:hAnsi="Times New Roman"/>
          <w:sz w:val="22"/>
          <w:szCs w:val="22"/>
          <w:color w:val="auto"/>
        </w:rPr>
        <w:t>” means the schedule of Receivables attached hereto as Schedule C, as updated from time to time in connection with each Funding Request.</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means regularly scheduled payments to be made by an Obligor pursuant to the terms of the related Contract.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means (i) the Administrative Agent, (ii) each Lender and (iii) each Hedge Counterparty.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5"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means any public SEC-registered, Rule 144A or 4(a)(2) private offering of asset-backed term notes or secured loan or similar transaction involving all or a portion of the Collateral, provided, that in each case no adverse selection procedures were used by the Borrower or such Special Purpose Affiliate with respect to such Collateral.</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Date</w:t>
      </w:r>
      <w:r>
        <w:rPr>
          <w:rFonts w:ascii="Times New Roman" w:cs="Times New Roman" w:eastAsia="Times New Roman" w:hAnsi="Times New Roman"/>
          <w:sz w:val="22"/>
          <w:szCs w:val="22"/>
          <w:color w:val="auto"/>
        </w:rPr>
        <w:t>” means the date upon which a Securitization is consummated.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61" w:name="page462"/>
    <w:bookmarkEnd w:id="461"/>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Date Certificate</w:t>
      </w:r>
      <w:r>
        <w:rPr>
          <w:rFonts w:ascii="Times New Roman" w:cs="Times New Roman" w:eastAsia="Times New Roman" w:hAnsi="Times New Roman"/>
          <w:sz w:val="22"/>
          <w:szCs w:val="22"/>
          <w:color w:val="auto"/>
        </w:rPr>
        <w:t xml:space="preserve">” means a certificate, substantially in the form attached as Annex 1 to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hereto, delivered by an Authorized Officer of the Borrower on a Securitization Date indicating that the requirements set forth in this Agreement for a Securitization have been satisfied.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Release</w:t>
      </w:r>
      <w:r>
        <w:rPr>
          <w:rFonts w:ascii="Times New Roman" w:cs="Times New Roman" w:eastAsia="Times New Roman" w:hAnsi="Times New Roman"/>
          <w:sz w:val="20"/>
          <w:szCs w:val="20"/>
          <w:color w:val="auto"/>
        </w:rPr>
        <w:t xml:space="preserve">” means a release executed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hereto.</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Amounts</w:t>
      </w:r>
      <w:r>
        <w:rPr>
          <w:rFonts w:ascii="Times New Roman" w:cs="Times New Roman" w:eastAsia="Times New Roman" w:hAnsi="Times New Roman"/>
          <w:sz w:val="22"/>
          <w:szCs w:val="22"/>
          <w:color w:val="auto"/>
        </w:rPr>
        <w:t>” has the meaning given to such term in Section 5.07 of the Purchase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has the meaning given to such term in Section 5.07 of the Purchase Agreement.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w:t>
      </w:r>
      <w:r>
        <w:rPr>
          <w:rFonts w:ascii="Times New Roman" w:cs="Times New Roman" w:eastAsia="Times New Roman" w:hAnsi="Times New Roman"/>
          <w:sz w:val="22"/>
          <w:szCs w:val="22"/>
          <w:color w:val="auto"/>
        </w:rPr>
        <w:t>” means all motor vehicle receivables that have been originated or purchased by UACC or an Affiliate thereof and are serviced by UACC or an Affiliate thereof, including motor vehicle receivables that have been securitized in a transaction for which UACC, the Borrower or any of their respective Affiliates is the sponsor.</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Annualized Default Ratio</w:t>
      </w:r>
      <w:r>
        <w:rPr>
          <w:rFonts w:ascii="Times New Roman" w:cs="Times New Roman" w:eastAsia="Times New Roman" w:hAnsi="Times New Roman"/>
          <w:sz w:val="22"/>
          <w:szCs w:val="22"/>
          <w:color w:val="auto"/>
        </w:rPr>
        <w:t>” means, with respect to any Payment Date and the related Collection Period, the product of (i) 12 and (ii) the percentage equivalent of a fraction, (a) the numerator of which equals the aggregate Principal Balance of all Serviced Portfolio Receivables that became Serviced Portfolio Defaulted Receivables during such Collection Period and (b) the denominator of which equals the aggregate Principal Balance of all Serviced Portfolio Receivables as of the related Determination Date.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Annualized Net Loss Ratio</w:t>
      </w:r>
      <w:r>
        <w:rPr>
          <w:rFonts w:ascii="Times New Roman" w:cs="Times New Roman" w:eastAsia="Times New Roman" w:hAnsi="Times New Roman"/>
          <w:sz w:val="22"/>
          <w:szCs w:val="22"/>
          <w:color w:val="auto"/>
        </w:rPr>
        <w:t>” means, with respect to any Payment Date and the related Collection Period, the product of (i) 12 and (ii) the percentage equivalent of a fraction, (a) the numerator of which equals the aggregate Serviced Portfolio Net Losses for such Collection Period and (b) the denominator of which equals the aggregate Principal Balance of all Serviced Portfolio Receivables as of the related Determination Date.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Defaulted Receivable</w:t>
      </w:r>
      <w:r>
        <w:rPr>
          <w:rFonts w:ascii="Times New Roman" w:cs="Times New Roman" w:eastAsia="Times New Roman" w:hAnsi="Times New Roman"/>
          <w:sz w:val="22"/>
          <w:szCs w:val="22"/>
          <w:color w:val="auto"/>
        </w:rPr>
        <w:t>” means any Serviced Portfolio Receivable (i) with respect to which more than 10% of any scheduled monthly payment remains unpaid for more than 120 days after the related due date as of any Determination Date, (ii) with respect to which 90 days have elapsed since the related Financed Vehicle was repossessed and any applicable redemption period has expired or (iii) that is a Charged-off Receivable.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Serviced Portfolio Delinquent Receivables as of the last day of such Collection Period and (ii) the denominator of which equals the aggregate Principal Balance of all Serviced Portfolio Receivables as of such last day.</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Delinquent Receivable</w:t>
      </w:r>
      <w:r>
        <w:rPr>
          <w:rFonts w:ascii="Times New Roman" w:cs="Times New Roman" w:eastAsia="Times New Roman" w:hAnsi="Times New Roman"/>
          <w:sz w:val="22"/>
          <w:szCs w:val="22"/>
          <w:color w:val="auto"/>
        </w:rPr>
        <w:t>” means any Serviced Portfolio Receivable (i) in respect of which more than 10% of any scheduled monthly payment remains unpaid for more than 60 days after the related due date as of any Determination Date, (ii) that is not a Serviced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22"/>
          <w:szCs w:val="22"/>
          <w:color w:val="auto"/>
        </w:rPr>
        <w:t>Portfolio Defaulted Receivable and (iii) that is not a Receivable for which the related vehicle has been repossessed.</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Extended Receivable</w:t>
      </w:r>
      <w:r>
        <w:rPr>
          <w:rFonts w:ascii="Times New Roman" w:cs="Times New Roman" w:eastAsia="Times New Roman" w:hAnsi="Times New Roman"/>
          <w:sz w:val="22"/>
          <w:szCs w:val="22"/>
          <w:color w:val="auto"/>
        </w:rPr>
        <w:t>” means any Serviced Portfolio Receivable for which an extension or payment deferment was made (or is in effect) pursuant to the Credit and Collection Policy.</w:t>
      </w:r>
    </w:p>
    <w:p>
      <w:pPr>
        <w:spacing w:after="0" w:line="157"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Serviced Portfolio Extension Ratio</w:t>
      </w:r>
      <w:r>
        <w:rPr>
          <w:rFonts w:ascii="Times New Roman" w:cs="Times New Roman" w:eastAsia="Times New Roman" w:hAnsi="Times New Roman"/>
          <w:sz w:val="20"/>
          <w:szCs w:val="20"/>
          <w:color w:val="auto"/>
        </w:rPr>
        <w:t>” means, with respect to any Payment Date and the related Collection Period, the percentage equivalent of a fraction, (i) the numerator of which equals the aggregate Principal Balance of all Serviced Portfolio Receivables that were Serviced Portfolio Extended Receivables during such Collection Period and (ii) the denominator of which equals the daily average aggregate Principal Balance of all Serviced Portfolio Receivables during such Collection Period.</w:t>
      </w:r>
    </w:p>
    <w:p>
      <w:pPr>
        <w:spacing w:after="0" w:line="14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Net Loss</w:t>
      </w:r>
      <w:r>
        <w:rPr>
          <w:rFonts w:ascii="Times New Roman" w:cs="Times New Roman" w:eastAsia="Times New Roman" w:hAnsi="Times New Roman"/>
          <w:sz w:val="22"/>
          <w:szCs w:val="22"/>
          <w:color w:val="auto"/>
        </w:rPr>
        <w:t>” means, with respect to any Payment Date and the related Collection Period, an amount equal to (i) the aggregate Principal Balance of all Serviced Portfolio Receivables that first became Serviced Portfolio Defaulted Receivables during such Collection Period minus (ii) all Serviced Portfolio Recoveries received by the Servicer during such Collection Period.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Receivable</w:t>
      </w:r>
      <w:r>
        <w:rPr>
          <w:rFonts w:ascii="Times New Roman" w:cs="Times New Roman" w:eastAsia="Times New Roman" w:hAnsi="Times New Roman"/>
          <w:sz w:val="22"/>
          <w:szCs w:val="22"/>
          <w:color w:val="auto"/>
        </w:rPr>
        <w:t>” means any motor vehicle receivable included in the Serviced Portfolio.</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Serviced Portfolio Recoveries</w:t>
      </w:r>
      <w:r>
        <w:rPr>
          <w:rFonts w:ascii="Times New Roman" w:cs="Times New Roman" w:eastAsia="Times New Roman" w:hAnsi="Times New Roman"/>
          <w:sz w:val="22"/>
          <w:szCs w:val="22"/>
          <w:color w:val="auto"/>
        </w:rPr>
        <w:t>” means, with respect to any Payment Date and the related Collection Period, all monies collected from whatever source during such Collection Period in respect of such Serviced Portfolio Defaulted Receivables, including insurance proceeds, net of any amounts required by Applicable Law to be remitted to the related Obligor and net of the Servicer’s expenses (other than overhead) incurred in connection with the liquidation of such Serviced Portfolio Defaulted Receivables and the related Financed Vehicles, to the extent not previously reimbursed to the Servicer.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Basic Documents</w:t>
      </w:r>
      <w:r>
        <w:rPr>
          <w:rFonts w:ascii="Times New Roman" w:cs="Times New Roman" w:eastAsia="Times New Roman" w:hAnsi="Times New Roman"/>
          <w:sz w:val="22"/>
          <w:szCs w:val="22"/>
          <w:color w:val="auto"/>
        </w:rPr>
        <w:t>” means all Basic Documents to which the Servicer is a party or by which it is bound.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File</w:t>
      </w:r>
      <w:r>
        <w:rPr>
          <w:rFonts w:ascii="Times New Roman" w:cs="Times New Roman" w:eastAsia="Times New Roman" w:hAnsi="Times New Roman"/>
          <w:sz w:val="22"/>
          <w:szCs w:val="22"/>
          <w:color w:val="auto"/>
        </w:rPr>
        <w:t>” means, with respect to a Receivable, each of the following documents:</w:t>
      </w:r>
    </w:p>
    <w:p>
      <w:pPr>
        <w:spacing w:after="0" w:line="205" w:lineRule="exact"/>
        <w:rPr>
          <w:sz w:val="20"/>
          <w:szCs w:val="20"/>
          <w:color w:val="auto"/>
        </w:rPr>
      </w:pPr>
    </w:p>
    <w:p>
      <w:pPr>
        <w:ind w:left="1940" w:hanging="435"/>
        <w:spacing w:after="0"/>
        <w:tabs>
          <w:tab w:leader="none" w:pos="1940"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Event</w:t>
      </w:r>
      <w:r>
        <w:rPr>
          <w:rFonts w:ascii="Times New Roman" w:cs="Times New Roman" w:eastAsia="Times New Roman" w:hAnsi="Times New Roman"/>
          <w:sz w:val="22"/>
          <w:szCs w:val="22"/>
          <w:color w:val="auto"/>
        </w:rPr>
        <w:t>” has the meaning given to such term in Section 7.14.</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Notice</w:t>
      </w:r>
      <w:r>
        <w:rPr>
          <w:rFonts w:ascii="Times New Roman" w:cs="Times New Roman" w:eastAsia="Times New Roman" w:hAnsi="Times New Roman"/>
          <w:sz w:val="22"/>
          <w:szCs w:val="22"/>
          <w:color w:val="auto"/>
        </w:rPr>
        <w:t>” has the meaning given to such term in Section 7.14.</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means the fee payable to the Servicer on each Payment Date in accordance with Section 2.12(b) in an amount equal to the product of (i) one-twelfth, (ii) the Servicing Fee Rate and (iii) the daily average aggregate Principal Balance of the Receivables during the related Collection Period; provided, that if UACC is no longer the Servicer, the “Servicing Fee” shall be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3" w:name="page464"/>
    <w:bookmarkEnd w:id="463"/>
    <w:p>
      <w:pPr>
        <w:jc w:val="both"/>
        <w:spacing w:after="0" w:line="258" w:lineRule="auto"/>
        <w:rPr>
          <w:sz w:val="20"/>
          <w:szCs w:val="20"/>
          <w:color w:val="auto"/>
        </w:rPr>
      </w:pPr>
      <w:r>
        <w:rPr>
          <w:rFonts w:ascii="Times New Roman" w:cs="Times New Roman" w:eastAsia="Times New Roman" w:hAnsi="Times New Roman"/>
          <w:sz w:val="22"/>
          <w:szCs w:val="22"/>
          <w:color w:val="auto"/>
        </w:rPr>
        <w:t>adjusted by the Administrative Agent at the request of the Servicer to reflect the then market rates for the servicing of motor vehicles receivables similar to the Receivables.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Rate</w:t>
      </w:r>
      <w:r>
        <w:rPr>
          <w:rFonts w:ascii="Times New Roman" w:cs="Times New Roman" w:eastAsia="Times New Roman" w:hAnsi="Times New Roman"/>
          <w:sz w:val="22"/>
          <w:szCs w:val="22"/>
          <w:color w:val="auto"/>
        </w:rPr>
        <w:t>” means [***]% per annum.</w:t>
      </w:r>
    </w:p>
    <w:p>
      <w:pPr>
        <w:spacing w:after="0" w:line="205" w:lineRule="exact"/>
        <w:rPr>
          <w:sz w:val="20"/>
          <w:szCs w:val="20"/>
          <w:color w:val="auto"/>
        </w:rPr>
      </w:pPr>
    </w:p>
    <w:p>
      <w:pPr>
        <w:jc w:val="both"/>
        <w:ind w:firstLine="749"/>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Rating Requirement</w:t>
      </w:r>
      <w:r>
        <w:rPr>
          <w:rFonts w:ascii="Times New Roman" w:cs="Times New Roman" w:eastAsia="Times New Roman" w:hAnsi="Times New Roman"/>
          <w:sz w:val="22"/>
          <w:szCs w:val="22"/>
          <w:color w:val="auto"/>
        </w:rPr>
        <w:t>” means, with respect to any Person, that such Person has a short-term unsecured debt rating of not less than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not less than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Contract</w:t>
      </w:r>
      <w:r>
        <w:rPr>
          <w:rFonts w:ascii="Times New Roman" w:cs="Times New Roman" w:eastAsia="Times New Roman" w:hAnsi="Times New Roman"/>
          <w:sz w:val="22"/>
          <w:szCs w:val="22"/>
          <w:color w:val="auto"/>
        </w:rPr>
        <w:t>” means any Contract under which the portion of a payment allocable to interest and the portion allocable to principal are determined in accordance with the Simple Interest Method.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Method</w:t>
      </w:r>
      <w:r>
        <w:rPr>
          <w:rFonts w:ascii="Times New Roman" w:cs="Times New Roman" w:eastAsia="Times New Roman" w:hAnsi="Times New Roman"/>
          <w:sz w:val="22"/>
          <w:szCs w:val="22"/>
          <w:color w:val="auto"/>
        </w:rPr>
        <w:t>” 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CME Group Benchmark Administration Limited (CBA) (or any successor administrator of the Term SOFR Reference Rate).</w:t>
      </w:r>
    </w:p>
    <w:p>
      <w:pPr>
        <w:spacing w:after="0" w:line="15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a business or a transaction, for which such Person’s property would constitute unreasonably small capital.</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Purpose Affiliate</w:t>
      </w:r>
      <w:r>
        <w:rPr>
          <w:rFonts w:ascii="Times New Roman" w:cs="Times New Roman" w:eastAsia="Times New Roman" w:hAnsi="Times New Roman"/>
          <w:sz w:val="22"/>
          <w:szCs w:val="22"/>
          <w:color w:val="auto"/>
        </w:rPr>
        <w:t>” means any bankruptcy-remote special purpose entity that is an Affiliate of the Borrower and was created for the purpose of one or more Securitizations.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&amp; Poor’s</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means any state of the United States or the District of Columbia.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Loan</w:t>
      </w:r>
      <w:r>
        <w:rPr>
          <w:rFonts w:ascii="Times New Roman" w:cs="Times New Roman" w:eastAsia="Times New Roman" w:hAnsi="Times New Roman"/>
          <w:sz w:val="22"/>
          <w:szCs w:val="22"/>
          <w:color w:val="auto"/>
        </w:rPr>
        <w:t>” means each Loan made following the Initial Loan.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4" w:name="page465"/>
    <w:bookmarkEnd w:id="464"/>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Receivable</w:t>
      </w:r>
      <w:r>
        <w:rPr>
          <w:rFonts w:ascii="Times New Roman" w:cs="Times New Roman" w:eastAsia="Times New Roman" w:hAnsi="Times New Roman"/>
          <w:sz w:val="22"/>
          <w:szCs w:val="22"/>
          <w:color w:val="auto"/>
        </w:rPr>
        <w:t>” means each Receivable that becomes a part of the Collateral on a Funding Date other than the Funding Date relating to the Initial Loan.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means a subservicer appointed by the Servicer and acceptable to the Administrative Agent for the servicing and administration of the Receivables.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Servicer</w:t>
      </w:r>
      <w:r>
        <w:rPr>
          <w:rFonts w:ascii="Times New Roman" w:cs="Times New Roman" w:eastAsia="Times New Roman" w:hAnsi="Times New Roman"/>
          <w:sz w:val="22"/>
          <w:szCs w:val="22"/>
          <w:color w:val="auto"/>
        </w:rPr>
        <w:t>” has the meaning given to such term in Section 7.15(b).</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System Description</w:t>
      </w:r>
      <w:r>
        <w:rPr>
          <w:rFonts w:ascii="Times New Roman" w:cs="Times New Roman" w:eastAsia="Times New Roman" w:hAnsi="Times New Roman"/>
          <w:sz w:val="22"/>
          <w:szCs w:val="22"/>
          <w:color w:val="auto"/>
        </w:rPr>
        <w:t>” shall mean a description of the E-Vault System in form and substance satisfactory to the Administrative Agent.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Contract</w:t>
      </w:r>
      <w:r>
        <w:rPr>
          <w:rFonts w:ascii="Times New Roman" w:cs="Times New Roman" w:eastAsia="Times New Roman" w:hAnsi="Times New Roman"/>
          <w:sz w:val="22"/>
          <w:szCs w:val="22"/>
          <w:color w:val="auto"/>
        </w:rPr>
        <w:t>” means a Contract that constitutes “tangible chattel paper” under and as defined in Section 9-102(78) of the UCC.</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w:t>
      </w:r>
      <w:r>
        <w:rPr>
          <w:rFonts w:ascii="Times New Roman" w:cs="Times New Roman" w:eastAsia="Times New Roman" w:hAnsi="Times New Roman"/>
          <w:sz w:val="22"/>
          <w:szCs w:val="22"/>
          <w:color w:val="auto"/>
        </w:rPr>
        <w:t>” means, with respect to any Person, the net worth of such Person calculated in accordance with GAAP, after subtracting therefrom the aggregate amount of such Person’s intangible assets, including goodwill, franchises, licenses, patents, trademarks, tradenames, copyrights and service marks.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present or future taxes, levies, imposts, duties, charges, withholding (including backup withholding), assessments or fees of any nature (including interest, penalties and additions thereto) that are imposed by any Government Authority.</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for any calculation on any day, the Term SOFR Reference Rate as of 5:00 p.m. (New York City time) on the Reference Date prior to the applicable Interest Period (each, a “</w:t>
      </w:r>
      <w:r>
        <w:rPr>
          <w:rFonts w:ascii="Times New Roman" w:cs="Times New Roman" w:eastAsia="Times New Roman" w:hAnsi="Times New Roman"/>
          <w:sz w:val="22"/>
          <w:szCs w:val="22"/>
          <w:u w:val="single" w:color="auto"/>
          <w:color w:val="auto"/>
        </w:rPr>
        <w:t>Term SOFR Determination Day</w:t>
      </w:r>
      <w:r>
        <w:rPr>
          <w:rFonts w:ascii="Times New Roman" w:cs="Times New Roman" w:eastAsia="Times New Roman" w:hAnsi="Times New Roman"/>
          <w:sz w:val="22"/>
          <w:szCs w:val="22"/>
          <w:color w:val="auto"/>
        </w:rPr>
        <w:t>”), as such rate is published by the SOFR Administrator; provided, however, that if as of 5:00 p.m. (New York City time) on any Term SOFR Determination Date the Term SOFR Reference Rate has not been published by the SOFR Administrator and a Benchmark Replacement Date with respect to the Term SOFR Reference Rate has not occurred, then Term SOFR will be the Term SOFR Reference Rate for such tenor as published by the SOFR Administrator on the first preceding U.S. Government Securities Business Day for which such Term SOFR Reference Rate was published by the SOFR Administrator so long as such first preceding U.S. Government Securities Business Day is not more than three U.S. Government Securities Business Days prior to such Term SOFR Determination Day.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rate per annum determined by the SOFR Administrator as the forward-looking term rate based on SOFR; provided, that if the Term SOFR Reference Rate determined as provided above shall ever be less than the Floor, then Term SOFR Reference Rate shall be deemed to be the Floor.</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earliest to occur of (i) the Facility Turbo Date, (ii) the Business Day designated by the Borrower to the Lenders as the Termination Date at any time following 60 days’ prior written notice, (iii) the occurrence of a Foreclosure Event and (iv)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65" w:name="page466"/>
    <w:bookmarkEnd w:id="465"/>
    <w:p>
      <w:pPr>
        <w:jc w:val="both"/>
        <w:spacing w:after="0" w:line="258" w:lineRule="auto"/>
        <w:rPr>
          <w:sz w:val="20"/>
          <w:szCs w:val="20"/>
          <w:color w:val="auto"/>
        </w:rPr>
      </w:pPr>
      <w:r>
        <w:rPr>
          <w:rFonts w:ascii="Times New Roman" w:cs="Times New Roman" w:eastAsia="Times New Roman" w:hAnsi="Times New Roman"/>
          <w:sz w:val="22"/>
          <w:szCs w:val="22"/>
          <w:color w:val="auto"/>
        </w:rPr>
        <w:t>automatic occurrence, or the declaration of the occurrence, of the Termination Date pursuant to Section 9.01(b), or (v) the Facility Termination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has the meaning given to such term in Section 9.01(a).</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Data File</w:t>
      </w:r>
      <w:r>
        <w:rPr>
          <w:rFonts w:ascii="Times New Roman" w:cs="Times New Roman" w:eastAsia="Times New Roman" w:hAnsi="Times New Roman"/>
          <w:sz w:val="22"/>
          <w:szCs w:val="22"/>
          <w:color w:val="auto"/>
        </w:rPr>
        <w:t>” means a test data file, which shall include the loan master file, the transaction history file and all other files necessary to carry out the servicing obligations hereunder.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Administrator</w:t>
      </w:r>
      <w:r>
        <w:rPr>
          <w:rFonts w:ascii="Times New Roman" w:cs="Times New Roman" w:eastAsia="Times New Roman" w:hAnsi="Times New Roman"/>
          <w:sz w:val="22"/>
          <w:szCs w:val="22"/>
          <w:color w:val="auto"/>
        </w:rPr>
        <w:t>” means each of [***], or any successor thereto, or other Person that has executed an agreement in form and substance satisfactory to the Administrative Agent to provide motor vehicle title administration software and related services to the Servicer.</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Administrator Agreement</w:t>
      </w:r>
      <w:r>
        <w:rPr>
          <w:rFonts w:ascii="Times New Roman" w:cs="Times New Roman" w:eastAsia="Times New Roman" w:hAnsi="Times New Roman"/>
          <w:sz w:val="22"/>
          <w:szCs w:val="22"/>
          <w:color w:val="auto"/>
        </w:rPr>
        <w:t>” means a letter agreement from UACC to the Title Administrator, and acknowledged by the Administrative Agent, the Borrower, the Custodian and the Backup Servicer, in form and substance satisfactory to the Administrative Agent, with such changes as may be agreed to in writing by the Administrative Agent from time to time.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has the meaning ascribed to such term in the System Description.</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means a Transfer Agreement in substantially the form attached to the Purchase Agreement as Exhibit A, executed by the Borrower and UACC in connection with a transfer of Receivables and the related Collateral on any Funding Date.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Expenses</w:t>
      </w:r>
      <w:r>
        <w:rPr>
          <w:rFonts w:ascii="Times New Roman" w:cs="Times New Roman" w:eastAsia="Times New Roman" w:hAnsi="Times New Roman"/>
          <w:sz w:val="22"/>
          <w:szCs w:val="22"/>
          <w:color w:val="auto"/>
        </w:rPr>
        <w:t>” has the meaning given to such term in Section 7.15(e).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Agreement</w:t>
      </w:r>
      <w:r>
        <w:rPr>
          <w:rFonts w:ascii="Times New Roman" w:cs="Times New Roman" w:eastAsia="Times New Roman" w:hAnsi="Times New Roman"/>
          <w:sz w:val="22"/>
          <w:szCs w:val="22"/>
          <w:color w:val="auto"/>
        </w:rPr>
        <w:t>” means the Amended and Restated Trust Agreement, dated as of July 11, 2019, between UACC, as depositor, the Owner Trustee, and [***], as Certificate Registrar.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Excess Spread Percentage</w:t>
      </w:r>
      <w:r>
        <w:rPr>
          <w:rFonts w:ascii="Times New Roman" w:cs="Times New Roman" w:eastAsia="Times New Roman" w:hAnsi="Times New Roman"/>
          <w:sz w:val="22"/>
          <w:szCs w:val="22"/>
          <w:color w:val="auto"/>
        </w:rPr>
        <w:t>” means, with respect to any Payment Date and the related Collection Period, an annualized percentage equal to (i) the weighted average APR of all Eligible Receivables that constitute UACC Receivables during such Collection Period minus (ii) the sum of (a) either (1) if no Hedging Agreement is in place, the weighted average rate used to calculate Interest pursuant to Section 2.07 multiplied by the Collateral Coverage Ratio or (2) if a Hedging Agreement is in place, the lesser of such weighted average rate used to calculate Interest multiplied by the Collateral Coverage Ratio or the strike rate (or similar concept) of such Hedging Agreement and (b) the sum of (1) the Servicing Fee Rate and (2) the Unused Fee Rate, each multiplied by the Collateral Coverage Ratio, and (3) the annual rate used to calculate the compensation paid to the Backup Servicer and the Custodian (if other than UACC).</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Amounts</w:t>
      </w:r>
      <w:r>
        <w:rPr>
          <w:rFonts w:ascii="Times New Roman" w:cs="Times New Roman" w:eastAsia="Times New Roman" w:hAnsi="Times New Roman"/>
          <w:sz w:val="22"/>
          <w:szCs w:val="22"/>
          <w:color w:val="auto"/>
        </w:rPr>
        <w:t>” has the meaning given to such term in Section 10.01(b).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Indemnified Party</w:t>
      </w:r>
      <w:r>
        <w:rPr>
          <w:rFonts w:ascii="Times New Roman" w:cs="Times New Roman" w:eastAsia="Times New Roman" w:hAnsi="Times New Roman"/>
          <w:sz w:val="22"/>
          <w:szCs w:val="22"/>
          <w:color w:val="auto"/>
        </w:rPr>
        <w:t>” has the meaning given to such term in Section 10.01(b).</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Receivable</w:t>
      </w:r>
      <w:r>
        <w:rPr>
          <w:rFonts w:ascii="Times New Roman" w:cs="Times New Roman" w:eastAsia="Times New Roman" w:hAnsi="Times New Roman"/>
          <w:sz w:val="22"/>
          <w:szCs w:val="22"/>
          <w:color w:val="auto"/>
        </w:rPr>
        <w:t>” means any Receivable originated by the Originator through a network of Dealers other than the Vroom Origination Channel.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6" w:name="page467"/>
    <w:bookmarkEnd w:id="46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applicable jurisdiction.</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Servicer Termination Event</w:t>
      </w:r>
      <w:r>
        <w:rPr>
          <w:rFonts w:ascii="Times New Roman" w:cs="Times New Roman" w:eastAsia="Times New Roman" w:hAnsi="Times New Roman"/>
          <w:sz w:val="22"/>
          <w:szCs w:val="22"/>
          <w:color w:val="auto"/>
        </w:rPr>
        <w:t>” means any event that, with the giving of notice or the lapse of time, or both, would become a Servicer Termination Event.</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Termination Event</w:t>
      </w:r>
      <w:r>
        <w:rPr>
          <w:rFonts w:ascii="Times New Roman" w:cs="Times New Roman" w:eastAsia="Times New Roman" w:hAnsi="Times New Roman"/>
          <w:sz w:val="22"/>
          <w:szCs w:val="22"/>
          <w:color w:val="auto"/>
        </w:rPr>
        <w:t>” means any event that, with the giving of notice or the lapse of time, or both, would become a Termination Event.</w:t>
      </w:r>
    </w:p>
    <w:p>
      <w:pPr>
        <w:spacing w:after="0" w:line="157"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w:t>
      </w:r>
      <w:r>
        <w:rPr>
          <w:rFonts w:ascii="Times New Roman" w:cs="Times New Roman" w:eastAsia="Times New Roman" w:hAnsi="Times New Roman"/>
          <w:sz w:val="22"/>
          <w:szCs w:val="22"/>
          <w:color w:val="auto"/>
        </w:rPr>
        <w:t>” means, with respect to any Payment Date and the related Collection Period, the fee payable by the Borrower pursuant to the Fee Letter on such Payment Date in an amount equal to the product of (i) the Unused Fee Rate and (ii) the Aggregate Commitment minus the average daily Loans Outstanding during such Collection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 Rate</w:t>
      </w:r>
      <w:r>
        <w:rPr>
          <w:rFonts w:ascii="Times New Roman" w:cs="Times New Roman" w:eastAsia="Times New Roman" w:hAnsi="Times New Roman"/>
          <w:sz w:val="22"/>
          <w:szCs w:val="22"/>
          <w:color w:val="auto"/>
        </w:rPr>
        <w:t>” has the meaning set forth in the Fee Letter.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Upfront Fee</w:t>
      </w:r>
      <w:r>
        <w:rPr>
          <w:rFonts w:ascii="Times New Roman" w:cs="Times New Roman" w:eastAsia="Times New Roman" w:hAnsi="Times New Roman"/>
          <w:sz w:val="22"/>
          <w:szCs w:val="22"/>
          <w:color w:val="auto"/>
        </w:rPr>
        <w:t>” has the meaning given to such term in the Fee Letter.</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the regulations adopted to implement Section 619 of the Dodd-Frank Act.</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 Excess Spread Percentage</w:t>
      </w:r>
      <w:r>
        <w:rPr>
          <w:rFonts w:ascii="Times New Roman" w:cs="Times New Roman" w:eastAsia="Times New Roman" w:hAnsi="Times New Roman"/>
          <w:sz w:val="22"/>
          <w:szCs w:val="22"/>
          <w:color w:val="auto"/>
        </w:rPr>
        <w:t>” means, with respect to any Payment Date and the related Collection Period, an annualized percentage equal to (i) the weighted average APR of all Eligible Receivables that constitute Vroom Receivables during such Collection Period minus (ii) the sum of (a) either (1) if no Hedging Agreement is in place, the weighted average rate used to calculate Interest pursuant to Section 2.07 multiplied by the Collateral Coverage Ratio or (2) if a Hedging Agreement is in place, the lesser of such weighted average rate used to calculate Interest multiplied by the Collateral Coverage Ratio or the strike rate (or similar concept) of such Hedging Agreement and (b) the sum of (1) the Servicing Fee Rate and (2) the Unused Fee Rate, each multiplied by the Collateral Coverage Ratio, and (3) the annual rate used to calculate the compensation paid to the Backup Servicer and the Custodian (if other than UACC).</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 Origination Channel</w:t>
      </w:r>
      <w:r>
        <w:rPr>
          <w:rFonts w:ascii="Times New Roman" w:cs="Times New Roman" w:eastAsia="Times New Roman" w:hAnsi="Times New Roman"/>
          <w:sz w:val="22"/>
          <w:szCs w:val="22"/>
          <w:color w:val="auto"/>
        </w:rPr>
        <w:t>” means the network of Dealers established by Vroom Automotive, LLC.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 Receivable</w:t>
      </w:r>
      <w:r>
        <w:rPr>
          <w:rFonts w:ascii="Times New Roman" w:cs="Times New Roman" w:eastAsia="Times New Roman" w:hAnsi="Times New Roman"/>
          <w:sz w:val="22"/>
          <w:szCs w:val="22"/>
          <w:color w:val="auto"/>
        </w:rPr>
        <w:t>” means any Receivable originated by the Originator through the Vroom Origination Channel.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7" w:name="page468"/>
    <w:bookmarkEnd w:id="467"/>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Accounting Terms and Determinations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Computation of Time Periods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stated in this Agreement, in the computation of a period of time from a specified date to a later specified date, the word “from” means “from and including” and the words “to” and “until” each mean “to but excluding.”</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Interpretation</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reproducing words in a visible form; and (x) the term “proceeds” has the meaning set forth in the applicable UCC.</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ARTICLE TWO</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LOANS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Loans</w:t>
      </w:r>
    </w:p>
    <w:p>
      <w:pPr>
        <w:spacing w:after="0" w:line="205" w:lineRule="exact"/>
        <w:rPr>
          <w:sz w:val="20"/>
          <w:szCs w:val="20"/>
          <w:color w:val="auto"/>
        </w:rPr>
      </w:pPr>
    </w:p>
    <w:p>
      <w:pPr>
        <w:jc w:val="both"/>
        <w:ind w:firstLine="757"/>
        <w:spacing w:after="0" w:line="244" w:lineRule="auto"/>
        <w:tabs>
          <w:tab w:leader="none" w:pos="1180"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herein, including this Section and Article Four, the Borrower may from time to time on any Business Day during the Revolving Period, request that each Committed Lender make an advance (each, a “Loan”) in the amount of each such Committed Lender’s Lender Advance, to the Borrower on a Funding Date.</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12:00 p.m., New York City time, one Business Day prior to the proposed Funding Date, the Borrower shall notify the Administrative Agent of such proposed Funding Date and Loan by delivering to the Administrative Agent (with a copy to the Account Bank), in form and substance satisfactory to the Administrative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8" w:name="page469"/>
    <w:bookmarkEnd w:id="468"/>
    <w:p>
      <w:pPr>
        <w:jc w:val="both"/>
        <w:ind w:left="760" w:firstLine="745"/>
        <w:spacing w:after="0" w:line="237" w:lineRule="auto"/>
        <w:tabs>
          <w:tab w:leader="none" w:pos="1940"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Funding Request, which will include, among other things, the proposed Funding Date, a calculation of the Borrowing Base (calculated as of the previous Determination Date or, with respect to Receivables added to the Collateral following such Determination Date, but prior to or on such date of determination, the related Cutoff Date) and the Principal Amount of the Loan requested, which shall be in an amount at least equal to $[***] (except the Initial Loan, which shall be in a minimum amount of $[***]) or integral multiples of $[***] in excess thereof; and</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0"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updated Schedule of Receivables that includes each Receivable that is the subject of the proposed Loan (other than in the case of a Reborrowing).</w:t>
      </w:r>
    </w:p>
    <w:p>
      <w:pPr>
        <w:spacing w:after="0" w:line="157" w:lineRule="exact"/>
        <w:rPr>
          <w:rFonts w:ascii="Times New Roman" w:cs="Times New Roman" w:eastAsia="Times New Roman" w:hAnsi="Times New Roman"/>
          <w:sz w:val="22"/>
          <w:szCs w:val="22"/>
          <w:color w:val="auto"/>
        </w:rPr>
      </w:pPr>
    </w:p>
    <w:p>
      <w:pPr>
        <w:jc w:val="both"/>
        <w:ind w:right="20" w:firstLine="757"/>
        <w:spacing w:after="0" w:line="239" w:lineRule="auto"/>
        <w:tabs>
          <w:tab w:leader="none" w:pos="1180"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by the Administrative Agent of a Funding Request, and prior to the earlier to occur of the Commitment Termination Date and the Termination Date each Committed Lender severally agrees to make its Lender Advance of any Loan requested by the Borrower, in each case subject to the conditions contained herein, in an aggregate amount equal to the Loan so requested.</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w:t>
      </w:r>
    </w:p>
    <w:p>
      <w:pPr>
        <w:spacing w:after="0" w:line="205"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Committed Lender be required on any date to fund a Principal Amount that would cause its Lender Percentage of the Loans Outstanding, determined after giving effect to such funding, to exceed its Commitment;</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requested hereunder, nor shall any Lender be obligated to fund its Lender Advance of any Loan, to the extent that after giving effect to such Loan, the Loans Outstanding would exceed the Borrowing Base (calculated as of the previous Determination Date or, with respect to any Receivables added to the Collateral following such Determination Date, but prior to or on such date of determination, the related Cutoff Date);</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made during the Amortization Period or the Principal Amount of any Loan exceed the Available Amount on the related Funding Date;</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one Loan be funded on any Business Day or more than five Loans be made in any calendar</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week; or</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1"/>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funded, unless the Collateral Coverage Ratio, after taking into account the Receivables being added to the Collateral on such Funding Date, is less than or equal to the related Collateral Coverage Ratio as of the end of the most recent Collection Period, provided, however, that such Loan may be funded in an amount up to but not exceeding the Borrowing Base.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69" w:name="page470"/>
    <w:bookmarkEnd w:id="469"/>
    <w:p>
      <w:pPr>
        <w:ind w:left="760"/>
        <w:spacing w:after="0"/>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Funding Mechanics</w:t>
      </w:r>
    </w:p>
    <w:p>
      <w:pPr>
        <w:spacing w:after="0" w:line="205" w:lineRule="exact"/>
        <w:rPr>
          <w:sz w:val="20"/>
          <w:szCs w:val="20"/>
          <w:color w:val="auto"/>
        </w:rPr>
      </w:pPr>
    </w:p>
    <w:p>
      <w:pPr>
        <w:jc w:val="both"/>
        <w:ind w:firstLine="757"/>
        <w:spacing w:after="0" w:line="259" w:lineRule="auto"/>
        <w:tabs>
          <w:tab w:leader="none" w:pos="1180" w:val="left"/>
        </w:tabs>
        <w:numPr>
          <w:ilvl w:val="1"/>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Funding Request is delivered to the Administrative Agent after 12:00 p.m., New York City time, one Business Day prior to the proposed Funding Date, such Funding Request shall be deemed to be received prior to 12:00 p.m., New York City time, on the next succeeding Business Day and the proposed Funding Date of such proposed Loan shall be deemed to be the Business Day following such deemed receipt. Each Funding Request shall include a representation by the Borrower that</w:t>
      </w:r>
    </w:p>
    <w:p>
      <w:pPr>
        <w:spacing w:after="0" w:line="2" w:lineRule="exact"/>
        <w:rPr>
          <w:rFonts w:ascii="Times New Roman" w:cs="Times New Roman" w:eastAsia="Times New Roman" w:hAnsi="Times New Roman"/>
          <w:sz w:val="20"/>
          <w:szCs w:val="20"/>
          <w:color w:val="auto"/>
        </w:rPr>
      </w:pPr>
    </w:p>
    <w:p>
      <w:pPr>
        <w:jc w:val="both"/>
        <w:ind w:firstLine="8"/>
        <w:spacing w:after="0" w:line="235" w:lineRule="auto"/>
        <w:tabs>
          <w:tab w:leader="none" w:pos="259"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Loan will not, on the Funding Date, exceed the Available Amount and (ii) all conditions precedent to the making of such Loan have been (or prior to the making of such Loan on the Funding Date will be) satisfied. Any Funding Request shall be irrevocable.</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Lender Advance of a Loan shall be made available to the Administrative Agent, subject to the fulfillment of the applicable conditions set forth in Article Four, at or prior to 1:00 p.m., New York City time, on the applicable Funding Date, by deposit of immediately available funds to an account of the Administrative Agent. The Administrative Agent shall promptly notify the Borrower in the event that any Lender either fails to make such funds available to the Administrative Agent before such time or notifies the Administrative Agent that it will not make such funds available to the Administrative Agent before such time. Subject to (i) the Administrative Agent’s receipt of such funds and (ii) the fulfillment of the applicable conditions set forth in Article Four, as determined by the Administrative Agent, the Administrative Agent will not later than 3:00 p.m., New York City time, on such Funding Date make such funds available, in the same type of funds received, by wire transfer thereof to the Borrower’s Account. If any Lender makes available to the Administrative Agent funds for any Loan to be made by such Lender as provided in the foregoing provisions of this Article, and such funds are not made available to the Borrower by the Administrative Agent because the conditions to the applicable Loan set forth in Article Four are not satisfied or waived in accordance with the terms hereof, the Administrative Agent shall return such funds (in like funds as received from such Lender) to such Lender, without interest.</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Reductions of Commitments</w:t>
      </w:r>
    </w:p>
    <w:p>
      <w:pPr>
        <w:spacing w:after="0" w:line="205" w:lineRule="exact"/>
        <w:rPr>
          <w:sz w:val="20"/>
          <w:szCs w:val="20"/>
          <w:color w:val="auto"/>
        </w:rPr>
      </w:pPr>
    </w:p>
    <w:p>
      <w:pPr>
        <w:jc w:val="both"/>
        <w:ind w:firstLine="757"/>
        <w:spacing w:after="0" w:line="237" w:lineRule="auto"/>
        <w:tabs>
          <w:tab w:leader="none" w:pos="1180"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Revolving Period the Borrower may, upon at least five Business Days’ prior written notice to the Administrative Agent and each Hedge Counterparty (with a copy to the Account Bank), reduce the Facility Amount, which shall be applied, unless otherwise consented to by the Administrative Agent, pro rata to the Commitments. Each partial reduction shall be in a minimum aggregate amount of $[***] or integral multiples of $[***] in excess thereof. Reductions of the Facility Amount pursuant to this Section shall be allocated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0" w:name="page471"/>
    <w:bookmarkEnd w:id="470"/>
    <w:p>
      <w:pPr>
        <w:jc w:val="both"/>
        <w:spacing w:after="0" w:line="244" w:lineRule="auto"/>
        <w:rPr>
          <w:sz w:val="20"/>
          <w:szCs w:val="20"/>
          <w:color w:val="auto"/>
        </w:rPr>
      </w:pPr>
      <w:r>
        <w:rPr>
          <w:rFonts w:ascii="Times New Roman" w:cs="Times New Roman" w:eastAsia="Times New Roman" w:hAnsi="Times New Roman"/>
          <w:sz w:val="22"/>
          <w:szCs w:val="22"/>
          <w:color w:val="auto"/>
        </w:rPr>
        <w:t>the Commitment of each Committed Lender, pro rata based on the Lender Percentage represented by such Commitment. Any request for a reduction in the Facility Amount shall be irrevocable and the Borrower shall deliver no more than four such requests in any 12-month period.</w:t>
      </w:r>
    </w:p>
    <w:p>
      <w:pPr>
        <w:spacing w:after="0" w:line="172" w:lineRule="exact"/>
        <w:rPr>
          <w:sz w:val="20"/>
          <w:szCs w:val="20"/>
          <w:color w:val="auto"/>
        </w:rPr>
      </w:pPr>
    </w:p>
    <w:p>
      <w:pPr>
        <w:jc w:val="both"/>
        <w:ind w:firstLine="757"/>
        <w:spacing w:after="0" w:line="233" w:lineRule="auto"/>
        <w:tabs>
          <w:tab w:leader="none" w:pos="1180"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reduction of the Facility Amount, the Borrower shall remit to the Administrative Agent, (i) instructions regarding such reduction (with a copy to the Administrative Agent) and (ii) for payment to each Lender, cash in an amount sufficient to pay the Aggregate Unpaids with respect to such reduction, including any associated Breakage Costs; provided, however, that no such reduction shall be given effect unless the Borrower has complied with the terms of any Hedging Agreement requiring that any Hedge Transaction related thereto be terminated in whole or in part as a result of any such reduction in the Loans Outstanding and the Borrower has paid all Hedge Breakage Costs due to the relevant Hedge Counterparty for any such termination. Upon receipt of any such amounts, the Administrative Agent shall apply such amounts first to the pro rata reduction of the Loans Outstanding, second to the payment of the remaining Aggregate Unpaids with respect thereto, including any Breakage Costs, by paying such amounts to the Lenders pro rata, based on their respective Lender Percentages, and third to pay any Hedge Breakage Costs related to such reduction of the Loans Outstanding due to the relevant Hedge Counterparty.</w:t>
      </w:r>
    </w:p>
    <w:p>
      <w:pPr>
        <w:spacing w:after="0" w:line="184" w:lineRule="exact"/>
        <w:rPr>
          <w:rFonts w:ascii="Times New Roman" w:cs="Times New Roman" w:eastAsia="Times New Roman" w:hAnsi="Times New Roman"/>
          <w:sz w:val="22"/>
          <w:szCs w:val="22"/>
          <w:color w:val="auto"/>
        </w:rPr>
      </w:pPr>
    </w:p>
    <w:p>
      <w:pPr>
        <w:ind w:left="760" w:right="420" w:hanging="3"/>
        <w:spacing w:after="0" w:line="434" w:lineRule="auto"/>
        <w:tabs>
          <w:tab w:leader="none" w:pos="1192"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Commitment Termination Date, the Commitment of each Lender shall be automatically reduced to zero. Section 2.04. </w:t>
      </w:r>
      <w:r>
        <w:rPr>
          <w:rFonts w:ascii="Times New Roman" w:cs="Times New Roman" w:eastAsia="Times New Roman" w:hAnsi="Times New Roman"/>
          <w:sz w:val="22"/>
          <w:szCs w:val="22"/>
          <w:u w:val="single" w:color="auto"/>
          <w:color w:val="auto"/>
        </w:rPr>
        <w:t>Extensions of Commitments</w:t>
      </w:r>
    </w:p>
    <w:p>
      <w:pPr>
        <w:spacing w:after="0" w:line="2" w:lineRule="exact"/>
        <w:rPr>
          <w:sz w:val="20"/>
          <w:szCs w:val="20"/>
          <w:color w:val="auto"/>
        </w:rPr>
      </w:pPr>
    </w:p>
    <w:p>
      <w:pPr>
        <w:jc w:val="both"/>
        <w:ind w:firstLine="757"/>
        <w:spacing w:after="0" w:line="257" w:lineRule="auto"/>
        <w:tabs>
          <w:tab w:leader="none" w:pos="118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Termination Event has occurred, the Borrower may request in writing, before the Commitment Proposed Extension Date, through the Administrative Agent, that each Committed Lender extend its Commitment Termination Date for an additional 180-day period as herein provided, which request may be granted or denied by each Committed Lender in its sole discretion. Upon receipt of any such request, the Administrative Agent shall notify each Committed Lender. On or before the last day of the Election Period, each Committed Lender shall notify the Administrative Agent of its willingness or refusal to so extend its Commitment Termination Date, provided that the failure of any Committed Lender to timely respond shall be deemed to be its refusal to so extend, and the Administrative Agent shall notify the Borrower of such willingness or refusal by the Committed Lenders not later than the Business Day following the last day of the Election Period. If (i) one or more Committed Lenders have agreed to extend the Commitment Termination Date and (ii) at the end of the applicable Election Period, no Termination Event shall have occurred and be continuing, the Commitment Termination Date then in effect for each such Committed Lender shall be extended to the date which is 180 days following the last day of the Election Period or, if such day is not a Business Day, the next preceding Business Day (or any other date as agreed upon by the Borrower and each Committed Lender); provided, that if not all Committed Lenders, the Borrower may elect, by notice to the Administrative Agent, delivered not later than five Business Days after the end of the Election Period, not to have such extension become effective.</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jc w:val="both"/>
        <w:ind w:firstLine="757"/>
        <w:spacing w:after="0" w:line="244" w:lineRule="auto"/>
        <w:tabs>
          <w:tab w:leader="none" w:pos="1180"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two Business Days following the end of an Election Period, the Administrative Agent shall notify each other Lender and the Borrower of the identity of any Dissenting Lender and the amount of its Commitment. The Borrower may (but shall not be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1" w:name="page472"/>
    <w:bookmarkEnd w:id="471"/>
    <w:p>
      <w:pPr>
        <w:jc w:val="both"/>
        <w:spacing w:after="0" w:line="236" w:lineRule="auto"/>
        <w:rPr>
          <w:sz w:val="20"/>
          <w:szCs w:val="20"/>
          <w:color w:val="auto"/>
        </w:rPr>
      </w:pPr>
      <w:r>
        <w:rPr>
          <w:rFonts w:ascii="Times New Roman" w:cs="Times New Roman" w:eastAsia="Times New Roman" w:hAnsi="Times New Roman"/>
          <w:sz w:val="22"/>
          <w:szCs w:val="22"/>
          <w:color w:val="auto"/>
        </w:rPr>
        <w:t>required to) request one or more other Lenders or seek another financial institution reasonably acceptable to the Administrative Agent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Administrative Agent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spacing w:after="0" w:line="179" w:lineRule="exact"/>
        <w:rPr>
          <w:sz w:val="20"/>
          <w:szCs w:val="20"/>
          <w:color w:val="auto"/>
        </w:rPr>
      </w:pPr>
    </w:p>
    <w:p>
      <w:pPr>
        <w:jc w:val="both"/>
        <w:ind w:firstLine="757"/>
        <w:spacing w:after="0" w:line="235" w:lineRule="auto"/>
        <w:tabs>
          <w:tab w:leader="none" w:pos="11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 Termination Event, if a Partial Expiration Event has occurred, the Administrative Agent shall give notice to the Borrower and the Servicer to apply any Collections in accordance with Section 2.08(vi)(B), to the pro rata repayment of such amounts owing to any Non-Extending Lender as of the date of the related Partial Expiration Event, commencing no later than the first Payment Date which is at least two Business Days following the Commitment Termination Date for the Non-Extending Lender, specifying the amounts thereof.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The Notes</w:t>
      </w:r>
    </w:p>
    <w:p>
      <w:pPr>
        <w:spacing w:after="0" w:line="205" w:lineRule="exact"/>
        <w:rPr>
          <w:sz w:val="20"/>
          <w:szCs w:val="20"/>
          <w:color w:val="auto"/>
        </w:rPr>
      </w:pPr>
    </w:p>
    <w:p>
      <w:pPr>
        <w:jc w:val="both"/>
        <w:ind w:firstLine="757"/>
        <w:spacing w:after="0" w:line="236" w:lineRule="auto"/>
        <w:tabs>
          <w:tab w:leader="none" w:pos="118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made by the Lenders hereunder shall be evidenced by one or more duly executed promissory notes payable to the Persons specified by the Owners, in an aggregate Principal Amount of Loans Outstanding not to exceed the Aggregate Commitment, in substantially the form of Exhibit B hereto (each, a “Note” and collectively, the “Notes”). Each Note shall be dated the Closing Date and shall otherwise be duly completed. The maturity date of each Note shall be the Final Maturity Date or such later date as to which the Administrative Agent, with the consent of each Lender, shall notify the Borrower in writing.</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hereby authorized to enter notations (which may be computer generated) on a schedule attached to the Note with respect to each Lender Advance made by each Lender hereunder, regarding (i) the date and Principal Amount thereof and (ii) each payment and repayment of principal thereof and any such recordation shall constitute prima facie evidence of the accuracy of the information so recorded. The failure of the Administrative Agent to make any such notation on the schedule attached to the Note shall not limit or otherwise affect the obligation of the Borrower to repay the Loans in accordance with their respective terms as set forth herein.</w:t>
      </w:r>
    </w:p>
    <w:p>
      <w:pPr>
        <w:spacing w:after="0" w:line="179"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Facility Termination Date, the Administrative Agent shall mark each Note “Paid” and return it to the Borrower.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2" w:name="page473"/>
    <w:bookmarkEnd w:id="472"/>
    <w:p>
      <w:pPr>
        <w:ind w:left="7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Optional Principal Repayments; Interpayments</w:t>
      </w:r>
    </w:p>
    <w:p>
      <w:pPr>
        <w:spacing w:after="0" w:line="205" w:lineRule="exact"/>
        <w:rPr>
          <w:sz w:val="20"/>
          <w:szCs w:val="20"/>
          <w:color w:val="auto"/>
        </w:rPr>
      </w:pPr>
    </w:p>
    <w:p>
      <w:pPr>
        <w:jc w:val="both"/>
        <w:ind w:firstLine="757"/>
        <w:spacing w:after="0" w:line="257" w:lineRule="auto"/>
        <w:tabs>
          <w:tab w:leader="none" w:pos="1180"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Business Day prior to the occurrence of a Termination Date, the Borrower may prepay all or a portion of the Loans Outstanding, on at least two Business Days’ prior notice to the Administrative Agent and each Hedge Counterparty (with a copy to the Account Bank); provided that (i) the amount prepaid is at least $[***] or integral multiples of $[***] in excess thereof (unless otherwise agreed to in writing by the Administrative Agent); (ii) the Borrower pays to the Administrative Agent, for the account of the Secured Parties, on the date of any such prepayment (a) accrued Interest with respect to the portion of the Loans Outstanding to be prepaid through the date of prepayment, as calculated by the Administrative Agent, and (b) all other Aggregate Unpaids (including all Breakage Costs, all Hedge Breakage Costs and any other amounts payable by the Borrower under or with respect to any Hedging Agreement) payable under this Agreement through the date of such prepayment, including any fees or other amounts payable pursuant to Section 10.01; (iii) the Borrower certifies that following such prepayment, the Borrower will be in compliance with the provisions of this Agreement; (iv) no such reduction shall be given effect unless the Borrower has complied with the terms of any Hedging Agreement requiring one or more Hedge Transactions be terminated in whole or in part as a result of any such reduction; and (v) the Borrower has paid all Hedge Breakage Costs due to the relevant Hedge Counterparty for such termination. Any notice of a prepayment shall be irrevocable. The Administrative Agent shall provide prompt notice to the Lenders following receipt of any notice of intent to prepay.</w:t>
      </w:r>
    </w:p>
    <w:p>
      <w:pPr>
        <w:spacing w:after="0" w:line="200" w:lineRule="exact"/>
        <w:rPr>
          <w:rFonts w:ascii="Times New Roman" w:cs="Times New Roman" w:eastAsia="Times New Roman" w:hAnsi="Times New Roman"/>
          <w:sz w:val="20"/>
          <w:szCs w:val="20"/>
          <w:color w:val="auto"/>
        </w:rPr>
      </w:pPr>
    </w:p>
    <w:p>
      <w:pPr>
        <w:spacing w:after="0" w:line="212" w:lineRule="exact"/>
        <w:rPr>
          <w:rFonts w:ascii="Times New Roman" w:cs="Times New Roman" w:eastAsia="Times New Roman" w:hAnsi="Times New Roman"/>
          <w:sz w:val="20"/>
          <w:szCs w:val="20"/>
          <w:color w:val="auto"/>
        </w:rPr>
      </w:pPr>
    </w:p>
    <w:p>
      <w:pPr>
        <w:jc w:val="both"/>
        <w:ind w:firstLine="757"/>
        <w:spacing w:after="0" w:line="262" w:lineRule="auto"/>
        <w:tabs>
          <w:tab w:leader="none" w:pos="1180"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related prepayment date the following shall be true and correct and the Borrower shall be deemed to have certified that after giving effect to such prepayment and the release to the Borrower of the related Receivables, (A) no adverse selection procedures shall have been used by the Borrower with respect to the Receivables that will remain part of the Collateral after giving effect to such prepayment, (B) no Termination Event, Unmatured Termination Event, Servicer Termination Event or Unmatured Servicer Termination Event shall have occurred nor will any such event occur as a result of such prepayment, (C) after giving effect to such prepayment, (i) the Loans Outstanding will not exceed the Borrowing Base, (ii) no Collateral Coverage Ratio Failure shall have occurred, and (iii) no Overcollateralization Increase Event shall have occurred.</w:t>
      </w:r>
    </w:p>
    <w:p>
      <w:pPr>
        <w:spacing w:after="0" w:line="157" w:lineRule="exact"/>
        <w:rPr>
          <w:rFonts w:ascii="Times New Roman" w:cs="Times New Roman" w:eastAsia="Times New Roman" w:hAnsi="Times New Roman"/>
          <w:sz w:val="20"/>
          <w:szCs w:val="20"/>
          <w:color w:val="auto"/>
        </w:rPr>
      </w:pPr>
    </w:p>
    <w:p>
      <w:pPr>
        <w:ind w:right="20" w:firstLine="757"/>
        <w:spacing w:after="0" w:line="258" w:lineRule="auto"/>
        <w:tabs>
          <w:tab w:leader="none" w:pos="118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related prepayment date, the Borrower shall have delivered to the Administrative Agent a list specifying all Contracts relating to the Receivables to be released pursuant to such prepayment.</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the reasonable out-of-pocket legal fees and expenses of the Account Bank, the Administrative Agent and the Lenders in connection with any prepayment (including expenses incurred in connection with the release of the Lien of the Administrative Agent, the Lenders and any other party having such an interest in the Receivables in connection with such prepayment).</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2.06(a), the Borrower may, prior to the occurrence of a Termination Event, and only if approved by the Administrative Agent in its sole discretion (and with written notice to the Account Bank), subject to the payment of all amounts set forth in Section 2.06(a), prepay all or any portion of the Loans Outstanding on any Business Day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73" w:name="page474"/>
    <w:bookmarkEnd w:id="473"/>
    <w:p>
      <w:pPr>
        <w:jc w:val="both"/>
        <w:spacing w:after="0" w:line="244" w:lineRule="auto"/>
        <w:rPr>
          <w:sz w:val="20"/>
          <w:szCs w:val="20"/>
          <w:color w:val="auto"/>
        </w:rPr>
      </w:pPr>
      <w:r>
        <w:rPr>
          <w:rFonts w:ascii="Times New Roman" w:cs="Times New Roman" w:eastAsia="Times New Roman" w:hAnsi="Times New Roman"/>
          <w:sz w:val="22"/>
          <w:szCs w:val="22"/>
          <w:color w:val="auto"/>
        </w:rPr>
        <w:t>by making an Interpayment. On the Payment Date relating to the Collection Period during which an Interpayment is made, if required by the Administrative Agent, UACC shall deposit into the Collection Account an amount equal to the Monthly Accrued Interest Payment Amount.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Payments</w:t>
      </w:r>
    </w:p>
    <w:p>
      <w:pPr>
        <w:spacing w:after="0" w:line="205" w:lineRule="exact"/>
        <w:rPr>
          <w:sz w:val="20"/>
          <w:szCs w:val="20"/>
          <w:color w:val="auto"/>
        </w:rPr>
      </w:pPr>
    </w:p>
    <w:p>
      <w:pPr>
        <w:jc w:val="both"/>
        <w:ind w:firstLine="757"/>
        <w:spacing w:after="0" w:line="239" w:lineRule="auto"/>
        <w:tabs>
          <w:tab w:leader="none" w:pos="11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Interest on the unpaid Principal Amount of each Loan for the period from the related Funding Date until the date that such Loan shall be paid in full. Interest shall accrue during each Interest Period and be payable on the Loans Outstanding on each Payment Date in accordance with Section 2.08, unless earlier paid pursuant to Section 2.06 or Section 2.15.</w:t>
      </w:r>
    </w:p>
    <w:p>
      <w:pPr>
        <w:spacing w:after="0" w:line="17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Invested Percentage of the Loans Outstanding shall bear interest for each Interest Period at a rate per annum equal to (i) the Interest Rate for such Interest Period or (ii) at Lender’s discretion, the Interest Rate for each day during each Interest Period.</w:t>
      </w:r>
    </w:p>
    <w:p>
      <w:pPr>
        <w:spacing w:after="0" w:line="172"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calculated by reference to the Interest Rate shall be calculated on the basis of a 360-day year (or, in the case of Alternate Base Rate Loans, the actual number of days in such year) for the actual number of days elapsed.</w:t>
      </w:r>
    </w:p>
    <w:p>
      <w:pPr>
        <w:spacing w:after="0" w:line="157"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and Interest on the Notes shall be paid as provided herein and in the Notes. Payments in respect of principal and Interest (including pursuant to Sections 2.06 and 2.15) shall be allocated and applied to Owners of such Note based on their respective Invested Percentages, or in any such case in such other proportions as each affected Lender may agree upon in writing from time to time with the Administrative Agent and the Borrower; provided that from and after the Commitment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2.08(vi)(B) in reduction of the Partial Expiration Event Amount shall be allocated and applied to Non-Extending Lenders pro rata based on their respective Lender Percentages.</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or in any other Loan Document, the Administrative Agent will have the right to make Conforming Changes from time to time and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determination of the Interest Rate by the Administrative Agent pursuant to any provision of this Agreement shall be conclusive and binding on the Lenders and the Borrower in the absence of manifest error.</w:t>
      </w:r>
    </w:p>
    <w:p>
      <w:pPr>
        <w:spacing w:after="0" w:line="157"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74" w:name="page475"/>
    <w:bookmarkEnd w:id="474"/>
    <w:p>
      <w:pPr>
        <w:jc w:val="both"/>
        <w:spacing w:after="0" w:line="239" w:lineRule="auto"/>
        <w:rPr>
          <w:sz w:val="20"/>
          <w:szCs w:val="20"/>
          <w:color w:val="auto"/>
        </w:rPr>
      </w:pPr>
      <w:r>
        <w:rPr>
          <w:rFonts w:ascii="Times New Roman" w:cs="Times New Roman" w:eastAsia="Times New Roman" w:hAnsi="Times New Roman"/>
          <w:sz w:val="22"/>
          <w:szCs w:val="22"/>
          <w:color w:val="auto"/>
        </w:rPr>
        <w:t>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lawfully have received, had the Interest due been calculated from the Closing Date at the Maximum Lawful Rate.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Settlement Procedures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each Payment Date, the Servicer shall instruct the Account Bank to pay to the following Persons, from the Collection Account to the extent of Available Funds, the following amounts in the following order of priority, as set forth in the Monthly Report:</w:t>
      </w:r>
    </w:p>
    <w:p>
      <w:pPr>
        <w:spacing w:after="0" w:line="172" w:lineRule="exact"/>
        <w:rPr>
          <w:sz w:val="20"/>
          <w:szCs w:val="20"/>
          <w:color w:val="auto"/>
        </w:rPr>
      </w:pPr>
    </w:p>
    <w:p>
      <w:pPr>
        <w:jc w:val="both"/>
        <w:ind w:left="760" w:firstLine="745"/>
        <w:spacing w:after="0" w:line="237" w:lineRule="auto"/>
        <w:tabs>
          <w:tab w:leader="none" w:pos="194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pro rata, (A) to the extent not paid for by UACC, to the Backup Servicer, so long as the Backup Servicer has not been appointed to serve as successor to the Servicer hereunder, the accrued and unpaid Backup Servicing Fee to the Backup Servicer, its accrued and unpaid expenses and indemnities (which expenses and indemnities prior to the occurrence of a Termination Event shall not exceed $[***] per annum), and any Transition Expenses not paid for by the predecessor Servicer pursuant to Section 7.15(e), (B) to the Account Bank, an amount equal to any accrued and unpaid Account Bank Fee, together with its accrued and unpaid expenses and indemnities (which expenses and indemnities prior to the occurrence of a Termination Event shall not exceed $[***] per annum), and (C) to the extent not previously paid, to the E-Vault Provider, any unpaid fees and expenses due and owing in respect of Electronic Contracts maintained in the Warehouse Vault Partition;</w:t>
      </w:r>
    </w:p>
    <w:p>
      <w:pPr>
        <w:spacing w:after="0" w:line="180"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extent not paid for by UACC, to the Custodian (if not UACC), the accrued and unpaid Custodian Fee and any accrued and unpaid expenses and indemnities;</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0"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(A) to the Administrative Agent for the ratable payment to each Lender in an amount equal to any accrued and unpaid (1) Interest on the Loans (plus the Unused Fee), (2) Breakage Costs relating to any Loans and (3) all other Aggregate Unpaids allocable to the Loans Outstanding (other than the Principal Amount of the Loans Outstanding) then due under this Agreement to the Administrative Agent, the Lenders, the Affected Parties or the Indemnified Parties, for the payment thereof, (B) to the Hedge Counterparty, (1) any payments required under any Hedge Agreement and (2) any Hedge Breakage Costs due but not paid and (C) to the Successor Servicer, any unpaid Transition Expenses payable pursuant to Section 7.15(e), to the extent not paid pursuant to clause (ii) above;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5" w:name="page476"/>
    <w:bookmarkEnd w:id="475"/>
    <w:p>
      <w:pPr>
        <w:ind w:left="760" w:right="40" w:firstLine="745"/>
        <w:spacing w:after="0" w:line="258" w:lineRule="auto"/>
        <w:tabs>
          <w:tab w:leader="none" w:pos="194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to the Administrative Agent for the ratable payment to each Lender, in an amount equal to the Monthly Principal Payment Amount;</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if (A) the Facility Turbo Date or a Foreclosure Event has occurred, the remaining Available Funds to reduce the Loans Outstanding and all other Aggregate Unpaids to zero or (B) a Partial Expiration Event has occurred, the remaining funds to reduce pro rata the portion of the Loans Outstanding constituting the Lender Advances of any Non-Extending Lender, to zero;</w:t>
      </w:r>
    </w:p>
    <w:p>
      <w:pPr>
        <w:spacing w:after="0" w:line="178"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prior to the occurrence of the Termination Date, to the Reserve Account, the amount necessary to cause the amount on deposit therein to equal the Reserve Account Required Amount;</w:t>
      </w:r>
    </w:p>
    <w:p>
      <w:pPr>
        <w:spacing w:after="0" w:line="157"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2372"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Eighth, to the Servicer, the Owner Trustee, the Backup Servicer, the Custodian (if other than UACC), the Account Bank and any Successor Servicer, any fees, expenses and indemnities not paid pursuant to clauses (i) through (iv) above; and</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Ninth, any remaining amount shall be distributed to the Borrower.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Mandatory Payments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Borrower promises to pay to the Administrative Agent for the account of each related Lender, (i) upon the written request of the Administrative Agent, all Breakage Costs, the amount of which shall be determined by a Lender, set forth in a written notice to the Borrower and shall be conclusive absent manifest error, which amounts shall be paid in accordance with Section 2.08 and (ii) all other amounts required to be paid by the Borrower in accordance herewith.</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Payments, Computations, Etc.</w:t>
      </w:r>
    </w:p>
    <w:p>
      <w:pPr>
        <w:spacing w:after="0" w:line="205" w:lineRule="exact"/>
        <w:rPr>
          <w:sz w:val="20"/>
          <w:szCs w:val="20"/>
          <w:color w:val="auto"/>
        </w:rPr>
      </w:pPr>
    </w:p>
    <w:p>
      <w:pPr>
        <w:jc w:val="both"/>
        <w:ind w:firstLine="757"/>
        <w:spacing w:after="0" w:line="236" w:lineRule="auto"/>
        <w:tabs>
          <w:tab w:leader="none" w:pos="118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herein, all amounts to be paid or deposited by the Borrower hereunder shall be paid or deposited in accordance with the terms hereof no later than 12:00 p.m., New York, New York time, on the day when due in Dollars in immediately available funds to the depository account or accounts specified by the Administrative Agent of the Lender. Except as otherwise provided in Section 2.07, the Borrower shall, to the extent permitted by Applicable Law, pay to the Lender interest on all amounts not paid or deposited when due hereunder at the Default Rate, payable on demand; provided, however, that such interest rate shall not at any time exceed the Maximum Lawful Rate.</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12:00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6" w:name="page477"/>
    <w:bookmarkEnd w:id="476"/>
    <w:p>
      <w:pPr>
        <w:jc w:val="both"/>
        <w:ind w:firstLine="757"/>
        <w:spacing w:after="0" w:line="236" w:lineRule="auto"/>
        <w:tabs>
          <w:tab w:leader="none" w:pos="118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Loan requested by the Borrower and approved by a Lender and the Administrative Agent pursuant to Section 2.01 is not, for any reason (other than due to the gross negligence, bad faith or willful misconduct of such Lender),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all payments hereunder shall be made without set-off or counterclaim and in such amounts as may be necessary in order that all such payments shall not be less than the amounts otherwise specified to be paid under this Agreement.</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Collections and Allocations; Investment of Funds</w:t>
      </w:r>
    </w:p>
    <w:p>
      <w:pPr>
        <w:spacing w:after="0" w:line="205" w:lineRule="exact"/>
        <w:rPr>
          <w:sz w:val="20"/>
          <w:szCs w:val="20"/>
          <w:color w:val="auto"/>
        </w:rPr>
      </w:pPr>
    </w:p>
    <w:p>
      <w:pPr>
        <w:jc w:val="both"/>
        <w:ind w:firstLine="757"/>
        <w:spacing w:after="0" w:line="257" w:lineRule="auto"/>
        <w:tabs>
          <w:tab w:leader="none" w:pos="118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Local Bank Account; provided, that such payments may also be directed to and accepted by the Servicer in accordance with the Credit and Collection Policy. The Servicer shall provide the Local Bank with standing instructions to remit all cleared funds in the Local Bank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 on behalf of the Administrative Agent and the other secured parties as set forth in the Intercreditor Agreement and the Intercreditor Party Supplement, shall have exclusive access to the Post Office Boxes. The Servicer shall direct the Local Bank to remove all payments on or in respect of the Receivables from the Post Office Boxes on each Business Day and shall deposit such amounts into the Local Bank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Local Bank Account shall be performed by the Successor Servicer unless otherwise designated by the Administrative Agent in writing.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77" w:name="page478"/>
    <w:bookmarkEnd w:id="477"/>
    <w:p>
      <w:pPr>
        <w:jc w:val="both"/>
        <w:ind w:firstLine="757"/>
        <w:spacing w:after="0" w:line="239" w:lineRule="auto"/>
        <w:tabs>
          <w:tab w:leader="none" w:pos="118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and on each Funding Date, the Servicer will deposit (in immediately available funds) into the Collection Account all Collections available after the applicable Cutoff Date and through and including the Closing Date or Funding Date, as the case may be, in respect of Receivables added to the Collateral on the related date. The Servicer will deposit all Collections received into the Collection Account within two Business Days of receipt.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spacing w:after="0" w:line="172"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Payment Date (i) during the Revolving Period or following the occurrence of a Foreclosure Event, the Servicer shall direct the Account Bank, pursuant to the Monthly Report, to withdraw from the Reserve Account the Reserve Account Withdrawal Amount, if any, and deposit such amount into the Collection Account to be applied in accordance with Section 2.08 and (ii) so long as no Foreclosure Event has occurred, following the occurrence of the Termination Date, the Servicer shall direct the Account Bank, pursuant to the Monthly Report, to withdraw from the Reserve Account such portion of the Reserve Account Amount as designated by the Administrative Agent and deposit such amount into the Collection Account to be applied in accordance with Section 2.08.</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are uninvested amounts on deposit in the Collection Account and/or the Reserve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Absent such written direction, funds in the Collection Account and Reserve Account shall remain uninvested. No Permitted Investment may be purchased at a premium. Any earnings (and losses) on the foregoing investments shall be for the account of the Borrower. Each of the Borrower and the Administrative Agent acknowledges that upon its written request and at no additional cost, it has the right to receive notification after the completion of each purchase and sale of permitted investments or Account Bank’s receipt of a broker’s confirmation. Each of the Borrower and the Administrative Agent agrees that such notifications shall not be provided by the Account Bank hereunder, and the Account Bank shall make available, upon request and in lieu of notifications, periodic account statements that reflect such investment activity. No statement need be made available for any account if no activity has occurred in such account during such period.</w:t>
      </w:r>
    </w:p>
    <w:p>
      <w:pPr>
        <w:spacing w:after="0" w:line="181"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earnings on amounts in the Reserve Account shall (i) to the extent necessary, remain on deposit in the Reserve Account until the amount on deposit therein is equal to or greater than the Reserve Account Required Amount and (ii) be deposited into the Collection Account if the amount on deposit in the Reserve Account is greater than the Reserve Account Required Amount after giving effect to all withdrawals and deposits to the Reserve Account on the immediately preceding Payment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8" w:name="page479"/>
    <w:bookmarkEnd w:id="478"/>
    <w:p>
      <w:pPr>
        <w:ind w:left="760"/>
        <w:spacing w:after="0"/>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Fees</w:t>
      </w:r>
    </w:p>
    <w:p>
      <w:pPr>
        <w:spacing w:after="0" w:line="205" w:lineRule="exact"/>
        <w:rPr>
          <w:sz w:val="20"/>
          <w:szCs w:val="20"/>
          <w:color w:val="auto"/>
        </w:rPr>
      </w:pPr>
    </w:p>
    <w:p>
      <w:pPr>
        <w:jc w:val="both"/>
        <w:ind w:firstLine="757"/>
        <w:spacing w:after="0" w:line="244" w:lineRule="auto"/>
        <w:tabs>
          <w:tab w:leader="none" w:pos="11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to the Administrative Agent, for the account of the related Lenders, monthly in arrears, the Unused Fee from the Collection Account in accordance with Section 2.08. Payments of the Unused Fee shall be allocated and paid to Owners based upon their respective Invested Percentages for the applicable Interest Period.</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any Successor Servicer, the Backup Servicer, the Account Bank and the Custodian shall be entitled to receive any accrued and unpaid Servicing Fee, Backup Servicing Fee, Account Bank Fee and Custodian Fee due to them, respectively, in accordance with Section 2.08.</w:t>
      </w:r>
    </w:p>
    <w:p>
      <w:pPr>
        <w:spacing w:after="0" w:line="172"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on or before the Restatement Closing Date, any fees set forth in the Fee Letter to be paid on the Restatement Closing Date and any reasonable out-of-pocket fees and expenses (including the fees and expense of its outside counsel in connection with the preparation, negotiation and execution of this Agreement and those charged by any nationally recognized statistical rating organization in connection with reviewing the transactions contemplated by this Agreement) in immediately available funds.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Increased Costs; Capital Adequacy; Illegality; Rating Requests</w:t>
      </w:r>
    </w:p>
    <w:p>
      <w:pPr>
        <w:spacing w:after="0" w:line="205" w:lineRule="exact"/>
        <w:rPr>
          <w:sz w:val="20"/>
          <w:szCs w:val="20"/>
          <w:color w:val="auto"/>
        </w:rPr>
      </w:pPr>
    </w:p>
    <w:p>
      <w:pPr>
        <w:jc w:val="both"/>
        <w:ind w:firstLine="757"/>
        <w:spacing w:after="0" w:line="233" w:lineRule="auto"/>
        <w:tabs>
          <w:tab w:leader="none" w:pos="118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(i) the introduction of or any change (including any change by way of imposition or increase of reserve requirements) in or in the interpretation of any Applicable Law or (ii) the compliance by a Lender or any of its Affiliates (each, an “Affected Party”) with any guideline or request from any Governmental Authority (whether or not having the force of law), shall (A) subject an Affected Party to any Tax (except for Excluded Taxes and any Indemnified Taxes), duty or other charge with respect to a Loan hereunder, or on any payment made hereunder, (B) impose any cost pursuant to Section 2.13(f), (C) impose, modify or deem applicable any reserve requirement (including any reserve requirement imposed by the Federal Reserve Board, but excluding any reserve requirement, if any, included in the determination of Interest), special deposit or similar requirement against assets of, deposits with or for the amount of, or credit extended by, any Affected Party or (D) impose any other condition affecting a Loan or an Affected Party’s rights hereunder, then within 30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(i) the introduction of or any change in or in the interpretation of any law, guideline, rule, regulation, directive or request (including the Dodd-Frank Act, Basel II or Basel III) or (ii) compliance by any Affected Party with any law, guideline, rule, regulation, directive or request from any central bank or other Governmental Authority (whether or not having the force of law), including compliance by an Affected Party with any request or directive regarding capital adequacy (including the Dodd-Frank Act, Basel II or Basel III), then from time to time, within 30 days after demand by such Affected Party (which demand shall be accompanied by a statement setting forth the basis for such demand), the Borrower shall pay directly to such Affected Party such additional amount or amounts as will compensate such Affected Party for such reduction.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79" w:name="page480"/>
    <w:bookmarkEnd w:id="479"/>
    <w:p>
      <w:pPr>
        <w:ind w:left="1180" w:hanging="423"/>
        <w:spacing w:after="0"/>
        <w:tabs>
          <w:tab w:leader="none" w:pos="1180"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spacing w:after="0" w:line="172" w:lineRule="exact"/>
        <w:rPr>
          <w:rFonts w:ascii="Times New Roman" w:cs="Times New Roman" w:eastAsia="Times New Roman" w:hAnsi="Times New Roman"/>
          <w:sz w:val="22"/>
          <w:szCs w:val="22"/>
          <w:color w:val="auto"/>
        </w:rPr>
      </w:pPr>
    </w:p>
    <w:p>
      <w:pPr>
        <w:jc w:val="both"/>
        <w:ind w:firstLine="757"/>
        <w:spacing w:after="0" w:line="266" w:lineRule="auto"/>
        <w:tabs>
          <w:tab w:leader="none" w:pos="1180"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is required to pay additional amounts to or for the benefit of any Affected Party pursuant to this Section as a result of a change of Applicable Law occurring after such Affected Party first became a party to this Agreement, such Affected Party will, at the Borrower’s request, change the jurisdiction of its applicable lending office if, in the sole judgment of such Affected Party, such change (i) will eliminate or reduce any such additional payment which may thereafter accrue and (ii) will not, in the judgment of such Affected Party, be otherwise disadvantageous to it or inconsistent with its internal policies.</w:t>
      </w:r>
    </w:p>
    <w:p>
      <w:pPr>
        <w:spacing w:after="0" w:line="154"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Owner or Committed Lender has, or anticipates having, any claim for compensation under the FAS 166/167 Rules against the Borrower, and such Owner or Committed Lender believes that having the transactions contemplated by this Agreement publicly rated by a Rating Agency or qualifying under the supervisory formula approach under Basel II or Basel III would reduce the amount of such compensation by an amount deemed by such Owner or Committed Lender to be material, the Administrative Agent, on behalf of such Owner or Committed Lender shall provide a Rating Request to the Borrower and the Servicer. The Borrower and the Servicer shall cooperate with the Administrative Agent’s efforts to obtain the Required Rating from the Rating Agency specified in the Rating Request within 60 days following delivery of any Rating Request, and shall provide directly or through distribution to the Administrative Agent or Owner any information such Rating Agency may require for purposes of providing and monitoring the Required Rating. The Borrower shall pay the initial fees payable to the Rating Agency in connection with a Rating Request, and the Servicer shall pay any subsequent or ongoing fees.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Taxes</w:t>
      </w:r>
    </w:p>
    <w:p>
      <w:pPr>
        <w:spacing w:after="0" w:line="205" w:lineRule="exact"/>
        <w:rPr>
          <w:sz w:val="20"/>
          <w:szCs w:val="20"/>
          <w:color w:val="auto"/>
        </w:rPr>
      </w:pPr>
    </w:p>
    <w:p>
      <w:pPr>
        <w:jc w:val="both"/>
        <w:ind w:firstLine="757"/>
        <w:spacing w:after="0" w:line="234" w:lineRule="auto"/>
        <w:tabs>
          <w:tab w:leader="none" w:pos="1180"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If such Taxes are Indemnified Taxes, the Borrower shall increase the amount payable to each Lender or the Administrative Agent, as the case may be (such increase, the “Additional Amount”) such that every net payment made under this Agreement after deduction or withholding for or on account of any Non- Excluded Taxes (including any deduction or withholding for or on account of such Additional Amount) is not less than the amount that would have been paid had no such deduction or withholding been deducted or withheld.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0" w:name="page481"/>
    <w:bookmarkEnd w:id="480"/>
    <w:p>
      <w:pPr>
        <w:jc w:val="both"/>
        <w:ind w:firstLine="757"/>
        <w:spacing w:after="0" w:line="233" w:lineRule="auto"/>
        <w:tabs>
          <w:tab w:leader="none" w:pos="118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indemnify each Lender and the Administrative Agent for the full amount of Indemnified Taxes (including any Indemnified Taxes imposed by any jurisdiction on such Additional Amounts) paid by such Lender or the Administrative Agent or required to be withheld or deducted from a payment to such Lender or the Administrative Agent, as the case may be, and any liability (including penalties, interest and expenses) arising therefrom or with respect thereto whether or not such Indemnified Taxes were correctly or legally imposed or asserted by the relevant governmental authority; provided, however, that the Lender or Administrative Agent making a demand for indemnity payment hereunder shall provide the Borrower with a certificate from the relevant taxing authority or from a Responsible Officer of such Lender or the Administrative Agent stating or otherwise evidencing that such Lender or the Administrative Agent has made payment of such Taxes and will provide a copy of or extract from documentation, if available, furnished by such taxing authority evidencing assertion or payment of such Taxes. This indemnification shall be made within 10 days from the date a Lender or the Administrative Agent, as the case may be, makes demand therefor.</w:t>
      </w:r>
    </w:p>
    <w:p>
      <w:pPr>
        <w:spacing w:after="0" w:line="184"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and at least within 30 days after the date of any payment by the Borrower of any Taxes pursuant to this Section, the Borrower will furnish to the Administrative Agent, at its address set forth under its name on the signature pages hereof, appropriate evidence of payment thereof.</w:t>
      </w:r>
    </w:p>
    <w:p>
      <w:pPr>
        <w:spacing w:after="0" w:line="172"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0"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is a Non-U.S. Lender, such Lender shall, to the extent that it may then do so under Applicable Law, deliver to the Borrower, with a copy to the Administrative Agent and the Account Bank,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Section 2.14(d) and upon written request of the Borrower, a duly completed copy of the IRS Form W-9 (or any successor forms or other certificates or statements which may be required from time to time by the relevant U.S. taxing authorities or Applicable Law). Upon request from the Account Bank, the Borrower will provide such additional information that it may have to assist the Account Bank in making any withholdings or informational reports, if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1" w:name="page482"/>
    <w:bookmarkEnd w:id="481"/>
    <w:p>
      <w:pPr>
        <w:jc w:val="both"/>
        <w:ind w:firstLine="757"/>
        <w:spacing w:after="0" w:line="234" w:lineRule="auto"/>
        <w:tabs>
          <w:tab w:leader="none" w:pos="118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deliver to the Borrower, with a copy to the Administrative Agent and the Account Bank, at the time or times prescribed by Applicable Law and at such time or times reasonably requested by the Borrower or the Administrative Agent, such documentation prescribed by Applicable Law (including as prescribed by Code Section 1471(b)(3)(C)(i)) and such additional documentation reasonably requested by the Borrower or the Administrative Agent to comply with its obligations under FATCA), to the determine that such recipient has complied with such recipient’s obligations under FATCA, or to determine the amount to deduct and withhold from such payment. Solely for purposes of this Section 2.14(e), “FATCA” shall include any amendments made to FATCA after the date of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written request of the Borrower therefor, the Administrative Agent and the Lender, as appropriate, shall execute and deliver to the Borrower such certificates, forms or other documents which can be furnished consistent with the facts and which are reasonably necessary to assist the Borrower in applying for refunds of Taxes remitted hereunder; provided, however, that (i) the Administrative Agent and the Lender shall not be required to deliver such certificates, forms or other documents if in their respective sole discretion it is determined that the deliverance of such certificate, form or other document would have a material adverse effect on the Administrative Agent or Lender and (ii) the Borrower shall reimburse the Administrative Agent or Lender for any reasonable expenses incurred in the delivery of such certificate, form or other document.</w:t>
      </w:r>
    </w:p>
    <w:p>
      <w:pPr>
        <w:spacing w:after="0" w:line="184" w:lineRule="exact"/>
        <w:rPr>
          <w:rFonts w:ascii="Times New Roman" w:cs="Times New Roman" w:eastAsia="Times New Roman" w:hAnsi="Times New Roman"/>
          <w:sz w:val="22"/>
          <w:szCs w:val="22"/>
          <w:color w:val="auto"/>
        </w:rPr>
      </w:pPr>
    </w:p>
    <w:p>
      <w:pPr>
        <w:jc w:val="both"/>
        <w:ind w:firstLine="757"/>
        <w:spacing w:after="0" w:line="266" w:lineRule="auto"/>
        <w:tabs>
          <w:tab w:leader="none" w:pos="1180"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the Administrative Agent, by its acceptance of the Notes (and each Lender, or other Person designated by a Lender, by its acceptance of an interest in the applicable Note), agree to treat the Notes for federal, State and local income, single business and franchise tax purposes as indebtedness of the Borrower.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Securitizations.</w:t>
      </w:r>
    </w:p>
    <w:p>
      <w:pPr>
        <w:spacing w:after="0" w:line="205" w:lineRule="exact"/>
        <w:rPr>
          <w:sz w:val="20"/>
          <w:szCs w:val="20"/>
          <w:color w:val="auto"/>
        </w:rPr>
      </w:pPr>
    </w:p>
    <w:p>
      <w:pPr>
        <w:jc w:val="both"/>
        <w:ind w:firstLine="757"/>
        <w:spacing w:after="0" w:line="244" w:lineRule="auto"/>
        <w:tabs>
          <w:tab w:leader="none" w:pos="1180" w:val="left"/>
        </w:tabs>
        <w:numPr>
          <w:ilvl w:val="0"/>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the Borrower shall have the right to prepay all or (subject to clause (iv) below) a portion of the Loans Outstanding and request the Administrative Agent to release its security interest and Lien on the related Receivables (and the related Collateral) in connection with a Securitization, subject to the following terms and conditions:</w:t>
      </w:r>
    </w:p>
    <w:p>
      <w:pPr>
        <w:spacing w:after="0" w:line="172"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40"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given the Administrative Agent, each Hedge Counterparty, the Account Bank, the Backup Servicer and the Custodian at least five (5) Business Days’ prior written notice of its intent to effect a Securitization and, at least two (2) Business Days prior to the closing of the Securitization, shall provide the Administrative Agent with all information reasonably required by it to produce the related Securitization Release, substantially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2" w:name="page483"/>
    <w:bookmarkEnd w:id="482"/>
    <w:p>
      <w:pPr>
        <w:jc w:val="both"/>
        <w:ind w:left="-360" w:firstLine="745"/>
        <w:spacing w:after="0" w:line="235" w:lineRule="auto"/>
        <w:tabs>
          <w:tab w:leader="none" w:pos="82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Securitization is to be effected on a Payment Date (in which case the relevant calculations with respect to such Securitization shall be reflected on the applicable Monthly Report), the Borrower shall deliver to the Administrative Agent a Securitization Date Certificate and the Servicer shall deliver an updated data tape, together with evidence to the reasonable satisfaction of the Administrative Agent that the Borrower shall have sufficient funds on the related Securitization Date to effect such Securitization in accordance with this Agreement, which funds may come from the proceeds of sales of the Receivables in connection with such Securitization (which sales must be made in arm’s-length transactions).</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82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related Securitization Date, the following shall be true and correct and the Borrower shall be deemed to have certified that, after giving effect to the Securitization and the release to the Borrower of the related Receivables (and the other related Collateral) on the related Securitization Date, (A) no adverse selection procedure shall have been used by the Borrower with respect to the Receivables that will remain subject to this Agreement after giving effect to the Securitization (except as is necessary to comply with normal and customary eligibility criteria for asset-backed securities transactions involving retail auto loan receivables similar to the Receivables), (B) the representations and warranties contained in </w:t>
      </w:r>
      <w:r>
        <w:rPr>
          <w:rFonts w:ascii="Times New Roman" w:cs="Times New Roman" w:eastAsia="Times New Roman" w:hAnsi="Times New Roman"/>
          <w:sz w:val="22"/>
          <w:szCs w:val="22"/>
          <w:u w:val="single" w:color="auto"/>
          <w:color w:val="auto"/>
        </w:rPr>
        <w:t>Sections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are true and correct in all material respects, except to the extent relating to an earlier date, and (C) no Unmatured Termination Event, Termination Event, Servicer Termination Event or Unmatured Servicer Termination Event, has occurred or results from such Securitization.</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2" w:lineRule="auto"/>
        <w:tabs>
          <w:tab w:leader="none" w:pos="82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related Securitization Date, the Administrative Agent shall have received, for the benefit of the Secured Parties, in immediately available funds, (A) an amount equal to all unpaid Interest (including Interest not yet accrued) to the extent reasonably estimated by the Administrative Agent to be attributable to that portion of the aggregate Loans Outstanding to be paid in connection with the Securitization, (B) an aggregate amount equal to the sum of all other amounts due and owing to the Administrative Agent, the Owner Trustee, the Lenders and the Hedge Counterparties, as applicable, under this Agreement and the other Basic Documents, to the extent accrued to such date and to accrue thereafter (including any Breakage Costs and Hedge Breakage Costs) and (C) all other Aggregate Unpaids then due and payable with respect thereto. The amount paid pursuant to (1) clause (A) shall be deposited in the Collection Account to be applied as Available Funds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on the next Payment Date (or on such Payment Date, if the Securitization Date is on a Payment Date) and (2) clauses (B) and (C) shall be paid to the Persons to whom such amounts are to be owed on such Securitization Date. In the event that the Administrative Agent subsequently determines that the actual accrued and unpaid Interest attributable to that portion of the aggregate Loans Outstanding paid in connection with the Securitization is in excess of the amount of accrued and unpaid Interest estimated pursuant to the foregoing clause (A), the Borrower will remit or cause to be remitted the amount of such excess to the Administrative Agent promptly upon request.</w:t>
      </w:r>
    </w:p>
    <w:p>
      <w:pPr>
        <w:spacing w:after="0" w:line="188"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82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related Securitization Date, the Servicer shall have received, in immediately available funds, all amounts due and payable by the Borrower to the Servicer under this Agreement.</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483" w:name="page484"/>
    <w:bookmarkEnd w:id="483"/>
    <w:p>
      <w:pPr>
        <w:jc w:val="both"/>
        <w:ind w:firstLine="757"/>
        <w:spacing w:after="0" w:line="239" w:lineRule="auto"/>
        <w:tabs>
          <w:tab w:leader="none" w:pos="1180"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the reasonable legal fees, expenses and indemnities of the Administrative Agent, the Custodian, the Backup Servicer, the Account Bank, the Servicer and the Lenders in connection with any Securitization (including expenses incurred in connection with the release of the Lien of the Administrative Agent, the Lenders and any other party having such an interest in the Receivables in connection with such Securitization).</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Securitization, on the related Securitization Date, subject to satisfaction of the conditions referred to in this Section, the Administrative Agent shall, at the expense of the Borrower, (i) execute such instruments of release with respect to the portion of the Receivables (and the other related Collateral) to be released to the Borrower, including a Securitization Release, in favor of the Borrower as the Borrower may reasonably request, (ii) deliver or cause to be delivered any portion of the Receivables (and the other related Collateral) to be released to the Borrower to the Borrower and (iii) otherwise take such actions, and cause or permit the Servicer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Sharing of Payments, Etc.</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If, other than as expressly provided elsewhere herein, any Lender shall obtain on account of the Notes owned by it any payment in excess of its Invested Percentage in such payment, such Lender shall immediately (i) notify the Administrative Agent of such fact and (ii) purchase from the other Lenders such participations made by them as shall be necessary to cause such purchasing Lender to share the excess payment pro rata (based on the Lender Percentage of each Lender) with each of them; provided, however,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(a) 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The Administrative Agent will keep records (which shall be conclusive and binding in the absence of manifest error) of participations purchased under this Section.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The Account Bank</w:t>
      </w:r>
    </w:p>
    <w:p>
      <w:pPr>
        <w:spacing w:after="0" w:line="205" w:lineRule="exact"/>
        <w:rPr>
          <w:sz w:val="20"/>
          <w:szCs w:val="20"/>
          <w:color w:val="auto"/>
        </w:rPr>
      </w:pPr>
    </w:p>
    <w:p>
      <w:pPr>
        <w:jc w:val="both"/>
        <w:ind w:firstLine="757"/>
        <w:spacing w:after="0" w:line="244" w:lineRule="auto"/>
        <w:tabs>
          <w:tab w:leader="none" w:pos="1180"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appoints [***] as the initial Account Bank. All payments of amounts due and payable in respect of the Obligations that are to be made from amounts withdrawn from the Collection Account or the Reserve Account shall be made on behalf of the Borrower by the Account Bank in accordance with Section 2.08.</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compensated for its activities hereunder and the Account Control Agreement by receiving the Account Bank Fee. The Account Bank Fee shall be payable in accordance with the priorities specified in Section 2.08 or, at the option of UACC, may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4" w:name="page485"/>
    <w:bookmarkEnd w:id="484"/>
    <w:p>
      <w:pPr>
        <w:jc w:val="both"/>
        <w:spacing w:after="0" w:line="232" w:lineRule="auto"/>
        <w:rPr>
          <w:sz w:val="20"/>
          <w:szCs w:val="20"/>
          <w:color w:val="auto"/>
        </w:rPr>
      </w:pPr>
      <w:r>
        <w:rPr>
          <w:rFonts w:ascii="Times New Roman" w:cs="Times New Roman" w:eastAsia="Times New Roman" w:hAnsi="Times New Roman"/>
          <w:sz w:val="22"/>
          <w:szCs w:val="22"/>
          <w:color w:val="auto"/>
        </w:rPr>
        <w:t>be paid directly to the Account Bank by UACC. The Borrower shall indemnify the Account Bank and its officers, directors, employees and agents for, and hold them harmless against any fee, damage, loss, liability or expense incurred (including the reasonable fees and expenses of counsel and court costs, including, without limitation, those incurred in connection with any enforcement (including any action, claim, or suit brought) by the Account Bank of any indemnification or other obligation of Borrower), other than in connection with the willful misconduct, gross negligence or bad faith on the part of the Account Bank, arising out of or in connection with (i) the performance of its obligations under and in accordance with this Agreement and the Account Control Agreement, including the costs and expenses of defending itself against any claim or liability in connection with the exercise or performance of any of its powers or duties under this Agreement or the Account Control Agreement and (ii) the negligence, willful misconduct or bad faith of the Borrower in the performance of its duties hereunder or thereunder. All such amounts shall be payable in accordance with Section 2.08. The provisions of this Section shall survive the resignation or removal of any party and the termination or assignment of this Agreement. Anything in this Agreement or the Account Control Agreement to the contrary notwithstanding, in no event shall Account Bank be liable for special, indirect or consequential loss or damage of any kind whatsoever (including, but not limited to, lost profits), even if Account Bank has been advised of the likelihood of such loss or damage and regardless of the form of action.</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FOREGOING INDEMNIFICATION SHALL APPLY WHETHER OR NOT SUCH LIABILITIES AND COSTS ARE IN ANY WAY OR TO ANY EXTENT OWED, IN WHOLE OR IN PART, UNDER ANY CLAIM OR THEORY OF STRICT LIABILITY.</w:t>
      </w:r>
    </w:p>
    <w:p>
      <w:pPr>
        <w:spacing w:after="0" w:line="172" w:lineRule="exact"/>
        <w:rPr>
          <w:sz w:val="20"/>
          <w:szCs w:val="20"/>
          <w:color w:val="auto"/>
        </w:rPr>
      </w:pPr>
    </w:p>
    <w:p>
      <w:pPr>
        <w:jc w:val="both"/>
        <w:ind w:firstLine="757"/>
        <w:spacing w:after="0" w:line="236" w:lineRule="auto"/>
        <w:tabs>
          <w:tab w:leader="none" w:pos="1180"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liable in accordance herewith only to the extent of the obligations specifically undertaken by the Account Bank in such capacity herein and under the Account Control Agreement. No implied covenants or obligations shall be read into this Agreement or the Account Control Agreement against the Account Bank and, in the absence of bad faith on the part of the Account Bank, the Account Bank may conclusively rely on the truth of the statements and the correctness of the opinions expressed in any certificates or opinions furnished to the Account Bank pursuant to and conforming to the requirements of this Agreement.</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liable for:</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error of judgment made in good faith by one of its officers; or</w:t>
      </w:r>
    </w:p>
    <w:p>
      <w:pPr>
        <w:spacing w:after="0" w:line="205"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1"/>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Account Bank under this Agreement in each case unless it shall be proved that the Account Bank shall have been negligent in ascertaining the pertinent facts.</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charged with knowledge of any event or information, including any Termination Event or Unmatured Termination Event unless a Responsible Officer of the Account Bank obtains actual knowledge of such event or receives written notice of such event or information from the Borrower, the Servicer, any Secured Party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5" w:name="page486"/>
    <w:bookmarkEnd w:id="485"/>
    <w:p>
      <w:pPr>
        <w:spacing w:after="0" w:line="258" w:lineRule="auto"/>
        <w:rPr>
          <w:sz w:val="20"/>
          <w:szCs w:val="20"/>
          <w:color w:val="auto"/>
        </w:rPr>
      </w:pPr>
      <w:r>
        <w:rPr>
          <w:rFonts w:ascii="Times New Roman" w:cs="Times New Roman" w:eastAsia="Times New Roman" w:hAnsi="Times New Roman"/>
          <w:sz w:val="22"/>
          <w:szCs w:val="22"/>
          <w:color w:val="auto"/>
        </w:rPr>
        <w:t>the Administrative Agent, as the case may be, and shall have no duty to take any action to determine whether any such event has occurred.</w:t>
      </w:r>
    </w:p>
    <w:p>
      <w:pPr>
        <w:spacing w:after="0" w:line="157" w:lineRule="exact"/>
        <w:rPr>
          <w:sz w:val="20"/>
          <w:szCs w:val="20"/>
          <w:color w:val="auto"/>
        </w:rPr>
      </w:pPr>
    </w:p>
    <w:p>
      <w:pPr>
        <w:jc w:val="both"/>
        <w:ind w:firstLine="757"/>
        <w:spacing w:after="0" w:line="232" w:lineRule="auto"/>
        <w:tabs>
          <w:tab w:leader="none" w:pos="1180"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this Section, the Account Bank shall have no duty (i) to see to, or with respect to the accuracy of,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Contracts, (iv) to re-calculate or confirm or verify the contents of any reports or certificates of the Servicer (other than in its capacity as Backup Servicer in accordance with its express duties as such undertaken herein) or the Borrower or any other Person delivered to the Account Bank pursuant to this Agreement or the Account Control Agreement believed by the Account Bank to be genuine and to have been signed or presented by the proper party or parties or (v) to inspect the Financed Vehicles at any time or ascertain or inquire as to the performance or observance of any of the Borrower’s or the Servicer’s representations, warranties or covenants or the Servicer’s duties and obligations as Servicer and as custodian of books, records, files and computer records relating to the Contracts under this Agreement (in each case other than in its capacity as Backup Servicer in accordance with its express duties as such undertaken herein).</w:t>
      </w:r>
    </w:p>
    <w:p>
      <w:pPr>
        <w:spacing w:after="0" w:line="190" w:lineRule="exact"/>
        <w:rPr>
          <w:rFonts w:ascii="Times New Roman" w:cs="Times New Roman" w:eastAsia="Times New Roman" w:hAnsi="Times New Roman"/>
          <w:sz w:val="22"/>
          <w:szCs w:val="22"/>
          <w:color w:val="auto"/>
        </w:rPr>
      </w:pPr>
    </w:p>
    <w:p>
      <w:pPr>
        <w:jc w:val="both"/>
        <w:ind w:firstLine="757"/>
        <w:spacing w:after="0" w:line="264" w:lineRule="auto"/>
        <w:tabs>
          <w:tab w:leader="none" w:pos="118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Bank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Account Bank to perform, or be responsible for the manner of performance of, any of the obligations of the Servicer, the Borrower or any other Person under this Agreement (other than in its capacity as Backup Servicer in accordance with its express duties as such undertaken herein).</w:t>
      </w:r>
    </w:p>
    <w:p>
      <w:pPr>
        <w:spacing w:after="0" w:line="154" w:lineRule="exact"/>
        <w:rPr>
          <w:rFonts w:ascii="Times New Roman" w:cs="Times New Roman" w:eastAsia="Times New Roman" w:hAnsi="Times New Roman"/>
          <w:sz w:val="20"/>
          <w:szCs w:val="20"/>
          <w:color w:val="auto"/>
        </w:rPr>
      </w:pPr>
    </w:p>
    <w:p>
      <w:pPr>
        <w:jc w:val="both"/>
        <w:ind w:firstLine="757"/>
        <w:spacing w:after="0" w:line="237" w:lineRule="auto"/>
        <w:tabs>
          <w:tab w:leader="none" w:pos="1180"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 The Account Bank shall be under no duty to inquire into or investigate the validity, accuracy or content of any such document.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consult with counsel of its choice with regard to legal questions arising out of or in connection with this Agreement and the advice or opinion of such counsel shall be full and complete authorization and protection in respect of any action taken, omitted or suffered by the Account Bank in good faith in accordance therewith.</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be under no obligation to exercise any of the rights, powers or remedies vested in it by this Agreement or to undertake any discretionary action, or to institute, conduct or defend any litigation under this Agreement or in relation to this Agreement, at the request, order or direction of the Administrative Agent pursuant to the provisions of this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6" w:name="page487"/>
    <w:bookmarkEnd w:id="486"/>
    <w:p>
      <w:pPr>
        <w:jc w:val="both"/>
        <w:spacing w:after="0" w:line="244" w:lineRule="auto"/>
        <w:rPr>
          <w:sz w:val="20"/>
          <w:szCs w:val="20"/>
          <w:color w:val="auto"/>
        </w:rPr>
      </w:pPr>
      <w:r>
        <w:rPr>
          <w:rFonts w:ascii="Times New Roman" w:cs="Times New Roman" w:eastAsia="Times New Roman" w:hAnsi="Times New Roman"/>
          <w:sz w:val="22"/>
          <w:szCs w:val="22"/>
          <w:color w:val="auto"/>
        </w:rPr>
        <w:t>Agreement, unless the Administrative Agent, on behalf of the Secured Parties, or any other party hereto shall have offered to the Account Bank security or indemnity reasonably satisfactory to it against the costs, expenses and liabilities that may be incurred therein or thereby.</w:t>
      </w:r>
    </w:p>
    <w:p>
      <w:pPr>
        <w:spacing w:after="0" w:line="172" w:lineRule="exact"/>
        <w:rPr>
          <w:sz w:val="20"/>
          <w:szCs w:val="20"/>
          <w:color w:val="auto"/>
        </w:rPr>
      </w:pPr>
    </w:p>
    <w:p>
      <w:pPr>
        <w:jc w:val="both"/>
        <w:ind w:firstLine="757"/>
        <w:spacing w:after="0" w:line="234" w:lineRule="auto"/>
        <w:tabs>
          <w:tab w:leader="none" w:pos="1180"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bound to make any investigation into the facts of matters stated in any resolution, certificate, statement, instrument, opinion, report, notice, request, consent, order, approval, bond or other paper or document, unless requested in writing so to do by the Administrative Agent or another Secured Party; provided, that if the payment within a reasonable time to the Account Bank of the costs, expenses or liabilities likely to be incurred by it in the making of such investigation shall be, in the opinion of the Account Bank, not reasonably assured by the Borrower, the Account Bank may require indemnity reasonably satisfactory to it against such cost, expense or liability as a condition to so proceeding. The reasonable expense of every such examination shall be paid by the Borrower or, if paid by the Account Bank, shall be reimbursed by the Borrower pursuant to Section 2.08.</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execute any of the trusts or powers hereunder or perform any duties under this Agreement either directly or by or through agents or attorneys or a custodian. The Account Bank shall not be responsible for any misconduct or negligence of any such agent or custodian appointed with due care by it hereunder.</w:t>
      </w:r>
    </w:p>
    <w:p>
      <w:pPr>
        <w:spacing w:after="0" w:line="172"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have no duties or responsibilities except those that are specifically set forth herein and the other Basic Documents to which it is a party, and no implied covenants or obligations shall be read into this Agreement against the Account Bank. The Account Bank shall have the right to request instructions from the Administrative Agent or the Servicer with respect to any act, action or failure to act in connection with and as set forth in this Agreement, and the Account Bank shall be entitled to refrain from taking such action and continue to refrain from acting unless and until the Account Bank shall have received written instructions from the Administrative Agent or the Servicer, as applicable, without incurring any liability therefor to the Administrative Agent, the Borrower, the Servicer or any other person, and shall further be entitled to conclusively rely on any such instruction received.</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may act in reliance upon any written communication of the Administrative Agent concerning the delivery of Collateral pursuant to this Agreement. The Account Bank does not assume and shall have no responsibility for, and makes no representation as to, monitoring the value of the Contracts and other Collateral. The Account Bank shall not be liable for any action or omission to act hereunder, except for its own gross negligence, bad faith or willful misconduct.</w:t>
      </w:r>
    </w:p>
    <w:p>
      <w:pPr>
        <w:spacing w:after="0" w:line="179" w:lineRule="exact"/>
        <w:rPr>
          <w:sz w:val="20"/>
          <w:szCs w:val="20"/>
          <w:color w:val="auto"/>
        </w:rPr>
      </w:pPr>
    </w:p>
    <w:p>
      <w:pPr>
        <w:ind w:right="20" w:firstLine="749"/>
        <w:spacing w:after="0" w:line="307" w:lineRule="auto"/>
        <w:rPr>
          <w:sz w:val="20"/>
          <w:szCs w:val="20"/>
          <w:color w:val="auto"/>
        </w:rPr>
      </w:pPr>
      <w:r>
        <w:rPr>
          <w:rFonts w:ascii="Times New Roman" w:cs="Times New Roman" w:eastAsia="Times New Roman" w:hAnsi="Times New Roman"/>
          <w:sz w:val="20"/>
          <w:szCs w:val="20"/>
          <w:color w:val="auto"/>
        </w:rPr>
        <w:t>THE FOREGOING PARAGRAPH SHALL APPLY WHETHER OR NOT SUCH LIABILITIES ARE IN ANY WAY OR TO ANY EXTENT OWED, IN WHOLE OR IN PART, UNDER ANY CLAIM OR THEORY OF STRICT LIABILITY.</w:t>
      </w:r>
    </w:p>
    <w:p>
      <w:pPr>
        <w:spacing w:after="0" w:line="113" w:lineRule="exact"/>
        <w:rPr>
          <w:sz w:val="20"/>
          <w:szCs w:val="20"/>
          <w:color w:val="auto"/>
        </w:rPr>
      </w:pPr>
    </w:p>
    <w:p>
      <w:pPr>
        <w:jc w:val="both"/>
        <w:ind w:firstLine="757"/>
        <w:spacing w:after="0" w:line="239" w:lineRule="auto"/>
        <w:tabs>
          <w:tab w:leader="none" w:pos="1180"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Bank shall at any time receive conflicting instructions from the Administrative Agent and the Servicer or any other party to this Agreement and the conflict between such instructions cannot be resolved by reference to the terms of this Agreement, the Account Bank shall be entitled to rely on the instructions of the Administrative Agent. In the absence of bad faith, gross negligence or willful misconduct on the part of the Account Bank,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7" w:name="page488"/>
    <w:bookmarkEnd w:id="487"/>
    <w:p>
      <w:pPr>
        <w:jc w:val="both"/>
        <w:spacing w:after="0" w:line="234" w:lineRule="auto"/>
        <w:rPr>
          <w:sz w:val="20"/>
          <w:szCs w:val="20"/>
          <w:color w:val="auto"/>
        </w:rPr>
      </w:pPr>
      <w:r>
        <w:rPr>
          <w:rFonts w:ascii="Times New Roman" w:cs="Times New Roman" w:eastAsia="Times New Roman" w:hAnsi="Times New Roman"/>
          <w:sz w:val="22"/>
          <w:szCs w:val="22"/>
          <w:color w:val="auto"/>
        </w:rPr>
        <w:t>Account Bank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Account Bank may rely upon the validity of documents delivered to it, without investigation as to their authenticity or legal effectiveness, and the Account Bank shall not be liable to the Servicer or any other party to this Agreement in respect of any claims that may arise or be asserted against the Account Bank because of the invalidity of any such documents or their failure to fulfill their intended purpose. The Account Bank shall not be bound to ascertain or inquire as to the performance or observance of any of the terms of this Agreement or any other agreement on the part of any party, except as may otherwise be specifically set forth herein, and may assume performance thereby absent actual knowledge of, or written notice to, a Responsible Officer of the Account Bank to the contrary.</w:t>
      </w:r>
    </w:p>
    <w:p>
      <w:pPr>
        <w:spacing w:after="0" w:line="176" w:lineRule="exact"/>
        <w:rPr>
          <w:sz w:val="20"/>
          <w:szCs w:val="20"/>
          <w:color w:val="auto"/>
        </w:rPr>
      </w:pPr>
    </w:p>
    <w:p>
      <w:pPr>
        <w:jc w:val="both"/>
        <w:ind w:firstLine="757"/>
        <w:spacing w:after="0" w:line="259" w:lineRule="auto"/>
        <w:tabs>
          <w:tab w:leader="none" w:pos="1180"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Bank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Account Bank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spacing w:after="0" w:line="161" w:lineRule="exact"/>
        <w:rPr>
          <w:rFonts w:ascii="Times New Roman" w:cs="Times New Roman" w:eastAsia="Times New Roman" w:hAnsi="Times New Roman"/>
          <w:sz w:val="20"/>
          <w:szCs w:val="20"/>
          <w:color w:val="auto"/>
        </w:rPr>
      </w:pPr>
    </w:p>
    <w:p>
      <w:pPr>
        <w:jc w:val="both"/>
        <w:ind w:firstLine="757"/>
        <w:spacing w:after="0" w:line="239" w:lineRule="auto"/>
        <w:tabs>
          <w:tab w:leader="none" w:pos="118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imputed with any knowledge of, or information possessed or obtained by the Backup Servicer or any other Person, or any affiliate, line of business, or other division of [***](and vice versa). Information contained in any reports (including Monthly Reports) delivered to the Account Bank and any other publicly available information shall not constitute actual or constructive knowledge or notice.</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Account Bank acts or refrains from acting, it may require an officer’s certificate or an opinion of counsel, as applicable (at the expense of the party requesting the Account Bank act or refrain from acting). The Account Bank shall not be liable for any action it takes, suffers or omits to take in good faith in reliance on such officer’s certificate or opinion of counsel.</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Account Bank shall not be required to take any action that is not in accordance with applicable law.</w:t>
      </w:r>
    </w:p>
    <w:p>
      <w:pPr>
        <w:spacing w:after="0" w:line="157"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the Account Bank to perform any permissive or discretionary act enumerated in this Agreement or any related document shall not be construed as a duty.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88" w:name="page489"/>
    <w:bookmarkEnd w:id="488"/>
    <w:p>
      <w:pPr>
        <w:ind w:left="1180" w:hanging="423"/>
        <w:spacing w:after="0"/>
        <w:tabs>
          <w:tab w:leader="none" w:pos="118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Bank shall not be responsible for the recitals in this Agreement (which are the statements of the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w:t>
      </w:r>
    </w:p>
    <w:p>
      <w:pPr>
        <w:spacing w:after="0" w:line="181"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Account Bank be liable either directly or indirectly for losses or delays resulting from force majeure, computer malfunctions, interruption of communication facilities, labor difficulties or other causes, in each case to the extent beyond Account Bank’s reasonable control.</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benefits, protections and indemnities afforded to the Account Bank hereunder shall apply equally to the Account Bank under any other document to which it is a party and to any other capacities of [***], including as Backup Servicer, Certificate Registrar and, if applicable, as successor Custodian,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Benchmark Replacement Setting</w:t>
      </w:r>
    </w:p>
    <w:p>
      <w:pPr>
        <w:spacing w:after="0" w:line="205" w:lineRule="exact"/>
        <w:rPr>
          <w:sz w:val="20"/>
          <w:szCs w:val="20"/>
          <w:color w:val="auto"/>
        </w:rPr>
      </w:pPr>
    </w:p>
    <w:p>
      <w:pPr>
        <w:jc w:val="both"/>
        <w:ind w:firstLine="757"/>
        <w:spacing w:after="0" w:line="228" w:lineRule="auto"/>
        <w:tabs>
          <w:tab w:leader="none" w:pos="1194"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Notwithstanding anything to the contrary herein or in any other Basic Document, upon the occurrence of a Benchmark Transition Event, the Administrative Agent may amend this Agreement to replace the then-current Benchmark with a Benchmark Replacement upon satisfaction of the notice requirements in </w:t>
      </w:r>
      <w:r>
        <w:rPr>
          <w:rFonts w:ascii="Times New Roman" w:cs="Times New Roman" w:eastAsia="Times New Roman" w:hAnsi="Times New Roman"/>
          <w:sz w:val="22"/>
          <w:szCs w:val="22"/>
          <w:u w:val="single" w:color="auto"/>
          <w:color w:val="auto"/>
        </w:rPr>
        <w:t>Section 2.18(c)</w:t>
      </w:r>
      <w:r>
        <w:rPr>
          <w:rFonts w:ascii="Times New Roman" w:cs="Times New Roman" w:eastAsia="Times New Roman" w:hAnsi="Times New Roman"/>
          <w:sz w:val="22"/>
          <w:szCs w:val="22"/>
          <w:color w:val="auto"/>
        </w:rPr>
        <w:t xml:space="preserve"> below. Any such amendment with respect to a Benchmark 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2.18(a) will occur prior to the applicable Benchmark Transition Start Date.</w:t>
      </w:r>
    </w:p>
    <w:p>
      <w:pPr>
        <w:spacing w:after="0" w:line="182" w:lineRule="exact"/>
        <w:rPr>
          <w:rFonts w:ascii="Times New Roman" w:cs="Times New Roman" w:eastAsia="Times New Roman" w:hAnsi="Times New Roman"/>
          <w:sz w:val="22"/>
          <w:szCs w:val="22"/>
          <w:color w:val="auto"/>
        </w:rPr>
      </w:pPr>
    </w:p>
    <w:p>
      <w:pPr>
        <w:jc w:val="both"/>
        <w:ind w:firstLine="757"/>
        <w:spacing w:after="0" w:line="236" w:lineRule="auto"/>
        <w:tabs>
          <w:tab w:leader="none" w:pos="1261"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Basic Document, any amendments implementing such Conforming Changes will become effective without any further action or consent of any other party to this Agreement or any other Basic Document; provided, however, that any such amendments must not affect the Owner Trustee’s, the Backup Servicer’s or the Account Bank’s rights, indemnities or obligations without its consent.</w:t>
      </w:r>
    </w:p>
    <w:p>
      <w:pPr>
        <w:spacing w:after="0" w:line="179"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and the Lenders of (i) any occurrence of a Benchmark Transition Event and its related Benchmark Replacement Date,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2"/>
          <w:szCs w:val="22"/>
          <w:u w:val="single" w:color="auto"/>
          <w:color w:val="auto"/>
        </w:rPr>
        <w:t>Section 2.18(d)</w:t>
      </w:r>
      <w:r>
        <w:rPr>
          <w:rFonts w:ascii="Times New Roman" w:cs="Times New Roman" w:eastAsia="Times New Roman" w:hAnsi="Times New Roman"/>
          <w:sz w:val="22"/>
          <w:szCs w:val="22"/>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including any determination with respect to a tenor, rate or adjustment or of the occurrence or non-occurrence of an event, circumstance or date and any decision to take or refrain from taking any action or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89" w:name="page490"/>
    <w:bookmarkEnd w:id="489"/>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selection, will be conclusive and binding absent manifest error and may be made in its or their sole discretion and without consent from any other party to this Agreement or any other Basic Document, except, in each case, as expressly required pursuant to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None of the Owner Trustee, the Account Bank or the Backup Servicer shall be (i) responsible for making decisions or determinations in connection with any Benchmark Replacement or Benchmark Transition Event or (ii) have any liability for any determination, decision or election made by or on behalf of the Administrative Agent or the Borrower in connection with a Benchmark Transition Event or a Benchmark Replacement. Each Lender shall be deemed to waive and release any and all claims against the Owner Trustee, the Account Bank and the Backup Servicer relating to any such determination, decision or election by the Administrative Agent or the Borrower.</w:t>
      </w:r>
    </w:p>
    <w:p>
      <w:pPr>
        <w:spacing w:after="0" w:line="184" w:lineRule="exact"/>
        <w:rPr>
          <w:sz w:val="20"/>
          <w:szCs w:val="20"/>
          <w:color w:val="auto"/>
        </w:rPr>
      </w:pPr>
    </w:p>
    <w:p>
      <w:pPr>
        <w:jc w:val="both"/>
        <w:ind w:firstLine="757"/>
        <w:spacing w:after="0" w:line="256" w:lineRule="auto"/>
        <w:tabs>
          <w:tab w:leader="none" w:pos="1207" w:val="left"/>
        </w:tabs>
        <w:numPr>
          <w:ilvl w:val="1"/>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Basic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(ISOCO)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w:t>
      </w:r>
    </w:p>
    <w:p>
      <w:pPr>
        <w:jc w:val="both"/>
        <w:ind w:firstLine="8"/>
        <w:spacing w:after="0" w:line="232" w:lineRule="auto"/>
        <w:tabs>
          <w:tab w:leader="none" w:pos="348"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(ISOCO)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1"/>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 Representative’s receipt of notice of the commencement of a Benchmark Unavailability Period, the Borrower Representative may revoke any request for a Loan of, conversion to or continuation of any Loan to be made, converted or continued during any Benchmark Unavailability Period and, failing that, the Borrower Representative will be deemed to have converted any such request into a request for a Borrowing of or conversion to Alternate Base Rate Loans. During any Benchmark Unavailability Period, the component of Alternate Base Rate based upon the then-current Benchmark or such tenor for such Benchmark, as applicable, will not be used in any determination of Alternate Base Rate.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0" w:name="page491"/>
    <w:bookmarkEnd w:id="490"/>
    <w:p>
      <w:pPr>
        <w:ind w:left="5180"/>
        <w:spacing w:after="0"/>
        <w:rPr>
          <w:sz w:val="20"/>
          <w:szCs w:val="20"/>
          <w:color w:val="auto"/>
        </w:rPr>
      </w:pPr>
      <w:r>
        <w:rPr>
          <w:rFonts w:ascii="Times New Roman" w:cs="Times New Roman" w:eastAsia="Times New Roman" w:hAnsi="Times New Roman"/>
          <w:sz w:val="22"/>
          <w:szCs w:val="22"/>
          <w:color w:val="auto"/>
        </w:rPr>
        <w:t>ARTICLE THREE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Collateral and Back-Up Collateral</w:t>
      </w:r>
    </w:p>
    <w:p>
      <w:pPr>
        <w:spacing w:after="0" w:line="205" w:lineRule="exact"/>
        <w:rPr>
          <w:sz w:val="20"/>
          <w:szCs w:val="20"/>
          <w:color w:val="auto"/>
        </w:rPr>
      </w:pPr>
    </w:p>
    <w:p>
      <w:pPr>
        <w:jc w:val="both"/>
        <w:ind w:firstLine="757"/>
        <w:spacing w:after="0" w:line="236" w:lineRule="auto"/>
        <w:tabs>
          <w:tab w:leader="none" w:pos="1180"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“Collateral”):</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40"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and the related Contracts (including the right to service the Receivables in connection therewith) listed on the Schedule of Receivables, whether now existing or hereafter acquired, and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on or after the related Cutoff Date;</w:t>
      </w:r>
    </w:p>
    <w:p>
      <w:pPr>
        <w:spacing w:after="0" w:line="180" w:lineRule="exact"/>
        <w:rPr>
          <w:rFonts w:ascii="Times New Roman" w:cs="Times New Roman" w:eastAsia="Times New Roman" w:hAnsi="Times New Roman"/>
          <w:sz w:val="22"/>
          <w:szCs w:val="22"/>
          <w:color w:val="auto"/>
        </w:rPr>
      </w:pPr>
    </w:p>
    <w:p>
      <w:pPr>
        <w:ind w:left="760" w:firstLine="745"/>
        <w:spacing w:after="0" w:line="239" w:lineRule="auto"/>
        <w:tabs>
          <w:tab w:leader="none" w:pos="1940"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Financed Vehicles related to such Receivables (including Financed Vehicles that have been repossessed) or in any document or writing evidencing any security interest in any Financed Vehicle and each security interest in each Financed Vehicle, whether now existing or hereafter acquired, securing each such Receivable, including all proceeds from any sale or other disposition of such Financed Vehicles;</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products, accessions and proceeds of the foregoing.</w:t>
      </w:r>
    </w:p>
    <w:p>
      <w:pPr>
        <w:spacing w:after="0" w:line="205"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under this Section does not constitute and is not intended to result in a creation or an assumption by the Administrative Agent or any of the Secured Parties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neither the Administrative Agent nor any Secured Party shall have any obligations or liability under the Collateral by reason of this Agreement, nor shall the Administrative Agent or any Secured Party be obligated to perform any of the obligations or duties of the Borrower thereunder or to take any action to collect or enforce any claim for payment assigned hereunder.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1" w:name="page492"/>
    <w:bookmarkEnd w:id="491"/>
    <w:p>
      <w:pPr>
        <w:ind w:firstLine="757"/>
        <w:spacing w:after="0" w:line="258" w:lineRule="auto"/>
        <w:tabs>
          <w:tab w:leader="none" w:pos="1180"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grant of security interest, no account, instrument, chattel paper or other obligation or property of any kind due from, owned by or belonging to a Sanctioned Person shall be Collateral.</w:t>
      </w:r>
    </w:p>
    <w:p>
      <w:pPr>
        <w:spacing w:after="0" w:line="157"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Administrative Agent represents and warrants as to itself that each remittance of Collections by the Borrower to the Administrative Agent or any Lender under this Agreement will have been (i) in payment of a debt incurred by the Borrower in the ordinary course of business or financial affairs of the Borrower and the Administrative Agent or any Lender and (ii) made in the ordinary course of business or financial affairs of the Borrower and the Administrative Agent or any Lender.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Release of Collateral; No Legal Title</w:t>
      </w:r>
    </w:p>
    <w:p>
      <w:pPr>
        <w:spacing w:after="0" w:line="205" w:lineRule="exact"/>
        <w:rPr>
          <w:sz w:val="20"/>
          <w:szCs w:val="20"/>
          <w:color w:val="auto"/>
        </w:rPr>
      </w:pPr>
    </w:p>
    <w:p>
      <w:pPr>
        <w:jc w:val="both"/>
        <w:ind w:firstLine="757"/>
        <w:spacing w:after="0" w:line="233" w:lineRule="auto"/>
        <w:tabs>
          <w:tab w:leader="none" w:pos="1180"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same time as any Contract relating to a Receivable (i) expires by its terms and all amounts in respect thereof have been paid by the related Obligor and deposited in the Local Bank Account or the Collection Account or (ii) has been prepaid in full and all amounts in respect thereof have been paid by the related Obligor and deposited in the Local Bank Account and subsequently deposited into the Collection Account, the Administrative Agent will, to the extent requested by the Servicer, promptly release its interest and lien in such Contract and the related Collateral. In connection with any sale of the related Financed Vehicle on or after the occurrence of an event described in clauses (i) or (ii) above, after the deposit by the Servicer of the proceeds of such sale into the Local Bank Account and subsequent deposit within two Business Days thereafter into the Collection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Financed Vehicle in connection with such sale or transfer and assignment. Nothing in this Section shall diminish the Servicer’s obligations pursuant to Sections 7.03(c) and 7.03(d) with respect to the proceeds of any such sale.</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1"/>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 reallocation of the Receivables and related Collateral in connection with a prepayment pursuant to Section 2.06 or a Securitization pursuant to Section 2.15 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Receivables (and the other related Collateral) to be released to the Borrower, (B) 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Receivables (and the other related Collateral) to be released to the Borrower and deliver to the Borrower such Receivables and related Collateral.</w:t>
      </w:r>
    </w:p>
    <w:p>
      <w:pPr>
        <w:spacing w:after="0" w:line="176" w:lineRule="exact"/>
        <w:rPr>
          <w:rFonts w:ascii="Times New Roman" w:cs="Times New Roman" w:eastAsia="Times New Roman" w:hAnsi="Times New Roman"/>
          <w:sz w:val="22"/>
          <w:szCs w:val="22"/>
          <w:color w:val="auto"/>
        </w:rPr>
      </w:pPr>
    </w:p>
    <w:p>
      <w:pPr>
        <w:jc w:val="both"/>
        <w:ind w:firstLine="757"/>
        <w:spacing w:after="0" w:line="265" w:lineRule="auto"/>
        <w:tabs>
          <w:tab w:leader="none" w:pos="1180" w:val="left"/>
        </w:tabs>
        <w:numPr>
          <w:ilvl w:val="1"/>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(i) the Borrower shall not be permitted to remove any Contract or related Collateral from the lien of this Agreement, (ii) the Borrower shall not be permitted to sell, transfer or assign any Receivable to any party and</w:t>
      </w:r>
    </w:p>
    <w:p>
      <w:pPr>
        <w:spacing w:after="0" w:line="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2" w:name="page493"/>
    <w:bookmarkEnd w:id="492"/>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shall not release its interest in any Contract or related Collateral except in accordance with the provisions of this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of this Agreement or unless the Borrower shall have deposited an amount equal to the Release Price with respect to such Receivable into the Collection Account.</w:t>
      </w:r>
    </w:p>
    <w:p>
      <w:pPr>
        <w:spacing w:after="0" w:line="172" w:lineRule="exact"/>
        <w:rPr>
          <w:sz w:val="20"/>
          <w:szCs w:val="20"/>
          <w:color w:val="auto"/>
        </w:rPr>
      </w:pPr>
    </w:p>
    <w:p>
      <w:pPr>
        <w:jc w:val="both"/>
        <w:ind w:firstLine="757"/>
        <w:spacing w:after="0" w:line="244" w:lineRule="auto"/>
        <w:tabs>
          <w:tab w:leader="none" w:pos="1180"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Protection of Security Interest; Administrative Agent, as Attorney-in-Fact</w:t>
      </w:r>
    </w:p>
    <w:p>
      <w:pPr>
        <w:spacing w:after="0" w:line="205" w:lineRule="exact"/>
        <w:rPr>
          <w:sz w:val="20"/>
          <w:szCs w:val="20"/>
          <w:color w:val="auto"/>
        </w:rPr>
      </w:pPr>
    </w:p>
    <w:p>
      <w:pPr>
        <w:jc w:val="both"/>
        <w:ind w:firstLine="757"/>
        <w:spacing w:after="0" w:line="262" w:lineRule="auto"/>
        <w:tabs>
          <w:tab w:leader="none" w:pos="1180"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the Administrative Agent or any Secured Party as Lienholder.</w:t>
      </w:r>
    </w:p>
    <w:p>
      <w:pPr>
        <w:spacing w:after="0" w:line="157" w:lineRule="exact"/>
        <w:rPr>
          <w:rFonts w:ascii="Times New Roman" w:cs="Times New Roman" w:eastAsia="Times New Roman" w:hAnsi="Times New Roman"/>
          <w:sz w:val="20"/>
          <w:szCs w:val="20"/>
          <w:color w:val="auto"/>
        </w:rPr>
      </w:pPr>
    </w:p>
    <w:p>
      <w:pPr>
        <w:jc w:val="both"/>
        <w:ind w:firstLine="757"/>
        <w:spacing w:after="0" w:line="232" w:lineRule="auto"/>
        <w:tabs>
          <w:tab w:leader="none" w:pos="1180"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perform any of its obligations hereunder after three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Such financing statements may describe the Collateral in the same manner as described herein or may contain an indication or description of collateral that describes such property in any other manner as the Administrative Agent may determine, in its reasonable discretion, is necessary, advisable or prudent to ensure the perfection of the security interest in the Collateral granted to the Administrative Agent herein, including, without limitation, describing such property as “all assets” or “all personal property, whether now owned or hereafter acquired.” This appointment is coupled with an interest and is irrevocable.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3" w:name="page494"/>
    <w:bookmarkEnd w:id="493"/>
    <w:p>
      <w:pPr>
        <w:ind w:left="760"/>
        <w:spacing w:after="0"/>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Assignment of the Purchase Agreement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The Borrower hereby represents, warrants and confirms to the Administrative Agent that the Borrower has assigned to the Administrative Agent, for the ratable benefit of the Secured Parties hereunder, all of the Borrower’s right and title to and interest in the Purchase Agreement (including each Transfer Agreement). The Borrower confirms that the Administrative Agent shall have the sole right to enforce the Borrower’s rights and remedies under the Purchase Agreement or any Transfer Agreement for the benefit of the Secured Parties, but without any obligation on the part of the Administrative Agent, the Secured Parties or any of their respective Affiliates, to perform any of the obligations of the Borrower under the Purchase Agreement or any Transfer Agreement. The Borrower further confirms and agrees that such assignment to the Administrative Agent shall terminate upon the Facility Termination Date; provided, however, that the rights of the Administrative Agent and the Secured Parties pursuant to such assignment with respect to rights and remedies in connection with any indemnities and any breach of any representation, warranty or covenants made by UACC pursuant to the Purchase Agreement, which rights and remedies survive the termination of the Purchase Agreement, shall be continuing and shall survive any termination of such assignment.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Waiver of Certain Laws</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Each of the Borrower, the Servicer, the Backup Servicer, the Account Bank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Backup Servicer, the Account Bank and the Custodian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spacing w:after="0" w:line="1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ARTICLE FOUR</w:t>
      </w:r>
    </w:p>
    <w:p>
      <w:pPr>
        <w:spacing w:after="0" w:line="232" w:lineRule="exact"/>
        <w:rPr>
          <w:sz w:val="20"/>
          <w:szCs w:val="20"/>
          <w:color w:val="auto"/>
        </w:rPr>
      </w:pPr>
    </w:p>
    <w:p>
      <w:pPr>
        <w:ind w:left="760" w:right="3660" w:firstLine="2902"/>
        <w:spacing w:after="0" w:line="434" w:lineRule="auto"/>
        <w:rPr>
          <w:sz w:val="20"/>
          <w:szCs w:val="20"/>
          <w:color w:val="auto"/>
        </w:rPr>
      </w:pPr>
      <w:r>
        <w:rPr>
          <w:rFonts w:ascii="Times New Roman" w:cs="Times New Roman" w:eastAsia="Times New Roman" w:hAnsi="Times New Roman"/>
          <w:sz w:val="22"/>
          <w:szCs w:val="22"/>
          <w:color w:val="auto"/>
        </w:rPr>
        <w:t xml:space="preserve">CONDITIONS OF CLOSING AND LOANS Section 4.01. </w:t>
      </w:r>
      <w:r>
        <w:rPr>
          <w:rFonts w:ascii="Times New Roman" w:cs="Times New Roman" w:eastAsia="Times New Roman" w:hAnsi="Times New Roman"/>
          <w:sz w:val="22"/>
          <w:szCs w:val="22"/>
          <w:u w:val="single" w:color="auto"/>
          <w:color w:val="auto"/>
        </w:rPr>
        <w:t>Conditions to Closing and Initial Loan</w:t>
      </w:r>
    </w:p>
    <w:p>
      <w:pPr>
        <w:spacing w:after="0" w:line="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Closing Date shall not occur and no Lender shall be obligated to make any Lender Advance hereunder on the occasion of the Initial Loan, nor shall any Lender, the Administrative Agent, the Backup Servicer, the Account Bank or the Custodian be obligated to take, fulfill or perform any other action hereunder, until, in the case of (i) the Closing Date, the conditions set forth [***]:</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4" w:name="page495"/>
    <w:bookmarkEnd w:id="494"/>
    <w:p>
      <w:pPr>
        <w:ind w:left="760"/>
        <w:spacing w:after="0"/>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Conditions Precedent to All Loans</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Each request for a Loan (including the Initial Loan) by the Borrower to a Lender shall be subject to the conditions set forth in Section 4.01 and the further conditions precedent that:</w:t>
      </w:r>
    </w:p>
    <w:p>
      <w:pPr>
        <w:spacing w:after="0" w:line="157"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ARTICLE FIVE</w:t>
      </w:r>
    </w:p>
    <w:p>
      <w:pPr>
        <w:spacing w:after="0" w:line="2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Representations and Warranties of the Borrower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represents and warrants, as of the Closing Date and each Funding Date, as follows:</w:t>
      </w:r>
    </w:p>
    <w:p>
      <w:pPr>
        <w:spacing w:after="0" w:line="205" w:lineRule="exact"/>
        <w:rPr>
          <w:sz w:val="20"/>
          <w:szCs w:val="20"/>
          <w:color w:val="auto"/>
        </w:rPr>
      </w:pPr>
    </w:p>
    <w:p>
      <w:pPr>
        <w:jc w:val="both"/>
        <w:ind w:firstLine="757"/>
        <w:spacing w:after="0" w:line="239" w:lineRule="auto"/>
        <w:tabs>
          <w:tab w:leader="none" w:pos="1180"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Borrower is duly qualified to do business and is in good standing as a Delaware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 and the other Collateral).</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Borrower (i) has all necessary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7"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5" w:name="page496"/>
    <w:bookmarkEnd w:id="495"/>
    <w:p>
      <w:pPr>
        <w:jc w:val="both"/>
        <w:ind w:firstLine="757"/>
        <w:spacing w:after="0" w:line="239" w:lineRule="auto"/>
        <w:tabs>
          <w:tab w:leader="none" w:pos="1207"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licenses or other actions of any Person or of any Governmental Authority required for the due execution, delivery and performance by the Borrower of the Borrower Basic Documents have been obtained.</w:t>
      </w:r>
    </w:p>
    <w:p>
      <w:pPr>
        <w:spacing w:after="0" w:line="172"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Sales</w:t>
      </w:r>
      <w:r>
        <w:rPr>
          <w:rFonts w:ascii="Times New Roman" w:cs="Times New Roman" w:eastAsia="Times New Roman" w:hAnsi="Times New Roman"/>
          <w:sz w:val="22"/>
          <w:szCs w:val="22"/>
          <w:color w:val="auto"/>
        </w:rPr>
        <w:t>. The execution, delivery and performance of this Agreement do not require compliance with any “bulk sales” act or similar law by the Borrower.</w:t>
      </w:r>
    </w:p>
    <w:p>
      <w:pPr>
        <w:spacing w:after="0" w:line="157" w:lineRule="exact"/>
        <w:rPr>
          <w:rFonts w:ascii="Times New Roman" w:cs="Times New Roman" w:eastAsia="Times New Roman" w:hAnsi="Times New Roman"/>
          <w:sz w:val="22"/>
          <w:szCs w:val="22"/>
          <w:color w:val="auto"/>
        </w:rPr>
      </w:pPr>
    </w:p>
    <w:p>
      <w:pPr>
        <w:ind w:right="20" w:firstLine="757"/>
        <w:spacing w:after="0" w:line="258" w:lineRule="auto"/>
        <w:tabs>
          <w:tab w:leader="none" w:pos="1221"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contemplated by the Borrower Basic Documents do not and will not render the Borrower not Solvent.</w:t>
      </w:r>
    </w:p>
    <w:p>
      <w:pPr>
        <w:spacing w:after="0" w:line="157"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Procedures</w:t>
      </w:r>
      <w:r>
        <w:rPr>
          <w:rFonts w:ascii="Times New Roman" w:cs="Times New Roman" w:eastAsia="Times New Roman" w:hAnsi="Times New Roman"/>
          <w:sz w:val="22"/>
          <w:szCs w:val="22"/>
          <w:color w:val="auto"/>
        </w:rPr>
        <w:t>. No procedures that could reasonably be expected to be adverse to the interests of the Lenders were utilized by the Borrower in identifying and/or selecting Receivables when compared to Contracts owned by the Originator or any Subsidiary thereof in connection with Other Warehouse Agreements (if any) designed to fund the acquisition of assets similar to the Receivables, in each case taking into consideration the applicable eligibility criteria and concentration limits. In addition, each Receivable shall have been (i) (a) underwritten by UACC in accordance with the Credit and Collection Policy in effect at the time of origination of such Receivable, and (b) if such Receivable was originated on or after the Closing Date, underwritten in accordance with the Credit and Collection Policy in effect at the time of origination but without giving effect to any amendment, supplement or modification thereto implemented in contravention of the requirements of Sections 6.01(h), 6.02(l) or 6.04(h), and (ii) serviced in accordance with the Credit and Collection Policy as in effect on the Closing Date, as such Credit and Collection Policy has been amended, supplemented or otherwise modified after the Closing Date, but without giving effect to any such amendment, supplement or modification implemented in contravention of the requirements of Sections 6.01(h), 6.02(l) or 6.04(h).</w:t>
      </w:r>
    </w:p>
    <w:p>
      <w:pPr>
        <w:spacing w:after="0" w:line="181"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has filed or caused to be filed all Tax returns that are required to be filed by it. The Borrower has paid or made adequate provisions for the payment of all Taxes imposed on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no claim is being asserted, with respect to any such Tax, fee or other charge.</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 Regulations T, U and X</w:t>
      </w:r>
      <w:r>
        <w:rPr>
          <w:rFonts w:ascii="Times New Roman" w:cs="Times New Roman" w:eastAsia="Times New Roman" w:hAnsi="Times New Roman"/>
          <w:sz w:val="22"/>
          <w:szCs w:val="22"/>
          <w:color w:val="auto"/>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the Loans will be used to carry or purchase, any “Margin Stock” within the meaning of Regulation U or to extend “Purchase Credit” within the meaning of Regulation U.</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6" w:name="page497"/>
    <w:bookmarkEnd w:id="496"/>
    <w:p>
      <w:pPr>
        <w:jc w:val="both"/>
        <w:ind w:firstLine="757"/>
        <w:spacing w:after="0" w:line="235" w:lineRule="auto"/>
        <w:tabs>
          <w:tab w:leader="none" w:pos="118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Quality of Title</w:t>
      </w:r>
      <w:r>
        <w:rPr>
          <w:rFonts w:ascii="Times New Roman" w:cs="Times New Roman" w:eastAsia="Times New Roman" w:hAnsi="Times New Roman"/>
          <w:sz w:val="22"/>
          <w:szCs w:val="22"/>
          <w:color w:val="auto"/>
        </w:rPr>
        <w:t>. Each Receivable, together with the Contract related thereto that is part of the Collateral,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207"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control, in the case of that portion of the Collateral which constitutes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w:t>
      </w:r>
    </w:p>
    <w:p>
      <w:pPr>
        <w:spacing w:after="0" w:line="184" w:lineRule="exact"/>
        <w:rPr>
          <w:rFonts w:ascii="Times New Roman" w:cs="Times New Roman" w:eastAsia="Times New Roman" w:hAnsi="Times New Roman"/>
          <w:sz w:val="22"/>
          <w:szCs w:val="22"/>
          <w:color w:val="auto"/>
        </w:rPr>
      </w:pPr>
    </w:p>
    <w:p>
      <w:pPr>
        <w:jc w:val="both"/>
        <w:ind w:firstLine="757"/>
        <w:spacing w:after="0" w:line="237" w:lineRule="auto"/>
        <w:tabs>
          <w:tab w:leader="none" w:pos="1194"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Administrative Agent, the Account Bank, the Backup Servicer and any Secured Party in connection with this Agreement are true, complete and correct in all material respects.</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Offices</w:t>
      </w:r>
      <w:r>
        <w:rPr>
          <w:rFonts w:ascii="Times New Roman" w:cs="Times New Roman" w:eastAsia="Times New Roman" w:hAnsi="Times New Roman"/>
          <w:sz w:val="22"/>
          <w:szCs w:val="22"/>
          <w:color w:val="auto"/>
        </w:rPr>
        <w:t>. The Borrower’s location (within the meaning of Article 9 of the UCC) is the State of Delaware. The principal place of business and chief executive office of the Borrower and the office where the Borrower keeps all the Records are located at the address of the Borrower referred to in Section 14.02 and has been so for the last four months (or at such other locations as to which the notice and other requirements specified in Section 6.02(f) shall have been satisfied).</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 Local Bank Account; Collection Account</w:t>
      </w:r>
      <w:r>
        <w:rPr>
          <w:rFonts w:ascii="Times New Roman" w:cs="Times New Roman" w:eastAsia="Times New Roman" w:hAnsi="Times New Roman"/>
          <w:sz w:val="22"/>
          <w:szCs w:val="22"/>
          <w:color w:val="auto"/>
        </w:rPr>
        <w:t>. The Borrower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497" w:name="page498"/>
    <w:bookmarkEnd w:id="497"/>
    <w:p>
      <w:pPr>
        <w:ind w:firstLine="757"/>
        <w:spacing w:after="0" w:line="258" w:lineRule="auto"/>
        <w:tabs>
          <w:tab w:leader="none" w:pos="1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Tradenames</w:t>
      </w:r>
      <w:r>
        <w:rPr>
          <w:rFonts w:ascii="Times New Roman" w:cs="Times New Roman" w:eastAsia="Times New Roman" w:hAnsi="Times New Roman"/>
          <w:sz w:val="22"/>
          <w:szCs w:val="22"/>
          <w:color w:val="auto"/>
        </w:rPr>
        <w:t>. The Borrower has no trade names, fictitious names, assumed names or “doing business as” names or other names under which it has done or is doing business.</w:t>
      </w:r>
    </w:p>
    <w:p>
      <w:pPr>
        <w:spacing w:after="0" w:line="157"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The Purchase Agreement is the only agreement pursuant to which the Borrower purchases Receivables and the related Contracts.</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Given</w:t>
      </w:r>
      <w:r>
        <w:rPr>
          <w:rFonts w:ascii="Times New Roman" w:cs="Times New Roman" w:eastAsia="Times New Roman" w:hAnsi="Times New Roman"/>
          <w:sz w:val="22"/>
          <w:szCs w:val="22"/>
          <w:color w:val="auto"/>
        </w:rPr>
        <w:t>. The Borrower shall have given reasonably equivalent value to UACC in consideration for the transfer to the Borrower of the Receivables and the related Collateral under the Purchase Agreement, no such transfer shall have been made for or on account of an antecedent debt owed by UACC to the Borrower and no such transfer is or may be voidable or subject to avoidance under any section of the Bankruptcy Code.</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The Borrower accounts for the transfers to it from UACC of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is in compliance with Section 6.02(n).</w:t>
      </w:r>
    </w:p>
    <w:p>
      <w:pPr>
        <w:spacing w:after="0" w:line="205"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Filings</w:t>
      </w:r>
      <w:r>
        <w:rPr>
          <w:rFonts w:ascii="Times New Roman" w:cs="Times New Roman" w:eastAsia="Times New Roman" w:hAnsi="Times New Roman"/>
          <w:sz w:val="22"/>
          <w:szCs w:val="22"/>
          <w:color w:val="auto"/>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spacing w:after="0" w:line="179" w:lineRule="exact"/>
        <w:rPr>
          <w:rFonts w:ascii="Times New Roman" w:cs="Times New Roman" w:eastAsia="Times New Roman" w:hAnsi="Times New Roman"/>
          <w:sz w:val="22"/>
          <w:szCs w:val="22"/>
          <w:color w:val="auto"/>
        </w:rPr>
      </w:pPr>
    </w:p>
    <w:p>
      <w:pPr>
        <w:jc w:val="both"/>
        <w:ind w:firstLine="757"/>
        <w:spacing w:after="0" w:line="237" w:lineRule="auto"/>
        <w:tabs>
          <w:tab w:leader="none" w:pos="1194"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Borrower is not an “investment company” within the meaning of the Investment Company Act and is not required to register as an “investment company” under the Investment Company Act. In reaching this conclusion, the Borrower relied on the exemption from the definition of “investment company” contained in Section 3(c)(5)(A) of the Investment Company Act, although other exclusions or exemptions may apply. The Borrower is not a “covered fund” for purposes of the Volcker Rule.</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221"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has no current or former employees. Neither the Borrower nor any ERISA Affiliate sponsors, contributes to or is required to contribute to any Pension Plan or any Multiemployer Plan.</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w:t>
      </w:r>
      <w:r>
        <w:rPr>
          <w:rFonts w:ascii="Times New Roman" w:cs="Times New Roman" w:eastAsia="Times New Roman" w:hAnsi="Times New Roman"/>
          <w:sz w:val="22"/>
          <w:szCs w:val="22"/>
          <w:color w:val="auto"/>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spacing w:after="0" w:line="172" w:lineRule="exact"/>
        <w:rPr>
          <w:rFonts w:ascii="Times New Roman" w:cs="Times New Roman" w:eastAsia="Times New Roman" w:hAnsi="Times New Roman"/>
          <w:sz w:val="22"/>
          <w:szCs w:val="22"/>
          <w:color w:val="auto"/>
        </w:rPr>
      </w:pPr>
    </w:p>
    <w:p>
      <w:pPr>
        <w:jc w:val="both"/>
        <w:ind w:firstLine="757"/>
        <w:spacing w:after="0" w:line="280" w:lineRule="auto"/>
        <w:tabs>
          <w:tab w:leader="none" w:pos="1180"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in Purchase Agreement</w:t>
      </w:r>
      <w:r>
        <w:rPr>
          <w:rFonts w:ascii="Times New Roman" w:cs="Times New Roman" w:eastAsia="Times New Roman" w:hAnsi="Times New Roman"/>
          <w:sz w:val="20"/>
          <w:szCs w:val="20"/>
          <w:color w:val="auto"/>
        </w:rPr>
        <w:t>. The representations and warranties made by the Borrower to UACC in the Purchase Agreement are hereby remade by the Borrower on each date to which they speak in the Purchase Agreement, as if such representations and warranties were set forth herein. For purposes of this Section, such representations and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98" w:name="page499"/>
    <w:bookmarkEnd w:id="498"/>
    <w:p>
      <w:pPr>
        <w:spacing w:after="0" w:line="258" w:lineRule="auto"/>
        <w:rPr>
          <w:sz w:val="20"/>
          <w:szCs w:val="20"/>
          <w:color w:val="auto"/>
        </w:rPr>
      </w:pPr>
      <w:r>
        <w:rPr>
          <w:rFonts w:ascii="Times New Roman" w:cs="Times New Roman" w:eastAsia="Times New Roman" w:hAnsi="Times New Roman"/>
          <w:sz w:val="22"/>
          <w:szCs w:val="22"/>
          <w:color w:val="auto"/>
        </w:rPr>
        <w:t>warranties are incorporated herein by reference as if made by the Borrower to the Administrative Agent and to each of the Secured Parties under the terms hereof mutatis mutandis.</w:t>
      </w:r>
    </w:p>
    <w:p>
      <w:pPr>
        <w:spacing w:after="0" w:line="157" w:lineRule="exact"/>
        <w:rPr>
          <w:sz w:val="20"/>
          <w:szCs w:val="20"/>
          <w:color w:val="auto"/>
        </w:rPr>
      </w:pPr>
    </w:p>
    <w:p>
      <w:pPr>
        <w:jc w:val="both"/>
        <w:ind w:firstLine="757"/>
        <w:spacing w:after="0" w:line="234" w:lineRule="auto"/>
        <w:tabs>
          <w:tab w:leader="none" w:pos="118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(i) The operations of the Borrower and its Subsidiaries and Affiliates are and have been conducted at all times in compliance with applicable Sanctions; (ii) none of the Borrower, its Affiliates or Subsidiaries, or any directors, officers, employees, agents or representatives thereof, or any Person or representative that will act in any capacity in connection with or benefit from the facility established hereby, is a Sanctioned Person or is in violation of Sanctions; (iii) none of the Borrower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Sanctions by any Person participating in the transactions contemplated by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(i) The operations of the Borrower and its Subsidiaries and Affiliates are and have been conducted at all times in compliance with applicable anti-corruption laws; (ii) none of the Borrower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Borrower,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spacing w:after="0" w:line="181" w:lineRule="exact"/>
        <w:rPr>
          <w:sz w:val="20"/>
          <w:szCs w:val="20"/>
          <w:color w:val="auto"/>
        </w:rPr>
      </w:pPr>
    </w:p>
    <w:p>
      <w:pPr>
        <w:ind w:left="760" w:right="860"/>
        <w:spacing w:after="0" w:line="478"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Representations and Warranties of the Borrower Relating to this Agreement and the Receivables</w:t>
      </w:r>
      <w:r>
        <w:rPr>
          <w:rFonts w:ascii="Times New Roman" w:cs="Times New Roman" w:eastAsia="Times New Roman" w:hAnsi="Times New Roman"/>
          <w:sz w:val="20"/>
          <w:szCs w:val="20"/>
          <w:color w:val="auto"/>
        </w:rPr>
        <w:t xml:space="preserve"> The Borrower represents and warrants, as of the Closing Date and as of each Funding Date, as follows:</w:t>
      </w:r>
    </w:p>
    <w:p>
      <w:pPr>
        <w:spacing w:after="0" w:line="1" w:lineRule="exact"/>
        <w:rPr>
          <w:sz w:val="20"/>
          <w:szCs w:val="20"/>
          <w:color w:val="auto"/>
        </w:rPr>
      </w:pPr>
    </w:p>
    <w:p>
      <w:pPr>
        <w:jc w:val="both"/>
        <w:ind w:firstLine="757"/>
        <w:spacing w:after="0" w:line="239" w:lineRule="auto"/>
        <w:tabs>
          <w:tab w:leader="none" w:pos="1221"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This Agreement constitutes a grant of a security interest in all Collateral to the Administrative Agent which upon the filing of financing statements in the applicable jurisdictions and, in the case of Subsequent Receivables in connection with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499" w:name="page500"/>
    <w:bookmarkEnd w:id="499"/>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applicable Subsequent Loan, shall be a first priority perfected security interest in all Collateral, subject only to Permitted Liens. Neither the Borrower nor any Person claiming through or under the Borrower shall have any claim to or interest in any Account Collateral and, if this Agreement constitutes the grant of a security interest in such property, except for the interest of the Borrower in such property. The representations and warranties contained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are true and correct in all material respects.</w:t>
      </w:r>
    </w:p>
    <w:p>
      <w:pPr>
        <w:spacing w:after="0" w:line="180" w:lineRule="exact"/>
        <w:rPr>
          <w:sz w:val="20"/>
          <w:szCs w:val="20"/>
          <w:color w:val="auto"/>
        </w:rPr>
      </w:pPr>
    </w:p>
    <w:p>
      <w:pPr>
        <w:ind w:left="1180" w:hanging="423"/>
        <w:spacing w:after="0"/>
        <w:tabs>
          <w:tab w:leader="none" w:pos="1180"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Receivables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(A) Schedule C and the information contained in the Funding Request delivered pursuant to Section 2.01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2" w:lineRule="auto"/>
        <w:tabs>
          <w:tab w:leader="none" w:pos="1940" w:val="left"/>
        </w:tabs>
        <w:numPr>
          <w:ilvl w:val="1"/>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Funding Date other than the Funding Date on which the Initial Loan is made, the Borrower shall be deemed to represent and warrant that (A) Schedule C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have been duly obtained, effected or given and are in full force and effect and (E) the representations and warranties set forth in Section 5.02 are true and correct with respect to each Subsequent Receivable pledged on such day as if made on such day.</w:t>
      </w:r>
    </w:p>
    <w:p>
      <w:pPr>
        <w:spacing w:after="0" w:line="19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94" w:val="left"/>
        </w:tabs>
        <w:numPr>
          <w:ilvl w:val="0"/>
          <w:numId w:val="4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Contracts</w:t>
      </w:r>
      <w:r>
        <w:rPr>
          <w:rFonts w:ascii="Times New Roman" w:cs="Times New Roman" w:eastAsia="Times New Roman" w:hAnsi="Times New Roman"/>
          <w:sz w:val="22"/>
          <w:szCs w:val="22"/>
          <w:color w:val="auto"/>
        </w:rPr>
        <w:t>. Each E-Vault Access Agreement provides the Custodian a right to use the E-Vault System and exclusive access to the Warehouse Vault Partition (except to the extent otherwise expressly set forth herein or in the Electronic Collateral Control Agreement) and the terms thereof are sufficient to permit the Custodian to perform its duties and obligations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00" w:name="page501"/>
    <w:bookmarkEnd w:id="500"/>
    <w:p>
      <w:pPr>
        <w:spacing w:after="0" w:line="258" w:lineRule="auto"/>
        <w:rPr>
          <w:sz w:val="20"/>
          <w:szCs w:val="20"/>
          <w:color w:val="auto"/>
        </w:rPr>
      </w:pPr>
      <w:r>
        <w:rPr>
          <w:rFonts w:ascii="Times New Roman" w:cs="Times New Roman" w:eastAsia="Times New Roman" w:hAnsi="Times New Roman"/>
          <w:sz w:val="22"/>
          <w:szCs w:val="22"/>
          <w:color w:val="auto"/>
        </w:rPr>
        <w:t>hereunder and under each Electronic Collateral Control Agreement. Prior to the Facility Termination Date, the Borrower will not have any right of access to the Warehouse Vault Partition under the E-Vault Access Agreement or otherwise.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Representations and Warranties of the Servicer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Servicer represents and warrants, as of the Closing Date and as of each Funding Date, as follows:</w:t>
      </w:r>
    </w:p>
    <w:p>
      <w:pPr>
        <w:spacing w:after="0" w:line="205" w:lineRule="exact"/>
        <w:rPr>
          <w:sz w:val="20"/>
          <w:szCs w:val="20"/>
          <w:color w:val="auto"/>
        </w:rPr>
      </w:pPr>
    </w:p>
    <w:p>
      <w:pPr>
        <w:jc w:val="both"/>
        <w:ind w:firstLine="757"/>
        <w:spacing w:after="0" w:line="239" w:lineRule="auto"/>
        <w:tabs>
          <w:tab w:leader="none" w:pos="1180"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Servicer is duly qualified to do business and is in good standing as a corporation, and has obtained all necessary licenses and approvals in all jurisdictions in which the ownership or lease of its property and or the conduct of its business, including the origination and servicing of the Receivables, requires such qualification, licenses or approvals.</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Servicer (i) has all necessary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spacing w:after="0" w:line="172"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spacing w:after="0" w:line="178"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7"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757"/>
        <w:spacing w:after="0" w:line="237" w:lineRule="auto"/>
        <w:tabs>
          <w:tab w:leader="none" w:pos="1207"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w:t>
      </w:r>
    </w:p>
    <w:p>
      <w:pPr>
        <w:spacing w:after="0" w:line="2" w:lineRule="exact"/>
        <w:rPr>
          <w:rFonts w:ascii="Times New Roman" w:cs="Times New Roman" w:eastAsia="Times New Roman" w:hAnsi="Times New Roman"/>
          <w:sz w:val="22"/>
          <w:szCs w:val="22"/>
          <w:color w:val="auto"/>
        </w:rPr>
      </w:pPr>
    </w:p>
    <w:p>
      <w:pPr>
        <w:ind w:firstLine="8"/>
        <w:spacing w:after="0" w:line="237" w:lineRule="auto"/>
        <w:tabs>
          <w:tab w:leader="none" w:pos="386" w:val="left"/>
        </w:tabs>
        <w:numPr>
          <w:ilvl w:val="0"/>
          <w:numId w:val="4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challenging the enforceability of a material portion of the Receivables or (iv) seeking any determination or ruling that could reasonably be expected to have Material Adverse Effect.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01" w:name="page502"/>
    <w:bookmarkEnd w:id="501"/>
    <w:p>
      <w:pPr>
        <w:jc w:val="both"/>
        <w:ind w:firstLine="757"/>
        <w:spacing w:after="0" w:line="244" w:lineRule="auto"/>
        <w:tabs>
          <w:tab w:leader="none" w:pos="1194"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or other actions of any Person or of any Governmental Authority (if any) required for the due execution, delivery and performance by the Servicer of the Servicer Basic Documents have been obtained.</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information, exhibits, financial statements, documents, books, records or reports furnished or to be furnished by the Servicer to the Administrative Agent, the Account Bank, the Backup Servicer or any Secured Party in connection with this Agreement are accurate, true and correct in all material respects.</w:t>
      </w:r>
    </w:p>
    <w:p>
      <w:pPr>
        <w:spacing w:after="0" w:line="172"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Servicer’s Performance</w:t>
      </w:r>
      <w:r>
        <w:rPr>
          <w:rFonts w:ascii="Times New Roman" w:cs="Times New Roman" w:eastAsia="Times New Roman" w:hAnsi="Times New Roman"/>
          <w:sz w:val="22"/>
          <w:szCs w:val="22"/>
          <w:color w:val="auto"/>
        </w:rPr>
        <w:t>. The Servicer has the knowledge, the experience and the systems, financial and operational capacity available to timely perform each of its obligations hereunder.</w:t>
      </w:r>
    </w:p>
    <w:p>
      <w:pPr>
        <w:spacing w:after="0" w:line="157"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Credit and Collection Policy</w:t>
      </w:r>
      <w:r>
        <w:rPr>
          <w:rFonts w:ascii="Times New Roman" w:cs="Times New Roman" w:eastAsia="Times New Roman" w:hAnsi="Times New Roman"/>
          <w:sz w:val="22"/>
          <w:szCs w:val="22"/>
          <w:color w:val="auto"/>
        </w:rPr>
        <w:t>. The Servicer has, with respect to the Receivables, complied in all material respects with the Credit and Collection Policy.</w:t>
      </w:r>
    </w:p>
    <w:p>
      <w:pPr>
        <w:spacing w:after="0" w:line="157"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 Collection Account</w:t>
      </w:r>
      <w:r>
        <w:rPr>
          <w:rFonts w:ascii="Times New Roman" w:cs="Times New Roman" w:eastAsia="Times New Roman" w:hAnsi="Times New Roman"/>
          <w:sz w:val="22"/>
          <w:szCs w:val="22"/>
          <w:color w:val="auto"/>
        </w:rPr>
        <w:t>. The Servicer has not granted any Person dominion or control of (i) any Post Office Box or the Local Bank Account other than in accordance with the terms of the Intercreditor Agreement and the Intercreditor Party Supplement or (ii) the Collection Account other than the Administrative Agent. The Local Bank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Local Bank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80" w:lineRule="exact"/>
        <w:rPr>
          <w:rFonts w:ascii="Times New Roman" w:cs="Times New Roman" w:eastAsia="Times New Roman" w:hAnsi="Times New Roman"/>
          <w:sz w:val="22"/>
          <w:szCs w:val="22"/>
          <w:color w:val="auto"/>
        </w:rPr>
      </w:pPr>
    </w:p>
    <w:p>
      <w:pPr>
        <w:ind w:left="1220" w:hanging="463"/>
        <w:spacing w:after="0"/>
        <w:tabs>
          <w:tab w:leader="none" w:pos="1220"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contemplated by the Basic Documents do not and will not render the Servicer not</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Solvent.</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has filed or caused to be filed all U.S. federal and state income and all other material Tax returns that are required to be filed by it. The Servicer has paid or made adequate provisions for the payment of all material Taxes imposed on it or any of its property (other than any amount of Tax the validity of which is currently being contested in good faith by appropriate proceedings and with respect to which reserves in accordance with GAAP have been provided on the books of the Servicer), and no Tax lien (other than a Permitted Lien) has been filed and no claim is being asserted, with respect to any such Tax, fee or other charge.</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(i) The operation of the Servicer and its Subsidiaries and Affiliates are and have been conducted at all times in compliance with applicable Sanctions; (ii) none of the Servicer, its Affiliates or Subsidiaries or any directors, officers, employees, agents or representatives thereof, or any Person or representative that will act in any capacity in connection with or benefit from the facility established hereby, is a Sanctioned Person or is in violation of any Sanctions; (iii) none of the Servicer or any of its Subsidiaries or Affiliates will, directly or indirectly use the proceeds of the Loans or the proceeds of any other transaction contemplated by this Agreement or lend, contribute or otherwise make available such proceeds to any Subsidiary,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02" w:name="page503"/>
    <w:bookmarkEnd w:id="502"/>
    <w:p>
      <w:pPr>
        <w:jc w:val="both"/>
        <w:spacing w:after="0" w:line="244" w:lineRule="auto"/>
        <w:rPr>
          <w:sz w:val="20"/>
          <w:szCs w:val="20"/>
          <w:color w:val="auto"/>
        </w:rPr>
      </w:pPr>
      <w:r>
        <w:rPr>
          <w:rFonts w:ascii="Times New Roman" w:cs="Times New Roman" w:eastAsia="Times New Roman" w:hAnsi="Times New Roman"/>
          <w:sz w:val="22"/>
          <w:szCs w:val="22"/>
          <w:color w:val="auto"/>
        </w:rPr>
        <w:t>Affiliate, joint venture partner or other Person (A) to fund or facilitate any activities or business of or with any Sanctioned Person; (B) to fund or facilitate any activities of or business in any Sanctioned Country or (C) in any manner that would result in violation of any Sanctions by any Person participating in the transactions contemplated by this Agreement.</w:t>
      </w:r>
    </w:p>
    <w:p>
      <w:pPr>
        <w:spacing w:after="0" w:line="172" w:lineRule="exact"/>
        <w:rPr>
          <w:sz w:val="20"/>
          <w:szCs w:val="20"/>
          <w:color w:val="auto"/>
        </w:rPr>
      </w:pPr>
    </w:p>
    <w:p>
      <w:pPr>
        <w:jc w:val="both"/>
        <w:ind w:firstLine="757"/>
        <w:spacing w:after="0" w:line="233" w:lineRule="auto"/>
        <w:tabs>
          <w:tab w:leader="none" w:pos="1180"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(i) The operations of the Servicer and its Subsidiaries and Affiliates are and have been conducted at all times in compliance with applicable anti-corruption laws; (ii) none of the Servicer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Servicer,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7"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Representations</w:t>
      </w:r>
      <w:r>
        <w:rPr>
          <w:rFonts w:ascii="Times New Roman" w:cs="Times New Roman" w:eastAsia="Times New Roman" w:hAnsi="Times New Roman"/>
          <w:sz w:val="22"/>
          <w:szCs w:val="22"/>
          <w:color w:val="auto"/>
        </w:rPr>
        <w:t>. None of the Servicer or its ERISA Affiliates is a Benefit Plan Investor. None of the Servicer or its ERISA Affiliates sponsors, contributes to, has any obligation to contribute to, or has any liability with respect to any Pension Plan or Multiemployer Plan. No event has occurred or is expected to occur that might result, directly or indirectly, in any Lien pursuant to Section 4068 of ERISA being imposed on the property of the Servicer or its ERISA Affiliates.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Retransfer of Certain Receivables</w:t>
      </w:r>
    </w:p>
    <w:p>
      <w:pPr>
        <w:spacing w:after="0" w:line="205" w:lineRule="exact"/>
        <w:rPr>
          <w:sz w:val="20"/>
          <w:szCs w:val="20"/>
          <w:color w:val="auto"/>
        </w:rPr>
      </w:pPr>
    </w:p>
    <w:p>
      <w:pPr>
        <w:jc w:val="both"/>
        <w:ind w:firstLine="757"/>
        <w:spacing w:after="0" w:line="233" w:lineRule="auto"/>
        <w:tabs>
          <w:tab w:leader="none" w:pos="1207"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Rights under Purchase Agreement</w:t>
      </w:r>
      <w:r>
        <w:rPr>
          <w:rFonts w:ascii="Times New Roman" w:cs="Times New Roman" w:eastAsia="Times New Roman" w:hAnsi="Times New Roman"/>
          <w:sz w:val="22"/>
          <w:szCs w:val="22"/>
          <w:color w:val="auto"/>
        </w:rPr>
        <w:t>. The Borrower shall exercise its rights under Section 7.2 of the Purchase Agreement to require the Seller to repurchase any Receivable as to which an event described in such Section has occurred in accordance with the terms of the Purchase Agreement. Upon receipt of the Release Price in the Collection Account for any Receivable repurchased pursuant to Section 7.2 of the Purchase Agreement as provided therein, the Administrative Agent shall automatically and without further action be deemed to transfer, assign and set-over to the Borrower, without recourse, representation or warranty, all the right, title and interest of the Administrative Agent in, to and under such Receivable all future monies due or to become due with respect thereto, all proceeds of such Receivable and Recoveries relating thereto, all rights to security for any such Receivable, and all proceeds and products of the foregoing; provided, however, that no such release shall be given effect unless Borrower has complied with the terms of any Hedging Agreement requiring that any Hedge Transaction related thereto be terminated in whole or in part and the Borrower has paid all Hedge Breakage Costs due to the related Hedge Counterparty with respect to such termination. The Administrative Agent shall, at the sole expense of the Servicer, execute such documents and instruments of release as may be prepared by the Servicer on behalf of the Borrower and take other such actions as shall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22"/>
          <w:szCs w:val="22"/>
          <w:color w:val="auto"/>
        </w:rPr>
        <w:t>reasonably be requested by the Borrower to effect the release of such Receivable pursuant to this subsection.</w:t>
      </w:r>
    </w:p>
    <w:p>
      <w:pPr>
        <w:spacing w:after="0" w:line="205" w:lineRule="exact"/>
        <w:rPr>
          <w:sz w:val="20"/>
          <w:szCs w:val="20"/>
          <w:color w:val="auto"/>
        </w:rPr>
      </w:pPr>
    </w:p>
    <w:p>
      <w:pPr>
        <w:jc w:val="both"/>
        <w:ind w:firstLine="757"/>
        <w:spacing w:after="0" w:line="235" w:lineRule="auto"/>
        <w:tabs>
          <w:tab w:leader="none" w:pos="1194"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Retransfer of Receivables for Breach of Servicing Covenant</w:t>
      </w:r>
      <w:r>
        <w:rPr>
          <w:rFonts w:ascii="Times New Roman" w:cs="Times New Roman" w:eastAsia="Times New Roman" w:hAnsi="Times New Roman"/>
          <w:sz w:val="22"/>
          <w:szCs w:val="22"/>
          <w:color w:val="auto"/>
        </w:rPr>
        <w:t>. In the event that the Servicer breaches a servicing covenant pursuant to Section 7.03(c)(i) or (c)(ii), no later than the earlier of (i) knowledge by the Servicer of such event or (ii) receipt by the Servicer from the Administrative Agent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the Collection Account in immediately available funds, and the Borrower shall accept the release of such Receivable(s).</w:t>
      </w:r>
    </w:p>
    <w:p>
      <w:pPr>
        <w:spacing w:after="0" w:line="180" w:lineRule="exact"/>
        <w:rPr>
          <w:rFonts w:ascii="Times New Roman" w:cs="Times New Roman" w:eastAsia="Times New Roman" w:hAnsi="Times New Roman"/>
          <w:sz w:val="22"/>
          <w:szCs w:val="22"/>
          <w:color w:val="auto"/>
        </w:rPr>
      </w:pPr>
    </w:p>
    <w:p>
      <w:pPr>
        <w:jc w:val="both"/>
        <w:ind w:firstLine="757"/>
        <w:spacing w:after="0" w:line="264" w:lineRule="auto"/>
        <w:tabs>
          <w:tab w:leader="none" w:pos="1180"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Release</w:t>
      </w:r>
      <w:r>
        <w:rPr>
          <w:rFonts w:ascii="Times New Roman" w:cs="Times New Roman" w:eastAsia="Times New Roman" w:hAnsi="Times New Roman"/>
          <w:sz w:val="20"/>
          <w:szCs w:val="20"/>
          <w:color w:val="auto"/>
        </w:rPr>
        <w:t>. The Borrower or the Servicer, as applicable, shall provide written notice to the Administrative Agent and each Hedge Counterparty of any release of Receivables pursuant to Sections 5.04(a) or (b) prior to 12:00 p.m., New York, New York time, five Business Days prior to the related Release Date, and such notice shall include a calculation of the Borrowing Base after giving effect to such release, as well as representations and warranties by the Borrower that no Termination Event, Unmatured Termination Event, Servicer Termination Event or Unmatured Servicer Termination Event has occurred, that the Borrowing Base calculation included with such notice is accurate and that any required Hedging Agreements are in full effect.</w:t>
      </w:r>
    </w:p>
    <w:p>
      <w:pPr>
        <w:spacing w:after="0" w:line="154" w:lineRule="exact"/>
        <w:rPr>
          <w:rFonts w:ascii="Times New Roman" w:cs="Times New Roman" w:eastAsia="Times New Roman" w:hAnsi="Times New Roman"/>
          <w:sz w:val="20"/>
          <w:szCs w:val="20"/>
          <w:color w:val="auto"/>
        </w:rPr>
      </w:pPr>
    </w:p>
    <w:p>
      <w:pPr>
        <w:jc w:val="both"/>
        <w:ind w:firstLine="757"/>
        <w:spacing w:after="0" w:line="239" w:lineRule="auto"/>
        <w:tabs>
          <w:tab w:leader="none" w:pos="1180"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Repurchases and Retransfer</w:t>
      </w:r>
      <w:r>
        <w:rPr>
          <w:rFonts w:ascii="Times New Roman" w:cs="Times New Roman" w:eastAsia="Times New Roman" w:hAnsi="Times New Roman"/>
          <w:sz w:val="22"/>
          <w:szCs w:val="22"/>
          <w:color w:val="auto"/>
        </w:rPr>
        <w:t>. Notwithstanding anything to the contrary set forth herein, neither the Borrower nor the Servicer shall repurchase or retransfer any Receivables, either individually or in a series of transactions, which is designed for the purpose of impacting the calculation of the “Annualized Default Ratio”, the “Annualized Net Loss Ratio”, the “Delinquency Ratio” or the “Extension Ratio”.</w:t>
      </w:r>
    </w:p>
    <w:p>
      <w:pPr>
        <w:spacing w:after="0" w:line="179" w:lineRule="exact"/>
        <w:rPr>
          <w:sz w:val="20"/>
          <w:szCs w:val="20"/>
          <w:color w:val="auto"/>
        </w:rPr>
      </w:pPr>
    </w:p>
    <w:p>
      <w:pPr>
        <w:ind w:left="760" w:right="4420"/>
        <w:spacing w:after="0" w:line="434"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Representations and Warranties of the Backup Servicer</w:t>
      </w:r>
      <w:r>
        <w:rPr>
          <w:rFonts w:ascii="Times New Roman" w:cs="Times New Roman" w:eastAsia="Times New Roman" w:hAnsi="Times New Roman"/>
          <w:sz w:val="22"/>
          <w:szCs w:val="22"/>
          <w:color w:val="auto"/>
        </w:rPr>
        <w:t xml:space="preserve"> The Backup Servicer represents and warrants as follows:</w:t>
      </w:r>
    </w:p>
    <w:p>
      <w:pPr>
        <w:spacing w:after="0" w:line="2" w:lineRule="exact"/>
        <w:rPr>
          <w:sz w:val="20"/>
          <w:szCs w:val="20"/>
          <w:color w:val="auto"/>
        </w:rPr>
      </w:pPr>
    </w:p>
    <w:p>
      <w:pPr>
        <w:jc w:val="both"/>
        <w:ind w:firstLine="757"/>
        <w:spacing w:after="0" w:line="239" w:lineRule="auto"/>
        <w:tabs>
          <w:tab w:leader="none" w:pos="1207"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Backup Servicer has been duly organized, and is validly existing as a national banking association and in good standing under the laws of the United States, with all requisite power and authority to own or lease its properties and to conduct its business as such business is presently conducted and to enter into and perform its obligations pursuant to this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Backup Servicer (i) has all necessary power, authority and legal right to (A) execute and deliver this Agreement and (B) carry out the terms of this Agreement and (ii) has duly authorized by all necessary action on its part the execution, delivery and performance of this Agreement.</w:t>
      </w:r>
    </w:p>
    <w:p>
      <w:pPr>
        <w:spacing w:after="0" w:line="172" w:lineRule="exact"/>
        <w:rPr>
          <w:rFonts w:ascii="Times New Roman" w:cs="Times New Roman" w:eastAsia="Times New Roman" w:hAnsi="Times New Roman"/>
          <w:sz w:val="22"/>
          <w:szCs w:val="22"/>
          <w:color w:val="auto"/>
        </w:rPr>
      </w:pPr>
    </w:p>
    <w:p>
      <w:pPr>
        <w:ind w:firstLine="757"/>
        <w:spacing w:after="0" w:line="258" w:lineRule="auto"/>
        <w:tabs>
          <w:tab w:leader="none" w:pos="1207"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This Agreement constitutes a legal, valid and binding obligation of the Backup Servicer enforceable against the Backup Servicer in accordance with its terms.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04" w:name="page505"/>
    <w:bookmarkEnd w:id="504"/>
    <w:p>
      <w:pPr>
        <w:jc w:val="both"/>
        <w:ind w:firstLine="757"/>
        <w:spacing w:after="0" w:line="236" w:lineRule="auto"/>
        <w:tabs>
          <w:tab w:leader="none" w:pos="1194"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consummation of the transactions contemplated by this Agreement and the fulfillment of the terms hereof will not (i) conflict with, result in any breach of any of the terms and provisions of, or constitute (with or without notice or lapse of time or both) a default under, the Backup Servicer’s organizational documents or any Contractual Obligation of the Backup Servicer, (ii) result in the creation or imposition of any Lien upon any of the Backup Servicer’s properties pursuant to the terms of any such organizational documents or Contractual Obligation, other than this Agreement, or (iii) violate any Applicable Law.</w:t>
      </w:r>
    </w:p>
    <w:p>
      <w:pPr>
        <w:spacing w:after="0" w:line="179"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Backup Servicer, threatened against the Backup Servicer, before any Governmental Authority (i) asserting the invalidity of this Agreement, (ii) seeking to prevent the consummation of any of the transactions contemplated by this Agreement, (iii) challenging the enforceability of a material portion of the Receivables or (iv) seeking any determination or ruling that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or other actions of any Person or of any Governmental Authority (if any) required for the due execution, delivery and performance by the Backup Servicer of this Agreement have been obtained.</w:t>
      </w:r>
    </w:p>
    <w:p>
      <w:pPr>
        <w:spacing w:after="0" w:line="17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ARTICLE SIX</w:t>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COVENANTS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Affirmative Covenants of the Borrower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Except as otherwise provided herein, from the date hereof until the Facility Termination Date:</w:t>
      </w:r>
    </w:p>
    <w:p>
      <w:pPr>
        <w:spacing w:after="0" w:line="205" w:lineRule="exact"/>
        <w:rPr>
          <w:sz w:val="20"/>
          <w:szCs w:val="20"/>
          <w:color w:val="auto"/>
        </w:rPr>
      </w:pPr>
    </w:p>
    <w:p>
      <w:pPr>
        <w:ind w:right="20" w:firstLine="757"/>
        <w:spacing w:after="0" w:line="258" w:lineRule="auto"/>
        <w:tabs>
          <w:tab w:leader="none" w:pos="1194"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comply in all material respects with all Applicable Laws, including those with respect to the Receivables and related Financed Vehicles.</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Borrower will preserve and maintain its existence, rights, franchises and privileges in the State of Delaware, and qualify and remain qualified in good standing as a foreign statutory trust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7"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Contracts</w:t>
      </w:r>
      <w:r>
        <w:rPr>
          <w:rFonts w:ascii="Times New Roman" w:cs="Times New Roman" w:eastAsia="Times New Roman" w:hAnsi="Times New Roman"/>
          <w:sz w:val="22"/>
          <w:szCs w:val="22"/>
          <w:color w:val="auto"/>
        </w:rPr>
        <w:t>. The Borrower will, at its expense, timely and fully perform and comply in all material respects (or cause UACC to perform and comply pursuant to the Purchase Agreement and all Transfer Agreements) with all provisions, covenants and other promises required to be observed by it under the Contracts and all other agreements related to such Contracts.</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94"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To the extent not maintained and implemented by the Servicer, the Borrower will maintain and implement administrative and operating procedures (including an ability to recreate records evidencing Receivables in the event of the destruction of the originals thereof (in the case of Tangible Contracts) or loss of data or system failure or loss of access to the E-Vault System or the Contracts constituting or evidencing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05" w:name="page506"/>
    <w:bookmarkEnd w:id="505"/>
    <w:p>
      <w:pPr>
        <w:spacing w:after="0" w:line="258" w:lineRule="auto"/>
        <w:rPr>
          <w:sz w:val="20"/>
          <w:szCs w:val="20"/>
          <w:color w:val="auto"/>
        </w:rPr>
      </w:pPr>
      <w:r>
        <w:rPr>
          <w:rFonts w:ascii="Times New Roman" w:cs="Times New Roman" w:eastAsia="Times New Roman" w:hAnsi="Times New Roman"/>
          <w:sz w:val="22"/>
          <w:szCs w:val="22"/>
          <w:color w:val="auto"/>
        </w:rPr>
        <w:t>Receivables maintained therein (in the case of Electronic Contracts)), and keep and maintain all documents, books, records and other information reasonably necessary or advisable for the collection of all Receivables.</w:t>
      </w:r>
    </w:p>
    <w:p>
      <w:pPr>
        <w:spacing w:after="0" w:line="157" w:lineRule="exact"/>
        <w:rPr>
          <w:sz w:val="20"/>
          <w:szCs w:val="20"/>
          <w:color w:val="auto"/>
        </w:rPr>
      </w:pPr>
    </w:p>
    <w:p>
      <w:pPr>
        <w:jc w:val="both"/>
        <w:ind w:firstLine="757"/>
        <w:spacing w:after="0" w:line="234" w:lineRule="auto"/>
        <w:tabs>
          <w:tab w:leader="none" w:pos="1180"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Assets</w:t>
      </w:r>
      <w:r>
        <w:rPr>
          <w:rFonts w:ascii="Times New Roman" w:cs="Times New Roman" w:eastAsia="Times New Roman" w:hAnsi="Times New Roman"/>
          <w:sz w:val="22"/>
          <w:szCs w:val="22"/>
          <w:color w:val="auto"/>
        </w:rPr>
        <w:t>.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Collections</w:t>
      </w:r>
      <w:r>
        <w:rPr>
          <w:rFonts w:ascii="Times New Roman" w:cs="Times New Roman" w:eastAsia="Times New Roman" w:hAnsi="Times New Roman"/>
          <w:sz w:val="22"/>
          <w:szCs w:val="22"/>
          <w:color w:val="auto"/>
        </w:rPr>
        <w:t>. The Borrower will deliver to the Servicer for further remittance to the Local Bank Account promptly (but in no event later than one Business Day after receipt) all Collections received by Borrower in respect of the Receivables.</w:t>
      </w:r>
    </w:p>
    <w:p>
      <w:pPr>
        <w:spacing w:after="0" w:line="172"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Corporate Existence</w:t>
      </w:r>
      <w:r>
        <w:rPr>
          <w:rFonts w:ascii="Times New Roman" w:cs="Times New Roman" w:eastAsia="Times New Roman" w:hAnsi="Times New Roman"/>
          <w:sz w:val="22"/>
          <w:szCs w:val="22"/>
          <w:color w:val="auto"/>
        </w:rPr>
        <w:t>. The Borrower shall be in compliance with the special purpose entity requirements set forth in Section 6.02(n).</w:t>
      </w:r>
    </w:p>
    <w:p>
      <w:pPr>
        <w:spacing w:after="0" w:line="15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7"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 The Borrower will provide the Administrative Agent, the Account Bank and the Backup Servicer with written notice immediately following the earlier of (i) actual knowledge by the Borrower and (ii) receipt by the Borrower from the Servicer of written notice (which notice the Servicer shall be required to give promptly upon knowledge) of the occurrence of each Termination Event, Servicer Termination Event, Unmatured Termination Event and Unmatured Servicer Termination Event and, no later than three Business Days following the occurrence thereof, the Borrower will provide to the Administrative Agent an Officer’s Certificate setting forth the details of such event and the action that the Borrower proposes to take with respect thereto.</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261"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will file and pay any and all Taxes, including those required to meet the obligations of the Basic Documents that are due and payable, not being contested in good faith and fully reserved for in accordance with GAAP.</w:t>
      </w:r>
    </w:p>
    <w:p>
      <w:pPr>
        <w:spacing w:after="0" w:line="157" w:lineRule="exact"/>
        <w:rPr>
          <w:rFonts w:ascii="Times New Roman" w:cs="Times New Roman" w:eastAsia="Times New Roman" w:hAnsi="Times New Roman"/>
          <w:sz w:val="22"/>
          <w:szCs w:val="22"/>
          <w:color w:val="auto"/>
        </w:rPr>
      </w:pPr>
    </w:p>
    <w:p>
      <w:pPr>
        <w:ind w:firstLine="757"/>
        <w:spacing w:after="0" w:line="258" w:lineRule="auto"/>
        <w:tabs>
          <w:tab w:leader="none" w:pos="1221"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Borrower will use the Principal Amounts only to acquire Receivables pursuant to the Purchase Agreement.</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06" w:name="page507"/>
    <w:bookmarkEnd w:id="506"/>
    <w:p>
      <w:pPr>
        <w:ind w:left="423" w:hanging="423"/>
        <w:spacing w:after="0"/>
        <w:tabs>
          <w:tab w:leader="none" w:pos="423" w:val="left"/>
        </w:tabs>
        <w:numPr>
          <w:ilvl w:val="0"/>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The Borrower will furnish or cause to be furnished to the Administrative Agent:</w:t>
      </w:r>
    </w:p>
    <w:p>
      <w:pPr>
        <w:spacing w:after="0" w:line="205" w:lineRule="exact"/>
        <w:rPr>
          <w:rFonts w:ascii="Times New Roman" w:cs="Times New Roman" w:eastAsia="Times New Roman" w:hAnsi="Times New Roman"/>
          <w:sz w:val="22"/>
          <w:szCs w:val="22"/>
          <w:color w:val="auto"/>
        </w:rPr>
      </w:pPr>
    </w:p>
    <w:p>
      <w:pPr>
        <w:ind w:left="3" w:firstLine="745"/>
        <w:spacing w:after="0" w:line="258" w:lineRule="auto"/>
        <w:tabs>
          <w:tab w:leader="none" w:pos="1197"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Not later than each Reporting Date, a Monthly Report and such other information as reasonably requested by the Administrative Agent.</w:t>
      </w:r>
    </w:p>
    <w:p>
      <w:pPr>
        <w:spacing w:after="0" w:line="157" w:lineRule="exact"/>
        <w:rPr>
          <w:rFonts w:ascii="Times New Roman" w:cs="Times New Roman" w:eastAsia="Times New Roman" w:hAnsi="Times New Roman"/>
          <w:sz w:val="22"/>
          <w:szCs w:val="22"/>
          <w:color w:val="auto"/>
        </w:rPr>
      </w:pPr>
    </w:p>
    <w:p>
      <w:pPr>
        <w:jc w:val="both"/>
        <w:ind w:left="3" w:firstLine="745"/>
        <w:spacing w:after="0" w:line="236" w:lineRule="auto"/>
        <w:tabs>
          <w:tab w:leader="none" w:pos="1184"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 Liability</w:t>
      </w:r>
      <w:r>
        <w:rPr>
          <w:rFonts w:ascii="Times New Roman" w:cs="Times New Roman" w:eastAsia="Times New Roman" w:hAnsi="Times New Roman"/>
          <w:sz w:val="22"/>
          <w:szCs w:val="22"/>
          <w:color w:val="auto"/>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telephonic, telex or telecopied notice (confirmed in writing within five Business Days) specifying the nature of the items giving rise to such adjustments and the amounts thereof.</w:t>
      </w:r>
    </w:p>
    <w:p>
      <w:pPr>
        <w:spacing w:after="0" w:line="179"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84"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Upon demand by the Administrative Agent, copies of all Tax returns and reports filed by the Borrower, or in which the Borrower was included on a consolidated or combined basis (excluding sales, use and like taxes).</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34" w:lineRule="auto"/>
        <w:tabs>
          <w:tab w:leader="none" w:pos="1278"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Promptly upon receiving knowledge of same, the Borrower shall notify the Administrative Agent if any representation or warranty set forth in Section 5.01 or 5.02 in any material respect was incorrect at the time it was given or deemed to have been given and at the same time deliver to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spacing w:after="0" w:line="184" w:lineRule="exact"/>
        <w:rPr>
          <w:rFonts w:ascii="Times New Roman" w:cs="Times New Roman" w:eastAsia="Times New Roman" w:hAnsi="Times New Roman"/>
          <w:sz w:val="22"/>
          <w:szCs w:val="22"/>
          <w:color w:val="auto"/>
        </w:rPr>
      </w:pPr>
    </w:p>
    <w:p>
      <w:pPr>
        <w:jc w:val="both"/>
        <w:ind w:left="3" w:firstLine="745"/>
        <w:spacing w:after="0" w:line="237" w:lineRule="auto"/>
        <w:tabs>
          <w:tab w:leader="none" w:pos="1211"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court or governmental department, commission, board, bureau, agency or instrumentality, domestic or foreign, affecting the Borrower.</w:t>
      </w:r>
    </w:p>
    <w:p>
      <w:pPr>
        <w:spacing w:after="0" w:line="180" w:lineRule="exact"/>
        <w:rPr>
          <w:rFonts w:ascii="Times New Roman" w:cs="Times New Roman" w:eastAsia="Times New Roman" w:hAnsi="Times New Roman"/>
          <w:sz w:val="22"/>
          <w:szCs w:val="22"/>
          <w:color w:val="auto"/>
        </w:rPr>
      </w:pPr>
    </w:p>
    <w:p>
      <w:pPr>
        <w:jc w:val="both"/>
        <w:ind w:left="3" w:right="20" w:firstLine="745"/>
        <w:spacing w:after="0" w:line="244" w:lineRule="auto"/>
        <w:tabs>
          <w:tab w:leader="none" w:pos="1211"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Material Events</w:t>
      </w:r>
      <w:r>
        <w:rPr>
          <w:rFonts w:ascii="Times New Roman" w:cs="Times New Roman" w:eastAsia="Times New Roman" w:hAnsi="Times New Roman"/>
          <w:sz w:val="22"/>
          <w:szCs w:val="22"/>
          <w:color w:val="auto"/>
        </w:rPr>
        <w:t>. Promptly upon any Responsible Officer of the Borrower becoming aware thereof, notice of any other event or circumstances that, in the reasonable judgment of the Borrower, is likely to have a Material Adverse Effect.</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24"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Promptly after any auditors’ management letters are received by the Borrower or by its accountants, which refer in whole or in part to any inadequacy, defect, problem, qualification or other lack of fully satisfactory accounting controls utilized by the Borrower.</w:t>
      </w:r>
    </w:p>
    <w:p>
      <w:pPr>
        <w:spacing w:after="0" w:line="172" w:lineRule="exact"/>
        <w:rPr>
          <w:rFonts w:ascii="Times New Roman" w:cs="Times New Roman" w:eastAsia="Times New Roman" w:hAnsi="Times New Roman"/>
          <w:sz w:val="22"/>
          <w:szCs w:val="22"/>
          <w:color w:val="auto"/>
        </w:rPr>
      </w:pPr>
    </w:p>
    <w:p>
      <w:pPr>
        <w:ind w:left="3" w:firstLine="745"/>
        <w:spacing w:after="0" w:line="258" w:lineRule="auto"/>
        <w:tabs>
          <w:tab w:leader="none" w:pos="1642"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shall promptly notify the Administrative Agent in the event the Borrower becomes a Benefit Plan Investor.</w:t>
      </w:r>
    </w:p>
    <w:p>
      <w:pPr>
        <w:spacing w:after="0" w:line="200" w:lineRule="exact"/>
        <w:rPr>
          <w:sz w:val="20"/>
          <w:szCs w:val="20"/>
          <w:color w:val="auto"/>
        </w:rPr>
      </w:pPr>
    </w:p>
    <w:p>
      <w:pPr>
        <w:spacing w:after="0" w:line="21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7" w:right="339" w:bottom="1440" w:gutter="0" w:footer="0" w:header="0"/>
        </w:sectPr>
      </w:pPr>
    </w:p>
    <w:bookmarkStart w:id="507" w:name="page508"/>
    <w:bookmarkEnd w:id="507"/>
    <w:p>
      <w:pPr>
        <w:ind w:firstLine="757"/>
        <w:spacing w:after="0" w:line="258" w:lineRule="auto"/>
        <w:tabs>
          <w:tab w:leader="none" w:pos="1180" w:val="left"/>
        </w:tabs>
        <w:numPr>
          <w:ilvl w:val="1"/>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Borrower will promptly notify the Administrative Agent of any change in the Borrower’s accounting policies that are not otherwise required by GAAP.</w:t>
      </w:r>
    </w:p>
    <w:p>
      <w:pPr>
        <w:spacing w:after="0" w:line="157" w:lineRule="exact"/>
        <w:rPr>
          <w:rFonts w:ascii="Times New Roman" w:cs="Times New Roman" w:eastAsia="Times New Roman" w:hAnsi="Times New Roman"/>
          <w:sz w:val="22"/>
          <w:szCs w:val="22"/>
          <w:color w:val="auto"/>
        </w:rPr>
      </w:pPr>
    </w:p>
    <w:p>
      <w:pPr>
        <w:jc w:val="both"/>
        <w:ind w:firstLine="757"/>
        <w:spacing w:after="0" w:line="234" w:lineRule="auto"/>
        <w:tabs>
          <w:tab w:leader="none" w:pos="1194" w:val="left"/>
        </w:tabs>
        <w:numPr>
          <w:ilvl w:val="1"/>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Title Opinion</w:t>
      </w:r>
      <w:r>
        <w:rPr>
          <w:rFonts w:ascii="Times New Roman" w:cs="Times New Roman" w:eastAsia="Times New Roman" w:hAnsi="Times New Roman"/>
          <w:sz w:val="22"/>
          <w:szCs w:val="22"/>
          <w:color w:val="auto"/>
        </w:rPr>
        <w:t>. If in connection with a Securitization involving all or a portion of the Collateral the Borrower is required to provide an Opinion of Counsel in each State in which the aggregate Principal Balance of Receivables related to Obligors with mailing addresses in such State equals or exceeds [***]% of the Aggregate Net Principal Balance,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 the Borrower will furnish to the Administrative Agent and the Lenders a copy of such Opinion of Counsel.</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1"/>
          <w:numId w:val="4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Borrower will furnish to the Administrative Agent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65" w:lineRule="auto"/>
        <w:tabs>
          <w:tab w:leader="none" w:pos="1234" w:val="left"/>
        </w:tabs>
        <w:numPr>
          <w:ilvl w:val="1"/>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Regarding Collateral</w:t>
      </w:r>
      <w:r>
        <w:rPr>
          <w:rFonts w:ascii="Times New Roman" w:cs="Times New Roman" w:eastAsia="Times New Roman" w:hAnsi="Times New Roman"/>
          <w:sz w:val="20"/>
          <w:szCs w:val="20"/>
          <w:color w:val="auto"/>
        </w:rPr>
        <w:t>. The Borrower shall advise the Administrative Agent in writing promptly, in reasonable detail of (i) any Lien (other than Permitted Liens) asserted or claim made against a material portion of the Collateral,</w:t>
      </w:r>
    </w:p>
    <w:p>
      <w:pPr>
        <w:spacing w:after="0" w:line="1" w:lineRule="exact"/>
        <w:rPr>
          <w:rFonts w:ascii="Times New Roman" w:cs="Times New Roman" w:eastAsia="Times New Roman" w:hAnsi="Times New Roman"/>
          <w:sz w:val="20"/>
          <w:szCs w:val="20"/>
          <w:color w:val="auto"/>
        </w:rPr>
      </w:pPr>
    </w:p>
    <w:p>
      <w:pPr>
        <w:ind w:right="20" w:firstLine="8"/>
        <w:spacing w:after="0" w:line="237" w:lineRule="auto"/>
        <w:tabs>
          <w:tab w:leader="none" w:pos="327"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 material breach by the Borrower of any of its representations, warranties and covenants contained herein and (iii) the occurrence of any other event which would have a Material Adverse Effect.</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1"/>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Borrower will maintain in effect and enforce policies and procedures designed to ensure compliance by the Borrower and each of its Subsidiaries and Affiliates and their respective directors, officers, employees and agents with applicable anti-corruption laws and Sanctions.</w:t>
      </w:r>
    </w:p>
    <w:p>
      <w:pPr>
        <w:spacing w:after="0" w:line="172"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7" w:val="left"/>
        </w:tabs>
        <w:numPr>
          <w:ilvl w:val="1"/>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Borrower will file or cause to be filed such financing and continuation statements (and amendments thereto) and any other documents that may be required by any law or regulation of any Governmental Authority to preserve and protect fully the security interest of the Administrative Agent in, to and under the Collateral.</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Negative Covenants of the Borrower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From the date hereof until the Facility Termination Date:</w:t>
      </w:r>
    </w:p>
    <w:p>
      <w:pPr>
        <w:spacing w:after="0" w:line="205" w:lineRule="exact"/>
        <w:rPr>
          <w:sz w:val="20"/>
          <w:szCs w:val="20"/>
          <w:color w:val="auto"/>
        </w:rPr>
      </w:pPr>
    </w:p>
    <w:p>
      <w:pPr>
        <w:jc w:val="both"/>
        <w:ind w:firstLine="757"/>
        <w:spacing w:after="0" w:line="239" w:lineRule="auto"/>
        <w:tabs>
          <w:tab w:leader="none" w:pos="118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The Borrower will not (i) engage in any business other than the transactions contemplated by the Basic Documents, (ii) incur any Indebtedness, obligation, liability or contingent obligation of any kind other than pursuant to this Agreement or under any Hedging Agreement required by Section 6.03 or (iii) form any Subsidiary or make any Investment in any other Person.</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Receivables Not to be Evidenced by Instruments</w:t>
      </w:r>
      <w:r>
        <w:rPr>
          <w:rFonts w:ascii="Times New Roman" w:cs="Times New Roman" w:eastAsia="Times New Roman" w:hAnsi="Times New Roman"/>
          <w:sz w:val="22"/>
          <w:szCs w:val="22"/>
          <w:color w:val="auto"/>
        </w:rPr>
        <w:t>. The Borrower will take no action to cause any Receivable that is not, as of the Closing Date or the related Funding Date, as the case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08" w:name="page509"/>
    <w:bookmarkEnd w:id="508"/>
    <w:p>
      <w:pPr>
        <w:spacing w:after="0" w:line="258" w:lineRule="auto"/>
        <w:rPr>
          <w:sz w:val="20"/>
          <w:szCs w:val="20"/>
          <w:color w:val="auto"/>
        </w:rPr>
      </w:pPr>
      <w:r>
        <w:rPr>
          <w:rFonts w:ascii="Times New Roman" w:cs="Times New Roman" w:eastAsia="Times New Roman" w:hAnsi="Times New Roman"/>
          <w:sz w:val="22"/>
          <w:szCs w:val="22"/>
          <w:color w:val="auto"/>
        </w:rPr>
        <w:t>may be, evidenced by an Instrument, to be so evidenced except in connection with the enforcement or collection of such Receivable.</w:t>
      </w:r>
    </w:p>
    <w:p>
      <w:pPr>
        <w:spacing w:after="0" w:line="157" w:lineRule="exact"/>
        <w:rPr>
          <w:sz w:val="20"/>
          <w:szCs w:val="20"/>
          <w:color w:val="auto"/>
        </w:rPr>
      </w:pPr>
    </w:p>
    <w:p>
      <w:pPr>
        <w:jc w:val="both"/>
        <w:ind w:firstLine="757"/>
        <w:spacing w:after="0" w:line="262" w:lineRule="auto"/>
        <w:tabs>
          <w:tab w:leader="none" w:pos="1180"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Interests</w:t>
      </w:r>
      <w:r>
        <w:rPr>
          <w:rFonts w:ascii="Times New Roman" w:cs="Times New Roman" w:eastAsia="Times New Roman" w:hAnsi="Times New Roman"/>
          <w:sz w:val="20"/>
          <w:szCs w:val="20"/>
          <w:color w:val="auto"/>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on its interest, if any, hereunder. The Borrower will promptly notify the Administrative Agent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spacing w:after="0" w:line="157" w:lineRule="exact"/>
        <w:rPr>
          <w:rFonts w:ascii="Times New Roman" w:cs="Times New Roman" w:eastAsia="Times New Roman" w:hAnsi="Times New Roman"/>
          <w:sz w:val="20"/>
          <w:szCs w:val="20"/>
          <w:color w:val="auto"/>
        </w:rPr>
      </w:pPr>
    </w:p>
    <w:p>
      <w:pPr>
        <w:jc w:val="both"/>
        <w:ind w:firstLine="757"/>
        <w:spacing w:after="0" w:line="239" w:lineRule="auto"/>
        <w:tabs>
          <w:tab w:leader="none" w:pos="11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Acquisitions, Sales, Etc</w:t>
      </w:r>
      <w:r>
        <w:rPr>
          <w:rFonts w:ascii="Times New Roman" w:cs="Times New Roman" w:eastAsia="Times New Roman" w:hAnsi="Times New Roman"/>
          <w:sz w:val="22"/>
          <w:szCs w:val="22"/>
          <w:color w:val="auto"/>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spacing w:after="0" w:line="178" w:lineRule="exact"/>
        <w:rPr>
          <w:rFonts w:ascii="Times New Roman" w:cs="Times New Roman" w:eastAsia="Times New Roman" w:hAnsi="Times New Roman"/>
          <w:sz w:val="22"/>
          <w:szCs w:val="22"/>
          <w:color w:val="auto"/>
        </w:rPr>
      </w:pPr>
    </w:p>
    <w:p>
      <w:pPr>
        <w:jc w:val="both"/>
        <w:ind w:firstLine="757"/>
        <w:spacing w:after="0" w:line="235" w:lineRule="auto"/>
        <w:tabs>
          <w:tab w:leader="none" w:pos="1221"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Servicer Termination Event, Unmatured Servicer Termination Event, Termination Event or Unmatured Termination Event has occurred and is continuing or would result therefrom, the Borrower may pay cash distributions on the certificates issued pursuant to the Trust Agreement with funds distributed to the Borrower pursuant to Section 2.08(ix), subject to Applicable Law.</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Receivable Files</w:t>
      </w:r>
      <w:r>
        <w:rPr>
          <w:rFonts w:ascii="Times New Roman" w:cs="Times New Roman" w:eastAsia="Times New Roman" w:hAnsi="Times New Roman"/>
          <w:sz w:val="22"/>
          <w:szCs w:val="22"/>
          <w:color w:val="auto"/>
        </w:rPr>
        <w:t>. The Borrower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the majority of its books and Records are maintained as set forth in Section 14.02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True Sale</w:t>
      </w:r>
      <w:r>
        <w:rPr>
          <w:rFonts w:ascii="Times New Roman" w:cs="Times New Roman" w:eastAsia="Times New Roman" w:hAnsi="Times New Roman"/>
          <w:sz w:val="22"/>
          <w:szCs w:val="22"/>
          <w:color w:val="auto"/>
        </w:rPr>
        <w:t>. Except for purposes of GAAP, the Borrower will not account for or treat the transactions contemplated by the Purchase Agreement in any manner other than as the sale, or absolute assignment, of the Receivables and other Collateral by UACC to the Borrower.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09" w:name="page510"/>
    <w:bookmarkEnd w:id="509"/>
    <w:p>
      <w:pPr>
        <w:ind w:firstLine="757"/>
        <w:spacing w:after="0" w:line="258" w:lineRule="auto"/>
        <w:tabs>
          <w:tab w:leader="none" w:pos="11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Without the consent of the Administrative Agent, the Borrower will not, and will not permit any ERISA Affiliate to sponsor, adopt, contribute or become required to contribute to any Pension Plan or any Multiemployer Plan.</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Documents; Purchase Agreement</w:t>
      </w:r>
      <w:r>
        <w:rPr>
          <w:rFonts w:ascii="Times New Roman" w:cs="Times New Roman" w:eastAsia="Times New Roman" w:hAnsi="Times New Roman"/>
          <w:sz w:val="22"/>
          <w:szCs w:val="22"/>
          <w:color w:val="auto"/>
        </w:rPr>
        <w:t>. Without the prior consent of the Administrative Agent, the Borrower will not amend, modify, waive or terminate any provision of its Formation Documents or the Purchase Agreement (including any Transfer Agreement).</w:t>
      </w:r>
    </w:p>
    <w:p>
      <w:pPr>
        <w:spacing w:after="0" w:line="172"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Payment Instructions</w:t>
      </w:r>
      <w:r>
        <w:rPr>
          <w:rFonts w:ascii="Times New Roman" w:cs="Times New Roman" w:eastAsia="Times New Roman" w:hAnsi="Times New Roman"/>
          <w:sz w:val="22"/>
          <w:szCs w:val="22"/>
          <w:color w:val="auto"/>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Local Bank Account, other than in accordance with the terms of the Intercreditor Agreement and the Intercreditor Party Supplement and unless the Administrative Agent has received duly executed copies of all documentation related thereto.</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207"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w:t>
      </w:r>
      <w:r>
        <w:rPr>
          <w:rFonts w:ascii="Times New Roman" w:cs="Times New Roman" w:eastAsia="Times New Roman" w:hAnsi="Times New Roman"/>
          <w:sz w:val="22"/>
          <w:szCs w:val="22"/>
          <w:color w:val="auto"/>
        </w:rPr>
        <w:t>. The Borrower will not, except as otherwise permitted in Section 7.03(c)(i), extend, amend or otherwise modify, or permit the Servicer to extend, amend or otherwise modify, the terms of any Contract.</w:t>
      </w:r>
    </w:p>
    <w:p>
      <w:pPr>
        <w:spacing w:after="0" w:line="15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The Borrower will not assign or delegate, grant any interest in or permit any Lien to exist upon any of its rights, obligations or duties under this Agreement without the prior written consent of the Administrative Agent.</w:t>
      </w:r>
    </w:p>
    <w:p>
      <w:pPr>
        <w:spacing w:after="0" w:line="15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shall not (nor has the Borrower taken any such action in the past):</w:t>
      </w:r>
    </w:p>
    <w:p>
      <w:pPr>
        <w:spacing w:after="0" w:line="205"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0" w:val="left"/>
        </w:tabs>
        <w:numPr>
          <w:ilvl w:val="1"/>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business or activity other than the purchase and receipt of Receivables and related assets from UACC under the Purchase Agreement, the pledge of Receivables and other Collateral under the Basic Documents and such other activities as are incidental thereto;</w:t>
      </w:r>
    </w:p>
    <w:p>
      <w:pPr>
        <w:spacing w:after="0" w:line="172"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1"/>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own any material assets other than (A) the Receivables and related assets from UACC under the Purchase Agreement and (B) incidental property as may be necessary for the operation of the Borrower;</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0" w:val="left"/>
        </w:tabs>
        <w:numPr>
          <w:ilvl w:val="1"/>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spacing w:after="0" w:line="172"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1"/>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10" w:name="page511"/>
    <w:bookmarkEnd w:id="510"/>
    <w:p>
      <w:pPr>
        <w:ind w:left="740"/>
        <w:spacing w:after="0"/>
        <w:tabs>
          <w:tab w:leader="none" w:pos="1160" w:val="left"/>
        </w:tabs>
        <w:rPr>
          <w:sz w:val="20"/>
          <w:szCs w:val="20"/>
          <w:color w:val="auto"/>
        </w:rPr>
      </w:pPr>
      <w:r>
        <w:rPr>
          <w:rFonts w:ascii="Times New Roman" w:cs="Times New Roman" w:eastAsia="Times New Roman" w:hAnsi="Times New Roman"/>
          <w:sz w:val="22"/>
          <w:szCs w:val="22"/>
          <w:color w:val="auto"/>
        </w:rPr>
        <w:t>(v)</w:t>
        <w:tab/>
        <w:t>own any Subsidiary or make any investment in any Person without the consent of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1" w:lineRule="exact"/>
        <w:rPr>
          <w:sz w:val="20"/>
          <w:szCs w:val="20"/>
          <w:color w:val="auto"/>
        </w:rPr>
      </w:pPr>
    </w:p>
    <w:p>
      <w:pPr>
        <w:ind w:right="20" w:firstLine="745"/>
        <w:spacing w:after="0" w:line="258" w:lineRule="auto"/>
        <w:tabs>
          <w:tab w:leader="none" w:pos="11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commingle its assets with the assets of any of its Affiliates, or of any other Person, except as contemplated hereunder or under the Intercreditor Agreement;</w:t>
      </w:r>
    </w:p>
    <w:p>
      <w:pPr>
        <w:spacing w:after="0" w:line="157"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debt,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spacing w:after="0" w:line="178" w:lineRule="exact"/>
        <w:rPr>
          <w:rFonts w:ascii="Times New Roman" w:cs="Times New Roman" w:eastAsia="Times New Roman" w:hAnsi="Times New Roman"/>
          <w:sz w:val="22"/>
          <w:szCs w:val="22"/>
          <w:color w:val="auto"/>
        </w:rPr>
      </w:pPr>
    </w:p>
    <w:p>
      <w:pPr>
        <w:ind w:left="1600" w:hanging="855"/>
        <w:spacing w:after="0"/>
        <w:tabs>
          <w:tab w:leader="none" w:pos="1600"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 not Solvent or fail to pay its debts and liabilities from its assets as the same shall become due;</w:t>
      </w:r>
    </w:p>
    <w:p>
      <w:pPr>
        <w:spacing w:after="0" w:line="228" w:lineRule="exact"/>
        <w:rPr>
          <w:rFonts w:ascii="Times New Roman" w:cs="Times New Roman" w:eastAsia="Times New Roman" w:hAnsi="Times New Roman"/>
          <w:sz w:val="20"/>
          <w:szCs w:val="20"/>
          <w:color w:val="auto"/>
        </w:rPr>
      </w:pPr>
    </w:p>
    <w:p>
      <w:pPr>
        <w:ind w:right="20" w:firstLine="745"/>
        <w:spacing w:after="0" w:line="258" w:lineRule="auto"/>
        <w:tabs>
          <w:tab w:leader="none" w:pos="11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its records, books of account and bank accounts separate and apart from those of any other Person, except as contemplated hereunder or under the Intercreditor Agreement;</w:t>
      </w:r>
    </w:p>
    <w:p>
      <w:pPr>
        <w:spacing w:after="0" w:line="157"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1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its Affiliates;</w:t>
      </w:r>
    </w:p>
    <w:p>
      <w:pPr>
        <w:spacing w:after="0" w:line="172"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its dissolution or winding up in whole or in part;</w:t>
      </w:r>
    </w:p>
    <w:p>
      <w:pPr>
        <w:spacing w:after="0" w:line="205" w:lineRule="exact"/>
        <w:rPr>
          <w:rFonts w:ascii="Times New Roman" w:cs="Times New Roman" w:eastAsia="Times New Roman" w:hAnsi="Times New Roman"/>
          <w:sz w:val="22"/>
          <w:szCs w:val="22"/>
          <w:color w:val="auto"/>
        </w:rPr>
      </w:pPr>
    </w:p>
    <w:p>
      <w:pPr>
        <w:ind w:right="40" w:firstLine="745"/>
        <w:spacing w:after="0" w:line="258" w:lineRule="auto"/>
        <w:tabs>
          <w:tab w:leader="none" w:pos="11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correct any known misunderstandings regarding the separate identity of Borrower or UACC, as applicable, or any principal or Affiliate thereof or any other Person;</w:t>
      </w:r>
    </w:p>
    <w:p>
      <w:pPr>
        <w:spacing w:after="0" w:line="157" w:lineRule="exact"/>
        <w:rPr>
          <w:rFonts w:ascii="Times New Roman" w:cs="Times New Roman" w:eastAsia="Times New Roman" w:hAnsi="Times New Roman"/>
          <w:sz w:val="22"/>
          <w:szCs w:val="22"/>
          <w:color w:val="auto"/>
        </w:rPr>
      </w:pPr>
    </w:p>
    <w:p>
      <w:pPr>
        <w:ind w:right="20" w:firstLine="745"/>
        <w:spacing w:after="0" w:line="258" w:lineRule="auto"/>
        <w:tabs>
          <w:tab w:leader="none" w:pos="1612"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become obligated for, or hold itself out to be responsible for the debt of another Person, except as expressly provided in the Basic Documents;</w:t>
      </w:r>
    </w:p>
    <w:p>
      <w:pPr>
        <w:spacing w:after="0" w:line="157" w:lineRule="exact"/>
        <w:rPr>
          <w:rFonts w:ascii="Times New Roman" w:cs="Times New Roman" w:eastAsia="Times New Roman" w:hAnsi="Times New Roman"/>
          <w:sz w:val="22"/>
          <w:szCs w:val="22"/>
          <w:color w:val="auto"/>
        </w:rPr>
      </w:pPr>
    </w:p>
    <w:p>
      <w:pPr>
        <w:ind w:right="20" w:firstLine="745"/>
        <w:spacing w:after="0" w:line="258" w:lineRule="auto"/>
        <w:tabs>
          <w:tab w:leader="none" w:pos="1612"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 or advances to any third party, including any principal or Affiliate, or hold evidence of Indebtedness issued by any other Person (other than Permitted Investments);</w:t>
      </w:r>
    </w:p>
    <w:p>
      <w:pPr>
        <w:spacing w:after="0" w:line="157"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principals or Affiliates);</w:t>
      </w:r>
    </w:p>
    <w:p>
      <w:pPr>
        <w:spacing w:after="0" w:line="178" w:lineRule="exact"/>
        <w:rPr>
          <w:rFonts w:ascii="Times New Roman" w:cs="Times New Roman" w:eastAsia="Times New Roman" w:hAnsi="Times New Roman"/>
          <w:sz w:val="22"/>
          <w:szCs w:val="22"/>
          <w:color w:val="auto"/>
        </w:rPr>
      </w:pPr>
    </w:p>
    <w:p>
      <w:pPr>
        <w:ind w:right="20" w:firstLine="745"/>
        <w:spacing w:after="0" w:line="258" w:lineRule="auto"/>
        <w:tabs>
          <w:tab w:leader="none" w:pos="1612" w:val="left"/>
        </w:tabs>
        <w:numPr>
          <w:ilvl w:val="0"/>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adequate capital for the normal obligations reasonably foreseeable in a business of its size and character and in light of its contemplated business operations;</w:t>
      </w: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6" w:right="339" w:bottom="1440" w:gutter="0" w:footer="0" w:header="0"/>
        </w:sectPr>
      </w:pPr>
    </w:p>
    <w:bookmarkStart w:id="511" w:name="page512"/>
    <w:bookmarkEnd w:id="511"/>
    <w:p>
      <w:pPr>
        <w:ind w:left="3" w:right="20" w:firstLine="745"/>
        <w:spacing w:after="0" w:line="258" w:lineRule="auto"/>
        <w:tabs>
          <w:tab w:leader="none" w:pos="1615"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or consent to the filing of any petition, either voluntary or involuntary, to take advantage of any applicable Insolvency Laws, or make an assignment for the benefit of creditors;</w:t>
      </w:r>
    </w:p>
    <w:p>
      <w:pPr>
        <w:spacing w:after="0" w:line="157" w:lineRule="exact"/>
        <w:rPr>
          <w:rFonts w:ascii="Times New Roman" w:cs="Times New Roman" w:eastAsia="Times New Roman" w:hAnsi="Times New Roman"/>
          <w:sz w:val="22"/>
          <w:szCs w:val="22"/>
          <w:color w:val="auto"/>
        </w:rPr>
      </w:pPr>
    </w:p>
    <w:p>
      <w:pPr>
        <w:ind w:left="3" w:right="20" w:firstLine="745"/>
        <w:spacing w:after="0" w:line="258" w:lineRule="auto"/>
        <w:tabs>
          <w:tab w:leader="none" w:pos="1615"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any common logo with or hold itself out as or be considered as a department or division of (A) any of its principals or Affiliates, (B) any Affiliate of a principal or (C) any other Person;</w:t>
      </w:r>
    </w:p>
    <w:p>
      <w:pPr>
        <w:spacing w:after="0" w:line="157" w:lineRule="exact"/>
        <w:rPr>
          <w:rFonts w:ascii="Times New Roman" w:cs="Times New Roman" w:eastAsia="Times New Roman" w:hAnsi="Times New Roman"/>
          <w:sz w:val="22"/>
          <w:szCs w:val="22"/>
          <w:color w:val="auto"/>
        </w:rPr>
      </w:pPr>
    </w:p>
    <w:p>
      <w:pPr>
        <w:jc w:val="both"/>
        <w:ind w:left="3" w:right="20" w:firstLine="745"/>
        <w:spacing w:after="0" w:line="244" w:lineRule="auto"/>
        <w:tabs>
          <w:tab w:leader="none" w:pos="1615"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transfer (whether in any one or more transactions) of a direct or indirect ownership interest in the Borrower (other than in accordance with the Trust Agreement), unless the Borrower delivers to the Administrative Agent an acceptable non-consolidation opinion;</w:t>
      </w:r>
    </w:p>
    <w:p>
      <w:pPr>
        <w:spacing w:after="0" w:line="172"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pay its own liabilities and expenses only out of its own funds;</w:t>
      </w:r>
    </w:p>
    <w:p>
      <w:pPr>
        <w:spacing w:after="0" w:line="205" w:lineRule="exact"/>
        <w:rPr>
          <w:rFonts w:ascii="Times New Roman" w:cs="Times New Roman" w:eastAsia="Times New Roman" w:hAnsi="Times New Roman"/>
          <w:sz w:val="22"/>
          <w:szCs w:val="22"/>
          <w:color w:val="auto"/>
        </w:rPr>
      </w:pPr>
    </w:p>
    <w:p>
      <w:pPr>
        <w:ind w:left="1603" w:hanging="855"/>
        <w:spacing w:after="0"/>
        <w:tabs>
          <w:tab w:leader="none" w:pos="1603"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the obligations or securities of its Affiliates or stockholders;</w:t>
      </w:r>
    </w:p>
    <w:p>
      <w:pPr>
        <w:spacing w:after="0" w:line="205" w:lineRule="exact"/>
        <w:rPr>
          <w:rFonts w:ascii="Times New Roman" w:cs="Times New Roman" w:eastAsia="Times New Roman" w:hAnsi="Times New Roman"/>
          <w:sz w:val="22"/>
          <w:szCs w:val="22"/>
          <w:color w:val="auto"/>
        </w:rPr>
      </w:pPr>
    </w:p>
    <w:p>
      <w:pPr>
        <w:ind w:left="3" w:firstLine="745"/>
        <w:spacing w:after="0" w:line="258" w:lineRule="auto"/>
        <w:tabs>
          <w:tab w:leader="none" w:pos="1615"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allocate fairly and reasonably any overhead expenses that are shared with an Affiliate, including paying for office space and services performed by any employee of an Affiliate;</w:t>
      </w:r>
    </w:p>
    <w:p>
      <w:pPr>
        <w:spacing w:after="0" w:line="157" w:lineRule="exact"/>
        <w:rPr>
          <w:rFonts w:ascii="Times New Roman" w:cs="Times New Roman" w:eastAsia="Times New Roman" w:hAnsi="Times New Roman"/>
          <w:sz w:val="22"/>
          <w:szCs w:val="22"/>
          <w:color w:val="auto"/>
        </w:rPr>
      </w:pPr>
    </w:p>
    <w:p>
      <w:pPr>
        <w:ind w:left="1603" w:hanging="855"/>
        <w:spacing w:after="0"/>
        <w:tabs>
          <w:tab w:leader="none" w:pos="1603"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use separate invoices and checks bearing its own name;</w:t>
      </w:r>
    </w:p>
    <w:p>
      <w:pPr>
        <w:spacing w:after="0" w:line="205" w:lineRule="exact"/>
        <w:rPr>
          <w:rFonts w:ascii="Times New Roman" w:cs="Times New Roman" w:eastAsia="Times New Roman" w:hAnsi="Times New Roman"/>
          <w:sz w:val="22"/>
          <w:szCs w:val="22"/>
          <w:color w:val="auto"/>
        </w:rPr>
      </w:pPr>
    </w:p>
    <w:p>
      <w:pPr>
        <w:ind w:left="3" w:right="60" w:firstLine="745"/>
        <w:spacing w:after="0" w:line="258" w:lineRule="auto"/>
        <w:tabs>
          <w:tab w:leader="none" w:pos="1615" w:val="left"/>
        </w:tabs>
        <w:numPr>
          <w:ilvl w:val="1"/>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its assets for the benefit of any other Person, other than with respect to payment of the Indebtedness to the Lenders hereunder;</w:t>
      </w:r>
    </w:p>
    <w:p>
      <w:pPr>
        <w:spacing w:after="0" w:line="157" w:lineRule="exact"/>
        <w:rPr>
          <w:rFonts w:ascii="Times New Roman" w:cs="Times New Roman" w:eastAsia="Times New Roman" w:hAnsi="Times New Roman"/>
          <w:sz w:val="22"/>
          <w:szCs w:val="22"/>
          <w:color w:val="auto"/>
        </w:rPr>
      </w:pPr>
    </w:p>
    <w:p>
      <w:pPr>
        <w:jc w:val="both"/>
        <w:ind w:left="3" w:firstLine="745"/>
        <w:spacing w:after="0" w:line="257" w:lineRule="auto"/>
        <w:tabs>
          <w:tab w:leader="none" w:pos="1615" w:val="left"/>
        </w:tabs>
        <w:numPr>
          <w:ilvl w:val="1"/>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include provisions in the Trust Agreement that require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w:t>
      </w:r>
    </w:p>
    <w:p>
      <w:pPr>
        <w:spacing w:after="0" w:line="2" w:lineRule="exact"/>
        <w:rPr>
          <w:rFonts w:ascii="Times New Roman" w:cs="Times New Roman" w:eastAsia="Times New Roman" w:hAnsi="Times New Roman"/>
          <w:sz w:val="20"/>
          <w:szCs w:val="20"/>
          <w:color w:val="auto"/>
        </w:rPr>
      </w:pPr>
    </w:p>
    <w:p>
      <w:pPr>
        <w:ind w:left="3" w:hanging="3"/>
        <w:spacing w:after="0" w:line="237" w:lineRule="auto"/>
        <w:tabs>
          <w:tab w:leader="none" w:pos="336" w:val="left"/>
        </w:tabs>
        <w:numPr>
          <w:ilvl w:val="0"/>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 in writing its inability to pay its debts generally as they become due or (G) take any action in furtherance of any of the foregoing;</w:t>
      </w:r>
    </w:p>
    <w:p>
      <w:pPr>
        <w:spacing w:after="0" w:line="177" w:lineRule="exact"/>
        <w:rPr>
          <w:rFonts w:ascii="Times New Roman" w:cs="Times New Roman" w:eastAsia="Times New Roman" w:hAnsi="Times New Roman"/>
          <w:sz w:val="22"/>
          <w:szCs w:val="22"/>
          <w:color w:val="auto"/>
        </w:rPr>
      </w:pPr>
    </w:p>
    <w:p>
      <w:pPr>
        <w:ind w:left="3" w:right="20" w:firstLine="745"/>
        <w:spacing w:after="0" w:line="258" w:lineRule="auto"/>
        <w:tabs>
          <w:tab w:leader="none" w:pos="1615"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its Formation Documents in any respect that would impair its ability to comply with the Basic Documents;</w:t>
      </w:r>
    </w:p>
    <w:p>
      <w:pPr>
        <w:spacing w:after="0" w:line="157" w:lineRule="exact"/>
        <w:rPr>
          <w:rFonts w:ascii="Times New Roman" w:cs="Times New Roman" w:eastAsia="Times New Roman" w:hAnsi="Times New Roman"/>
          <w:sz w:val="22"/>
          <w:szCs w:val="22"/>
          <w:color w:val="auto"/>
        </w:rPr>
      </w:pPr>
    </w:p>
    <w:p>
      <w:pPr>
        <w:ind w:left="1603" w:hanging="855"/>
        <w:spacing w:after="0"/>
        <w:tabs>
          <w:tab w:leader="none" w:pos="1603"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take or refrain from taking, as applicable, each of [***], dated the Closing Date;</w:t>
      </w:r>
    </w:p>
    <w:p>
      <w:pPr>
        <w:spacing w:after="0" w:line="205" w:lineRule="exact"/>
        <w:rPr>
          <w:rFonts w:ascii="Times New Roman" w:cs="Times New Roman" w:eastAsia="Times New Roman" w:hAnsi="Times New Roman"/>
          <w:sz w:val="22"/>
          <w:szCs w:val="22"/>
          <w:color w:val="auto"/>
        </w:rPr>
      </w:pPr>
    </w:p>
    <w:p>
      <w:pPr>
        <w:ind w:left="3" w:right="40" w:firstLine="745"/>
        <w:spacing w:after="0" w:line="258" w:lineRule="auto"/>
        <w:tabs>
          <w:tab w:leader="none" w:pos="1615"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or otherwise permit the Borrower to be treated as an entity taxable as a corporation for U.S. federal income tax purposes; and</w:t>
      </w:r>
    </w:p>
    <w:p>
      <w:pPr>
        <w:spacing w:after="0" w:line="157" w:lineRule="exact"/>
        <w:rPr>
          <w:rFonts w:ascii="Times New Roman" w:cs="Times New Roman" w:eastAsia="Times New Roman" w:hAnsi="Times New Roman"/>
          <w:sz w:val="22"/>
          <w:szCs w:val="22"/>
          <w:color w:val="auto"/>
        </w:rPr>
      </w:pPr>
    </w:p>
    <w:p>
      <w:pPr>
        <w:ind w:left="3" w:firstLine="745"/>
        <w:spacing w:after="0" w:line="258" w:lineRule="auto"/>
        <w:tabs>
          <w:tab w:leader="none" w:pos="1615"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separate financial statements, showing its assets and liabilities separate and apart from those of any other Person, or have its assets listed on the</w:t>
      </w:r>
    </w:p>
    <w:p>
      <w:pPr>
        <w:spacing w:after="0" w:line="200" w:lineRule="exact"/>
        <w:rPr>
          <w:sz w:val="20"/>
          <w:szCs w:val="20"/>
          <w:color w:val="auto"/>
        </w:rPr>
      </w:pPr>
    </w:p>
    <w:p>
      <w:pPr>
        <w:spacing w:after="0" w:line="21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6" w:right="339" w:bottom="1440" w:gutter="0" w:footer="0" w:header="0"/>
        </w:sectPr>
      </w:pPr>
    </w:p>
    <w:bookmarkStart w:id="512" w:name="page513"/>
    <w:bookmarkEnd w:id="512"/>
    <w:p>
      <w:pPr>
        <w:jc w:val="both"/>
        <w:ind w:left="760"/>
        <w:spacing w:after="0" w:line="237" w:lineRule="auto"/>
        <w:rPr>
          <w:sz w:val="20"/>
          <w:szCs w:val="20"/>
          <w:color w:val="auto"/>
        </w:rPr>
      </w:pPr>
      <w:r>
        <w:rPr>
          <w:rFonts w:ascii="Times New Roman" w:cs="Times New Roman" w:eastAsia="Times New Roman" w:hAnsi="Times New Roman"/>
          <w:sz w:val="22"/>
          <w:szCs w:val="22"/>
          <w:color w:val="auto"/>
        </w:rPr>
        <w:t>financial statement of any other Person; provided, however, that the Borrower’s assets may be included in a consolidated financial statement of its Affiliates if (a) appropriate notation shall be made on such consolidated financial statements to indicate the separateness of the Borrower from such Affiliates and to indicate that the Borrower’s assets and credit are not available to satisfy the debts and obligations of such Affiliates or any other Person and (b) such assets shall also be listed on the Borrower’s own separate balance sheet.</w:t>
      </w:r>
    </w:p>
    <w:p>
      <w:pPr>
        <w:spacing w:after="0" w:line="180" w:lineRule="exact"/>
        <w:rPr>
          <w:sz w:val="20"/>
          <w:szCs w:val="20"/>
          <w:color w:val="auto"/>
        </w:rPr>
      </w:pPr>
    </w:p>
    <w:p>
      <w:pPr>
        <w:ind w:right="20" w:firstLine="757"/>
        <w:spacing w:after="0" w:line="258" w:lineRule="auto"/>
        <w:tabs>
          <w:tab w:leader="none" w:pos="118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Lenders</w:t>
      </w:r>
      <w:r>
        <w:rPr>
          <w:rFonts w:ascii="Times New Roman" w:cs="Times New Roman" w:eastAsia="Times New Roman" w:hAnsi="Times New Roman"/>
          <w:sz w:val="22"/>
          <w:szCs w:val="22"/>
          <w:color w:val="auto"/>
        </w:rPr>
        <w:t>. The Borrower will not add any Lender to this Agreement without the prior written consent of the Administrative Agent.</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create, or participate in the creation of, or permit to exist, any Liens (other than Permitted Liens) and will not enter into any control agreement with respect to the Post Office Boxes or the Local Bank Account other than pursuant to the Intercreditor Agreement.</w:t>
      </w:r>
    </w:p>
    <w:p>
      <w:pPr>
        <w:spacing w:after="0" w:line="172" w:lineRule="exact"/>
        <w:rPr>
          <w:rFonts w:ascii="Times New Roman" w:cs="Times New Roman" w:eastAsia="Times New Roman" w:hAnsi="Times New Roman"/>
          <w:sz w:val="22"/>
          <w:szCs w:val="22"/>
          <w:color w:val="auto"/>
        </w:rPr>
      </w:pPr>
    </w:p>
    <w:p>
      <w:pPr>
        <w:jc w:val="both"/>
        <w:ind w:firstLine="757"/>
        <w:spacing w:after="0" w:line="234" w:lineRule="auto"/>
        <w:tabs>
          <w:tab w:leader="none" w:pos="1194"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Borrower shall not, nor shall the Borrower’s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The Borrower will not consent to any amendment, consent or waiver to the Purchase Agreement that could reasonably be expected to be adverse to the interests of the Administrative Agent without the prior written consent of the Administrative Agent; provided that no consent shall be required in connection with any change mandated by Applicable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Covenant of the Borrower Relating to Hedge Transactions</w:t>
      </w:r>
    </w:p>
    <w:p>
      <w:pPr>
        <w:spacing w:after="0" w:line="205" w:lineRule="exact"/>
        <w:rPr>
          <w:sz w:val="20"/>
          <w:szCs w:val="20"/>
          <w:color w:val="auto"/>
        </w:rPr>
      </w:pPr>
    </w:p>
    <w:p>
      <w:pPr>
        <w:jc w:val="both"/>
        <w:ind w:firstLine="757"/>
        <w:spacing w:after="0" w:line="234" w:lineRule="auto"/>
        <w:tabs>
          <w:tab w:leader="none" w:pos="1180"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commencement and during the continuation of a Required Hedging Period, the Borrower shall enter into one or more Hedge Transactions in form and substance satisfactory (including the notional amount, term and amortization rate (if any) of such Hedge Transaction) to the Administrative Agent. Each such Hedge Transaction shall be entered into with a Hedge Counterparty and governed by a Hedging Agreement; provided, that as of any date of determination during the Required Hedging Period, the aggregate notional amount relating to such Hedge Transactions shall not be less than the Loans Outstanding on such date. The Borrower shall deliver to the Administrative Agent a copy of all documents related to any Hedging Agreement, including confirmations, schedules and an aggregate notion amortization schedule. All reasonably documented out-of-pocket costs and expenses (including reasonable legal fees and disbursements) incurred by the Administrative Agent and the Lenders incurred with each Hedge Transaction shall be paid by the Borrower.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13" w:name="page514"/>
    <w:bookmarkEnd w:id="513"/>
    <w:p>
      <w:pPr>
        <w:jc w:val="both"/>
        <w:ind w:firstLine="757"/>
        <w:spacing w:after="0" w:line="235" w:lineRule="auto"/>
        <w:tabs>
          <w:tab w:leader="none" w:pos="118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additional security hereunder, the Borrower has assigned to the Administrative Agent all right, title and interest of Borrower in any Hedge Collateral. The Borrower acknowledges that, as a result of that assignment, the Borrower may not, without the prior written consent of the Administrative Agent, exercise any rights under any Hedging Agreement or Hedge Transaction, except for the Borrower’s right under any Hedging Agreement to enter into Hedge Transactions in order to meet the Borrower’s obligations hereunder. Nothing herein shall have the effect of releasing the Borrower from any of its obligations under any Hedging Agreement or any Hedge Transaction, nor be construed as requiring the consent of the Administrative Agent or any Secured Party for the performance by the Borrower of any such obligations.</w:t>
      </w:r>
    </w:p>
    <w:p>
      <w:pPr>
        <w:spacing w:after="0" w:line="180"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effective date of a Hedge Transaction, the Borrower shall establish and thereafter maintain a segregated trust account in the name of the Borrower with respect to each Hedge Counterparty (a “</w:t>
      </w:r>
      <w:r>
        <w:rPr>
          <w:rFonts w:ascii="Times New Roman" w:cs="Times New Roman" w:eastAsia="Times New Roman" w:hAnsi="Times New Roman"/>
          <w:sz w:val="22"/>
          <w:szCs w:val="22"/>
          <w:u w:val="single" w:color="auto"/>
          <w:color w:val="auto"/>
        </w:rPr>
        <w:t>Hedge Collateral Account</w:t>
      </w:r>
      <w:r>
        <w:rPr>
          <w:rFonts w:ascii="Times New Roman" w:cs="Times New Roman" w:eastAsia="Times New Roman" w:hAnsi="Times New Roman"/>
          <w:sz w:val="22"/>
          <w:szCs w:val="22"/>
          <w:color w:val="auto"/>
        </w:rPr>
        <w:t>”) with a Qualified Institution in trust and for the benefit of the Lenders and the related Hedge Counterparty. In the event that pursuant to the terms of the applicable Hedging Agreement, the related Hedge Counterparty is required to deposit cash or securities as collateral to secure its obligations (“</w:t>
      </w:r>
      <w:r>
        <w:rPr>
          <w:rFonts w:ascii="Times New Roman" w:cs="Times New Roman" w:eastAsia="Times New Roman" w:hAnsi="Times New Roman"/>
          <w:sz w:val="22"/>
          <w:szCs w:val="22"/>
          <w:u w:val="single" w:color="auto"/>
          <w:color w:val="auto"/>
        </w:rPr>
        <w:t>Swap Collateral</w:t>
      </w:r>
      <w:r>
        <w:rPr>
          <w:rFonts w:ascii="Times New Roman" w:cs="Times New Roman" w:eastAsia="Times New Roman" w:hAnsi="Times New Roman"/>
          <w:sz w:val="22"/>
          <w:szCs w:val="22"/>
          <w:color w:val="auto"/>
        </w:rPr>
        <w:t>”), the Borrower shall deposit all Swap Collateral received from the Hedge Counterparty into the Hedge Collateral Account. All sums on deposit and securities held in any Hedge Collateral Account shall be used only for the purposes set forth in the related credit support annex (“</w:t>
      </w:r>
      <w:r>
        <w:rPr>
          <w:rFonts w:ascii="Times New Roman" w:cs="Times New Roman" w:eastAsia="Times New Roman" w:hAnsi="Times New Roman"/>
          <w:sz w:val="22"/>
          <w:szCs w:val="22"/>
          <w:u w:val="single" w:color="auto"/>
          <w:color w:val="auto"/>
        </w:rPr>
        <w:t>Credit Support Annex</w:t>
      </w:r>
      <w:r>
        <w:rPr>
          <w:rFonts w:ascii="Times New Roman" w:cs="Times New Roman" w:eastAsia="Times New Roman" w:hAnsi="Times New Roman"/>
          <w:sz w:val="22"/>
          <w:szCs w:val="22"/>
          <w:color w:val="auto"/>
        </w:rPr>
        <w:t xml:space="preserve">”) to the Hedging Agreement. The only permitted withdrawal from or application of funds on deposit in, or otherwise to the credit of, a Hedge Collateral Account shall be (i) for application to the obligations of the applicable Hedge Counterparty under the related Hedging Agreement in accordance with the terms of the Credit Support Annex and (ii) to return collateral to the Hedge Counterparty when and as required by the Credit Support Annex. Amounts on deposit in each Hedge Collateral Account shall be invested in accordance with the terms of the related Credit Support Annex, and all investment earnings actually received on amounts on deposit in a Hedge Collateral Account or distributions on securities held as Swap Collateral shall be distributed to the related Hedge Counterparty in accordance with the terms of the related Credit Support Annex. Any amounts applied by the Borrower to the obligations of the Hedge Counterparty under the Hedging Agreement in accordance with the terms of the Credit Support Annex shall be deposited in the Collection Account and applied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of this Agreement. The Borrower agrees to give the Hedge Counterparty prompt notice if it obtains knowledge that the Hedge Collateral Account or any funds on deposit therein or otherwise to the credit of the Hedge Collateral Account, shall or have become subject to any writ, order, judgment, warrant of attachment, execution or similar process.</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(i) the occurrence of any event defined as an “Event of Default” for which the Hedge Counterparty is the “Defaulting Party” or “Termination Event” for which the Hedge Counterparty is an “Affected Party” in a Hedging Agreement or (ii) a Hedge Counterparty ceasing to satisfy the minimum ratings requirements set forth in the definition of “Eligible Hedge Counterparty,” the Borrower shall enforce its remedial rights against such Hedge Counterparty as are specified in the related Hedge Agreement; provided that this subclause (d) shall not apply if the Hedge Counterparty is the Administrative Agent or an Affiliate thereof.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14" w:name="page515"/>
    <w:bookmarkEnd w:id="514"/>
    <w:p>
      <w:pPr>
        <w:ind w:left="760"/>
        <w:spacing w:after="0"/>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Affirmative Covenants of the Servicer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From the date hereof until the Facility Termination Date:</w:t>
      </w:r>
    </w:p>
    <w:p>
      <w:pPr>
        <w:spacing w:after="0" w:line="205" w:lineRule="exact"/>
        <w:rPr>
          <w:sz w:val="20"/>
          <w:szCs w:val="20"/>
          <w:color w:val="auto"/>
        </w:rPr>
      </w:pPr>
    </w:p>
    <w:p>
      <w:pPr>
        <w:ind w:firstLine="757"/>
        <w:spacing w:after="0" w:line="258" w:lineRule="auto"/>
        <w:tabs>
          <w:tab w:leader="none" w:pos="1180"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Servicer will comply in all material respects with all Applicable Laws, including those with respect to the Receivables, the related Contracts, Financed Vehicles and Receivable Files or any part thereof.</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w:t>
      </w:r>
      <w:r>
        <w:rPr>
          <w:rFonts w:ascii="Times New Roman" w:cs="Times New Roman" w:eastAsia="Times New Roman" w:hAnsi="Times New Roman"/>
          <w:sz w:val="22"/>
          <w:szCs w:val="22"/>
          <w:color w:val="auto"/>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and Compliance with Receivables</w:t>
      </w:r>
      <w:r>
        <w:rPr>
          <w:rFonts w:ascii="Times New Roman" w:cs="Times New Roman" w:eastAsia="Times New Roman" w:hAnsi="Times New Roman"/>
          <w:sz w:val="22"/>
          <w:szCs w:val="22"/>
          <w:color w:val="auto"/>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Servicer Basic Documents</w:t>
      </w:r>
      <w:r>
        <w:rPr>
          <w:rFonts w:ascii="Times New Roman" w:cs="Times New Roman" w:eastAsia="Times New Roman" w:hAnsi="Times New Roman"/>
          <w:sz w:val="22"/>
          <w:szCs w:val="22"/>
          <w:color w:val="auto"/>
        </w:rPr>
        <w:t>. The Servicer will timely and fully perform and comply in all material respects with all provisions, covenants and other promises required to be observed by it under the Servicer Basic Documents.</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The Servicer will maintain and implement administrative and operating procedures (including an ability to recreate records evidencing Receivables, including the Servicer Files,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 including the Servicer Files.</w:t>
      </w:r>
    </w:p>
    <w:p>
      <w:pPr>
        <w:spacing w:after="0" w:line="179"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will file all material Tax returns required to be filed by it and pay any and all material Taxes, including those required to meet the obligations of the Basic Documents.</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Servicer will execute and file such financing and continuation statements (and amendments thereto) and any other documents that may be required by any Applicable Law of any Governmental Authority to preserve and protect fully the security interest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ind w:right="20" w:firstLine="757"/>
        <w:spacing w:after="0" w:line="258" w:lineRule="auto"/>
        <w:tabs>
          <w:tab w:leader="none" w:pos="1207"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The initial Servicer will (i) comply in all material respects with the Credit and Collection Policy in regard to each Receivable, [***].</w:t>
      </w:r>
    </w:p>
    <w:p>
      <w:pPr>
        <w:spacing w:after="0" w:line="157" w:lineRule="exact"/>
        <w:rPr>
          <w:rFonts w:ascii="Times New Roman" w:cs="Times New Roman" w:eastAsia="Times New Roman" w:hAnsi="Times New Roman"/>
          <w:sz w:val="22"/>
          <w:szCs w:val="22"/>
          <w:color w:val="auto"/>
        </w:rPr>
      </w:pPr>
    </w:p>
    <w:p>
      <w:pPr>
        <w:jc w:val="both"/>
        <w:ind w:firstLine="757"/>
        <w:spacing w:after="0" w:line="241" w:lineRule="auto"/>
        <w:tabs>
          <w:tab w:leader="none" w:pos="1194"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 The Servicer will furnish to the Administrative Agent, the Account Bank and the Backup Servicer, as soon as possible and in any event within three Business Days after the earlier of (i) knowledge by the Servicer and</w:t>
      </w:r>
    </w:p>
    <w:p>
      <w:pPr>
        <w:spacing w:after="0" w:line="1" w:lineRule="exact"/>
        <w:rPr>
          <w:rFonts w:ascii="Times New Roman" w:cs="Times New Roman" w:eastAsia="Times New Roman" w:hAnsi="Times New Roman"/>
          <w:sz w:val="22"/>
          <w:szCs w:val="22"/>
          <w:color w:val="auto"/>
        </w:rPr>
      </w:pPr>
    </w:p>
    <w:p>
      <w:pPr>
        <w:ind w:firstLine="8"/>
        <w:spacing w:after="0" w:line="237" w:lineRule="auto"/>
        <w:tabs>
          <w:tab w:leader="none" w:pos="347"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by the Servicer from the Borrower of written notice thereof (which notice the Borrower shall be required to give promptly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15" w:name="page516"/>
    <w:bookmarkEnd w:id="515"/>
    <w:p>
      <w:pPr>
        <w:jc w:val="both"/>
        <w:spacing w:after="0" w:line="244" w:lineRule="auto"/>
        <w:rPr>
          <w:sz w:val="20"/>
          <w:szCs w:val="20"/>
          <w:color w:val="auto"/>
        </w:rPr>
      </w:pPr>
      <w:r>
        <w:rPr>
          <w:rFonts w:ascii="Times New Roman" w:cs="Times New Roman" w:eastAsia="Times New Roman" w:hAnsi="Times New Roman"/>
          <w:sz w:val="22"/>
          <w:szCs w:val="22"/>
          <w:color w:val="auto"/>
        </w:rPr>
        <w:t>upon knowledge thereof) of the occurrence of each Termination Event and each Unmatured Termination Event, a written statement of its chief financial officer or chief accounting officer setting forth the details of such event and the action that the Servicer purposes to take with respect thereto.</w:t>
      </w:r>
    </w:p>
    <w:p>
      <w:pPr>
        <w:spacing w:after="0" w:line="172" w:lineRule="exact"/>
        <w:rPr>
          <w:sz w:val="20"/>
          <w:szCs w:val="20"/>
          <w:color w:val="auto"/>
        </w:rPr>
      </w:pPr>
    </w:p>
    <w:p>
      <w:pPr>
        <w:jc w:val="both"/>
        <w:ind w:firstLine="757"/>
        <w:spacing w:after="0" w:line="239" w:lineRule="auto"/>
        <w:tabs>
          <w:tab w:leader="none" w:pos="1180"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Servicer will furnish to the Administrative Agent and the Backup Servicer,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the Administrative Agent or Lenders under or as contemplated by this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Losses, Etc</w:t>
      </w:r>
      <w:r>
        <w:rPr>
          <w:rFonts w:ascii="Times New Roman" w:cs="Times New Roman" w:eastAsia="Times New Roman" w:hAnsi="Times New Roman"/>
          <w:sz w:val="22"/>
          <w:szCs w:val="22"/>
          <w:color w:val="auto"/>
        </w:rPr>
        <w:t>. In any suit, proceeding or action brought by the Administrative Agent, the Custodian, Account Bank, Backup Servicer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spacing w:after="0" w:line="180" w:lineRule="exact"/>
        <w:rPr>
          <w:rFonts w:ascii="Times New Roman" w:cs="Times New Roman" w:eastAsia="Times New Roman" w:hAnsi="Times New Roman"/>
          <w:sz w:val="22"/>
          <w:szCs w:val="22"/>
          <w:color w:val="auto"/>
        </w:rPr>
      </w:pPr>
    </w:p>
    <w:p>
      <w:pPr>
        <w:jc w:val="both"/>
        <w:ind w:firstLine="757"/>
        <w:spacing w:after="0" w:line="232" w:lineRule="auto"/>
        <w:tabs>
          <w:tab w:leader="none" w:pos="1207" w:val="left"/>
        </w:tabs>
        <w:numPr>
          <w:ilvl w:val="0"/>
          <w:numId w:val="4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Regarding Collateral</w:t>
      </w:r>
      <w:r>
        <w:rPr>
          <w:rFonts w:ascii="Times New Roman" w:cs="Times New Roman" w:eastAsia="Times New Roman" w:hAnsi="Times New Roman"/>
          <w:sz w:val="22"/>
          <w:szCs w:val="22"/>
          <w:color w:val="auto"/>
        </w:rPr>
        <w:t>. The Servicer shall advise the Custodian and the Administrative Agent in writing promptly following the earlier of (i) knowledge by the Servicer and (ii) receipt by the Servicer from the Borrower of written notice thereof (which notice the Borrower shall be required to give promptly upon knowledge thereof), in reasonable detail of (A) any Lien asserted or claim made against any portion of the Collateral, (B) the occurrence of any material breach by the Servicer of any of its representations, warranties and covenants contained herein, (C) the occurrence of any event of default or material breach by any party of its obligations under, or the termination of, the E-Vault Access Agreement, the Electronic Collateral Control Agreement or the Title Administrator Agreement, (D) any changes to the E-Vault System, the Originator Vault Partition or the Warehouse Vault Partition made by the E-Vault Provider or the Custodian and (E)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 Promptly following the occurrence of a Custodian Termination Event, the Servicer shall use commercially reasonable efforts to enter into the Title Administration Agreement, in form and substance reasonable acceptable to the Administrative Agent. Promptly upon receipt thereof, the Servicer shall forward to the Program Agent and the Borrower copies of all notices (other than routine administrative notices) received under the E-Vault Access Agreement, the Electronic Collateral Control Agreement or the Title Administrator Agreement.</w:t>
      </w:r>
    </w:p>
    <w:p>
      <w:pPr>
        <w:spacing w:after="0" w:line="186" w:lineRule="exact"/>
        <w:rPr>
          <w:rFonts w:ascii="Times New Roman" w:cs="Times New Roman" w:eastAsia="Times New Roman" w:hAnsi="Times New Roman"/>
          <w:sz w:val="22"/>
          <w:szCs w:val="22"/>
          <w:color w:val="auto"/>
        </w:rPr>
      </w:pPr>
    </w:p>
    <w:p>
      <w:pPr>
        <w:jc w:val="both"/>
        <w:ind w:firstLine="757"/>
        <w:spacing w:after="0" w:line="280" w:lineRule="auto"/>
        <w:tabs>
          <w:tab w:leader="none" w:pos="1180" w:val="left"/>
        </w:tabs>
        <w:numPr>
          <w:ilvl w:val="0"/>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Realization on Receivables</w:t>
      </w:r>
      <w:r>
        <w:rPr>
          <w:rFonts w:ascii="Times New Roman" w:cs="Times New Roman" w:eastAsia="Times New Roman" w:hAnsi="Times New Roman"/>
          <w:sz w:val="20"/>
          <w:szCs w:val="20"/>
          <w:color w:val="auto"/>
        </w:rPr>
        <w:t>. In the event that the Servicer realizes upon any Receivable, the methods utilized by the Servicer to realize upon such Receivable or otherwise enforce any provisions of such Receivable will not subject the Servicer, the Borrower, any Secured Party, the Administrative Agent or the Custodian to liability under any federal, State or local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16" w:name="page517"/>
    <w:bookmarkEnd w:id="516"/>
    <w:p>
      <w:pPr>
        <w:spacing w:after="0" w:line="258" w:lineRule="auto"/>
        <w:rPr>
          <w:sz w:val="20"/>
          <w:szCs w:val="20"/>
          <w:color w:val="auto"/>
        </w:rPr>
      </w:pPr>
      <w:r>
        <w:rPr>
          <w:rFonts w:ascii="Times New Roman" w:cs="Times New Roman" w:eastAsia="Times New Roman" w:hAnsi="Times New Roman"/>
          <w:sz w:val="22"/>
          <w:szCs w:val="22"/>
          <w:color w:val="auto"/>
        </w:rPr>
        <w:t>and any such realization or enforcement by the Servicer will be conducted in accordance with the provisions of this Agreement, the Credit and Collection Policy and Applicable Law.</w:t>
      </w:r>
    </w:p>
    <w:p>
      <w:pPr>
        <w:spacing w:after="0" w:line="157" w:lineRule="exact"/>
        <w:rPr>
          <w:sz w:val="20"/>
          <w:szCs w:val="20"/>
          <w:color w:val="auto"/>
        </w:rPr>
      </w:pPr>
    </w:p>
    <w:p>
      <w:pPr>
        <w:jc w:val="both"/>
        <w:ind w:right="20" w:firstLine="757"/>
        <w:spacing w:after="0" w:line="244" w:lineRule="auto"/>
        <w:tabs>
          <w:tab w:leader="none" w:pos="1194"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of Title</w:t>
      </w:r>
      <w:r>
        <w:rPr>
          <w:rFonts w:ascii="Times New Roman" w:cs="Times New Roman" w:eastAsia="Times New Roman" w:hAnsi="Times New Roman"/>
          <w:sz w:val="22"/>
          <w:szCs w:val="22"/>
          <w:color w:val="auto"/>
        </w:rPr>
        <w:t>. Within 15 days following the end of each calendar quarter, the Servicer shall deliver to the Custodian (if not UACC) and the Administrative Agent a list of all Receivables for which it does not have in its possession or control the related Certificate of Title.</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To the extent that the Borrower makes an Interpayment pursuant to Section 2.06(e), on the related Payment Date, UACC shall deposit an amount equal to the Monthly Accrued Interest Payment Amount into the Collection Account.</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The Servicer will deliver or will cause to be delivered to the Administrative Agent, promptly after receipt by the Servicer or its accountants, a copy of any auditors’ management letters which refer in whole or in part to any inadequacy, defect, problem, qualification or other lack of fully satisfactory accounting controls utilized by the Parent that resulted in a qualified audit opinion.</w:t>
      </w:r>
    </w:p>
    <w:p>
      <w:pPr>
        <w:spacing w:after="0" w:line="178" w:lineRule="exact"/>
        <w:rPr>
          <w:rFonts w:ascii="Times New Roman" w:cs="Times New Roman" w:eastAsia="Times New Roman" w:hAnsi="Times New Roman"/>
          <w:sz w:val="22"/>
          <w:szCs w:val="22"/>
          <w:color w:val="auto"/>
        </w:rPr>
      </w:pPr>
    </w:p>
    <w:p>
      <w:pPr>
        <w:ind w:firstLine="757"/>
        <w:spacing w:after="0" w:line="258" w:lineRule="auto"/>
        <w:tabs>
          <w:tab w:leader="none" w:pos="1207"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Servicer will promptly notify the Administrative Agent of any material change in the Parent’s accounting policies.</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Servicing Systems</w:t>
      </w:r>
      <w:r>
        <w:rPr>
          <w:rFonts w:ascii="Times New Roman" w:cs="Times New Roman" w:eastAsia="Times New Roman" w:hAnsi="Times New Roman"/>
          <w:sz w:val="22"/>
          <w:szCs w:val="22"/>
          <w:color w:val="auto"/>
        </w:rPr>
        <w:t>. The Servicer will promptly notify the Backup Servicer in writing of any material changes which the Servicer makes to the servicing systems and provide to the Backup Servicer sufficient details with respect thereto as the Backup Servicer may reasonably request.</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Servicer will maintain in effect and enforce policies and procedures designed to ensure compliance by the Servicer and each of its Subsidiaries and Affiliates and their respective directors, officers, employees and agents with applicable anti-corruption laws and Sanctions.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Negative Covenants of the Servicer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From the date hereof until the Facility Termination Date:</w:t>
      </w:r>
    </w:p>
    <w:p>
      <w:pPr>
        <w:spacing w:after="0" w:line="205" w:lineRule="exact"/>
        <w:rPr>
          <w:sz w:val="20"/>
          <w:szCs w:val="20"/>
          <w:color w:val="auto"/>
        </w:rPr>
      </w:pPr>
    </w:p>
    <w:p>
      <w:pPr>
        <w:jc w:val="both"/>
        <w:ind w:firstLine="757"/>
        <w:spacing w:after="0" w:line="237" w:lineRule="auto"/>
        <w:tabs>
          <w:tab w:leader="none" w:pos="118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Local Bank Account</w:t>
      </w:r>
      <w:r>
        <w:rPr>
          <w:rFonts w:ascii="Times New Roman" w:cs="Times New Roman" w:eastAsia="Times New Roman" w:hAnsi="Times New Roman"/>
          <w:sz w:val="22"/>
          <w:szCs w:val="22"/>
          <w:color w:val="auto"/>
        </w:rPr>
        <w:t>. The Servicer shall not create or participate in the creation of, or permit to exist, any Liens with respect to the Post Office Boxes or the Local Bank Account, except as permitted and pursuant to the Intercreditor Agreement and the Intercreditor Party Supplement. The Servicer shall not enter into any “control agreement” (as defined in the relevant UCC) with respect to the Post Office Boxes or the Local Bank Account other than pursuant to the Intercreditor Agreement.</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 Sales, etc</w:t>
      </w:r>
      <w:r>
        <w:rPr>
          <w:rFonts w:ascii="Times New Roman" w:cs="Times New Roman" w:eastAsia="Times New Roman" w:hAnsi="Times New Roman"/>
          <w:sz w:val="22"/>
          <w:szCs w:val="22"/>
          <w:color w:val="auto"/>
        </w:rPr>
        <w:t>. The Servicer will not consolidate with or merge into any other Person or convey or transfer its properties and assets substantially as an entirety to any Person, other than contemplated in Section 7.16.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17" w:name="page518"/>
    <w:bookmarkEnd w:id="517"/>
    <w:p>
      <w:pPr>
        <w:jc w:val="both"/>
        <w:ind w:firstLine="757"/>
        <w:spacing w:after="0" w:line="260" w:lineRule="auto"/>
        <w:tabs>
          <w:tab w:leader="none" w:pos="1207"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Name or Location of Servicer Files or Receivable Files</w:t>
      </w:r>
      <w:r>
        <w:rPr>
          <w:rFonts w:ascii="Times New Roman" w:cs="Times New Roman" w:eastAsia="Times New Roman" w:hAnsi="Times New Roman"/>
          <w:sz w:val="20"/>
          <w:szCs w:val="20"/>
          <w:color w:val="auto"/>
        </w:rPr>
        <w:t>. The Servicer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has taken all actions required under the UCC of each relevant jurisdiction in order to continue the first priority perfected security interest of the Administrative Agent, as agent for the Secured Parties, in the Collateral.</w:t>
      </w:r>
    </w:p>
    <w:p>
      <w:pPr>
        <w:spacing w:after="0" w:line="157" w:lineRule="exact"/>
        <w:rPr>
          <w:rFonts w:ascii="Times New Roman" w:cs="Times New Roman" w:eastAsia="Times New Roman" w:hAnsi="Times New Roman"/>
          <w:sz w:val="20"/>
          <w:szCs w:val="20"/>
          <w:color w:val="auto"/>
        </w:rPr>
      </w:pPr>
    </w:p>
    <w:p>
      <w:pPr>
        <w:jc w:val="both"/>
        <w:ind w:firstLine="757"/>
        <w:spacing w:after="0" w:line="237" w:lineRule="auto"/>
        <w:tabs>
          <w:tab w:leader="none" w:pos="1207"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Servicer will not make any change in its instructions to the Obligors regarding payments to be made to the Borrower or the Servicer, other than in accordance with the Credit and Collection Policy, or payments to be made to the Post Office Boxes or Local Bank Account, other than in accordance with the terms of the Intercreditor Agreement and the Intercreditor Party Supplement and unless the Administrative Agent has received duly executed copies of all documentation related thereto.</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Contracts</w:t>
      </w:r>
      <w:r>
        <w:rPr>
          <w:rFonts w:ascii="Times New Roman" w:cs="Times New Roman" w:eastAsia="Times New Roman" w:hAnsi="Times New Roman"/>
          <w:sz w:val="22"/>
          <w:szCs w:val="22"/>
          <w:color w:val="auto"/>
        </w:rPr>
        <w:t>. The Servicer will not, except as otherwise permitted in Section 7.03(c)(i), extend, amend or otherwise modify the terms of any Contract.</w:t>
      </w:r>
    </w:p>
    <w:p>
      <w:pPr>
        <w:spacing w:after="0" w:line="157" w:lineRule="exact"/>
        <w:rPr>
          <w:rFonts w:ascii="Times New Roman" w:cs="Times New Roman" w:eastAsia="Times New Roman" w:hAnsi="Times New Roman"/>
          <w:sz w:val="22"/>
          <w:szCs w:val="22"/>
          <w:color w:val="auto"/>
        </w:rPr>
      </w:pPr>
    </w:p>
    <w:p>
      <w:pPr>
        <w:ind w:right="20" w:firstLine="757"/>
        <w:spacing w:after="0" w:line="258" w:lineRule="auto"/>
        <w:tabs>
          <w:tab w:leader="none" w:pos="1194"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Instruments</w:t>
      </w:r>
      <w:r>
        <w:rPr>
          <w:rFonts w:ascii="Times New Roman" w:cs="Times New Roman" w:eastAsia="Times New Roman" w:hAnsi="Times New Roman"/>
          <w:sz w:val="22"/>
          <w:szCs w:val="22"/>
          <w:color w:val="auto"/>
        </w:rPr>
        <w:t>. The Servicer shall take no action to cause any Receivable to be evidenced by any Instrument or “electronic chattel paper” (as defined in the UCC).</w:t>
      </w:r>
    </w:p>
    <w:p>
      <w:pPr>
        <w:spacing w:after="0" w:line="157"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The Servicer shall not sell, pledge, assign or transfer to any other Person, or grant, create, incur, assume or suffer to exist any Lien (other than any Permitted Lien) on the Collateral or any interest therein, the Servicer will notify the Custodian and the Administrative Agent of the existence of any Lien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spacing w:after="0" w:line="180" w:lineRule="exact"/>
        <w:rPr>
          <w:rFonts w:ascii="Times New Roman" w:cs="Times New Roman" w:eastAsia="Times New Roman" w:hAnsi="Times New Roman"/>
          <w:sz w:val="22"/>
          <w:szCs w:val="22"/>
          <w:color w:val="auto"/>
        </w:rPr>
      </w:pPr>
    </w:p>
    <w:p>
      <w:pPr>
        <w:jc w:val="both"/>
        <w:ind w:firstLine="757"/>
        <w:spacing w:after="0" w:line="259" w:lineRule="auto"/>
        <w:tabs>
          <w:tab w:leader="none" w:pos="1194"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Additional Covenants</w:t>
      </w:r>
      <w:r>
        <w:rPr>
          <w:rFonts w:ascii="Times New Roman" w:cs="Times New Roman" w:eastAsia="Times New Roman" w:hAnsi="Times New Roman"/>
          <w:sz w:val="20"/>
          <w:szCs w:val="20"/>
          <w:color w:val="auto"/>
        </w:rPr>
        <w:t>.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except as permitted herein or in the Credit and Collection Policy, (iv) prior to the payment in full of any Receivable, not sell, pledge, assign, or transfer to any other Person, or grant, create, incur, assume or suffer to exist any Lien on such Receivable or any interest therein, (v) immediately notify the Borrower, the Administrative Agent, the Backup Servicer and the Custodian (if other than UACC) of the existence of any Lien on any portion of the Collateral (other than any Permitted Lien) if the Servicer has actual knowledge thereof, (vi) defend the right, title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18" w:name="page519"/>
    <w:bookmarkEnd w:id="518"/>
    <w:p>
      <w:pPr>
        <w:jc w:val="both"/>
        <w:spacing w:after="0" w:line="231" w:lineRule="auto"/>
        <w:rPr>
          <w:sz w:val="20"/>
          <w:szCs w:val="20"/>
          <w:color w:val="auto"/>
        </w:rPr>
      </w:pPr>
      <w:r>
        <w:rPr>
          <w:rFonts w:ascii="Times New Roman" w:cs="Times New Roman" w:eastAsia="Times New Roman" w:hAnsi="Times New Roman"/>
          <w:sz w:val="22"/>
          <w:szCs w:val="22"/>
          <w:color w:val="auto"/>
        </w:rPr>
        <w:t>and interest of the Borrower, the Secured Parties, the Administrative Agent, and the Custodian in, to and under the Collateral against all claims of third parties claiming through or under the Servicer, (vii) transfer to the Local Bank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Administrative Agent, the Backup Servicer, the Account Bank, each Hedge Counterparty and the Custodian of the occurrence of any Servicer Termination Event and any breach, in any material respect, by the Servicer of any of its covenants or representations and warranties contained herein, (x) promptly notify the Borrower, the Administrative Agent, the Backup Servicer, the Account Bank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the Cutoff Date or any Funding Date, as the case may be, the current Schedule of Receivables, (xiii) with respect to any Receivable, deliver or cause to be delivered to the Custodian within one Business Day preceding the Closing Date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 on the Collateral or any interest therein. Notwithstanding any other provision of this Agreement, the Servicer may release any Financed Vehicle from the security interest created by the related Receivable when the Servicer deposits into the Collection Account an amount equal to the related Release Price or the entire amount of Insurance Proceeds, Recoveries and other Collections it has received or expects to receive with respect to such Receivable and such Financed Vehicle.</w:t>
      </w:r>
    </w:p>
    <w:p>
      <w:pPr>
        <w:spacing w:after="0" w:line="196"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The Servicer shall, within two Business Days of its receipt thereof, respond to reasonable written directions or written requests for information that the Borrower, the Administrative Agent, the Backup Servicer or the Custodian (if other than UACC) might have with respect to the administration of the Receivables.</w:t>
      </w:r>
    </w:p>
    <w:p>
      <w:pPr>
        <w:spacing w:after="0" w:line="172" w:lineRule="exact"/>
        <w:rPr>
          <w:sz w:val="20"/>
          <w:szCs w:val="20"/>
          <w:color w:val="auto"/>
        </w:rPr>
      </w:pPr>
    </w:p>
    <w:p>
      <w:pPr>
        <w:jc w:val="both"/>
        <w:ind w:firstLine="757"/>
        <w:spacing w:after="0" w:line="235" w:lineRule="auto"/>
        <w:tabs>
          <w:tab w:leader="none" w:pos="1207"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Servicer shall not, nor shall the Servicer’s Subsidiaries or Affiliates, request any Loan, and shall not, directly or indirectly use, and shall ensure that its directors, officers, employees and agents doo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19" w:name="page520"/>
    <w:bookmarkEnd w:id="519"/>
    <w:p>
      <w:pPr>
        <w:spacing w:after="0" w:line="258" w:lineRule="auto"/>
        <w:rPr>
          <w:sz w:val="20"/>
          <w:szCs w:val="20"/>
          <w:color w:val="auto"/>
        </w:rPr>
      </w:pPr>
      <w:r>
        <w:rPr>
          <w:rFonts w:ascii="Times New Roman" w:cs="Times New Roman" w:eastAsia="Times New Roman" w:hAnsi="Times New Roman"/>
          <w:sz w:val="22"/>
          <w:szCs w:val="22"/>
          <w:color w:val="auto"/>
        </w:rPr>
        <w:t>facilitate any activities or business in any Sanctioned Country or (iv) in any manner that would result in the violation of any Sanctions applicable to any Person participating in the transactions contemplated by this Agreement.</w:t>
      </w:r>
    </w:p>
    <w:p>
      <w:pPr>
        <w:spacing w:after="0" w:line="157" w:lineRule="exact"/>
        <w:rPr>
          <w:sz w:val="20"/>
          <w:szCs w:val="20"/>
          <w:color w:val="auto"/>
        </w:rPr>
      </w:pPr>
    </w:p>
    <w:p>
      <w:pPr>
        <w:jc w:val="both"/>
        <w:ind w:firstLine="757"/>
        <w:spacing w:after="0" w:line="239" w:lineRule="auto"/>
        <w:tabs>
          <w:tab w:leader="none" w:pos="1221" w:val="left"/>
        </w:tabs>
        <w:numPr>
          <w:ilvl w:val="0"/>
          <w:numId w:val="4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None of the Servicer or its ERISA Affiliates shall take any action to cause or that might reasonably be expected to result, directly or indirectly, in any Lien being imposed on the property of the Servicer or its ERISA Affiliates. None of the Servicer or its ERISA Affiliates shall sponsor, contribute to or have any obligation to contribute to, or have any liability with respect to any Pension Plan or Multiemployer Plan.</w:t>
      </w:r>
    </w:p>
    <w:p>
      <w:pPr>
        <w:spacing w:after="0" w:line="17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color w:val="auto"/>
        </w:rPr>
        <w:t>ARTICLE SEVEN</w:t>
      </w:r>
    </w:p>
    <w:p>
      <w:pPr>
        <w:spacing w:after="0" w:line="232" w:lineRule="exact"/>
        <w:rPr>
          <w:sz w:val="20"/>
          <w:szCs w:val="20"/>
          <w:color w:val="auto"/>
        </w:rPr>
      </w:pPr>
    </w:p>
    <w:p>
      <w:pPr>
        <w:ind w:left="760" w:right="2920" w:firstLine="2181"/>
        <w:spacing w:after="0" w:line="434" w:lineRule="auto"/>
        <w:rPr>
          <w:sz w:val="20"/>
          <w:szCs w:val="20"/>
          <w:color w:val="auto"/>
        </w:rPr>
      </w:pPr>
      <w:r>
        <w:rPr>
          <w:rFonts w:ascii="Times New Roman" w:cs="Times New Roman" w:eastAsia="Times New Roman" w:hAnsi="Times New Roman"/>
          <w:sz w:val="22"/>
          <w:szCs w:val="22"/>
          <w:color w:val="auto"/>
        </w:rPr>
        <w:t xml:space="preserve">ADMINISTRATION AND SERVICING OF RECEIVABLES Section 7.01. </w:t>
      </w:r>
      <w:r>
        <w:rPr>
          <w:rFonts w:ascii="Times New Roman" w:cs="Times New Roman" w:eastAsia="Times New Roman" w:hAnsi="Times New Roman"/>
          <w:sz w:val="22"/>
          <w:szCs w:val="22"/>
          <w:u w:val="single" w:color="auto"/>
          <w:color w:val="auto"/>
        </w:rPr>
        <w:t>Designation of Servicing</w:t>
      </w:r>
    </w:p>
    <w:p>
      <w:pPr>
        <w:spacing w:after="0" w:line="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Administrative Agent and the Borrower, at the direction of and on behalf of the Administrative Agent,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Servicing Compensation</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compensation for its servicing activities hereunder and reimbursement for its expenses, the Servicer shall be entitled to receive the Servicing Fee to the extent of funds available therefor pursuant to Section 2.08(i). The Servicer shall further be entitled to retain as additional servicing compensation any and all ancillary fees, extension fees and payments from Obligors, including late fees, administrative fees and similar charges allowed by Applicable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Duties of the Servicer</w:t>
      </w:r>
    </w:p>
    <w:p>
      <w:pPr>
        <w:spacing w:after="0" w:line="205" w:lineRule="exact"/>
        <w:rPr>
          <w:sz w:val="20"/>
          <w:szCs w:val="20"/>
          <w:color w:val="auto"/>
        </w:rPr>
      </w:pPr>
    </w:p>
    <w:p>
      <w:pPr>
        <w:jc w:val="both"/>
        <w:ind w:firstLine="757"/>
        <w:spacing w:after="0" w:line="239" w:lineRule="auto"/>
        <w:tabs>
          <w:tab w:leader="none" w:pos="1194"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w:t>
      </w:r>
      <w:r>
        <w:rPr>
          <w:rFonts w:ascii="Times New Roman" w:cs="Times New Roman" w:eastAsia="Times New Roman" w:hAnsi="Times New Roman"/>
          <w:sz w:val="22"/>
          <w:szCs w:val="22"/>
          <w:color w:val="auto"/>
        </w:rPr>
        <w:t>. The Servicer agrees that its servicing and collection of the Receivables shall be carried out in accordance with the Credit and Collection Policy,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w:t>
      </w:r>
    </w:p>
    <w:p>
      <w:pPr>
        <w:spacing w:after="0" w:line="17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Held in Trust</w:t>
      </w:r>
      <w:r>
        <w:rPr>
          <w:rFonts w:ascii="Times New Roman" w:cs="Times New Roman" w:eastAsia="Times New Roman" w:hAnsi="Times New Roman"/>
          <w:sz w:val="22"/>
          <w:szCs w:val="22"/>
          <w:color w:val="auto"/>
        </w:rPr>
        <w:t>. The Servicer shall hold in trust for the Secured Parties all records which evidence or relate to all or any part of the Collateral. In the event that the Backup Servicer assumes servicing responsibilities or a Successor Servicer, as applicable, is appointed, the outgoing Servicer shall promptly deliver to the Backup Servicer or the Successor Servicer, as applicable, and the Backup Servicer or the Successor Servicer, as applicable, shall hold in trust for the Borrower and the Secured Parties all records which evidence or relate to all or any part of the Collateral, other than the Receivable Files which shall be delivered to the successor Custodian.</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Practices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20" w:name="page521"/>
    <w:bookmarkEnd w:id="520"/>
    <w:p>
      <w:pPr>
        <w:jc w:val="both"/>
        <w:ind w:left="-360" w:firstLine="745"/>
        <w:spacing w:after="0" w:line="256" w:lineRule="auto"/>
        <w:tabs>
          <w:tab w:leader="none" w:pos="820" w:val="left"/>
        </w:tabs>
        <w:numPr>
          <w:ilvl w:val="0"/>
          <w:numId w:val="4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Secured Parties, and shall be deemed to be holding such funds in trust on behalf of and as agent for the Administrative Agent and the Secured Parties; provided, however, that the Servicer shall not be empowered to, and shall not, (x) make or attempt to make any change to the Authoritative Copy of any Electronic Contract which constitutes or evidences a Receivable, (y) change or attempt to change the legend or watermark on any Electronic Contract which constitutes or evidences a Receivable or the “Owner of Record” of the Warehouse Vault Partition or (z) except (i) in connection with a Securitization permitted under the terms hereof, (ii) upon payment in full of a Receivable or (iii) as directed by the Borrower with the written consent of the Administrative Agent, cause any Electronic Contract which constitutes or evidences a Receivable to be Exported or otherwise removed from the Warehouse Vault Partition. The Servicer, consistent with the Credit and Collection Policy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 or adjustments on a Contract as permitted by the Credit and Collection Policy then in effect, and amend or modify any Contract but [***]. The Servicer may in its discretion waive any late payment charge or any other fees, not including interest on the Principal Balance, that may be collected in the ordinary course of servicing a Receivable. The Servicer shall also enforce all rights of the Borrower under the Purchase Agreement (including each Transfer Agreement) including the right to require UACC to repurchase Receivables for breaches of representations and warranties made by UACC in the Purchase Agreement. Receivables in respect of which the Servicer has breached the foregoing provisions shall be repurchased by the Servicer pursuant to Section 5.04(c).</w:t>
      </w:r>
    </w:p>
    <w:p>
      <w:pPr>
        <w:spacing w:after="0" w:line="200" w:lineRule="exact"/>
        <w:rPr>
          <w:rFonts w:ascii="Times New Roman" w:cs="Times New Roman" w:eastAsia="Times New Roman" w:hAnsi="Times New Roman"/>
          <w:sz w:val="20"/>
          <w:szCs w:val="20"/>
          <w:color w:val="auto"/>
        </w:rPr>
      </w:pPr>
    </w:p>
    <w:p>
      <w:pPr>
        <w:spacing w:after="0" w:line="206" w:lineRule="exact"/>
        <w:rPr>
          <w:rFonts w:ascii="Times New Roman" w:cs="Times New Roman" w:eastAsia="Times New Roman" w:hAnsi="Times New Roman"/>
          <w:sz w:val="20"/>
          <w:szCs w:val="20"/>
          <w:color w:val="auto"/>
        </w:rPr>
      </w:pPr>
    </w:p>
    <w:p>
      <w:pPr>
        <w:jc w:val="both"/>
        <w:ind w:left="-360" w:firstLine="745"/>
        <w:spacing w:after="0" w:line="234" w:lineRule="auto"/>
        <w:tabs>
          <w:tab w:leader="none" w:pos="820"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Credit and Collection Policy, if at least [***]% of a Scheduled Payment due under a Receivable is not received by the end of the day on its due date, the Servicer will make reasonable and customary efforts to contact the Obligor. The Servicer shall continue its efforts to obtain payment from such Obligor who has not paid at least [***]%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and deposit thereof into the Local Bank Account, such Collections shall be deposited into the Collection Account.</w:t>
      </w:r>
    </w:p>
    <w:p>
      <w:pPr>
        <w:spacing w:after="0" w:line="184"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820"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521" w:name="page522"/>
    <w:bookmarkEnd w:id="521"/>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spacing w:after="0" w:line="179" w:lineRule="exact"/>
        <w:rPr>
          <w:sz w:val="20"/>
          <w:szCs w:val="20"/>
          <w:color w:val="auto"/>
        </w:rPr>
      </w:pPr>
    </w:p>
    <w:p>
      <w:pPr>
        <w:ind w:left="760" w:right="40" w:firstLine="745"/>
        <w:spacing w:after="0" w:line="258" w:lineRule="auto"/>
        <w:tabs>
          <w:tab w:leader="none" w:pos="1940" w:val="left"/>
        </w:tabs>
        <w:numPr>
          <w:ilvl w:val="1"/>
          <w:numId w:val="4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deposit or cause to be deposited by electronic funds transfer all Collections to the Collection Account no later than two Business Days after deposit into the Local Bank Account or otherwise.</w:t>
      </w:r>
    </w:p>
    <w:p>
      <w:pPr>
        <w:spacing w:after="0" w:line="157"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Recourse; Sales of Financed Vehicles</w:t>
      </w:r>
      <w:r>
        <w:rPr>
          <w:rFonts w:ascii="Times New Roman" w:cs="Times New Roman" w:eastAsia="Times New Roman" w:hAnsi="Times New Roman"/>
          <w:sz w:val="22"/>
          <w:szCs w:val="22"/>
          <w:color w:val="auto"/>
        </w:rPr>
        <w:t>. The Servicer, itself or through the use of independent contractors or agents, shall follow practices consistent with the Credit and Collection Policy, in its servicing of automotive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 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Subservicers</w:t>
      </w:r>
      <w:r>
        <w:rPr>
          <w:rFonts w:ascii="Times New Roman" w:cs="Times New Roman" w:eastAsia="Times New Roman" w:hAnsi="Times New Roman"/>
          <w:sz w:val="22"/>
          <w:szCs w:val="22"/>
          <w:color w:val="auto"/>
        </w:rPr>
        <w:t>. The Servicer may delegate in the ordinary course of business any or all of its duties and obligations hereunder to one or more Subservicers; provided, however, that the Servicer shall at all times remain responsible for the performance of such duties and obligations.</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Servicer shall:</w:t>
      </w:r>
    </w:p>
    <w:p>
      <w:pPr>
        <w:spacing w:after="0" w:line="205"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0" w:val="left"/>
        </w:tabs>
        <w:numPr>
          <w:ilvl w:val="1"/>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behalf of the Borrower, administer and enforce all rights and responsibilities of the Borrower, as owner of the Receivables, provided for in the Insurance Policies relating to the Receivables;</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0" w:val="left"/>
        </w:tabs>
        <w:numPr>
          <w:ilvl w:val="1"/>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customary servicing procedures and the Credit and Collection Policy, require that each Obligor shall have obtained physical damage insurance covering the Financed Vehicle as of the date of execution of the Contract;</w:t>
      </w:r>
    </w:p>
    <w:p>
      <w:pPr>
        <w:spacing w:after="0" w:line="172"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1"/>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 the filings of claims under the Insurance Policies by filing the appropriate notices related to claims, including initial notices of loss, as well as claims with the respective carriers or their authorized agents all in accordance with the terms of the Insurance Policies; and use reasonable efforts to file such claims on a timely basis after obtaining knowledge of the events giving rise to such claims; and</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utilize such notices, claim forms and claim procedures as are required by the respective insurance carriers.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2" w:name="page523"/>
    <w:bookmarkEnd w:id="522"/>
    <w:p>
      <w:pPr>
        <w:ind w:firstLine="749"/>
        <w:spacing w:after="0" w:line="258" w:lineRule="auto"/>
        <w:rPr>
          <w:sz w:val="20"/>
          <w:szCs w:val="20"/>
          <w:color w:val="auto"/>
        </w:rPr>
      </w:pPr>
      <w:r>
        <w:rPr>
          <w:rFonts w:ascii="Times New Roman" w:cs="Times New Roman" w:eastAsia="Times New Roman" w:hAnsi="Times New Roman"/>
          <w:sz w:val="22"/>
          <w:szCs w:val="22"/>
          <w:color w:val="auto"/>
        </w:rPr>
        <w:t>In the case of any inconsistency between this Agreement and the terms of any Insurance Policy, the Servicer shall comply with the latter.</w:t>
      </w:r>
    </w:p>
    <w:p>
      <w:pPr>
        <w:spacing w:after="0" w:line="157" w:lineRule="exact"/>
        <w:rPr>
          <w:sz w:val="20"/>
          <w:szCs w:val="20"/>
          <w:color w:val="auto"/>
        </w:rPr>
      </w:pPr>
    </w:p>
    <w:p>
      <w:pPr>
        <w:jc w:val="both"/>
        <w:ind w:firstLine="757"/>
        <w:spacing w:after="0" w:line="239" w:lineRule="auto"/>
        <w:tabs>
          <w:tab w:leader="none" w:pos="1194"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 to Restore</w:t>
      </w:r>
      <w:r>
        <w:rPr>
          <w:rFonts w:ascii="Times New Roman" w:cs="Times New Roman" w:eastAsia="Times New Roman" w:hAnsi="Times New Roman"/>
          <w:sz w:val="22"/>
          <w:szCs w:val="22"/>
          <w:color w:val="auto"/>
        </w:rPr>
        <w:t>. In the event of any physical loss or damage to a Financed Vehicle related to a Receivable from any cause, whether through accidental means or otherwise, the Servicer shall have no obligation to cause the affected Financed Vehicle to be restored or repaired. However, the Servicer shall comply with the provisions of any insurance policy or policies directly or indirectly related to any physical loss or damage to a Financed Vehicle.</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Fidelity Bond</w:t>
      </w:r>
      <w:r>
        <w:rPr>
          <w:rFonts w:ascii="Times New Roman" w:cs="Times New Roman" w:eastAsia="Times New Roman" w:hAnsi="Times New Roman"/>
          <w:sz w:val="22"/>
          <w:szCs w:val="22"/>
          <w:color w:val="auto"/>
        </w:rPr>
        <w:t>. The Servicer represents, warrants and covenants that it has obtained and shall continue to maintain in full force and effect a fidelity bond in such form and amount as is customary for prudent servicers acting as custodian of funds and documents in respect of consumer contracts similar to the Receivables on behalf of institutional investors.</w:t>
      </w:r>
    </w:p>
    <w:p>
      <w:pPr>
        <w:spacing w:after="0" w:line="172" w:lineRule="exact"/>
        <w:rPr>
          <w:rFonts w:ascii="Times New Roman" w:cs="Times New Roman" w:eastAsia="Times New Roman" w:hAnsi="Times New Roman"/>
          <w:sz w:val="22"/>
          <w:szCs w:val="22"/>
          <w:color w:val="auto"/>
        </w:rPr>
      </w:pPr>
    </w:p>
    <w:p>
      <w:pPr>
        <w:jc w:val="both"/>
        <w:ind w:firstLine="757"/>
        <w:spacing w:after="0" w:line="237" w:lineRule="auto"/>
        <w:tabs>
          <w:tab w:leader="none" w:pos="1221"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hereby directs the Servicer to take or cause to be taken such steps as are necessary, to maintain perfection of the security interest created by each such Receivable in the related Financed Vehicle. The Servicer shall, at the direction of the Borrower, the Administrative Agent or the Custodian, take any action necessary to preserve and protect the security interests of the Borrower, the Administrative Agent, the Secured Parties and the Custodian in the Receivables, including any action specified in any Opinion of Counsel delivered to the Servicer.</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221"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Financed Vehicles</w:t>
      </w:r>
      <w:r>
        <w:rPr>
          <w:rFonts w:ascii="Times New Roman" w:cs="Times New Roman" w:eastAsia="Times New Roman" w:hAnsi="Times New Roman"/>
          <w:sz w:val="22"/>
          <w:szCs w:val="22"/>
          <w:color w:val="auto"/>
        </w:rPr>
        <w:t>.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Administrative Agent, the Backup Servicer, the Account Bank or the Custodian to liability under any federal, State or local law, and that such enforcement by the Servicer will be conducted in accordance with the provisions of this Agreement, the Credit and Collection Policy and Applicable Law.</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Recordkeeping</w:t>
      </w:r>
      <w:r>
        <w:rPr>
          <w:rFonts w:ascii="Times New Roman" w:cs="Times New Roman" w:eastAsia="Times New Roman" w:hAnsi="Times New Roman"/>
          <w:sz w:val="22"/>
          <w:szCs w:val="22"/>
          <w:color w:val="auto"/>
        </w:rPr>
        <w:t>. The Servicer shall:</w:t>
      </w:r>
    </w:p>
    <w:p>
      <w:pPr>
        <w:spacing w:after="0" w:line="205"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1"/>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legible copies (in electronic or hard-copy form, in the discretion of the Servicer) or originals of all documents in its Servicer File with respect to each Receivable and the Financed Vehicle related thereto; and</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0" w:val="left"/>
        </w:tabs>
        <w:numPr>
          <w:ilvl w:val="1"/>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3" w:name="page524"/>
    <w:bookmarkEnd w:id="523"/>
    <w:p>
      <w:pPr>
        <w:ind w:left="760"/>
        <w:spacing w:after="0"/>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Collection of Payments</w:t>
      </w:r>
    </w:p>
    <w:p>
      <w:pPr>
        <w:spacing w:after="0" w:line="205" w:lineRule="exact"/>
        <w:rPr>
          <w:sz w:val="20"/>
          <w:szCs w:val="20"/>
          <w:color w:val="auto"/>
        </w:rPr>
      </w:pPr>
    </w:p>
    <w:p>
      <w:pPr>
        <w:jc w:val="both"/>
        <w:ind w:firstLine="757"/>
        <w:spacing w:after="0" w:line="239" w:lineRule="auto"/>
        <w:tabs>
          <w:tab w:leader="none" w:pos="1180"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the Post Office Boxes</w:t>
      </w:r>
      <w:r>
        <w:rPr>
          <w:rFonts w:ascii="Times New Roman" w:cs="Times New Roman" w:eastAsia="Times New Roman" w:hAnsi="Times New Roman"/>
          <w:sz w:val="22"/>
          <w:szCs w:val="22"/>
          <w:color w:val="auto"/>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and all such payments will be deposited into the Collection Account within two Business Days of receipt.</w:t>
      </w:r>
    </w:p>
    <w:p>
      <w:pPr>
        <w:spacing w:after="0" w:line="17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the Collection Account, Reserve Account and the Local Bank Account</w:t>
      </w:r>
      <w:r>
        <w:rPr>
          <w:rFonts w:ascii="Times New Roman" w:cs="Times New Roman" w:eastAsia="Times New Roman" w:hAnsi="Times New Roman"/>
          <w:sz w:val="22"/>
          <w:szCs w:val="22"/>
          <w:color w:val="auto"/>
        </w:rPr>
        <w:t>. The Servicer shall cause to be established, on or before the Closing Date, and maintain in the name of the Borrower, for the benefit of the Secured Parties, with a Qualified Institution which shall initially be the Account Bank, (i) the Collection Account and (ii) the Reserve Account, in each case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bank or trust company in connection with the maintenance of the Collection Account and the Reserve Account for its own account and shall not be entitled to any payment therefor. The Servicer shall maintain in its name for the benefit of the Secured Parties the Local Bank Account which shall be under the dominion and control of [***] under, and shall be subject to, the Intercreditor Agreement and the Intercreditor Party Supplement. Promptly after the Payment Date on which the entire Reserve Account Amount is withdrawn from the Reserve Account, the Account Bank shall terminate the Reserve Account.</w:t>
      </w:r>
    </w:p>
    <w:p>
      <w:pPr>
        <w:spacing w:after="0" w:line="184" w:lineRule="exact"/>
        <w:rPr>
          <w:rFonts w:ascii="Times New Roman" w:cs="Times New Roman" w:eastAsia="Times New Roman" w:hAnsi="Times New Roman"/>
          <w:sz w:val="22"/>
          <w:szCs w:val="22"/>
          <w:color w:val="auto"/>
        </w:rPr>
      </w:pPr>
    </w:p>
    <w:p>
      <w:pPr>
        <w:jc w:val="both"/>
        <w:ind w:firstLine="757"/>
        <w:spacing w:after="0" w:line="235" w:lineRule="auto"/>
        <w:tabs>
          <w:tab w:leader="none" w:pos="1221"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If the Servicer makes (i) a deposit into the Collection Account in respect of a collection of a Receivable and such collection was received by the Servicer in the form of a check that is not honored for any reason, (ii) a mistake with respect to the amount of any collection and deposits an amount that is less than or more than the actual amount of such collection or (iii) is entitled to reimbursement of any ancillary fees in accordance with Section 7.02, the Servicer shall appropriately adjust the amount subsequently deposited into the Collection Account to reflect such dishonored check, mistake or reimbursement. Any Scheduled Payment in respect of which a dishonored check is received shall be deemed not to have been paid.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Payment of Certain Expenses by Servicer</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Except for such amounts and expenses the Servicer is entitled to reimbursement as provided for herein, the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Servicer will be required to pay all reasonable fees and expenses owing to any bank or trust company in connection with the maintenance of the Collection Account and the Reserve Account. The Servicer shall be required to pay such expenses for its own account and shall not be entitled to any payment therefor other than the Servicing Fee.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4" w:name="page525"/>
    <w:bookmarkEnd w:id="524"/>
    <w:p>
      <w:pPr>
        <w:ind w:left="760"/>
        <w:spacing w:after="0"/>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Reports</w:t>
      </w:r>
    </w:p>
    <w:p>
      <w:pPr>
        <w:spacing w:after="0" w:line="205" w:lineRule="exact"/>
        <w:rPr>
          <w:sz w:val="20"/>
          <w:szCs w:val="20"/>
          <w:color w:val="auto"/>
        </w:rPr>
      </w:pPr>
    </w:p>
    <w:p>
      <w:pPr>
        <w:ind w:firstLine="757"/>
        <w:spacing w:after="0" w:line="258" w:lineRule="auto"/>
        <w:tabs>
          <w:tab w:leader="none" w:pos="1180"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On each Reporting Date, the Servicer will provide to the Borrower, the Administrative Agent, the Backup Servicer, the Account Bank and each Hedge Counterparty a Monthly Report</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207"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The Servicer will provide a Quarterly Report to the Administrative Agent and each Hedge Counterparty, within ten Business Days of receiving a request from the Administrative Agent for such report, which request may be made quarterly, but not more frequently unless required by regulators or to comply with Applicable Law (including Basel II and Basel III).</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Due Diligence</w:t>
      </w:r>
    </w:p>
    <w:p>
      <w:pPr>
        <w:spacing w:after="0" w:line="205"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Up to one (1) time each calendar year, beginning with 2022, at such times during normal business hours as are reasonably convenient to the Borrower or the Servicer, as the case may be, at the sole cost and expense of the Servicer (provided that such costs and expenses shall be limited to $[***] per annum unless a Termination Event, Unmatured Termination Event, Unmatured Servicer Termination Event or Servicer Termination Event shall have occurred and be continuing) and upon reasonable request of the Administrative Agent and prior written notice to the Borrower or the Servicer, as the case may be, the Borrower or the Servicer, as the case may be, shall permit such Person or Persons as the Administrative Agent may designate to conduct, on behalf of all of them, audits or to visit and inspect any of the properties of the Borrower or the Servicer (including any Subservicer) where the Receivable Files are located, as the case may be, to examine the Receivable Files, internal controls and procedures maintained by the Borrower or Servicer, as the case may be, and take copies and extracts therefrom, and to discuss the affairs of the Borrower and the Servicer (including any Subservicer) with their respective officers and employees (which employees, except after the occurrence and during the continuation of a Termination Event, Unmatured Termination Event, Unmatured Servicer Termination Event or Servicer Termination Event, shall be designated by the Borrower or the Servicer, as the case may be) and, upon written notice to the Borrower or the Servicer, as the case may be, independent accountants; provided, further, that after the occurrence and during the continuation of a Termination Event, Unmatured Termination Event, Unmatured Servicer Termination Event or Servicer Termination Event, the Administrative Agent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Administrative Agent and its representatives shall make reasonable efforts to coordinate, and provide 30 days’ prior written notice of, such audits, visits and inspections. The Borrower or the Servicer, as the case may be, hereby authorizes such officers, employees and independent accountants (and the Servicer shall cause each Subservicer to authorize such officers, employees and independent accountants) to discuss with the Administrative Agent and its representatives, the affairs of the Borrower or the Servicer, as the case may be. The Servicer shall reimburse the Administrative Agent for all reasonable fees, costs and expenses incurred by or on behalf of the Administrative Agent and the Secured Parties in connection with the foregoing actions promptly upon receipt of a written invoice therefor. Any audit provided for herein shall be conducted in accordance with the rules of the Borrower and Servicer respecting safety and security on its premises and without materially disrupting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5" w:name="page526"/>
    <w:bookmarkEnd w:id="525"/>
    <w:p>
      <w:pPr>
        <w:jc w:val="both"/>
        <w:spacing w:after="0" w:line="235" w:lineRule="auto"/>
        <w:rPr>
          <w:sz w:val="20"/>
          <w:szCs w:val="20"/>
          <w:color w:val="auto"/>
        </w:rPr>
      </w:pPr>
      <w:r>
        <w:rPr>
          <w:rFonts w:ascii="Times New Roman" w:cs="Times New Roman" w:eastAsia="Times New Roman" w:hAnsi="Times New Roman"/>
          <w:sz w:val="22"/>
          <w:szCs w:val="22"/>
          <w:color w:val="auto"/>
        </w:rPr>
        <w:t>operations. Nothing in this subsection shall affect the obligation of the Servicer to observe any Applicable Law prohibiting the disclosure of information regarding the Obligors, and the failure of the Servicer to provide access to information as a result of such obligation shall not constitute a breach of this subsection. In addition to the due diligence reviews specified above, the Backup Servicer may, subject to all terms and conditions specified in this subsection, conduct its own periodic due diligence reviews, at the sole cost and expense of the Servicer (provided that such costs and expenses shall be limited to a maximum of $[***] per visit in the case of any due diligence review done at the request of the Backup Servicer prior to the occurrence and continuance of a Servicer Termination Event or the Termination Date, and thereafter, without such cost and expense cap).</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u w:val="single" w:color="auto"/>
          <w:color w:val="auto"/>
        </w:rPr>
        <w:t>Annual Statement as to Compliance</w:t>
      </w:r>
    </w:p>
    <w:p>
      <w:pPr>
        <w:spacing w:after="0" w:line="219" w:lineRule="exact"/>
        <w:rPr>
          <w:sz w:val="20"/>
          <w:szCs w:val="20"/>
          <w:color w:val="auto"/>
        </w:rPr>
      </w:pPr>
    </w:p>
    <w:p>
      <w:pPr>
        <w:jc w:val="both"/>
        <w:ind w:firstLine="749"/>
        <w:spacing w:after="0" w:line="223" w:lineRule="auto"/>
        <w:rPr>
          <w:sz w:val="20"/>
          <w:szCs w:val="20"/>
          <w:color w:val="auto"/>
        </w:rPr>
      </w:pPr>
      <w:r>
        <w:rPr>
          <w:rFonts w:ascii="Times New Roman" w:cs="Times New Roman" w:eastAsia="Times New Roman" w:hAnsi="Times New Roman"/>
          <w:sz w:val="22"/>
          <w:szCs w:val="22"/>
          <w:color w:val="auto"/>
        </w:rPr>
        <w:t>The Servicer shall deliver to the Administrative Agent and the Backup Servicer, on or before April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each year, beginning in 2020, an Officer’s Certificate, dated as of the preceding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Annual Independent Public Accountant’s Reports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To the extent prepared on behalf of the Servicer in connection with the public offering of securities backed by or relating to automobile receivables, the Servicer will deliver to the Administrative Agent, on or before April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each year beginning in 2020, a copy of a report prepared by a firm of independent certified public accountants, who may also render other services to the Servicer or any of its Affiliates, addressed to the Board of Directors of the Servicer or any of its Affiliates, and the Administrative Agent and dated during the current year, to the effect that such firm has examined the Servicer’s policies and procedures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longer period in the case of the first sale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6" w:name="page527"/>
    <w:bookmarkEnd w:id="526"/>
    <w:p>
      <w:pPr>
        <w:jc w:val="both"/>
        <w:spacing w:after="0" w:line="234" w:lineRule="auto"/>
        <w:rPr>
          <w:sz w:val="20"/>
          <w:szCs w:val="20"/>
          <w:color w:val="auto"/>
        </w:rPr>
      </w:pPr>
      <w:r>
        <w:rPr>
          <w:rFonts w:ascii="Times New Roman" w:cs="Times New Roman" w:eastAsia="Times New Roman" w:hAnsi="Times New Roman"/>
          <w:sz w:val="22"/>
          <w:szCs w:val="22"/>
          <w:color w:val="auto"/>
        </w:rPr>
        <w:t>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or private offerings of automobile receivable-backed securities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Administrative Agent shall be deemed to satisfy the provisions of this Section.</w:t>
      </w:r>
    </w:p>
    <w:p>
      <w:pPr>
        <w:spacing w:after="0" w:line="18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such independent certified public accountants require the Custodian, the Account Bank or the Backup Servicer to agree to the procedures to be performed by such firm in any of the reports required to be prepared pursuant to this Section, the Servicer shall direct the Custodian, the Account Bank or the Backup Servicer in writing to so agree; it being understood and agreed that the Custodian, the Account Bank or the Backup Servicer will deliver such letter of agreement in conclusive reliance upon the direction of the Servicer, and the Custodian, the Account Bank and the Backup Servicer have not made any independent inquiry or investigation as to, and shall have no obligation or liability in respect of, the sufficiency, validity or correctness of such procedures.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Such report shall also indicate that the firm is “Independent” of the Servicer and its Affiliates within the meaning of the Code of Professional Ethics of the American Institute of Certified Public Accountants.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Rights Prior to Assumption of Duties by the Backup Servicer or Designation of Successor Servicer</w:t>
      </w:r>
    </w:p>
    <w:p>
      <w:pPr>
        <w:spacing w:after="0" w:line="205" w:lineRule="exact"/>
        <w:rPr>
          <w:sz w:val="20"/>
          <w:szCs w:val="20"/>
          <w:color w:val="auto"/>
        </w:rPr>
      </w:pPr>
    </w:p>
    <w:p>
      <w:pPr>
        <w:jc w:val="both"/>
        <w:ind w:firstLine="757"/>
        <w:spacing w:after="0" w:line="232" w:lineRule="auto"/>
        <w:tabs>
          <w:tab w:leader="none" w:pos="1180" w:val="left"/>
        </w:tabs>
        <w:numPr>
          <w:ilvl w:val="0"/>
          <w:numId w:val="4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each Reporting Date, the Servicer shall deliver to the Backup Servicer an electronic file containing all information necessary to carry out any servicing obligations under this Agreement, sufficient to allow the Backup Servicer to review the Monthly Report related thereto and determine that such Monthly Report is readable and contains all information necessary for the Backup Servicer to complete its duties. The Backup Servicer shall, within five Business Days of each Reporting Date, load the electronic file received from the Servicer, confirm such computer tape or diskette is in readable form and verify (i) the aggregate Principal Balance of all Receivables as of the most recent Determination Date, (ii) each Concentration Limit and (iii) the Net Principal Balance as set forth in the Monthly Report. The Backup Servicer shall further verify the Borrowing Base, Monthly Principal Payment Amount, Servicing Fees, Account Bank Fee and Backup Servicing Fee (excluding any additional fees), amounts remaining to be distributed to the Borrower in accordance with Section 2.08, the Reserve Account Amount as of the end of the Collection Period, the Annualized Default Ratio, the Annualized Net Loss Ratio, the Collateral Coverage Ratio, the UACC Excess Spread Percentage, the Vroom Excess Spread Percentage, and the Overcollateralization Percentage based solely on a mathematical recalculation of the information contained in the Monthly Report as of the related Reporting Date (calculated as of the related Determination Date, or, with respect to Receivables added to the Collateral following such Determination Date, but prior to the date of such Monthly Report, the related Cutoff Date). In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7" w:name="page528"/>
    <w:bookmarkEnd w:id="527"/>
    <w:p>
      <w:pPr>
        <w:jc w:val="both"/>
        <w:spacing w:after="0" w:line="232" w:lineRule="auto"/>
        <w:rPr>
          <w:sz w:val="20"/>
          <w:szCs w:val="20"/>
          <w:color w:val="auto"/>
        </w:rPr>
      </w:pPr>
      <w:r>
        <w:rPr>
          <w:rFonts w:ascii="Times New Roman" w:cs="Times New Roman" w:eastAsia="Times New Roman" w:hAnsi="Times New Roman"/>
          <w:sz w:val="22"/>
          <w:szCs w:val="22"/>
          <w:color w:val="auto"/>
        </w:rPr>
        <w:t>addition, the Backup Servicer shall verify any other amounts or calculations as may be mutually agreed to by the Administrative Agent and the Backup Servicer based solely on a mathematical recalculation of the information contained in the Monthly Report as of the related Reporting Date. In the event of any discrepancy between the information set forth in the three foregoing sentences, as calculated by the Servicer, from that determined or calculated by the Backup Servicer, the Backup Servicer shall promptly notify the Servicer and, if within five days of such notice being provided to the Servicer, the Backup Servicer and the Servicer are unable to resolve such discrepancy, the Backup Servicer shall promptly notify the Administrative Agent of such discrepancy. The Servicer shall cooperate with the Backup Servicer to ensure that the Monthly Report contains sufficient information for the Backup Servicer to perform its duties hereunder. Notwithstanding the foregoing, if the electronic file or Monthly Report does not contain sufficient information for the Backup Servicer to perform its duties hereunder, the Backup Servicer shall promptly notify the Servicer of any additional information to be delivered by the Servicer to the Backup Servicer, and the Backup Servicer and the Servicer shall mutually agree upon the form thereof; provided, however, that the Backup Servicer shall not be liable for the performance of any action unable to be taken hereunder without such additional information until it is received from the Servicer. In the performance of its duties hereunder, the Backup Servicer shall be entitled to conclusively rely on the Monthly Report or written notice with respect to the occurrence of any Overcollateralization Increase Event, Termination Date or other event which affects the verification obligations of the Backup Servicer, with no duty to independently verify the information therein or confirm whether any such event has occurred or otherwise make any determination with respect thereto.</w:t>
      </w:r>
    </w:p>
    <w:p>
      <w:pPr>
        <w:spacing w:after="0" w:line="185" w:lineRule="exact"/>
        <w:rPr>
          <w:sz w:val="20"/>
          <w:szCs w:val="20"/>
          <w:color w:val="auto"/>
        </w:rPr>
      </w:pPr>
    </w:p>
    <w:p>
      <w:pPr>
        <w:jc w:val="both"/>
        <w:ind w:firstLine="757"/>
        <w:spacing w:after="0" w:line="258" w:lineRule="auto"/>
        <w:tabs>
          <w:tab w:leader="none" w:pos="1180"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request in writing, up to four times per calendar year, that the Servicer use commercially reasonable efforts to promptly deliver to the Backup Servicer the Test Data File, in a format acceptable to the Backup Servicer; provided, that if an Overcollateralization Increase Event shall have occurred and is continuing, the Administrative Agent may make such request at any time. The Backup Servicer and the Servicer will agree upon the file layout and electronic medium to transfer such data to the Backup Servicer. The Backup Servicer shall confirm to the Servicer and the Administrative Agent in writing that the Test Data File is in the correct format or if any changes or modifications are necessary. The Backup Servicer shall confirm in writing to the Servicer and the Administrative Agent that it has received and verified the completeness of the Test Data File within 90 days of receipt of such Test Data File; provided, however, that such confirmation shall not be deemed to apply to the accuracy of the Test Data File data as provided by the Servicer, but shall be deemed only to apply to the accuracy of the conversion of the Test Data Files to the Backup Servicer’s internal systems. The cost of loading the Test Data File will be paid by the Servicer and, to the extent not paid, will be paid in accordance with Section 2.08(ii).</w:t>
      </w:r>
    </w:p>
    <w:p>
      <w:pPr>
        <w:spacing w:after="0" w:line="166" w:lineRule="exact"/>
        <w:rPr>
          <w:rFonts w:ascii="Times New Roman" w:cs="Times New Roman" w:eastAsia="Times New Roman" w:hAnsi="Times New Roman"/>
          <w:sz w:val="20"/>
          <w:szCs w:val="20"/>
          <w:color w:val="auto"/>
        </w:rPr>
      </w:pPr>
    </w:p>
    <w:p>
      <w:pPr>
        <w:jc w:val="both"/>
        <w:ind w:firstLine="757"/>
        <w:spacing w:after="0" w:line="244" w:lineRule="auto"/>
        <w:tabs>
          <w:tab w:leader="none" w:pos="1180"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specifically set forth elsewhere in this Agreement, the Backup Servicer shall have no obligation to supervise, verify, monitor or administer the performance of the Servicer and shall have no duty, responsibility, obligation or liability for any action taken or omitted by the Servicer.</w:t>
      </w:r>
    </w:p>
    <w:p>
      <w:pPr>
        <w:spacing w:after="0" w:line="172"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consult with the Servicer as may be necessary from time to time to perform or carry out the Backup Servicer’s obligations hereunder, including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8" w:name="page529"/>
    <w:bookmarkEnd w:id="528"/>
    <w:p>
      <w:pPr>
        <w:ind w:right="20"/>
        <w:spacing w:after="0" w:line="258" w:lineRule="auto"/>
        <w:rPr>
          <w:sz w:val="20"/>
          <w:szCs w:val="20"/>
          <w:color w:val="auto"/>
        </w:rPr>
      </w:pPr>
      <w:r>
        <w:rPr>
          <w:rFonts w:ascii="Times New Roman" w:cs="Times New Roman" w:eastAsia="Times New Roman" w:hAnsi="Times New Roman"/>
          <w:sz w:val="22"/>
          <w:szCs w:val="22"/>
          <w:color w:val="auto"/>
        </w:rPr>
        <w:t>obligation, if requested in writing by the Administrative Agent, to succeed to the duties and obligations of the Servicer pursuant hereto.</w:t>
      </w:r>
    </w:p>
    <w:p>
      <w:pPr>
        <w:spacing w:after="0" w:line="157" w:lineRule="exact"/>
        <w:rPr>
          <w:sz w:val="20"/>
          <w:szCs w:val="20"/>
          <w:color w:val="auto"/>
        </w:rPr>
      </w:pPr>
    </w:p>
    <w:p>
      <w:pPr>
        <w:ind w:left="1180" w:hanging="423"/>
        <w:spacing w:after="0"/>
        <w:tabs>
          <w:tab w:leader="none" w:pos="1180"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indemnified by the Servicer and the Borrower from and against any fee, damage, loss, liability or expense incurred (including the reasonable fees and expenses of counsel and court costs, including, without limitation, those incurred in connection with any enforcement (including any action, claim, or suit brought) by the Backup Servicer of any indemnification or other obligation of Servicer or Borrower) on any matter arising out of this Agreement to the extent the act or omission giving rise to the claim accrues before the date on which the Backup Servicer assumes the duties of Servicer hereunder, except for any claims, damages, losses or expenses arising from the Backup Servicer’s own gross negligence, bad faith or willful misconduct. Payments in respect of any indemnity by the Borrower shall be paid, to the extent of funds available therefor, in accordance with the priorities set forth in Section 2.08. Notwithstanding the foregoing, if a successor to the Backup Servicer is appointed hereunder, then the Servicer and the Borrower shall have no obligations to indemnify the successor Backup Servicer except to the extent that the Servicer and the Borrower have consented, in their reasonable discretion, to the selection of the successor Backup Servicer. This indemnification shall survive the resignation or removal of the Backup Servicer, and the termination or assignment of this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into which the Backup Servicer (including in its role as Successor Servicer) may be merged or converted or with which it may be consolidated, or any entity resulting from any merger, conversion or consolidation to which the Backup Servicer shall be a party, or any entity to which substantially all the corporate trust business of the Backup Servicer may be transferred, shall be the Backup Servicer under this Agreement without further act.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Rights After Assumption of Duties by Backup Servicer or Designation of Successor Servicer; Liability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 any time following the assumption of the duties of the Servicer by a Backup Servicer or the designation of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 Servicer pursuant to Section 7.14 as a result of the occurrence of a Servicer Termination Event:</w:t>
      </w:r>
    </w:p>
    <w:p>
      <w:pPr>
        <w:spacing w:after="0" w:line="181" w:lineRule="exact"/>
        <w:rPr>
          <w:sz w:val="20"/>
          <w:szCs w:val="20"/>
          <w:color w:val="auto"/>
        </w:rPr>
      </w:pPr>
    </w:p>
    <w:p>
      <w:pPr>
        <w:jc w:val="both"/>
        <w:ind w:firstLine="757"/>
        <w:spacing w:after="0" w:line="234" w:lineRule="auto"/>
        <w:tabs>
          <w:tab w:leader="none" w:pos="1180" w:val="left"/>
        </w:tabs>
        <w:numPr>
          <w:ilvl w:val="0"/>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on behalf of the Borrower, shall, at the Administrative Agent’s request, (i) assemble all of the records relating to the Collateral, including all Receivable Files, and shall make the same available to the Administrative Agent, the Backup Servicer or any other Successor Servicer at a place selected by the Administrative Agent or, with the Administrative Agent’s prior written consent, by the Backup Servicer or such other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29" w:name="page530"/>
    <w:bookmarkEnd w:id="529"/>
    <w:p>
      <w:pPr>
        <w:jc w:val="both"/>
        <w:ind w:firstLine="757"/>
        <w:spacing w:after="0" w:line="239" w:lineRule="auto"/>
        <w:tabs>
          <w:tab w:leader="none" w:pos="11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spacing w:after="0" w:line="17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be liable in accordance herewith only to the extent of the obligations specifically undertaken by the Backup Servicer in such capacity herein. Such liability is limited to only those actions taken or omitted to be taken by the Backup Servicer and caused through its gross negligence, bad faith or willful misconduct. No implied covenants or obligations shall be read into this Agreement against the Backup Servicer and, in the absence of bad faith on its part, the Backup Servicer may conclusively rely on the truth of the statements and the correctness of the opinions expressed in any certificates or opinions furnished to the Backup Servicer and conforming to the requirements of this Agreement.</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not be charged with knowledge of any Termination Event or Unmatured Termination Event unless a Responsible Officer of the Backup Servicer obtains actual knowledge of such event or receives written notice of such event from the Borrower, the Servicer or the Administrative Agent.</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Backup Servicer shall not be required to expend or risk its own funds or otherwise incur financial liability in the performance of its duties hereunder, or in the exercise of any of its rights or powers, if the repayment of such funds or adequate indemnity against such risks or liability is not reasonably assured to it in writing prior to the expenditure of such funds or the incurrence of financial liability. Notwithstanding any provision to the contrary, the Backup Servicer, so long as it is not the Successor Servicer, shall not be liable for any obligation of the Servicer contained in this Agreement, and the parties shall look only to the Servicer to perform such obligations.</w:t>
      </w:r>
    </w:p>
    <w:p>
      <w:pPr>
        <w:spacing w:after="0" w:line="179" w:lineRule="exact"/>
        <w:rPr>
          <w:rFonts w:ascii="Times New Roman" w:cs="Times New Roman" w:eastAsia="Times New Roman" w:hAnsi="Times New Roman"/>
          <w:sz w:val="22"/>
          <w:szCs w:val="22"/>
          <w:color w:val="auto"/>
        </w:rPr>
      </w:pPr>
    </w:p>
    <w:p>
      <w:pPr>
        <w:jc w:val="both"/>
        <w:ind w:firstLine="757"/>
        <w:spacing w:after="0" w:line="258" w:lineRule="auto"/>
        <w:tabs>
          <w:tab w:leader="none" w:pos="1180"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this Agreement, the Backup Servicer, as successor Servicer, may accept and reasonably rely on all accounting, records and work of the Servicer without audit, and the Backup Servicer, as successor Servicer, shall have no duty, responsibility, obligation or liability for the acts or omissions of the Servicer. If any error, inaccuracy or omission (collectively, “Errors”) exists in any information received from the Servicer, and such Errors should cause or materially contribute to the Backup Servicer, as the successor Servicer, making or continuing any Errors (collectively, “Continued Errors”), the Backup Servicer, as the successor Servicer, shall have no duty, responsibility, obligation or liability for such Continued Errors; provided, however, that the Backup Servicer, as the successor Servicer, agrees to use its best efforts to prevent further Continued Errors. In the event the Backup Servicer, as the successor Servicer, has actual knowledge or has received written notice of Errors or Continued Errors, the Backup Servicer shall, with the prior consent of the Administrative Agent, use its best efforts to reconstruct and reconcile such data as is commercially reasonable to correct such Errors and Continued Errors and prevent future Continued Errors. The Backup Servicer, as the successor Servicer, shall be entitled to recover its costs thereby expended from the Servicer (or, to the extent not paid by the Servicer, in accordance with Section 2.08).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0" w:name="page531"/>
    <w:bookmarkEnd w:id="530"/>
    <w:p>
      <w:pPr>
        <w:ind w:left="760"/>
        <w:spacing w:after="0"/>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Limitation on Liability of the Servicer and Others</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misfeasance, bad faith or negligence in the performance of duties or by reason of its willful misconduct hereunder.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7.13.  </w:t>
      </w:r>
      <w:r>
        <w:rPr>
          <w:rFonts w:ascii="Times New Roman" w:cs="Times New Roman" w:eastAsia="Times New Roman" w:hAnsi="Times New Roman"/>
          <w:sz w:val="22"/>
          <w:szCs w:val="22"/>
          <w:u w:val="single" w:color="auto"/>
          <w:color w:val="auto"/>
        </w:rPr>
        <w:t>The Servicer Not to Resign</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and the Receivable Files shall have been delivered to a successor Custodian.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Servicer Termination Events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occurrence and continuance of any one of the following events shall constitute a “Servicer Termination Event” hereunder:</w:t>
      </w:r>
    </w:p>
    <w:p>
      <w:pPr>
        <w:spacing w:after="0" w:line="157"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Upon the occurrence of any of the foregoing,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each Hedge Counterparty, the Backup Servicer and the Custodian) (each, a “Servicer Termination Notice”), may terminate all of the rights and obligations of the Servicer as Servicer under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Appointment of Successor Servicer</w:t>
      </w:r>
    </w:p>
    <w:p>
      <w:pPr>
        <w:spacing w:after="0" w:line="205" w:lineRule="exact"/>
        <w:rPr>
          <w:sz w:val="20"/>
          <w:szCs w:val="20"/>
          <w:color w:val="auto"/>
        </w:rPr>
      </w:pPr>
    </w:p>
    <w:p>
      <w:pPr>
        <w:jc w:val="both"/>
        <w:ind w:firstLine="757"/>
        <w:spacing w:after="0" w:line="234" w:lineRule="auto"/>
        <w:tabs>
          <w:tab w:leader="none" w:pos="1180"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receipt by the Servicer of a Servicer Termination Notice,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the Backup Servicer and the Administrative Agent. The Administrative Agent may, in its discretion, at the time described in the immediately preceding sentence, appoint the Backup Servicer as the Successor Servicer hereunder, and the Backup Servicer shall on such date assume all duties and obligations of the Servicer hereunder, and all authority and power of the Servicer under this Agreement shall pass to and be vested in the Backup Servicer, except to the extent otherwise set forth herein.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1" w:name="page532"/>
    <w:bookmarkEnd w:id="531"/>
    <w:p>
      <w:pPr>
        <w:jc w:val="both"/>
        <w:ind w:firstLine="757"/>
        <w:spacing w:after="0" w:line="235" w:lineRule="auto"/>
        <w:tabs>
          <w:tab w:leader="none" w:pos="118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Administrative Agent does not so appoint the Backup Servicer to succeed the Servicer as Servicer hereunder or the Backup Servicer is unable to assume such obligations on such date, the Administrative Agent shall as promptly as possible appoint a successor servicer (the “Successor Servicer”), and such Successor Servicer shall accept its appointment by a written assumption in a form acceptable to the Administrative Agent. In the event that a Successor Servicer has not accepted its appointment at the time when the Servicer ceases to act as Servicer, the Administrative Agent shall petition a court of competent jurisdiction to appoint any established financial institution having a net worth of not less than $[***] and whose regular business includes the servicing of subprime automobile receivables as the Successor Servicer hereunder.</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and removal of the Servicer, the predecessor Servicer shall cooperate with the Successor Servicer or the Backup Servicer, as applicable, in effecting the termination of the rights and responsibilities of the predecessor Servicer under this Agreement, including the transfer to the Backup Servicer or the Successor Servicer, as applicable, for administration by it of all cash amounts that shall at the time be held by the predecessor Servicer for deposit, or shall thereafter be received, with respect to a Receivable, and the related accounts and records maintained by the Servicer. In the case that the Backup Servicer or any other Successor Servicer shall not agree to perform any duties or obligations of the Servicer hereunder, such duties or obligations may be performed or delegated by the Administrative Agent. The Servicer, if other than UACC, shall as soon as practicable upon demand, deliver to the Borrower all records in its possession which evidence or relate to Indebtedness of an Obligor which is not a Receivable.</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the same rights of removal and termination for cause with respect to the Backup Servicer or any other Successor Servicer as with respect to UACC as the Servicer.</w:t>
      </w:r>
    </w:p>
    <w:p>
      <w:pPr>
        <w:spacing w:after="0" w:line="15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out-of-pocket costs and expenses (including attorneys’ fees and disbursements) incurred in connection with the transferring of Receivables from the Servicer to the Successor Servicer or the Backup Servicer, as the case may be, converting the Servicer’s data to the computer system of the Successor Servicer or the Backup Servicer, as the case may be, and amending this Agreement to reflect such succession as Servicer pursuant to this Section shall be paid by the predecessor Servicer upon presentation of reasonable transition expenses not exceeding $[***] (the “Transition Expenses”). In no event shall the Backup Servicer, if it becomes the Successor Servicer, be responsible for any Transition Expenses. If the predecessor Servicer fails to pay the Transition Expenses, the Transition Expenses shall be payable pursuant to Section 2.08.</w:t>
      </w:r>
    </w:p>
    <w:p>
      <w:pPr>
        <w:spacing w:after="0" w:line="180"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appointment and acceptance, the Backup Servicer (subject to Section 7.15(a)) or the Successor Servicer, as applicable, shall, except as otherwise set forth in this Agreement,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or the Successor Servicer, as applicable; provided, however, that any Successor Servicer (including the Backup Servicer) shall have (i) no liability with respect to any obligation which was required to be performed by the predecessor Servicer prior to the date that the successor becomes the Successor Servicer or 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32" w:name="page533"/>
    <w:bookmarkEnd w:id="532"/>
    <w:p>
      <w:pPr>
        <w:jc w:val="both"/>
        <w:spacing w:after="0" w:line="236" w:lineRule="auto"/>
        <w:rPr>
          <w:sz w:val="20"/>
          <w:szCs w:val="20"/>
          <w:color w:val="auto"/>
        </w:rPr>
      </w:pPr>
      <w:r>
        <w:rPr>
          <w:rFonts w:ascii="Times New Roman" w:cs="Times New Roman" w:eastAsia="Times New Roman" w:hAnsi="Times New Roman"/>
          <w:sz w:val="22"/>
          <w:szCs w:val="22"/>
          <w:color w:val="auto"/>
        </w:rPr>
        <w:t>claim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to this Agreement and (v) no liability or obligation with respect to any Servicer indemnification obligations of any prior Servicer, including UACC. The indemnification obligations of the Backup Servicer, upon becoming a successor Servicer are expressly limited to those instances of gross negligence or willful misconduct of the Backup Servicer in its role as Successor Servicer.</w:t>
      </w:r>
    </w:p>
    <w:p>
      <w:pPr>
        <w:spacing w:after="0" w:line="179" w:lineRule="exact"/>
        <w:rPr>
          <w:sz w:val="20"/>
          <w:szCs w:val="20"/>
          <w:color w:val="auto"/>
        </w:rPr>
      </w:pPr>
    </w:p>
    <w:p>
      <w:pPr>
        <w:jc w:val="both"/>
        <w:ind w:firstLine="757"/>
        <w:spacing w:after="0" w:line="236" w:lineRule="auto"/>
        <w:tabs>
          <w:tab w:leader="none" w:pos="1180"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Servicer shall act as Servicer hereunder and shall, subject to the availability of sufficient funds in the Collection Account pursuant to Section 2.08(i) (up to the Servicing Fee), receive as compensation therefor the Servicing Fee pursuant to Section 2.12(b).</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7.16.  </w:t>
      </w:r>
      <w:r>
        <w:rPr>
          <w:rFonts w:ascii="Times New Roman" w:cs="Times New Roman" w:eastAsia="Times New Roman" w:hAnsi="Times New Roman"/>
          <w:sz w:val="22"/>
          <w:szCs w:val="22"/>
          <w:u w:val="single" w:color="auto"/>
          <w:color w:val="auto"/>
        </w:rPr>
        <w:t>Merger or Consolidation, Assumption of Obligations or Resignation of the Servicer</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acceptable to the Administrative Agent to perform every obligation of the Servicer hereunder, shall, with the prior written consent of the Administrative Agent (which consent shall not be unreasonably withheld, conditioned or delayed), be the successor to the Servicer under this Agreement without further act on the part of any of the parties to this Agreement; provided, however, that:</w:t>
      </w:r>
    </w:p>
    <w:p>
      <w:pPr>
        <w:spacing w:after="0" w:line="181" w:lineRule="exact"/>
        <w:rPr>
          <w:sz w:val="20"/>
          <w:szCs w:val="20"/>
          <w:color w:val="auto"/>
        </w:rPr>
      </w:pPr>
    </w:p>
    <w:p>
      <w:pPr>
        <w:ind w:left="760" w:right="60" w:firstLine="745"/>
        <w:spacing w:after="0" w:line="258" w:lineRule="auto"/>
        <w:tabs>
          <w:tab w:leader="none" w:pos="1940"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written notice of such consolidation, merger, succession or resignation shall be delivered by the Servicer to the Administrative Agent and the Custodian;</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0"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consolidation, merger, succession or resignation, no Servicer Termination Event and no event which after notice or lapse of time, or both, would become a Servicer Termination Event shall have occurred and be continuing;</w:t>
      </w:r>
    </w:p>
    <w:p>
      <w:pPr>
        <w:spacing w:after="0" w:line="172"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0"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Termination Event or Unmatured Termination Event would occur as result of such consolidation, merger, succession or resignation;</w:t>
      </w:r>
    </w:p>
    <w:p>
      <w:pPr>
        <w:spacing w:after="0" w:line="157"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0"/>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Administrative Agent, the Backup Servicer and the Custodian (if other than UACC) 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3" w:name="page534"/>
    <w:bookmarkEnd w:id="53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spacing w:after="0" w:line="172" w:lineRule="exact"/>
        <w:rPr>
          <w:sz w:val="20"/>
          <w:szCs w:val="20"/>
          <w:color w:val="auto"/>
        </w:rPr>
      </w:pPr>
    </w:p>
    <w:p>
      <w:pPr>
        <w:jc w:val="both"/>
        <w:ind w:left="760" w:firstLine="745"/>
        <w:spacing w:after="0" w:line="236" w:lineRule="auto"/>
        <w:tabs>
          <w:tab w:leader="none" w:pos="1940"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Borrower, the Administrative Agent, the Backup Servicer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7.17.  </w:t>
      </w:r>
      <w:r>
        <w:rPr>
          <w:rFonts w:ascii="Times New Roman" w:cs="Times New Roman" w:eastAsia="Times New Roman" w:hAnsi="Times New Roman"/>
          <w:sz w:val="22"/>
          <w:szCs w:val="22"/>
          <w:u w:val="single" w:color="auto"/>
          <w:color w:val="auto"/>
        </w:rPr>
        <w:t>Responsibilities of the Borrower</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Section 2.08(ix), any Taxes, including any sales taxes payable in connection with the Receivables and their creation and satisfaction. Neither the Administrative Agent nor any Secured Party shall have any obligation or liability with respect to any Receivable, nor shall any of them be obligated to perform any of the obligations of the Borrower thereunder.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7.18.  </w:t>
      </w:r>
      <w:r>
        <w:rPr>
          <w:rFonts w:ascii="Times New Roman" w:cs="Times New Roman" w:eastAsia="Times New Roman" w:hAnsi="Times New Roman"/>
          <w:sz w:val="22"/>
          <w:szCs w:val="22"/>
          <w:u w:val="single" w:color="auto"/>
          <w:color w:val="auto"/>
        </w:rPr>
        <w:t>Custody of Receivable Files.</w:t>
      </w:r>
    </w:p>
    <w:p>
      <w:pPr>
        <w:spacing w:after="0" w:line="205" w:lineRule="exact"/>
        <w:rPr>
          <w:sz w:val="20"/>
          <w:szCs w:val="20"/>
          <w:color w:val="auto"/>
        </w:rPr>
      </w:pPr>
    </w:p>
    <w:p>
      <w:pPr>
        <w:jc w:val="both"/>
        <w:ind w:firstLine="757"/>
        <w:spacing w:after="0" w:line="233" w:lineRule="auto"/>
        <w:tabs>
          <w:tab w:leader="none" w:pos="1180"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assure uniform quality in servicing the Receivables and to reduce administrative costs, the Administrative Agent, on behalf of the Secured Parties, hereby revocably appoints UACC as its agent, and UACC hereby accepts such appointment, to act as Custodian, on behalf of the Secured Parties, of the Receivables and the Receivable Files. The Custodian shall hold and maintain physical possession of all Tangible Contracts and other items of Receivable Files (other than Electronic Contracts) delivered to the Custodian and “control” (within the meaning of Section 9-105 of the UCC) of all Electronic Contracts relating to the Receivables included in the Collateral pursuant to this Agreement or the Basic Documents for the benefit of the Administrative Agent and the Secured Parties under the terms of this Agreement, as agent for the Administrative Agent for purposes of perfecting and maintaining the priority of the Administrative Agent’s security interest in the Receivables. Except for actions expressly authorized by this Agreement, the Custodian shall take no action which would or would be likely to impair the security interests of any Person created or existing in, to or under any Receivable or Financed Vehicle or to impair the value of any Receivable or Financed Vehicle. The Custodian hereby agrees not to assert (in its individual capacity or otherwise) any Liens or claims of any kind with respect to the Receivable Files held or controlled by it or the related Receivables or any other Collateral and hereby releases and waives any such Liens and claims.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4" w:name="page535"/>
    <w:bookmarkEnd w:id="534"/>
    <w:p>
      <w:pPr>
        <w:jc w:val="both"/>
        <w:ind w:firstLine="757"/>
        <w:spacing w:after="0" w:line="239" w:lineRule="auto"/>
        <w:tabs>
          <w:tab w:leader="none" w:pos="1180"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7.19.  </w:t>
      </w:r>
      <w:r>
        <w:rPr>
          <w:rFonts w:ascii="Times New Roman" w:cs="Times New Roman" w:eastAsia="Times New Roman" w:hAnsi="Times New Roman"/>
          <w:sz w:val="22"/>
          <w:szCs w:val="22"/>
          <w:u w:val="single" w:color="auto"/>
          <w:color w:val="auto"/>
        </w:rPr>
        <w:t>Duties of Custodian</w:t>
      </w:r>
    </w:p>
    <w:p>
      <w:pPr>
        <w:spacing w:after="0" w:line="205" w:lineRule="exact"/>
        <w:rPr>
          <w:sz w:val="20"/>
          <w:szCs w:val="20"/>
          <w:color w:val="auto"/>
        </w:rPr>
      </w:pPr>
    </w:p>
    <w:p>
      <w:pPr>
        <w:jc w:val="both"/>
        <w:ind w:firstLine="757"/>
        <w:spacing w:after="0" w:line="232" w:lineRule="auto"/>
        <w:tabs>
          <w:tab w:leader="none" w:pos="1194"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Safekeeping</w:t>
      </w:r>
      <w:r>
        <w:rPr>
          <w:rFonts w:ascii="Times New Roman" w:cs="Times New Roman" w:eastAsia="Times New Roman" w:hAnsi="Times New Roman"/>
          <w:sz w:val="22"/>
          <w:szCs w:val="22"/>
          <w:color w:val="auto"/>
        </w:rPr>
        <w:t>. UACC, in its capacity as Custodian, shall hold the Receivable Files for the benefit of the Secured Parties and maintain such accurate and complete accounts, records and computer systems pertaining to each Receivable File as shall enable the Servicer and the Borrower to comply with this Agreement; provided, however that UACC may convert a Tangible Contract into a Paper-In Contract so long as such Paper-In Contract is immediately transferred from the Originator Vault Partition to the Warehouse Vault Partition pursuant to the E-Vault System and such transfer has been accepted by the Custodian and confirmed by the Originator within the E-Vault System.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Servicer’s record keeping.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Custodian hereunder.</w:t>
      </w:r>
    </w:p>
    <w:p>
      <w:pPr>
        <w:spacing w:after="0" w:line="186"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and Access to Records</w:t>
      </w:r>
      <w:r>
        <w:rPr>
          <w:rFonts w:ascii="Times New Roman" w:cs="Times New Roman" w:eastAsia="Times New Roman" w:hAnsi="Times New Roman"/>
          <w:sz w:val="22"/>
          <w:szCs w:val="22"/>
          <w:color w:val="auto"/>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conduct collection and other servicing activities in accordance with its customary practices and procedures. The Custodian shall once per calendar year (commencing with the fourth quarter in 2019)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Termination Event or Unmatured Termination Event shall have occurred and is continuing, the Custodian shall make such information available at any time as requested by any Secured Party.</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Electronic Contracts</w:t>
      </w:r>
      <w:r>
        <w:rPr>
          <w:rFonts w:ascii="Times New Roman" w:cs="Times New Roman" w:eastAsia="Times New Roman" w:hAnsi="Times New Roman"/>
          <w:sz w:val="22"/>
          <w:szCs w:val="22"/>
          <w:color w:val="auto"/>
        </w:rPr>
        <w:t>. The parties agree that an Electronic Contract shall be “communicated” to the Custodian upon the transfer of the Authoritative Copy of such Electronic Contract from the Originator Vault Partition to the Warehouse Vault Partition, acceptance by the Custodian of such Authoritative Copy into the Warehouse Vault Partition and confirmation of such transfer by the Originator, and the Custodian shall thereafter maintain such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35" w:name="page536"/>
    <w:bookmarkEnd w:id="535"/>
    <w:p>
      <w:pPr>
        <w:jc w:val="both"/>
        <w:spacing w:after="0" w:line="233" w:lineRule="auto"/>
        <w:rPr>
          <w:sz w:val="20"/>
          <w:szCs w:val="20"/>
          <w:color w:val="auto"/>
        </w:rPr>
      </w:pPr>
      <w:r>
        <w:rPr>
          <w:rFonts w:ascii="Times New Roman" w:cs="Times New Roman" w:eastAsia="Times New Roman" w:hAnsi="Times New Roman"/>
          <w:sz w:val="22"/>
          <w:szCs w:val="22"/>
          <w:color w:val="auto"/>
        </w:rPr>
        <w:t>Electronic Contract in the Warehouse Vault Partition on behalf of the Administrative Agent for the purpose of establishing control within the meaning of Section 9-105(3) of the UCC over the Contracts which are Electronic Contracts pursuant to the terms of this Agreement. Pursuant to the Electronic Collateral Control Agreement, watermarks and legends shall be applied to the Electronic Contracts by the E-Vault Provider upon transfer to the Warehouse Vault Partition, such that (i) a watermark on any perceivable rendering of the Authoritative Copy thereof shall read “Copy of Original,” (ii) a watermark on any copy of such Electronic Contract that is not a copy of the Authoritative Copy thereof shall read “Retention Copy”, “Review Copy” or “Copy Retention of Copy Original,” and (iii) the Required Legend is placed on each perceivable rendering thereof. The Custodian shall maintain each Electronic Contract constituting or evidencing a Receivable in the Warehouse Vault Partition to reflect the name of the Borrower. The Custodian shall not Transfer or Export any Electronic Contract that constitutes or evidences a Receivable except in accordance with the terms hereof and the Electronic Collateral Control Agreement and shall not destroy any Electronic Contract that constitutes or evidences a Receivable.</w:t>
      </w:r>
    </w:p>
    <w:p>
      <w:pPr>
        <w:spacing w:after="0" w:line="184" w:lineRule="exact"/>
        <w:rPr>
          <w:sz w:val="20"/>
          <w:szCs w:val="20"/>
          <w:color w:val="auto"/>
        </w:rPr>
      </w:pPr>
    </w:p>
    <w:p>
      <w:pPr>
        <w:jc w:val="both"/>
        <w:ind w:firstLine="757"/>
        <w:spacing w:after="0" w:line="237" w:lineRule="auto"/>
        <w:tabs>
          <w:tab w:leader="none" w:pos="1180" w:val="left"/>
        </w:tabs>
        <w:numPr>
          <w:ilvl w:val="1"/>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Possession and Control of Contracts</w:t>
      </w:r>
      <w:r>
        <w:rPr>
          <w:rFonts w:ascii="Times New Roman" w:cs="Times New Roman" w:eastAsia="Times New Roman" w:hAnsi="Times New Roman"/>
          <w:sz w:val="22"/>
          <w:szCs w:val="22"/>
          <w:color w:val="auto"/>
        </w:rPr>
        <w:t>. The Custodian shall carry out such policies and procedures in accordance with its customary actions with respect to the handling, custody and “control” (within the meaning of Section 9-105 of the UCC) of the Contracts so that the integrity and, in the case of the Tangible Contracts, physical possession of such Tangible Contracts, will be maintained. The Custodian shall maintain the Tangible Contracts segregated on its inventory system and shall not commingle the Tangible Contracts with any other files of any other customer of the Custodian.</w:t>
      </w:r>
    </w:p>
    <w:p>
      <w:pPr>
        <w:spacing w:after="0" w:line="180" w:lineRule="exact"/>
        <w:rPr>
          <w:rFonts w:ascii="Times New Roman" w:cs="Times New Roman" w:eastAsia="Times New Roman" w:hAnsi="Times New Roman"/>
          <w:sz w:val="22"/>
          <w:szCs w:val="22"/>
          <w:color w:val="auto"/>
        </w:rPr>
      </w:pPr>
    </w:p>
    <w:p>
      <w:pPr>
        <w:jc w:val="both"/>
        <w:ind w:firstLine="757"/>
        <w:spacing w:after="0" w:line="241" w:lineRule="auto"/>
        <w:tabs>
          <w:tab w:leader="none" w:pos="1180" w:val="left"/>
        </w:tabs>
        <w:numPr>
          <w:ilvl w:val="1"/>
          <w:numId w:val="4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 Indemnification for Losses</w:t>
      </w:r>
      <w:r>
        <w:rPr>
          <w:rFonts w:ascii="Times New Roman" w:cs="Times New Roman" w:eastAsia="Times New Roman" w:hAnsi="Times New Roman"/>
          <w:sz w:val="22"/>
          <w:szCs w:val="22"/>
          <w:color w:val="auto"/>
        </w:rPr>
        <w:t>. Each Receivable shall be identified on the books and records of the Custodian in a manner that (i) is consistent with the practices of a comparable custodian with respect to similar receivables, and</w:t>
      </w:r>
    </w:p>
    <w:p>
      <w:pPr>
        <w:spacing w:after="0" w:line="1" w:lineRule="exact"/>
        <w:rPr>
          <w:rFonts w:ascii="Times New Roman" w:cs="Times New Roman" w:eastAsia="Times New Roman" w:hAnsi="Times New Roman"/>
          <w:sz w:val="22"/>
          <w:szCs w:val="22"/>
          <w:color w:val="auto"/>
        </w:rPr>
      </w:pPr>
    </w:p>
    <w:p>
      <w:pPr>
        <w:jc w:val="both"/>
        <w:ind w:firstLine="8"/>
        <w:spacing w:after="0" w:line="255" w:lineRule="auto"/>
        <w:tabs>
          <w:tab w:leader="none" w:pos="380"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that the Receivables that are the subject of such records are owned by the Borrower and pledged to the Administrative Agent for the benefit of the Secured Parties. The Custodian hereby waives any and all rights of offset with respect to any and all Contracts in the Custodian’s possession or “control” (within the meaning of Section 9-105 of the UCC), whether such right of offset arises by contract, operation of law or otherwise. The Custodian shall hold the Receivable Files (other than Contracts which are Electronic Contracts) in its secure and fire resistant facilities under its exclusive custody and control in accordance with customary standards for such custody. If any of the Secured Parties suffers or incurs costs, expenses, losses or damages as a result of the destruction or loss of any of the Receivable Files while in the possession of the Custodian, the Custodian shall, (i) at the request of the Administrative Agent, make any appropriate claim under any bond or insurance, and (ii) to the extent of such Secured Party’s costs, expenses, losses or damages, promptly pay the proceeds thereof to such Secured Party unless the Custodian has replaced the lost or destroyed items or has otherwise reimbursed such Secured Party for such losses or damages. The Custodian shall indemnify the Administrative Agent and its officers, directors, employees and agents from and against, any and all loss, liability or expense incurred (including the reasonable fees and expenses of counsel) as a result of the gross negligence, bad faith, or willful misconduct of the Custodian in the performance of its duties hereunder; provided, however, that the Custodian shall not be liable for any portion of any such loss, liability or expense due to the willful misfeasance, bad faith or gross negligence of the Administrative Agent or its officers, directors, employees or agents.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6" w:name="page537"/>
    <w:bookmarkEnd w:id="536"/>
    <w:p>
      <w:pPr>
        <w:jc w:val="both"/>
        <w:ind w:firstLine="757"/>
        <w:spacing w:after="0" w:line="239" w:lineRule="auto"/>
        <w:tabs>
          <w:tab w:leader="none" w:pos="118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Documents</w:t>
      </w:r>
      <w:r>
        <w:rPr>
          <w:rFonts w:ascii="Times New Roman" w:cs="Times New Roman" w:eastAsia="Times New Roman" w:hAnsi="Times New Roman"/>
          <w:sz w:val="22"/>
          <w:szCs w:val="22"/>
          <w:color w:val="auto"/>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Receivables</w:t>
      </w:r>
      <w:r>
        <w:rPr>
          <w:rFonts w:ascii="Times New Roman" w:cs="Times New Roman" w:eastAsia="Times New Roman" w:hAnsi="Times New Roman"/>
          <w:sz w:val="22"/>
          <w:szCs w:val="22"/>
          <w:color w:val="auto"/>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 Authority to Act</w:t>
      </w:r>
      <w:r>
        <w:rPr>
          <w:rFonts w:ascii="Times New Roman" w:cs="Times New Roman" w:eastAsia="Times New Roman" w:hAnsi="Times New Roman"/>
          <w:sz w:val="22"/>
          <w:szCs w:val="22"/>
          <w:color w:val="auto"/>
        </w:rPr>
        <w:t>. The Custodian shall be deemed to have received proper instructions with respect to the Receivable Files upon its receipt of written instructions signed by a Responsible Officer of the Administrative Agent.</w:t>
      </w:r>
    </w:p>
    <w:p>
      <w:pPr>
        <w:spacing w:after="0" w:line="157" w:lineRule="exact"/>
        <w:rPr>
          <w:rFonts w:ascii="Times New Roman" w:cs="Times New Roman" w:eastAsia="Times New Roman" w:hAnsi="Times New Roman"/>
          <w:sz w:val="22"/>
          <w:szCs w:val="22"/>
          <w:color w:val="auto"/>
        </w:rPr>
      </w:pPr>
    </w:p>
    <w:p>
      <w:pPr>
        <w:jc w:val="both"/>
        <w:ind w:firstLine="757"/>
        <w:spacing w:after="0" w:line="264" w:lineRule="auto"/>
        <w:tabs>
          <w:tab w:leader="none" w:pos="1194" w:val="left"/>
        </w:tabs>
        <w:numPr>
          <w:ilvl w:val="0"/>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Custodian</w:t>
      </w:r>
      <w:r>
        <w:rPr>
          <w:rFonts w:ascii="Times New Roman" w:cs="Times New Roman" w:eastAsia="Times New Roman" w:hAnsi="Times New Roman"/>
          <w:sz w:val="20"/>
          <w:szCs w:val="20"/>
          <w:color w:val="auto"/>
        </w:rPr>
        <w:t>. UACC, in its capacity as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Custodian; provided, however, that the Custodian shall not be liable for any portion of any such loss, liability or expense resulting from the willful misfeasance, bad faith or negligence of any Secured Party.</w:t>
      </w:r>
    </w:p>
    <w:p>
      <w:pPr>
        <w:spacing w:after="0" w:line="154" w:lineRule="exact"/>
        <w:rPr>
          <w:rFonts w:ascii="Times New Roman" w:cs="Times New Roman" w:eastAsia="Times New Roman" w:hAnsi="Times New Roman"/>
          <w:sz w:val="20"/>
          <w:szCs w:val="20"/>
          <w:color w:val="auto"/>
        </w:rPr>
      </w:pPr>
    </w:p>
    <w:p>
      <w:pPr>
        <w:jc w:val="both"/>
        <w:ind w:firstLine="757"/>
        <w:spacing w:after="0" w:line="234" w:lineRule="auto"/>
        <w:tabs>
          <w:tab w:leader="none" w:pos="1180" w:val="left"/>
        </w:tabs>
        <w:numPr>
          <w:ilvl w:val="0"/>
          <w:numId w:val="4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Period and Termination</w:t>
      </w:r>
      <w:r>
        <w:rPr>
          <w:rFonts w:ascii="Times New Roman" w:cs="Times New Roman" w:eastAsia="Times New Roman" w:hAnsi="Times New Roman"/>
          <w:sz w:val="22"/>
          <w:szCs w:val="22"/>
          <w:color w:val="auto"/>
        </w:rPr>
        <w:t>. UACC’s appointment as Custodian shall become effective as of the Closing Date and shall continue in full force and effect until the occurrence of a Custodian Termination Event. If a Custodian Termination Event occurs, the appointment of the Custodian hereunder may be terminated by the Administrative Agent. As soon as practicable after any such Custodian Termination Event, the Administrative Agent shall appoint [***] or another entity selected by the Administrative Agent as Custodian and the Custodian shall (i) at its sole cost and expense, deliver, or cause to be delivered, possession and/or “control” (within the meaning of Section 9-105 of the UCC) of the Receivable Files and the related accounts and records maintained by the Custodian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7.20.  </w:t>
      </w:r>
      <w:r>
        <w:rPr>
          <w:rFonts w:ascii="Times New Roman" w:cs="Times New Roman" w:eastAsia="Times New Roman" w:hAnsi="Times New Roman"/>
          <w:sz w:val="22"/>
          <w:szCs w:val="22"/>
          <w:u w:val="single" w:color="auto"/>
          <w:color w:val="auto"/>
        </w:rPr>
        <w:t>Certain Duties for Electronic Contracts</w:t>
      </w:r>
    </w:p>
    <w:p>
      <w:pPr>
        <w:spacing w:after="0" w:line="205" w:lineRule="exact"/>
        <w:rPr>
          <w:sz w:val="20"/>
          <w:szCs w:val="20"/>
          <w:color w:val="auto"/>
        </w:rPr>
      </w:pPr>
    </w:p>
    <w:p>
      <w:pPr>
        <w:jc w:val="both"/>
        <w:ind w:firstLine="757"/>
        <w:spacing w:after="0" w:line="239" w:lineRule="auto"/>
        <w:tabs>
          <w:tab w:leader="none" w:pos="1180" w:val="left"/>
        </w:tabs>
        <w:numPr>
          <w:ilvl w:val="0"/>
          <w:numId w:val="4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shall notify the Administrative Agent and the Borrower in writing as soon as reasonably practicable and in any event within two (2) Business Days after any Responsible Officer of the Custodian receives notice or obtains actual knowledge of: (i) the intent or threat (expressed in writing) of the E-Vault Provider to terminate, or the termination of, an E-Vault Access Agreement, (ii) receipt of written notice from the E-Vault Provider of any actual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7" w:name="page538"/>
    <w:bookmarkEnd w:id="537"/>
    <w:p>
      <w:pPr>
        <w:jc w:val="both"/>
        <w:spacing w:after="0" w:line="233" w:lineRule="auto"/>
        <w:rPr>
          <w:sz w:val="20"/>
          <w:szCs w:val="20"/>
          <w:color w:val="auto"/>
        </w:rPr>
      </w:pPr>
      <w:r>
        <w:rPr>
          <w:rFonts w:ascii="Times New Roman" w:cs="Times New Roman" w:eastAsia="Times New Roman" w:hAnsi="Times New Roman"/>
          <w:sz w:val="22"/>
          <w:szCs w:val="22"/>
          <w:color w:val="auto"/>
        </w:rPr>
        <w:t>suspected theft of, accidental disclosure of, loss of, or inability to account for, any nonpublic or confidential information (including, but not limited to, the access codes of the Custodian) of the Custodian which is maintained in the Warehouse Vault Partition or the Originator Vault Partition and/or any unauthorized intrusions into the E-Vault Provider’s or any of its subcontractor’s facilities or secure systems on or in which any nonpublic or confidential information of the Custodian is maintained, (iii) receipt of written notification from the E-Vault Provider of any changes to the System Description, (iv) any Integrity Check failure with respect to or any other attempted unauthorized access to an Electronic Contract which constitutes or evidences a Receivable, (v) any claim in writing of any Person (other than the Administrative Agent) of an interest in an Electronic Contract which constitutes or evidences a Receivable, and (vi) the receipt of written notice of the commencement or the threat in writing of any actions, suits, investigations or proceedings against the E-Vault Provider or the Custodian or otherwise expressly relating to or affecting the Warehouse Vault Partition or the Originator Vault Partition or any Electronic Contract which constitutes or evidences a Receivable, in any court, or before any arbitrator of any kind, or before or by any Governmental Authority.</w:t>
      </w:r>
    </w:p>
    <w:p>
      <w:pPr>
        <w:spacing w:after="0" w:line="181" w:lineRule="exact"/>
        <w:rPr>
          <w:sz w:val="20"/>
          <w:szCs w:val="20"/>
          <w:color w:val="auto"/>
        </w:rPr>
      </w:pPr>
    </w:p>
    <w:p>
      <w:pPr>
        <w:jc w:val="both"/>
        <w:ind w:firstLine="757"/>
        <w:spacing w:after="0" w:line="237" w:lineRule="auto"/>
        <w:tabs>
          <w:tab w:leader="none" w:pos="1180" w:val="left"/>
        </w:tabs>
        <w:numPr>
          <w:ilvl w:val="0"/>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Custodian ceases to have access to the E-Vault System, the Warehouse Vault Partition or any of the Electronic Contracts maintained therein (other than during routine maintenance or upgrades by the E-Vault Provider) for a period of more than one (1) Business Day, the Custodian shall promptly notify the Administrative Agent and the Borrower of such event if such event prevents the Custodian from performing its duties hereunder and use commercially reasonable efforts to reestablish access, including contacting the E-Vault Provider for trouble-shooting.</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shall appoint only its own personnel (or personnel of its subcontractors) as “Command Center Workspace Users” in respect of the Warehouse Vault Partition and the Electronic Contracts contained therein and shall not otherwise permit any Person to have access to thereto (other than (x) in connection with audits under clause (d) of this Section 7.20 or similar audits provided for under agreements with other parties to an Electronic Collateral Control Agreement and (y) from and after the delivery of a Notice of Exclusive Control under (and as defined in) an Electronic Collateral Control Agreement, the Administrative Agent and any Person appointed by the Administrative Agent as a “Command Center Workspace User”). Except as contemplated in an Electronic Collateral Control Agreement or herein, the Custodian shall not provide any other Person (including any lender having an interest in Electronic Contracts maintained by it as custodian) any right to control the actions of the Custodian with respect to the Electronic Contracts maintained in the Warehouse Vault Partition or permit any Person to direct the Custodian (in any capacity) to take or refrain from taking any action in respect to the Electronic Contracts which constitute or evidence any Receivables. The parties hereto acknowledge that the Custodian has no liability under an E-Vault Access Agreement and has only the duties and obligations of the Custodian specified hereunder or expressly set forth in the Electronic Collateral Control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during regular business hours and upon at least two (2) Business Days’ prior written notice, the Custodian shall permit the Administrative Agent and its agents or representatives: (i) to conduct periodic reviews of the Electronic Contracts which constitute or evidence Receivables and the related Records of the Custodian, which shall consist of setting all such Electronic Contracts to “audit” status and providing the Administrative Agent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8" w:name="page539"/>
    <w:bookmarkEnd w:id="538"/>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and agents or representatives with credentials to view such Electronic Contracts; (ii) to examine and obtain copies of and prepare summaries and reports relating to the Records in its possession or control relating to the Electronic Contracts which constitute or evidence Receivables; (iii) to visit the offices and properties of the Custodian for the purpose of examining the materials described in clause (ii) above; and (iv) to discuss matters relating to the Electronic Contracts which constitute or evidence Receivables or the Custodian’s performance hereunder with any of the officers or employees of the Custodian having knowledge of such matters;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no Termination Event and no breach of the Custodian’s obligations hereunder shall have occurred and be continuing, the Administrative Agent and its agents or representatives shall only be entitled to conduct two (2) such reviews of the Custodian during any calendar year. The cost of any such examination shall be reimbursed by the Borrower in accordance with Section 2.08 of this Agreement.</w:t>
      </w:r>
    </w:p>
    <w:p>
      <w:pPr>
        <w:spacing w:after="0" w:line="180" w:lineRule="exact"/>
        <w:rPr>
          <w:sz w:val="20"/>
          <w:szCs w:val="20"/>
          <w:color w:val="auto"/>
        </w:rPr>
      </w:pPr>
    </w:p>
    <w:p>
      <w:pPr>
        <w:jc w:val="both"/>
        <w:ind w:firstLine="757"/>
        <w:spacing w:after="0" w:line="256" w:lineRule="auto"/>
        <w:tabs>
          <w:tab w:leader="none" w:pos="1180"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 the occurrence of a Termination Event or a Servicer Termination Event, (x) a breach by the Custodian of its obligations hereunder or a breach by any Person of its obligations under the E-Vault Access Agreement or the Electronic Collateral Control Agreement, (y) the termination of the E-Vault Access Agreement or the Electronic Collateral Control Agreement or the delivery of any notice of termination thereunder or (z) a determination by the Administrative Agent, in its reasonable discretion, that the functionality, security, integrity or reliability of the E-Vault System, the Originator Vault Partition or the Warehouse Vault Partition is impaired or the Receivables are otherwise adversely affected by any event (including any change in configuration, technology or law) or circumstance with respect to the E-Vault Provider, the Custodian, the E-Vault System, the Warehouse Vault Partition, the Originator Vault Partition, the Electronic Collateral Control Agreement or Electronic Contracts generally, including, without limitation, adverse claims being asserted therein by the E-Vault Provider or other lenders,</w:t>
      </w:r>
    </w:p>
    <w:p>
      <w:pPr>
        <w:jc w:val="both"/>
        <w:ind w:firstLine="8"/>
        <w:spacing w:after="0" w:line="232" w:lineRule="auto"/>
        <w:tabs>
          <w:tab w:leader="none" w:pos="320" w:val="left"/>
        </w:tabs>
        <w:numPr>
          <w:ilvl w:val="0"/>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shall, notwithstanding any contrary instruction received from the Borrower, promptly take such action with respect to the Electronic Contracts which constitute or evidence the Receivables and with respect to the Warehouse Vault Partition, as the Administrative Agent may direct in writing, including Exporting the Electronic Contracts maintained within the E-Vault System which constitute or evidence the Receivables and (b) the Administrative Agent, as “Secured Party” under the Electronic Collateral Control Agreement in respect of the Warehouse Vault Partition, may deliver a Notice of Exclusive Control under (and as defined in) an Electronic Collateral Control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1"/>
          <w:numId w:val="4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exercise of any foreclosure or similar rights and remedies by the Administrative Agent in respect of the Electronic Contracts which constitute or evidence Receivables, the Custodian shall, as directed by the Administrative Agent in writing, (i) direct the E-Vault Provider to update the Required Legend to read as directed in writing by the Administrative Agent and (ii) otherwise take such reasonable action in respect thereof as the Administrative Agent shall reasonably request.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9" w:name="page540"/>
    <w:bookmarkEnd w:id="539"/>
    <w:p>
      <w:pPr>
        <w:ind w:left="5200"/>
        <w:spacing w:after="0"/>
        <w:rPr>
          <w:sz w:val="20"/>
          <w:szCs w:val="20"/>
          <w:color w:val="auto"/>
        </w:rPr>
      </w:pPr>
      <w:r>
        <w:rPr>
          <w:rFonts w:ascii="Times New Roman" w:cs="Times New Roman" w:eastAsia="Times New Roman" w:hAnsi="Times New Roman"/>
          <w:sz w:val="22"/>
          <w:szCs w:val="22"/>
          <w:color w:val="auto"/>
        </w:rPr>
        <w:t>ARTICLE EIGHT</w:t>
      </w:r>
    </w:p>
    <w:p>
      <w:pPr>
        <w:spacing w:after="0" w:line="2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THE BACKUP SERVICER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Designation of the Backup Servicer</w:t>
      </w:r>
    </w:p>
    <w:p>
      <w:pPr>
        <w:spacing w:after="0" w:line="205" w:lineRule="exact"/>
        <w:rPr>
          <w:sz w:val="20"/>
          <w:szCs w:val="20"/>
          <w:color w:val="auto"/>
        </w:rPr>
      </w:pPr>
    </w:p>
    <w:p>
      <w:pPr>
        <w:jc w:val="both"/>
        <w:ind w:firstLine="757"/>
        <w:spacing w:after="0" w:line="244" w:lineRule="auto"/>
        <w:tabs>
          <w:tab w:leader="none" w:pos="1180" w:val="left"/>
        </w:tabs>
        <w:numPr>
          <w:ilvl w:val="0"/>
          <w:numId w:val="4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Servicer Termination Event, the Administrative Agent may designate the Backup Servicer to act as Servicer for the benefit of the Administrative Agent and the Secured Parties. The Backup Servicer shall accept such appointment and agree to perform the duties and obligations with respect thereto set forth herein.</w:t>
      </w:r>
    </w:p>
    <w:p>
      <w:pPr>
        <w:spacing w:after="0" w:line="172" w:lineRule="exact"/>
        <w:rPr>
          <w:rFonts w:ascii="Times New Roman" w:cs="Times New Roman" w:eastAsia="Times New Roman" w:hAnsi="Times New Roman"/>
          <w:sz w:val="22"/>
          <w:szCs w:val="22"/>
          <w:color w:val="auto"/>
        </w:rPr>
      </w:pPr>
    </w:p>
    <w:p>
      <w:pPr>
        <w:ind w:right="40" w:firstLine="757"/>
        <w:spacing w:after="0" w:line="258" w:lineRule="auto"/>
        <w:tabs>
          <w:tab w:leader="none" w:pos="1180" w:val="left"/>
        </w:tabs>
        <w:numPr>
          <w:ilvl w:val="0"/>
          <w:numId w:val="4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receipt by the Backup Servicer of a notice from the Administrative Agent of the designation of a new Backup Servicer pursuant to Section 8.04, the Backup Servicer will not terminate its activities as Backup Servicer hereunder.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Duties of the Backup Servicer</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From the Closing Date until the earlier of (i) its removal pursuant to Section 8.04, (ii) its resignation pursuant to Section 8.05, or (iii) the Facility Termination Date, the Backup Servicer shall perform, on behalf of the Secured Parties, the duties and obligations set forth in Sections 7.10 and 7.11.</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Backup Servicing Compensation</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As compensation for its backup servicing activities hereunder, the Backup Servicer shall be entitled to receive a monthly fee up to an amount equal to the Backup Servicing Fee in accordance with the priorities set forth in Section 2.08 or, at the option of UACC, the Backup Servicing Fee may be paid directly to the Backup Servicer by UACC. The Backup Servicer’s entitlement to receive such fee shall cease on the earliest to occur of (i) it becoming the Successor Servicer, (ii) its removal as Backup Servicer pursuant to Section 8.04, (iii) its resignation as Backup Servicer pursuant to Section 8.05 or (iv) the termination of this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Backup Servicer Removal</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Backup Servicer may be removed upon 30 days’ prior written notice in connection with a breach by the Backup Servicer of any representation, warranty or covenant of the Backup Servicer under this Agreement, or otherwise in the discretion of the Administrative Agent and, so long as no Termination Event or Servicer Termination Event has occurred, the Borrower, by notice given in writing and delivered to the Backup Servicer from the Administrative Agent or, so long as no Termination Event or Servicer Termination Event has occurred, the Borrower (the “Backup Servicer Termination Notice”). On and after the receipt by the Backup Servicer of the Backup Servicer Termination Notice, the Backup Servicer shall continue to perform all backup servicing functions under this Agreement until the date specified in the Backup Servicer Termination Notice or otherwise specified by the Administrative Agent in writing or, if no such date is specified in the Backup Servicer Termination Notice or otherwise specified by the Administrative Agent, until a date mutually agreed upon by the Backup Servicer and the Administrative Agent. If a successor Backup Servicer does not take office within 30 days after the Backup Servicer is removed, the Backup Servicer may petition any court of competent jurisdiction for the appointment of 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0" w:name="page541"/>
    <w:bookmarkEnd w:id="540"/>
    <w:p>
      <w:pPr>
        <w:jc w:val="both"/>
        <w:spacing w:after="0" w:line="258" w:lineRule="auto"/>
        <w:rPr>
          <w:sz w:val="20"/>
          <w:szCs w:val="20"/>
          <w:color w:val="auto"/>
        </w:rPr>
      </w:pPr>
      <w:r>
        <w:rPr>
          <w:rFonts w:ascii="Times New Roman" w:cs="Times New Roman" w:eastAsia="Times New Roman" w:hAnsi="Times New Roman"/>
          <w:sz w:val="22"/>
          <w:szCs w:val="22"/>
          <w:color w:val="auto"/>
        </w:rPr>
        <w:t>successor Backup Servicer, with all fees, costs and expenses (including any attorneys’ fees and expenses) of such petition to be paid by the Borrower.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Backup Servicer Not to Resign</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Backup Servicer shall resign only with the prior written consent of the Administrative Agent and the Required Lenders and, so long as no Termination Event or Servicer Termination Event has occurred, the Borrower or if the Backup Servicer provides an Opinion of Counsel to the Administrative Agent to the effect that the Backup Servicer is no longer permitted by Applicable Law to act as Backup Servicer hereunder. No termination or resignation of the Backup Servicer hereunder shall be effective until a successor Backup Servicer, acceptable to the Administrative Agent and, so long as no Termination Event or Servicer Termination Event has occurred, the Borrower, has accepted its appointment as successor Backup Servicer hereunder and has agreed to be bound by the terms of this Agreement. If a successor Backup Servicer does not take office within 30 days after the Backup Servicer resigns or is removed, the Backup Servicer may petition any court of competent jurisdiction for the appointment of a successor Backup Servicer, with all fees, costs and expenses (including any attorneys’ fees and expenses) of such petition to be paid by the Borrower.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Monthly Backup Servicer Certificate</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Backup Servicer shall provide a Monthly Backup Servicer Certificate to the Administrative Agent and the Borrower, on or before the close of business on the fifth Business Day following the related Reporting Date. The Backup Servicer, in its capacity as such, shall not be responsible for delays attributable to the Servicer’s failure to deliver information, defects in the information supplied by the Servicer or other circumstances beyond the control of the Backup Servicer.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Covenants of the Backup Servicer</w:t>
      </w:r>
    </w:p>
    <w:p>
      <w:pPr>
        <w:spacing w:after="0" w:line="205" w:lineRule="exact"/>
        <w:rPr>
          <w:sz w:val="20"/>
          <w:szCs w:val="20"/>
          <w:color w:val="auto"/>
        </w:rPr>
      </w:pPr>
    </w:p>
    <w:p>
      <w:pPr>
        <w:ind w:left="1180" w:hanging="423"/>
        <w:spacing w:after="0"/>
        <w:tabs>
          <w:tab w:leader="none" w:pos="1180"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rPr>
        <w:t>. From the date of its appointment until the Facility Termination Date:</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The Backup Servicer will comply in all material respects with all Applicable Laws.</w:t>
      </w:r>
    </w:p>
    <w:p>
      <w:pPr>
        <w:spacing w:after="0" w:line="228" w:lineRule="exact"/>
        <w:rPr>
          <w:rFonts w:ascii="Times New Roman" w:cs="Times New Roman" w:eastAsia="Times New Roman" w:hAnsi="Times New Roman"/>
          <w:sz w:val="20"/>
          <w:szCs w:val="20"/>
          <w:color w:val="auto"/>
        </w:rPr>
      </w:pPr>
    </w:p>
    <w:p>
      <w:pPr>
        <w:jc w:val="both"/>
        <w:ind w:left="760" w:firstLine="745"/>
        <w:spacing w:after="0" w:line="239" w:lineRule="auto"/>
        <w:tabs>
          <w:tab w:leader="none" w:pos="1940" w:val="left"/>
        </w:tabs>
        <w:numPr>
          <w:ilvl w:val="1"/>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Backup Servicer will preserve and maintain its existence, rights, franchises and privileges in the jurisdiction of its formation, and qualify and remain qualified in good standing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Negative Covenant</w:t>
      </w:r>
      <w:r>
        <w:rPr>
          <w:rFonts w:ascii="Times New Roman" w:cs="Times New Roman" w:eastAsia="Times New Roman" w:hAnsi="Times New Roman"/>
          <w:sz w:val="22"/>
          <w:szCs w:val="22"/>
          <w:color w:val="auto"/>
        </w:rPr>
        <w:t>. From the date of its appointment until the Facility Termination Date, the Backup Servicer will not make any changes to the Backup Servicing Fee without the prior written approval of the Administrative Agent and, so long as no Termination Event or Servicer Termination Event has occurred, the Borrower.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1" w:name="page542"/>
    <w:bookmarkEnd w:id="541"/>
    <w:p>
      <w:pPr>
        <w:ind w:left="5260"/>
        <w:spacing w:after="0"/>
        <w:rPr>
          <w:sz w:val="20"/>
          <w:szCs w:val="20"/>
          <w:color w:val="auto"/>
        </w:rPr>
      </w:pPr>
      <w:r>
        <w:rPr>
          <w:rFonts w:ascii="Times New Roman" w:cs="Times New Roman" w:eastAsia="Times New Roman" w:hAnsi="Times New Roman"/>
          <w:sz w:val="22"/>
          <w:szCs w:val="22"/>
          <w:color w:val="auto"/>
        </w:rPr>
        <w:t>ARTICLE NINE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EVENTS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Termination Events</w:t>
      </w:r>
    </w:p>
    <w:p>
      <w:pPr>
        <w:spacing w:after="0" w:line="205" w:lineRule="exact"/>
        <w:rPr>
          <w:sz w:val="20"/>
          <w:szCs w:val="20"/>
          <w:color w:val="auto"/>
        </w:rPr>
      </w:pPr>
    </w:p>
    <w:p>
      <w:pPr>
        <w:ind w:left="1180" w:hanging="423"/>
        <w:spacing w:after="0"/>
        <w:tabs>
          <w:tab w:leader="none" w:pos="1180"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events shall constitute a “Termination Event”:</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4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demand, protest or any notice of any kind, all of which are hereby expressly waived by the Borrower (with a copy to each Hedge Counterparty), (i) in the event that a Termination Event described in Section 9.01(a)(vii) has occurred, the Termination Date shall automatically occur and (ii) upon the occurrence of any other Termination Event, the Administrative Agent shall, at the written request, or may with the written consent, of the Required Lenders, by notice to the Borrower, declare the Termination Date to have occurred. If such automatic occurrence or declaration of the Termination Date relates to a Termination Event that is a Foreclosure Event, all Loans Outstanding and all other amounts owing by the Borrower under this Agreement shall be accelerated and become immediately due and payable.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Actions Upon Occurrence of the Termination Date</w:t>
      </w:r>
    </w:p>
    <w:p>
      <w:pPr>
        <w:spacing w:after="0" w:line="205" w:lineRule="exact"/>
        <w:rPr>
          <w:sz w:val="20"/>
          <w:szCs w:val="20"/>
          <w:color w:val="auto"/>
        </w:rPr>
      </w:pPr>
    </w:p>
    <w:p>
      <w:pPr>
        <w:jc w:val="both"/>
        <w:ind w:firstLine="757"/>
        <w:spacing w:after="0" w:line="237" w:lineRule="auto"/>
        <w:tabs>
          <w:tab w:leader="none" w:pos="1180"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automatic occurrence, or the declaration of the occurrence, of the Termination Date in accordance with Section 9.01(b), the following shall immediately occur without further action: (i) the Revolving Period shall terminate and no further Loans will be made and (ii) if the Termination Event giving rise to the Termination Date is a Foreclosure Event, all Available Funds after item (v) of Section 2.08 will be used to reduce the Loans Outstanding and Interest on all Loans Outstanding will increase to the Default Rate.</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automatic occurrence of, or the declaration of the occurrence of, the Termination Date arising from a Foreclosure Event, the Administrative Agent may, or at the direction of the Required Lenders,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and, in addition, upon direction of the Required Lenders, may, or at the direction of the Required Lenders, shall take the following remedial actions:</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40" w:val="left"/>
        </w:tabs>
        <w:numPr>
          <w:ilvl w:val="1"/>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Reserve Account, the Collection Account or any part of such accounts in accordance with the priorities required by Section 2.08.</w:t>
      </w:r>
    </w:p>
    <w:p>
      <w:pPr>
        <w:spacing w:after="0" w:line="180"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0" w:val="left"/>
        </w:tabs>
        <w:numPr>
          <w:ilvl w:val="1"/>
          <w:numId w:val="4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take any action permitted under the Basic Documents, including exercising any rights available to it under the Intercreditor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2" w:name="page543"/>
    <w:bookmarkEnd w:id="542"/>
    <w:p>
      <w:pPr>
        <w:jc w:val="both"/>
        <w:ind w:left="-360" w:firstLine="745"/>
        <w:spacing w:after="0" w:line="237" w:lineRule="auto"/>
        <w:tabs>
          <w:tab w:leader="none" w:pos="82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(x) direct the Custodian in writing to exercise any rights and remedies available to it under the E-Vault Access Agreement in respect of the Warehouse Vault Partition and the Electronic Contracts therein which constitute or evidence the Receivables, including directing the transfer of such Electronic Contracts to another provider of e-vaulting services or causing such Electronic Contracts to be Exported, and (y) exercise any rights or remedies of the Administrative Agent under the Electronic Collateral Control Agreement.</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2" w:lineRule="auto"/>
        <w:tabs>
          <w:tab w:leader="none" w:pos="82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rights and remedies of a secured party under the UCC (and except as otherwise required by the UCC), the Administrative Agent may,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spacing w:after="0" w:line="190"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82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of any sale under Section 9.02(b)(iv),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71" w:lineRule="auto"/>
        <w:tabs>
          <w:tab w:leader="none" w:pos="820"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sale under Section 9.02(b)(iv), UACC or any Secured Party may bid for and purchase the property offered for sale and, upon compliance with the terms of sale, may hold, retain and dispose of such property without further accountability therefor. Any Secured Party purchasing property at a sale under Section 9.02(b)(iv) may set off the purchase price of such property against amounts owing to such Secured Party in full payment of such purchase price.</w:t>
      </w:r>
    </w:p>
    <w:p>
      <w:pPr>
        <w:spacing w:after="0" w:line="147" w:lineRule="exact"/>
        <w:rPr>
          <w:rFonts w:ascii="Times New Roman" w:cs="Times New Roman" w:eastAsia="Times New Roman" w:hAnsi="Times New Roman"/>
          <w:sz w:val="20"/>
          <w:szCs w:val="20"/>
          <w:color w:val="auto"/>
        </w:rPr>
      </w:pPr>
    </w:p>
    <w:p>
      <w:pPr>
        <w:ind w:left="-360" w:right="20" w:firstLine="745"/>
        <w:spacing w:after="0" w:line="258" w:lineRule="auto"/>
        <w:tabs>
          <w:tab w:leader="none" w:pos="820" w:val="left"/>
        </w:tabs>
        <w:numPr>
          <w:ilvl w:val="0"/>
          <w:numId w:val="4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exercise at the Borrower’s sole expense any and all rights and remedies of the Borrower under or in connection with the Collateral,</w:t>
      </w:r>
    </w:p>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6" w:right="339" w:bottom="1440" w:gutter="0" w:footer="0" w:header="0"/>
        </w:sectPr>
      </w:pPr>
    </w:p>
    <w:bookmarkStart w:id="543" w:name="page544"/>
    <w:bookmarkEnd w:id="543"/>
    <w:p>
      <w:pPr>
        <w:ind w:left="760"/>
        <w:spacing w:after="0"/>
        <w:rPr>
          <w:sz w:val="20"/>
          <w:szCs w:val="20"/>
          <w:color w:val="auto"/>
        </w:rPr>
      </w:pPr>
      <w:r>
        <w:rPr>
          <w:rFonts w:ascii="Times New Roman" w:cs="Times New Roman" w:eastAsia="Times New Roman" w:hAnsi="Times New Roman"/>
          <w:sz w:val="22"/>
          <w:szCs w:val="22"/>
          <w:color w:val="auto"/>
        </w:rPr>
        <w:t>including directing that Collections be deposited into an account specified by the Administrative Agent.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Exercise of Remedies</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 failure or delay on the part of the Administrative Agent to exercise any right, power or privilege under this Agreement and no course of dealing between the Borrower or the Secured Parties, on the one hand, and the Administrative Agent,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Waiver of Certain Laws</w:t>
      </w:r>
    </w:p>
    <w:p>
      <w:pPr>
        <w:spacing w:after="0" w:line="20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0"/>
          <w:szCs w:val="20"/>
          <w:color w:val="auto"/>
        </w:rPr>
        <w:t>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Power of Attorney</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Borrower hereby irrevocably appoints the Administrative Agent its true and lawful attorney (with full power of substitution) in its name, place and stead and at its expense, in connection with the enforcement of the rights and remedies provided for in this Article, including: (i) exercise all rights and privileges of the Borrower under the Purchase Agreement (including each Transfer Agreement); (ii) pay or discharge any taxes, Liens or other encumbrances levied or placed on or threatened against the Borrower or the Borrower’s property; (iii) defend any suit, action or proceeding brought against the Borrower if the Borrower does not defend such suit, action or proceeding or if the Administrative Agent believes that it is not pursuing such defense in a manner that will maximize the recovery to the Administrative Agent, and settle, compromise or adjust any suit, action or proceeding described above and, in connection therewith, give such discharges or releases as the Administrative Agent may deem appropriate; (iv) file or prosecute any claim, litigation, suit or proceeding in any court of competent jurisdiction or before any arbitrator, or take any other action otherwise deemed appropriate by the Administrative Agent for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44" w:name="page545"/>
    <w:bookmarkEnd w:id="544"/>
    <w:p>
      <w:pPr>
        <w:jc w:val="both"/>
        <w:spacing w:after="0" w:line="234" w:lineRule="auto"/>
        <w:rPr>
          <w:sz w:val="20"/>
          <w:szCs w:val="20"/>
          <w:color w:val="auto"/>
        </w:rPr>
      </w:pPr>
      <w:r>
        <w:rPr>
          <w:rFonts w:ascii="Times New Roman" w:cs="Times New Roman" w:eastAsia="Times New Roman" w:hAnsi="Times New Roman"/>
          <w:sz w:val="22"/>
          <w:szCs w:val="22"/>
          <w:color w:val="auto"/>
        </w:rPr>
        <w:t>the purpose of collecting any and all such moneys due to the Borrower whenever payable and to enforce any other right in respect of the Borrower’s property; (v) sell, transfer, pledge, make any agreement with respect to or otherwise deal with, any of the Borrower’s property, and execute, in connection with such sale or action, any endorsements, assignments or other instruments of conveyance or transfer in connection therewith; and (vi) cause the certified public accountants then engaged by the Borrower to prepare and deliver to the Administrative Agent at any time and from time to time, promptly upon the Administrative Agent’s request, any reports required to be prepared by or on behalf of the Borrower under this Agreement or any other Basic Document, all as though the Administrative Agent were the absolute owner of its property for all purposes, and to do, at the Administrative Agent’s option and the Borrower’s expense, at any time or from time to time, all acts and other things that the Administrative Agent reasonably deems necessary to perfect, preserve, or realize upon its property or assets and the Liens of the Administrative Agent, as agent for the Secured Parties thereon, all as fully and effectively as it might do.</w:t>
      </w:r>
    </w:p>
    <w:p>
      <w:pPr>
        <w:spacing w:after="0" w:line="1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ARTICLE TEN</w:t>
      </w:r>
    </w:p>
    <w:p>
      <w:pPr>
        <w:spacing w:after="0" w:line="2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Indemnities by the Borrower and UACC</w:t>
      </w:r>
    </w:p>
    <w:p>
      <w:pPr>
        <w:spacing w:after="0" w:line="205"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40" w:firstLine="432"/>
        <w:spacing w:after="0" w:line="239" w:lineRule="auto"/>
        <w:rPr>
          <w:sz w:val="20"/>
          <w:szCs w:val="20"/>
          <w:color w:val="auto"/>
        </w:rPr>
      </w:pPr>
      <w:r>
        <w:rPr>
          <w:rFonts w:ascii="Times New Roman" w:cs="Times New Roman" w:eastAsia="Times New Roman" w:hAnsi="Times New Roman"/>
          <w:sz w:val="22"/>
          <w:szCs w:val="22"/>
          <w:color w:val="auto"/>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 Party or (ii) indemnified twice for the same UACC Indemnified Amount by reason of application of the indemnity provided under Section 5.07 of the Purchase Agreement.</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Any amounts subject to the indemnification provisions of this Section and payable by the Borrower shall be paid by the Borrower solely pursuant to the provisions of Section 2.08 in the order and priority set forth therein.</w:t>
      </w:r>
    </w:p>
    <w:p>
      <w:pPr>
        <w:spacing w:after="0" w:line="157" w:lineRule="exact"/>
        <w:rPr>
          <w:sz w:val="20"/>
          <w:szCs w:val="20"/>
          <w:color w:val="auto"/>
        </w:rPr>
      </w:pPr>
    </w:p>
    <w:p>
      <w:pPr>
        <w:jc w:val="both"/>
        <w:ind w:firstLine="757"/>
        <w:spacing w:after="0" w:line="244" w:lineRule="auto"/>
        <w:tabs>
          <w:tab w:leader="none" w:pos="1180" w:val="left"/>
        </w:tabs>
        <w:numPr>
          <w:ilvl w:val="0"/>
          <w:numId w:val="4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obligations in this Section 10.01 shall be cumulative and in addition to any obligation that the Borrower and UACC may otherwise have and shall survive the resignation or removal of any indemnified party and the termination or assignment of this Agreement.</w:t>
      </w:r>
    </w:p>
    <w:p>
      <w:pPr>
        <w:spacing w:after="0" w:line="17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ARTICLE ELEVEN</w:t>
      </w:r>
    </w:p>
    <w:p>
      <w:pPr>
        <w:spacing w:after="0" w:line="2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Authorization and Action</w:t>
      </w:r>
    </w:p>
    <w:p>
      <w:pPr>
        <w:spacing w:after="0" w:line="205" w:lineRule="exact"/>
        <w:rPr>
          <w:sz w:val="20"/>
          <w:szCs w:val="20"/>
          <w:color w:val="auto"/>
        </w:rPr>
      </w:pPr>
    </w:p>
    <w:p>
      <w:pPr>
        <w:jc w:val="both"/>
        <w:ind w:firstLine="757"/>
        <w:spacing w:after="0" w:line="280" w:lineRule="auto"/>
        <w:tabs>
          <w:tab w:leader="none" w:pos="1180" w:val="left"/>
        </w:tabs>
        <w:numPr>
          <w:ilvl w:val="0"/>
          <w:numId w:val="4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Secured Party hereby designates and appoints Capital One, N.A. (and Capital One, N.A. accepts such designation and appointment) as Administrative Agent hereunder, and authorizes the Administrative Agent to take such actions as agent on its behalf and to exercise such powers as are delegated to the Administrative Agent by the terms of this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5" w:name="page546"/>
    <w:bookmarkEnd w:id="545"/>
    <w:p>
      <w:pPr>
        <w:jc w:val="both"/>
        <w:spacing w:after="0" w:line="236" w:lineRule="auto"/>
        <w:rPr>
          <w:sz w:val="20"/>
          <w:szCs w:val="20"/>
          <w:color w:val="auto"/>
        </w:rPr>
      </w:pPr>
      <w:r>
        <w:rPr>
          <w:rFonts w:ascii="Times New Roman" w:cs="Times New Roman" w:eastAsia="Times New Roman" w:hAnsi="Times New Roman"/>
          <w:sz w:val="22"/>
          <w:szCs w:val="22"/>
          <w:color w:val="auto"/>
        </w:rPr>
        <w:t>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indefeasible payment in full of the Aggregate Unpaids.</w:t>
      </w:r>
    </w:p>
    <w:p>
      <w:pPr>
        <w:spacing w:after="0" w:line="179" w:lineRule="exact"/>
        <w:rPr>
          <w:sz w:val="20"/>
          <w:szCs w:val="20"/>
          <w:color w:val="auto"/>
        </w:rPr>
      </w:pPr>
    </w:p>
    <w:p>
      <w:pPr>
        <w:jc w:val="both"/>
        <w:ind w:firstLine="757"/>
        <w:spacing w:after="0" w:line="239" w:lineRule="auto"/>
        <w:tabs>
          <w:tab w:leader="none" w:pos="1180"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otherwise exist against the Administrative Agent.</w:t>
      </w:r>
    </w:p>
    <w:p>
      <w:pPr>
        <w:spacing w:after="0" w:line="178" w:lineRule="exact"/>
        <w:rPr>
          <w:rFonts w:ascii="Times New Roman" w:cs="Times New Roman" w:eastAsia="Times New Roman" w:hAnsi="Times New Roman"/>
          <w:sz w:val="22"/>
          <w:szCs w:val="22"/>
          <w:color w:val="auto"/>
        </w:rPr>
      </w:pPr>
    </w:p>
    <w:p>
      <w:pPr>
        <w:ind w:right="60" w:firstLine="757"/>
        <w:spacing w:after="0" w:line="258" w:lineRule="auto"/>
        <w:tabs>
          <w:tab w:leader="none" w:pos="1180" w:val="left"/>
        </w:tabs>
        <w:numPr>
          <w:ilvl w:val="0"/>
          <w:numId w:val="4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distribute to each Lender all notices, requests for consent and other information received by the Administrative Agent under this Agreement.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Delegation of Duties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Administrative Agent may execute any of its duties under any of the Basic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Exculpatory Provisions</w:t>
      </w:r>
    </w:p>
    <w:p>
      <w:pPr>
        <w:spacing w:after="0" w:line="20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Neither the Administrative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Administrative Agent, the breach of its obligations expressly set forth in this Agreement) or (ii) responsible in any manner to any of the Secured Parties for any recitals, statements, representations or warranties made by the Borrower, the Servicer, UACC, the Backup Servicer, the Account Bank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The Administrative Agent shall not be under any obligation to any Secured Party to ascertain or to inquire as to the observance or performance of any of the agreements or covenants contained in, or conditions of, this Agreement, or to inspect the properties, books or records of the Borrower. The Administrative Agent shall not be deemed to have knowledge of any Termination Event or Servicer Termination Event unless it has received written notice thereof from the Borrower, the Servicer or a Secured Party.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6" w:name="page547"/>
    <w:bookmarkEnd w:id="546"/>
    <w:p>
      <w:pPr>
        <w:ind w:left="760"/>
        <w:spacing w:after="0"/>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Reliance</w:t>
      </w:r>
    </w:p>
    <w:p>
      <w:pPr>
        <w:spacing w:after="0" w:line="205" w:lineRule="exact"/>
        <w:rPr>
          <w:sz w:val="20"/>
          <w:szCs w:val="20"/>
          <w:color w:val="auto"/>
        </w:rPr>
      </w:pPr>
    </w:p>
    <w:p>
      <w:pPr>
        <w:jc w:val="both"/>
        <w:ind w:firstLine="757"/>
        <w:spacing w:after="0" w:line="237" w:lineRule="auto"/>
        <w:tabs>
          <w:tab w:leader="none" w:pos="1180"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Administrative Agent), independent accountants and other experts selected by the Administrative Agent.</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fully justified in failing or refusing to take any action under any of the Basic Documents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in all cases be fully protected in acting, or in refraining from acting, under any of the Basic Documents in accordance with a request of the Required Lenders, and such request and any action taken or failure to act pursuant thereto shall be binding upon all present and future Lenders.</w:t>
      </w:r>
    </w:p>
    <w:p>
      <w:pPr>
        <w:spacing w:after="0" w:line="172"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deemed to have knowledge or notice of the occurrence of any breach of this Agreement or the occurrence of any Termination Event or Servicer Termination Event unless it has received notice from the Borrower, the Servicer, the Backup Servicer or any Lender, referring to this Agreement and describing such event. In the event that the Administrative Agent receives such a notice, it shall promptly give notice thereof to each Lender. The Administrative Agent shall take such action with respect to such event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event as it shall deem advisable in the best interests of the Lenders.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Non-Reliance on Administrative Agent and Other Lenders</w:t>
      </w:r>
    </w:p>
    <w:p>
      <w:pPr>
        <w:spacing w:after="0" w:line="20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Each Lender expressly acknowledges that neither the Administrative Agent nor any of its officers, directors, employees, agents, attorneys-in-fact or Affiliates has made any representations or warranties to it and that no act by the Administrative Agent hereafter taken, including any review of the affairs of the Borrower, UACC, the Servicer, the Backup Servicer, the Account Bank and the Custodian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the Servicer, UACC, the Backup Servicer, the Account Bank or the Custodian and the Receivables and made its own decision to purchase its interest in the Notes hereunder and enter into this Agreement. Each Lender also represents that it will, independently and without reliance upon the Administrative Agent or any other Lender, and based on such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47" w:name="page548"/>
    <w:bookmarkEnd w:id="547"/>
    <w:p>
      <w:pPr>
        <w:jc w:val="both"/>
        <w:spacing w:after="0" w:line="234" w:lineRule="auto"/>
        <w:rPr>
          <w:sz w:val="20"/>
          <w:szCs w:val="20"/>
          <w:color w:val="auto"/>
        </w:rPr>
      </w:pPr>
      <w:r>
        <w:rPr>
          <w:rFonts w:ascii="Times New Roman" w:cs="Times New Roman" w:eastAsia="Times New Roman" w:hAnsi="Times New Roman"/>
          <w:sz w:val="22"/>
          <w:szCs w:val="22"/>
          <w:color w:val="auto"/>
        </w:rPr>
        <w:t>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Servicer, UACC, the Backup Servicer, the Account Bank or the Custodian and the Receivables. Except for notices, reports and other documents received by the Administrative Agent hereunder, the Administrative Agent shall have any duty or responsibility to provide any Lender with any credit or other information concerning the business, operations, property, condition (financial or otherwise), prospects or creditworthiness of the Borrower, the Servicer, UACC, the Backup Servicer, the Account Bank or the Custodian or the Receivables which may come into the possession of the Administrative Agent or any of its officers, directors, employees, agents, attorneys-in-fact or Affiliates.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Indemnification</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Lenders agree to indemnify the Administrative Agent in its capacity as such (without limiting the obligation (if any) of the Borrower or the Servicer to reimburse the Administrative Agent for any such amounts), ratably according to their respective Commitments (or, if the Commitments have terminated, Invested Percentages) from and against any and all liabilities, obligations, losses, damages, penalties, actions, judgments, suits, costs, expenses or disbursements of any kind whatsoever which may at any time (including at any time following the payment of the obligations under this Agreement, including the Loans Outstanding)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provided that no Lender shall be liable for the payment of any portion of such liabilities, obligations, losses, damages, penalties, actions, judgments, suits, costs, expenses or disbursements of the Administrative Agent resulting from its own gross negligence or willful misconduct. The provisions of this Section shall survive the payment of the obligations under this Agreement, including the Loans Outstanding, the termination of this Agreement, and any resignation or removal of the Administrative Agent.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Administrative Agent in its Individual Capacity</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Administrative Agent and its Affiliates may make loans to, accept deposits from and generally engage in any kind of business with the Borrower and any other party to a Basic Document as though it were not the Administrative Agent hereunder. Any such Person shall not, by virtue of its acting in any such other capacities, be deemed to have duties or responsibilities hereunder or be held to a standard of care in connection with the performance of its duties as Administrative Agent other than as expressly provided in this Agreement.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8" w:name="page549"/>
    <w:bookmarkEnd w:id="548"/>
    <w:p>
      <w:pPr>
        <w:ind w:left="760"/>
        <w:spacing w:after="0"/>
        <w:rPr>
          <w:sz w:val="20"/>
          <w:szCs w:val="20"/>
          <w:color w:val="auto"/>
        </w:rPr>
      </w:pPr>
      <w:r>
        <w:rPr>
          <w:rFonts w:ascii="Times New Roman" w:cs="Times New Roman" w:eastAsia="Times New Roman" w:hAnsi="Times New Roman"/>
          <w:sz w:val="22"/>
          <w:szCs w:val="22"/>
          <w:color w:val="auto"/>
        </w:rPr>
        <w:t xml:space="preserve">Section 11.08. </w:t>
      </w:r>
      <w:r>
        <w:rPr>
          <w:rFonts w:ascii="Times New Roman" w:cs="Times New Roman" w:eastAsia="Times New Roman" w:hAnsi="Times New Roman"/>
          <w:sz w:val="22"/>
          <w:szCs w:val="22"/>
          <w:u w:val="single" w:color="auto"/>
          <w:color w:val="auto"/>
        </w:rPr>
        <w:t>Successor Agents</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Administrative Agent may freely assign its rights and obligations hereunder upon ten days’ notice to the Lenders and the Borrower. The Administrative Agent may resign as Administrative Agent upon ten days’ notice to the Lenders and the Borrower with such resignation becoming effective upon a successor agent succeeding to the rights, powers and duties of the Administrative Agent pursuant to this Section. If the Administrative Agent shall resign as Administrative Agent under this Agreement, then the Required Lenders shall appoint a successor administrative agent. Any successor administrative agent or agent shall succeed to the rights, powers and duties of resigning Administrative Agent, and the term “Administrative Agent” shall mean such successor administrative agent or agent effective upon its appointment, and the former Administrative Agent’s rights, powers and duties as Administrative Agent shall be terminated, without any other or further act or deed on the part of such former Administrative Agent or any of the parties to this Agreement. After the retiring Administrative Agent’s resignation as Administrative Agent, the provisions of this Article shall inure to its benefit as to any actions taken or omitted to be taken by it while it was Administrative Agent under this Agreement.</w:t>
      </w:r>
    </w:p>
    <w:p>
      <w:pPr>
        <w:spacing w:after="0" w:line="18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TWELVE</w:t>
      </w:r>
    </w:p>
    <w:p>
      <w:pPr>
        <w:spacing w:after="0" w:line="232" w:lineRule="exact"/>
        <w:rPr>
          <w:sz w:val="20"/>
          <w:szCs w:val="20"/>
          <w:color w:val="auto"/>
        </w:rPr>
      </w:pPr>
    </w:p>
    <w:p>
      <w:pPr>
        <w:ind w:left="760" w:right="3960" w:firstLine="3218"/>
        <w:spacing w:after="0" w:line="434" w:lineRule="auto"/>
        <w:rPr>
          <w:sz w:val="20"/>
          <w:szCs w:val="20"/>
          <w:color w:val="auto"/>
        </w:rPr>
      </w:pPr>
      <w:r>
        <w:rPr>
          <w:rFonts w:ascii="Times New Roman" w:cs="Times New Roman" w:eastAsia="Times New Roman" w:hAnsi="Times New Roman"/>
          <w:sz w:val="22"/>
          <w:szCs w:val="22"/>
          <w:color w:val="auto"/>
        </w:rPr>
        <w:t xml:space="preserve">ASSIGNMENTS; PARTICIPATIONS Section 12.01. </w:t>
      </w:r>
      <w:r>
        <w:rPr>
          <w:rFonts w:ascii="Times New Roman" w:cs="Times New Roman" w:eastAsia="Times New Roman" w:hAnsi="Times New Roman"/>
          <w:sz w:val="22"/>
          <w:szCs w:val="22"/>
          <w:u w:val="single" w:color="auto"/>
          <w:color w:val="auto"/>
        </w:rPr>
        <w:t>Assignments and Participations</w:t>
      </w:r>
    </w:p>
    <w:p>
      <w:pPr>
        <w:spacing w:after="0" w:line="2" w:lineRule="exact"/>
        <w:rPr>
          <w:sz w:val="20"/>
          <w:szCs w:val="20"/>
          <w:color w:val="auto"/>
        </w:rPr>
      </w:pPr>
    </w:p>
    <w:p>
      <w:pPr>
        <w:jc w:val="both"/>
        <w:ind w:firstLine="757"/>
        <w:spacing w:after="0" w:line="236" w:lineRule="auto"/>
        <w:tabs>
          <w:tab w:leader="none" w:pos="1180" w:val="left"/>
        </w:tabs>
        <w:numPr>
          <w:ilvl w:val="0"/>
          <w:numId w:val="4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the Notes or interest therein owned by such Lender pursuant to this Agreement will be acquired for investment only and not with a view to any public distribution thereof, and that such Lender will not offer to sell or otherwise dispose of the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Notes, such Lender has not engaged and will not engage in a general solicitation or general advertising.</w:t>
      </w:r>
    </w:p>
    <w:p>
      <w:pPr>
        <w:spacing w:after="0" w:line="179" w:lineRule="exact"/>
        <w:rPr>
          <w:rFonts w:ascii="Times New Roman" w:cs="Times New Roman" w:eastAsia="Times New Roman" w:hAnsi="Times New Roman"/>
          <w:sz w:val="22"/>
          <w:szCs w:val="22"/>
          <w:color w:val="auto"/>
        </w:rPr>
      </w:pPr>
    </w:p>
    <w:p>
      <w:pPr>
        <w:jc w:val="both"/>
        <w:ind w:firstLine="757"/>
        <w:spacing w:after="0" w:line="258" w:lineRule="auto"/>
        <w:tabs>
          <w:tab w:leader="none" w:pos="1180"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may upon at least 30 days’ notice to the Borrower and the Administrative Agent, assign to one or more banks or other entities all or a portion of its rights and obligations under this Agreement; provided, however,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disbursements of counsel for the Administrative Agent)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9" w:name="page550"/>
    <w:bookmarkEnd w:id="549"/>
    <w:p>
      <w:pPr>
        <w:jc w:val="both"/>
        <w:spacing w:after="0" w:line="233" w:lineRule="auto"/>
        <w:rPr>
          <w:sz w:val="20"/>
          <w:szCs w:val="20"/>
          <w:color w:val="auto"/>
        </w:rPr>
      </w:pPr>
      <w:r>
        <w:rPr>
          <w:rFonts w:ascii="Times New Roman" w:cs="Times New Roman" w:eastAsia="Times New Roman" w:hAnsi="Times New Roman"/>
          <w:sz w:val="22"/>
          <w:szCs w:val="22"/>
          <w:color w:val="auto"/>
        </w:rPr>
        <w:t>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84" w:lineRule="exact"/>
        <w:rPr>
          <w:sz w:val="20"/>
          <w:szCs w:val="20"/>
          <w:color w:val="auto"/>
        </w:rPr>
      </w:pPr>
    </w:p>
    <w:p>
      <w:pPr>
        <w:jc w:val="both"/>
        <w:ind w:firstLine="757"/>
        <w:spacing w:after="0" w:line="232" w:lineRule="auto"/>
        <w:tabs>
          <w:tab w:leader="none" w:pos="118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spacing w:after="0" w:line="18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its address referred to herein a copy of each Assignment and Acceptance delivered to and accepted by it and a register for the recordation of the names, addresses and Commitment of each Lender and the Principal Amount and stated interest of each Loan made by each Lender from time to time (the “Lender Register”). The entries in the Lender Register shall be conclusive and binding for all purposes, absent manifest error, and the Borrower and the Lenders shall treat each Person whose name is recorded in the Lender Register as a Lender hereunder for all purposes of this Agreement. The Lender Register shall be available for inspection by the Borrower and any Lender at any reasonable time and from time to time upon reasonable prior notice.</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0" w:val="left"/>
        </w:tabs>
        <w:numPr>
          <w:ilvl w:val="0"/>
          <w:numId w:val="4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Sections 12.01(a) and 12.01(b), upon its receipt of an Assignment and Acceptance executed by an assigning Lender and an assignee, the Administrative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0" w:name="page551"/>
    <w:bookmarkEnd w:id="550"/>
    <w:p>
      <w:pPr>
        <w:spacing w:after="0" w:line="258" w:lineRule="auto"/>
        <w:rPr>
          <w:sz w:val="20"/>
          <w:szCs w:val="20"/>
          <w:color w:val="auto"/>
        </w:rPr>
      </w:pPr>
      <w:r>
        <w:rPr>
          <w:rFonts w:ascii="Times New Roman" w:cs="Times New Roman" w:eastAsia="Times New Roman" w:hAnsi="Times New Roman"/>
          <w:sz w:val="22"/>
          <w:szCs w:val="22"/>
          <w:color w:val="auto"/>
        </w:rPr>
        <w:t>Agent shall, if such Assignment and Acceptance has been completed, accept such Assignment and Acceptance, and the Administrative Agent shall then record the information contained therein in the Lender Register.</w:t>
      </w:r>
    </w:p>
    <w:p>
      <w:pPr>
        <w:spacing w:after="0" w:line="157" w:lineRule="exact"/>
        <w:rPr>
          <w:sz w:val="20"/>
          <w:szCs w:val="20"/>
          <w:color w:val="auto"/>
        </w:rPr>
      </w:pPr>
    </w:p>
    <w:p>
      <w:pPr>
        <w:jc w:val="both"/>
        <w:ind w:firstLine="757"/>
        <w:spacing w:after="0" w:line="255" w:lineRule="auto"/>
        <w:tabs>
          <w:tab w:leader="none" w:pos="1180" w:val="left"/>
        </w:tabs>
        <w:numPr>
          <w:ilvl w:val="0"/>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may sell participations to one or more banks or other entities in or to all or a portion of its rights and obligations under this Agreement (including all or a portion of its Commitment and each Loan owned by it); provided, however, that (i) such Lender’s obligations under this Agreement (including its Commitment hereunder) shall remain unchanged, (ii) such Lender shall remain solely responsible to the other parties hereto for the performance of such obligations and (iii) the Administrative Agent and the other Lenders shall continue to deal solely and directly with such Lender in connection with such Lender’s rights and obligations under this Agreement. Notwithstanding anything herein to the contrary, each participant shall have the rights and obligations of a Lender (including any right to receive payment) under Sections 2.13 and 2.14;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Section 12.01. Each Lender that sells a participation agrees, at the Borrower's request and expense, to use reasonable efforts to cooperate with the Borrower to effectuate the provisions of Section 2.14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 or other obligations under the Basic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Basic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6" w:lineRule="exact"/>
        <w:rPr>
          <w:rFonts w:ascii="Times New Roman" w:cs="Times New Roman" w:eastAsia="Times New Roman" w:hAnsi="Times New Roman"/>
          <w:sz w:val="20"/>
          <w:szCs w:val="20"/>
          <w:color w:val="auto"/>
        </w:rPr>
      </w:pPr>
    </w:p>
    <w:p>
      <w:pPr>
        <w:jc w:val="both"/>
        <w:ind w:right="20" w:firstLine="757"/>
        <w:spacing w:after="0" w:line="244" w:lineRule="auto"/>
        <w:tabs>
          <w:tab w:leader="none" w:pos="1180" w:val="left"/>
        </w:tabs>
        <w:numPr>
          <w:ilvl w:val="0"/>
          <w:numId w:val="4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1" w:name="page552"/>
    <w:bookmarkEnd w:id="551"/>
    <w:p>
      <w:pPr>
        <w:jc w:val="both"/>
        <w:ind w:firstLine="757"/>
        <w:spacing w:after="0" w:line="244" w:lineRule="auto"/>
        <w:tabs>
          <w:tab w:leader="none" w:pos="1180" w:val="left"/>
        </w:tabs>
        <w:numPr>
          <w:ilvl w:val="0"/>
          <w:numId w:val="4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prohibit any Lender from pledging or assigning as Collateral any of its rights under this Agreement to any Federal Reserve Bank or any other Governmental Authority in accordance with Applicable Law and any such pledge or Collateral assignment may be made without compliance with Section 12.01(a) or 12.01(b).</w:t>
      </w:r>
    </w:p>
    <w:p>
      <w:pPr>
        <w:spacing w:after="0" w:line="17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THIRTEEN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MUTUAL COVENANTS REGARDING CONFIDENTIALITY</w:t>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Section 13.01. </w:t>
      </w:r>
      <w:r>
        <w:rPr>
          <w:rFonts w:ascii="Times New Roman" w:cs="Times New Roman" w:eastAsia="Times New Roman" w:hAnsi="Times New Roman"/>
          <w:sz w:val="22"/>
          <w:szCs w:val="22"/>
          <w:u w:val="single" w:color="auto"/>
          <w:color w:val="auto"/>
        </w:rPr>
        <w:t>Covenants of the Borrower, the Servicer, the Backup Servicer, the Account Bank and the Custodian</w:t>
      </w:r>
    </w:p>
    <w:p>
      <w:pPr>
        <w:spacing w:after="0" w:line="20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Each of the Borrower, the Servicer, the Backup Servicer, the Account Bank and the Custodian severally and with respect to itself only, covenants and agrees to hold in confidence, and not disclose to any Person, the terms of this Agreement (including any fees payable in connection with this Agreement or the identity of a Lender under this Agreement), except as the Administrative Agent or any such Lender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Backup Servicer, the Account Bank or the Custodian, (iii) to the Administrative Agent, the Lenders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w:t>
      </w:r>
    </w:p>
    <w:p>
      <w:pPr>
        <w:spacing w:after="0" w:line="6" w:lineRule="exact"/>
        <w:rPr>
          <w:sz w:val="20"/>
          <w:szCs w:val="20"/>
          <w:color w:val="auto"/>
        </w:rPr>
      </w:pPr>
    </w:p>
    <w:p>
      <w:pPr>
        <w:jc w:val="both"/>
        <w:ind w:firstLine="8"/>
        <w:spacing w:after="0" w:line="233" w:lineRule="auto"/>
        <w:tabs>
          <w:tab w:leader="none" w:pos="297" w:val="left"/>
        </w:tabs>
        <w:numPr>
          <w:ilvl w:val="0"/>
          <w:numId w:val="4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requested by any Rating Agency; provided, that, in the case of clause (iv)(a), the Borrower, the Servicer, the Backup Servicer, the Account Bank and the Custodian, as applicable, will use all reasonable efforts to maintain confidentiality and will (unless otherwise prohibited by Applicable Law) notify the Lender of its intention to make any such disclosure prior to making such disclosure.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13.02. </w:t>
      </w:r>
      <w:r>
        <w:rPr>
          <w:rFonts w:ascii="Times New Roman" w:cs="Times New Roman" w:eastAsia="Times New Roman" w:hAnsi="Times New Roman"/>
          <w:sz w:val="22"/>
          <w:szCs w:val="22"/>
          <w:u w:val="single" w:color="auto"/>
          <w:color w:val="auto"/>
        </w:rPr>
        <w:t>Covenants of the Administrative Agent and the Lenders</w:t>
      </w:r>
    </w:p>
    <w:p>
      <w:pPr>
        <w:spacing w:after="0" w:line="205" w:lineRule="exact"/>
        <w:rPr>
          <w:sz w:val="20"/>
          <w:szCs w:val="20"/>
          <w:color w:val="auto"/>
        </w:rPr>
      </w:pPr>
    </w:p>
    <w:p>
      <w:pPr>
        <w:jc w:val="both"/>
        <w:ind w:firstLine="757"/>
        <w:spacing w:after="0" w:line="239" w:lineRule="auto"/>
        <w:tabs>
          <w:tab w:leader="none" w:pos="1180"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and each Lender covenants and agrees that it will not disclose any of the Confidential Information now or hereafter received or obtained by it without the Borrower’s prior written consent; provided, however, that it may disclose any such Confidential Information to those of its employees or Affiliates directly involved in the transactions contemplated by the Basic Documents or to the Rating Agencies.</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4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and each Lender may also disclose any such Confidential Information to its Advisors who need to know such information for the purpose of assisting it in connection with the transactions contemplated by the Basic Documents. Each of the Administrative Agent and each Lender agrees to be responsible for any breach of this Agreement by its Affiliates and Advisors, and it agrees that its Affiliates and Advisors will be advised by it of the confidential nature of such information and that it shall cause its Affiliates to be bound by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2" w:name="page553"/>
    <w:bookmarkEnd w:id="552"/>
    <w:p>
      <w:pPr>
        <w:jc w:val="both"/>
        <w:ind w:firstLine="757"/>
        <w:spacing w:after="0" w:line="237" w:lineRule="auto"/>
        <w:tabs>
          <w:tab w:leader="none" w:pos="1180"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Administrative Agent, any Lender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and each Lender acknowledges and agrees that any Confidential Information provided to it, in whatever form, is the sole property of the Borrower and UACC. Neither such Person nor its Affiliates or Advisors shall use any of the Confidential Information now or hereafter received or obtained from or through the Borrower, UACC or any of their respective Affiliates for any purpose other than for purposes of engaging in, or as otherwise contemplated by, the transactions contemplated by the Basic Documents. The Administrative Agent and each Lender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Administrative Agent and each Lender acknowledges that all Confidential Information is considered to be proprietary and of competitive value, and in many instances trade secrets. Each of the Administrative Agent and each Lender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Administrative Agent and each Lender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4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a Lender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UACC in writing (unless it has been advised by an Opinion of Counsel that such notification is prohibited by Applicable Law or regulation) of such requirement so that the Borrower and/or UACC, at their sole cost and expense, may seek a protective order or other appropriate remedy and/or waive compliance with the provisions hereof. The Administrative Agent and each Lender agrees to use its reasonable efforts, upon the written request of the Borrower or UACC,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3" w:name="page554"/>
    <w:bookmarkEnd w:id="553"/>
    <w:p>
      <w:pPr>
        <w:jc w:val="both"/>
        <w:spacing w:after="0" w:line="258" w:lineRule="auto"/>
        <w:rPr>
          <w:sz w:val="20"/>
          <w:szCs w:val="20"/>
          <w:color w:val="auto"/>
        </w:rPr>
      </w:pPr>
      <w:r>
        <w:rPr>
          <w:rFonts w:ascii="Times New Roman" w:cs="Times New Roman" w:eastAsia="Times New Roman" w:hAnsi="Times New Roman"/>
          <w:sz w:val="22"/>
          <w:szCs w:val="22"/>
          <w:color w:val="auto"/>
        </w:rPr>
        <w:t>that it is legally compelled to disclose; provided that it agrees to use reasonable efforts to obtain assurance that confidential treatment will be accorded such Confidential Information by the person or persons to whom it was disclosed.</w:t>
      </w:r>
    </w:p>
    <w:p>
      <w:pPr>
        <w:spacing w:after="0" w:line="15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Notwithstanding the foregoing, it is understood that the Administrative Agent and each Lender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Administrative Agent or any Lender. Under such circumstances, the related entity agrees to provide notice to the Borrower and UACC as soon as practicable in connection with (and, if possible, before) releasing the Confidential Information to the bank examiner or other regulatory authority pursuant to such request or examination.</w:t>
      </w:r>
    </w:p>
    <w:p>
      <w:pPr>
        <w:spacing w:after="0" w:line="181" w:lineRule="exact"/>
        <w:rPr>
          <w:sz w:val="20"/>
          <w:szCs w:val="20"/>
          <w:color w:val="auto"/>
        </w:rPr>
      </w:pPr>
    </w:p>
    <w:p>
      <w:pPr>
        <w:jc w:val="both"/>
        <w:ind w:firstLine="757"/>
        <w:spacing w:after="0" w:line="239" w:lineRule="auto"/>
        <w:tabs>
          <w:tab w:leader="none" w:pos="1180" w:val="left"/>
        </w:tabs>
        <w:numPr>
          <w:ilvl w:val="0"/>
          <w:numId w:val="5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and agreed that no failure or delay by the Borrower, the Servicer, the Backup Servicer, the Account Bank, the Custodian, the Administrative Agent or any Lender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13.03. </w:t>
      </w:r>
      <w:r>
        <w:rPr>
          <w:rFonts w:ascii="Times New Roman" w:cs="Times New Roman" w:eastAsia="Times New Roman" w:hAnsi="Times New Roman"/>
          <w:sz w:val="22"/>
          <w:szCs w:val="22"/>
          <w:u w:val="single" w:color="auto"/>
          <w:color w:val="auto"/>
        </w:rPr>
        <w:t>Non-Confidentiality of Tax Treatment and Tax Structure</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the tax structure and tax treatment of the transactions, and all materials of any kind (including opinions or other tax analyses) that are provided to each such party related to such tax structure and tax treatment. In this regard, each party hereto acknowledges and agrees that this disclosure of the tax structure or tax treatment of the transactions is not limited in any way by an express or implied understanding or agreement, oral or written (whether or not such understanding or agreement is legally binding).</w:t>
      </w:r>
    </w:p>
    <w:p>
      <w:pPr>
        <w:spacing w:after="0" w:line="1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ARTICLE FOURTEEN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14.01. </w:t>
      </w:r>
      <w:r>
        <w:rPr>
          <w:rFonts w:ascii="Times New Roman" w:cs="Times New Roman" w:eastAsia="Times New Roman" w:hAnsi="Times New Roman"/>
          <w:sz w:val="22"/>
          <w:szCs w:val="22"/>
          <w:u w:val="single" w:color="auto"/>
          <w:color w:val="auto"/>
        </w:rPr>
        <w:t>Amendments and Waivers</w:t>
      </w:r>
    </w:p>
    <w:p>
      <w:pPr>
        <w:spacing w:after="0" w:line="205" w:lineRule="exact"/>
        <w:rPr>
          <w:sz w:val="20"/>
          <w:szCs w:val="20"/>
          <w:color w:val="auto"/>
        </w:rPr>
      </w:pPr>
    </w:p>
    <w:p>
      <w:pPr>
        <w:jc w:val="both"/>
        <w:ind w:firstLine="757"/>
        <w:spacing w:after="0" w:line="237" w:lineRule="auto"/>
        <w:tabs>
          <w:tab w:leader="none" w:pos="1180" w:val="left"/>
        </w:tabs>
        <w:numPr>
          <w:ilvl w:val="0"/>
          <w:numId w:val="5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the Administrative Agent or a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each Lender hereunder are cumulative and are not exclusive of any rights or remedies that they would otherwise have. No waiver of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4" w:name="page555"/>
    <w:bookmarkEnd w:id="554"/>
    <w:p>
      <w:pPr>
        <w:jc w:val="both"/>
        <w:spacing w:after="0" w:line="266" w:lineRule="auto"/>
        <w:rPr>
          <w:sz w:val="20"/>
          <w:szCs w:val="20"/>
          <w:color w:val="auto"/>
        </w:rPr>
      </w:pPr>
      <w:r>
        <w:rPr>
          <w:rFonts w:ascii="Times New Roman" w:cs="Times New Roman" w:eastAsia="Times New Roman" w:hAnsi="Times New Roman"/>
          <w:sz w:val="20"/>
          <w:szCs w:val="20"/>
          <w:color w:val="auto"/>
        </w:rPr>
        <w:t>provision of this Agreement or consent to any departure by the Borrower therefrom shall in any event be effective unless the same shall be permitted by Section 14.01(b), and then such waiver or consent shall be effective only in the specific instance and for the purpose for which given. Without limiting the generality of the foregoing, the making of a Loan shall not be construed as a waiver of any Termination Event or Unmatured Termination Event, regardless of whether the Administrative Agent or any Lender may have had notice or knowledge of such Termination Event or Unmatured Termination Event at the time.</w:t>
      </w:r>
    </w:p>
    <w:p>
      <w:pPr>
        <w:spacing w:after="0" w:line="155" w:lineRule="exact"/>
        <w:rPr>
          <w:sz w:val="20"/>
          <w:szCs w:val="20"/>
          <w:color w:val="auto"/>
        </w:rPr>
      </w:pPr>
    </w:p>
    <w:p>
      <w:pPr>
        <w:jc w:val="both"/>
        <w:ind w:firstLine="757"/>
        <w:spacing w:after="0" w:line="244" w:lineRule="auto"/>
        <w:tabs>
          <w:tab w:leader="none" w:pos="1180" w:val="left"/>
        </w:tabs>
        <w:numPr>
          <w:ilvl w:val="0"/>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amended or modified except pursuant to an agreement or agreements in writing entered into by the Borrower and the Administrative Agent; provided, that no such agreement shall, without the written consent of:</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(1) amend any provision of Section 2.08, (2) amend any provision of Schedule B or</w:t>
      </w:r>
    </w:p>
    <w:p>
      <w:pPr>
        <w:spacing w:after="0" w:line="36" w:lineRule="exact"/>
        <w:rPr>
          <w:rFonts w:ascii="Times New Roman" w:cs="Times New Roman" w:eastAsia="Times New Roman" w:hAnsi="Times New Roman"/>
          <w:sz w:val="20"/>
          <w:szCs w:val="20"/>
          <w:color w:val="auto"/>
        </w:rPr>
      </w:pPr>
    </w:p>
    <w:p>
      <w:pPr>
        <w:ind w:left="760" w:right="2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(3) reduce the principal or the rate of Interest on any Loans Outstanding or any fees or other amounts payable hereunder or under any other Basic Documents, and</w:t>
      </w:r>
    </w:p>
    <w:p>
      <w:pPr>
        <w:spacing w:after="0" w:line="177" w:lineRule="exact"/>
        <w:rPr>
          <w:rFonts w:ascii="Times New Roman" w:cs="Times New Roman" w:eastAsia="Times New Roman" w:hAnsi="Times New Roman"/>
          <w:sz w:val="20"/>
          <w:szCs w:val="20"/>
          <w:color w:val="auto"/>
        </w:rPr>
      </w:pPr>
    </w:p>
    <w:p>
      <w:pPr>
        <w:jc w:val="both"/>
        <w:ind w:left="760" w:firstLine="745"/>
        <w:spacing w:after="0" w:line="234" w:lineRule="auto"/>
        <w:tabs>
          <w:tab w:leader="none" w:pos="1940" w:val="left"/>
        </w:tabs>
        <w:numPr>
          <w:ilvl w:val="1"/>
          <w:numId w:val="5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Lenders, (1) change any provision of this Section or the definition of “Required Lenders”, “Termination Event” or “Servicer Termination Event” or any other provision hereof specifying the number or percentage of Lenders required to amend, waive, or otherwise modify any rights hereunder or make any determination or grant any consent hereunder or (2) amend or change the definition of “Advance Rate”, “Annualized Default Ratio”, “Annualized Net Loss Ratio”, “Borrowing Base”, “Concentration Limits”, “Delinquency Ratio”, “UACC Excess Spread Percentage”, “Vroom Excess Spread Percentage”, “Extension Ratio”, "Final Maturity Date", “Overcollateralization Increase Events”, “Reserve Account Required Amount”, “Serviced Portfolio Annualized Default Ratio, “Serviced Portfolio Annualized Net Loss Ratio”, “Serviced Portfolio Delinquency Ratio”, “Serviced Portfolio Extension Ratio” or any provision of this Agreement that uses any of the foregoing terms;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provided, further, that no such agreement shall amend, modify or otherwise affect the rights, protections or duties of the Servicer, the Custodian, the Backup Servicer, the Owner Trustee, the Account Bank or any Hedge Counterparty hereunder without the prior written consent of the Servicer, the Custodian, the Backup Servicer, the Owner Trustee, the Account Bank or any Hedge Counterparty, as the case may be.</w:t>
      </w:r>
    </w:p>
    <w:p>
      <w:pPr>
        <w:spacing w:after="0" w:line="179" w:lineRule="exact"/>
        <w:rPr>
          <w:sz w:val="20"/>
          <w:szCs w:val="20"/>
          <w:color w:val="auto"/>
        </w:rPr>
      </w:pPr>
    </w:p>
    <w:p>
      <w:pPr>
        <w:jc w:val="both"/>
        <w:ind w:firstLine="757"/>
        <w:spacing w:after="0" w:line="239" w:lineRule="auto"/>
        <w:tabs>
          <w:tab w:leader="none" w:pos="1180"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waived except pursuant to an agreement or agreements in writing entered into by the Administrative Agent; provided, that no such agreement shall, without the written consent of (i) the Required Lenders, waive any condition set forth in Section 4.02 or (ii) the Servicer, the Custodian, the Backup Servicer, the Owner Trustee, the Account Bank or any Hedge Counterparty, waive its respective rights, protections or duties hereunder.</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5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execution of any amendment, modification or waiver to this Agreement or any other Basic Document, the Borrower shall deliver an Opinion of Counsel or an Officer’s Certificate to the Administrative Agent stating that such amendment, modification or waiver without the prior written consent of the Servicer, the Custodian, the Backup Servicer, the Account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55" w:name="page556"/>
    <w:bookmarkEnd w:id="555"/>
    <w:p>
      <w:pPr>
        <w:jc w:val="both"/>
        <w:spacing w:after="0" w:line="244" w:lineRule="auto"/>
        <w:rPr>
          <w:sz w:val="20"/>
          <w:szCs w:val="20"/>
          <w:color w:val="auto"/>
        </w:rPr>
      </w:pPr>
      <w:r>
        <w:rPr>
          <w:rFonts w:ascii="Times New Roman" w:cs="Times New Roman" w:eastAsia="Times New Roman" w:hAnsi="Times New Roman"/>
          <w:sz w:val="22"/>
          <w:szCs w:val="22"/>
          <w:color w:val="auto"/>
        </w:rPr>
        <w:t>Bank or any Hedge Counterparty will not affect the rights, protections or duties of each such party. The Borrower shall provide a copy of each executed amendment, waiver or other modification to the Servicer, the Custodian, the Backup Servicer, the Account Bank and each Hedge Counterparty.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14.02. </w:t>
      </w:r>
      <w:r>
        <w:rPr>
          <w:rFonts w:ascii="Times New Roman" w:cs="Times New Roman" w:eastAsia="Times New Roman" w:hAnsi="Times New Roman"/>
          <w:sz w:val="22"/>
          <w:szCs w:val="22"/>
          <w:u w:val="single" w:color="auto"/>
          <w:color w:val="auto"/>
        </w:rPr>
        <w:t>Notices, Etc.</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All notices and other communications provided for hereunder shall, unless otherwise stated herein, be in writing (including telex communication and communication by facsimile copy) and e-mailed,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telex, when telexed against receipt of answer back, (iii) facsimile copy, when verbal communication of receipt is obtained or (iv) e-mail, when receipt is confirmed by telephone or by reply e-mail from the recipient, except that notices and communications pursuant to Article Two shall not be effective until received with respect to any notice sent by mail or telex.</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14.03. </w:t>
      </w:r>
      <w:r>
        <w:rPr>
          <w:rFonts w:ascii="Times New Roman" w:cs="Times New Roman" w:eastAsia="Times New Roman" w:hAnsi="Times New Roman"/>
          <w:sz w:val="22"/>
          <w:szCs w:val="22"/>
          <w:u w:val="single" w:color="auto"/>
          <w:color w:val="auto"/>
        </w:rPr>
        <w:t>No Waiver, Rights and Remedies</w:t>
      </w:r>
    </w:p>
    <w:p>
      <w:pPr>
        <w:spacing w:after="0" w:line="205"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No failure on the part of the Administrative Agent or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14.04. </w:t>
      </w:r>
      <w:r>
        <w:rPr>
          <w:rFonts w:ascii="Times New Roman" w:cs="Times New Roman" w:eastAsia="Times New Roman" w:hAnsi="Times New Roman"/>
          <w:sz w:val="22"/>
          <w:szCs w:val="22"/>
          <w:u w:val="single" w:color="auto"/>
          <w:color w:val="auto"/>
        </w:rPr>
        <w:t>Binding Effect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Borrower, the Servicer, the Backup Servicer, the Owner Trustee, the Account Bank, the Custodian, the Administrative Agent, the Secured Parties and their respective successors and permitted assigns and each Hedge Counterparty shall be an express third-party beneficiary of this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14.05. </w:t>
      </w:r>
      <w:r>
        <w:rPr>
          <w:rFonts w:ascii="Times New Roman" w:cs="Times New Roman" w:eastAsia="Times New Roman" w:hAnsi="Times New Roman"/>
          <w:sz w:val="22"/>
          <w:szCs w:val="22"/>
          <w:u w:val="single" w:color="auto"/>
          <w:color w:val="auto"/>
        </w:rPr>
        <w:t>Term of this Agreement</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14.06. </w:t>
      </w:r>
      <w:r>
        <w:rPr>
          <w:rFonts w:ascii="Times New Roman" w:cs="Times New Roman" w:eastAsia="Times New Roman" w:hAnsi="Times New Roman"/>
          <w:sz w:val="20"/>
          <w:szCs w:val="20"/>
          <w:b w:val="1"/>
          <w:bCs w:val="1"/>
          <w:u w:val="single" w:color="auto"/>
          <w:color w:val="auto"/>
        </w:rPr>
        <w:t>GOVERNING LAW; CONSENT TO JURISDICTION; WAIVER OF OBJECTION TO VENUE</w:t>
      </w:r>
    </w:p>
    <w:p>
      <w:pPr>
        <w:spacing w:after="0" w:line="228"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THIS AGREEMENT SHALL BE GOVERNED BY, AND CONSTRUED IN ACCORDANCE WITH, THE LAWS OF THE STATE OF NEW YORK WITHOUT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56" w:name="page557"/>
    <w:bookmarkEnd w:id="556"/>
    <w:p>
      <w:pPr>
        <w:jc w:val="both"/>
        <w:spacing w:after="0" w:line="256" w:lineRule="exact"/>
        <w:rPr>
          <w:sz w:val="20"/>
          <w:szCs w:val="20"/>
          <w:color w:val="auto"/>
        </w:rPr>
      </w:pPr>
      <w:r>
        <w:rPr>
          <w:rFonts w:ascii="Times New Roman" w:cs="Times New Roman" w:eastAsia="Times New Roman" w:hAnsi="Times New Roman"/>
          <w:sz w:val="22"/>
          <w:szCs w:val="22"/>
          <w:b w:val="1"/>
          <w:bCs w:val="1"/>
          <w:color w:val="auto"/>
        </w:rPr>
        <w:t>REFERENCE TO ITS CONFLICTS OF LAW PROVISIONS (OTHER THAN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1401 AND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1402 OF THE NEW YORK GENERAL OBLIGATIONS LAW). EACH OF THE PARTIES HERETO HEREBY AGREES TO THE NON-EXCLUSIVE JURISDICTION OF ANY FEDERAL COURT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14.07. </w:t>
      </w:r>
      <w:r>
        <w:rPr>
          <w:rFonts w:ascii="Times New Roman" w:cs="Times New Roman" w:eastAsia="Times New Roman" w:hAnsi="Times New Roman"/>
          <w:sz w:val="22"/>
          <w:szCs w:val="22"/>
          <w:b w:val="1"/>
          <w:bCs w:val="1"/>
          <w:u w:val="single" w:color="auto"/>
          <w:color w:val="auto"/>
        </w:rPr>
        <w:t>WAIVER OF JURY TRIAL</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14.08. </w:t>
      </w: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In addition to the rights of indemnification granted to the Administrative Agent, the Backup Servicer, the Account Bank, the Secured Parties and its or their Affiliates and officers, directors, employees and agents thereof under Article Ten, the Borrower agrees to pay on demand all reasonable costs and expenses of the Administrative Agent, the Backup Servicer, the Account Bank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any agreed upon cap between the Borrower and the Administrative Agent, the reasonable fees and out-of-pocket expenses of counsel for the Backup Servicer, the Account Bank, the Administrative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 This Section 14.08 shall not apply with respect to Taxes other than any Taxes that represent losses, claims, damages, etc., arising from any non-Tax claim.</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14.09. </w:t>
      </w:r>
      <w:r>
        <w:rPr>
          <w:rFonts w:ascii="Times New Roman" w:cs="Times New Roman" w:eastAsia="Times New Roman" w:hAnsi="Times New Roman"/>
          <w:sz w:val="22"/>
          <w:szCs w:val="22"/>
          <w:u w:val="single" w:color="auto"/>
          <w:color w:val="auto"/>
        </w:rPr>
        <w:t>No Insolvency Proceedings</w:t>
      </w:r>
    </w:p>
    <w:p>
      <w:pPr>
        <w:spacing w:after="0" w:line="205" w:lineRule="exact"/>
        <w:rPr>
          <w:sz w:val="20"/>
          <w:szCs w:val="20"/>
          <w:color w:val="auto"/>
        </w:rPr>
      </w:pPr>
    </w:p>
    <w:p>
      <w:pPr>
        <w:jc w:val="both"/>
        <w:ind w:firstLine="757"/>
        <w:spacing w:after="0" w:line="237" w:lineRule="auto"/>
        <w:tabs>
          <w:tab w:leader="none" w:pos="1180" w:val="left"/>
        </w:tabs>
        <w:numPr>
          <w:ilvl w:val="0"/>
          <w:numId w:val="5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prior termination of this Agreement, no Lender shall, prior to the date which is one year and one day after the final payment of the Aggregate Unpaids,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22"/>
          <w:szCs w:val="22"/>
          <w:color w:val="auto"/>
        </w:rPr>
        <w:t>of the Borrower or any substantial part of its property or ordering the winding up or liquidation of the affairs of the Borrower.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14.10. </w:t>
      </w:r>
      <w:r>
        <w:rPr>
          <w:rFonts w:ascii="Times New Roman" w:cs="Times New Roman" w:eastAsia="Times New Roman" w:hAnsi="Times New Roman"/>
          <w:sz w:val="22"/>
          <w:szCs w:val="22"/>
          <w:u w:val="single" w:color="auto"/>
          <w:color w:val="auto"/>
        </w:rPr>
        <w:t>Recourse Against Certain Parties</w:t>
      </w:r>
    </w:p>
    <w:p>
      <w:pPr>
        <w:spacing w:after="0" w:line="205" w:lineRule="exact"/>
        <w:rPr>
          <w:sz w:val="20"/>
          <w:szCs w:val="20"/>
          <w:color w:val="auto"/>
        </w:rPr>
      </w:pPr>
    </w:p>
    <w:p>
      <w:pPr>
        <w:jc w:val="both"/>
        <w:ind w:firstLine="757"/>
        <w:spacing w:after="0" w:line="232" w:lineRule="auto"/>
        <w:tabs>
          <w:tab w:leader="none" w:pos="1180"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under or with respect to any obligation, covenant or agreement (including the payment of any fees or any other obligations) of the Administrative Agent or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the Administrative Agent and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 The provisions of this Section shall survive the termination of this Agreement.</w:t>
      </w:r>
    </w:p>
    <w:p>
      <w:pPr>
        <w:spacing w:after="0" w:line="184"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shall survive the termination of this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14.11. </w:t>
      </w:r>
      <w:r>
        <w:rPr>
          <w:rFonts w:ascii="Times New Roman" w:cs="Times New Roman" w:eastAsia="Times New Roman" w:hAnsi="Times New Roman"/>
          <w:sz w:val="22"/>
          <w:szCs w:val="22"/>
          <w:u w:val="single" w:color="auto"/>
          <w:color w:val="auto"/>
        </w:rPr>
        <w:t>Limitations on Consequential, Indirect and Certain Other Damages</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 claim can be made by the Borrower, UACC or any of their respective Affiliates against the Administrative Agent, any Secured Party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UACC, to the extent permitted by Applicable Law, hereby waives, releases and agrees not to bring any such claim for any such damages, whether or not accrued and whether or not known or suspected to exist in its favor.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14.12. </w:t>
      </w:r>
      <w:r>
        <w:rPr>
          <w:rFonts w:ascii="Times New Roman" w:cs="Times New Roman" w:eastAsia="Times New Roman" w:hAnsi="Times New Roman"/>
          <w:sz w:val="22"/>
          <w:szCs w:val="22"/>
          <w:u w:val="single" w:color="auto"/>
          <w:color w:val="auto"/>
        </w:rPr>
        <w:t>AML Law Compliance</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58" w:name="page559"/>
    <w:bookmarkEnd w:id="558"/>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promulgated by the Office of Foreign Asset Control (collectively, </w:t>
      </w:r>
      <w:r>
        <w:rPr>
          <w:rFonts w:ascii="Times New Roman" w:cs="Times New Roman" w:eastAsia="Times New Roman" w:hAnsi="Times New Roman"/>
          <w:sz w:val="22"/>
          <w:szCs w:val="22"/>
          <w:i w:val="1"/>
          <w:iCs w:val="1"/>
          <w:color w:val="auto"/>
        </w:rPr>
        <w:t>“AML Law”</w:t>
      </w:r>
      <w:r>
        <w:rPr>
          <w:rFonts w:ascii="Times New Roman" w:cs="Times New Roman" w:eastAsia="Times New Roman" w:hAnsi="Times New Roman"/>
          <w:sz w:val="22"/>
          <w:szCs w:val="22"/>
          <w:color w:val="auto"/>
        </w:rPr>
        <w:t>), each of the Account Bank and Backup Servicer is required to obtain, verify, and record information relating to individuals and entities that establish a business relationship or open an account with the Account Bank or Backup Servicer. Each party hereby agrees that it shall provide the Account Bank and Backup Servicer with such identifying information and documentation as they may request from time to time in order to enable them to comply with all applicable requirements of AML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14.13. </w:t>
      </w:r>
      <w:r>
        <w:rPr>
          <w:rFonts w:ascii="Times New Roman" w:cs="Times New Roman" w:eastAsia="Times New Roman" w:hAnsi="Times New Roman"/>
          <w:sz w:val="22"/>
          <w:szCs w:val="22"/>
          <w:u w:val="single" w:color="auto"/>
          <w:color w:val="auto"/>
        </w:rPr>
        <w:t>Execution in Counterparts; Severability; Integration</w:t>
      </w:r>
    </w:p>
    <w:p>
      <w:pPr>
        <w:spacing w:after="0" w:line="20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contemplated hereby.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20"/>
          <w:szCs w:val="20"/>
          <w:i w:val="1"/>
          <w:iCs w:val="1"/>
          <w:color w:val="auto"/>
        </w:rPr>
        <w:t>“Signature Law”</w:t>
      </w:r>
      <w:r>
        <w:rPr>
          <w:rFonts w:ascii="Times New Roman" w:cs="Times New Roman" w:eastAsia="Times New Roman" w:hAnsi="Times New Roman"/>
          <w:sz w:val="20"/>
          <w:szCs w:val="20"/>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securities when required under the Uniform Commercial Code or other Signature Law due to the character or intended character of the writings.</w:t>
      </w:r>
    </w:p>
    <w:p>
      <w:pPr>
        <w:spacing w:after="0" w:line="200" w:lineRule="exact"/>
        <w:rPr>
          <w:sz w:val="20"/>
          <w:szCs w:val="20"/>
          <w:color w:val="auto"/>
        </w:rPr>
      </w:pP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14.14. </w:t>
      </w:r>
      <w:r>
        <w:rPr>
          <w:rFonts w:ascii="Times New Roman" w:cs="Times New Roman" w:eastAsia="Times New Roman" w:hAnsi="Times New Roman"/>
          <w:sz w:val="22"/>
          <w:szCs w:val="22"/>
          <w:u w:val="single" w:color="auto"/>
          <w:color w:val="auto"/>
        </w:rPr>
        <w:t>Limitation of Liability of Owner Trustee</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It is expressly understood and agreed by the parties hereto that (i) this Agreement is executed and delivered by [***], not individually or personally but solely as Owner Trustee of the Borrower, in the exercise of the powers and authority conferred and vested in it, (ii) each of the representations, undertakings and agreements herein made on the part of the Borrower is made and intended not as personal representations, undertakings and agreements by [***], but is made and intended for the purpose for binding only the Borrower, (iii) nothing herein contained shall be construed as creating any liability on [***], individually or personally, to perform any covenant either expressed or implied contained herein, all such liability, if any, being expressly waived by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559" w:name="page560"/>
    <w:bookmarkEnd w:id="559"/>
    <w:p>
      <w:pPr>
        <w:jc w:val="both"/>
        <w:spacing w:after="0" w:line="237" w:lineRule="auto"/>
        <w:rPr>
          <w:sz w:val="20"/>
          <w:szCs w:val="20"/>
          <w:color w:val="auto"/>
        </w:rPr>
      </w:pPr>
      <w:r>
        <w:rPr>
          <w:rFonts w:ascii="Times New Roman" w:cs="Times New Roman" w:eastAsia="Times New Roman" w:hAnsi="Times New Roman"/>
          <w:sz w:val="22"/>
          <w:szCs w:val="22"/>
          <w:color w:val="auto"/>
        </w:rPr>
        <w:t>the parties hereto and by any Person claiming by, through or under the parties hereto, (iv) [***], has made no investigation as to the accuracy or completeness of any representations and warranties made by the Borrower in this Agreement, and (v) under no circumstances shall [***], be personally liable for the payment of any indebtedness or expenses of the Borrower or be liable for the breach or failure of any obligation, representation, warranty or covenant made or undertaken by the Borrower under this Agreement or any other Basic Document.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60" w:name="page561"/>
    <w:bookmarkEnd w:id="560"/>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 as of the date first above written.</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61" w:name="page562"/>
    <w:bookmarkEnd w:id="561"/>
    <w:p>
      <w:pPr>
        <w:spacing w:after="0"/>
        <w:tabs>
          <w:tab w:leader="none" w:pos="4760" w:val="left"/>
        </w:tabs>
        <w:rPr>
          <w:sz w:val="20"/>
          <w:szCs w:val="20"/>
          <w:color w:val="auto"/>
        </w:rPr>
      </w:pPr>
      <w:r>
        <w:rPr>
          <w:rFonts w:ascii="Times New Roman" w:cs="Times New Roman" w:eastAsia="Times New Roman" w:hAnsi="Times New Roman"/>
          <w:sz w:val="22"/>
          <w:szCs w:val="22"/>
          <w:color w:val="auto"/>
        </w:rPr>
        <w:t>THE BORROWER:</w:t>
      </w:r>
      <w:r>
        <w:rPr>
          <w:sz w:val="20"/>
          <w:szCs w:val="20"/>
          <w:color w:val="auto"/>
        </w:rPr>
        <w:tab/>
      </w:r>
      <w:r>
        <w:rPr>
          <w:rFonts w:ascii="Times New Roman" w:cs="Times New Roman" w:eastAsia="Times New Roman" w:hAnsi="Times New Roman"/>
          <w:sz w:val="20"/>
          <w:szCs w:val="20"/>
          <w:color w:val="auto"/>
        </w:rPr>
        <w:t>UACC AUTO FINANCING TRUST V</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By: [***], not in its individual capacity but solely as Owner Trustee</w:t>
      </w:r>
    </w:p>
    <w:p>
      <w:pPr>
        <w:spacing w:after="0" w:line="22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 as its attorney-in-fact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w:t>
      </w:r>
    </w:p>
    <w:p>
      <w:pPr>
        <w:spacing w:after="0" w:line="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 [***]</w:t>
      </w:r>
    </w:p>
    <w:p>
      <w:pPr>
        <w:ind w:left="5220"/>
        <w:spacing w:after="0"/>
        <w:rPr>
          <w:sz w:val="20"/>
          <w:szCs w:val="20"/>
          <w:color w:val="auto"/>
        </w:rPr>
      </w:pPr>
      <w:r>
        <w:rPr>
          <w:rFonts w:ascii="Times New Roman" w:cs="Times New Roman" w:eastAsia="Times New Roman" w:hAnsi="Times New Roman"/>
          <w:sz w:val="22"/>
          <w:szCs w:val="22"/>
          <w:color w:val="auto"/>
        </w:rPr>
        <w:t>Title: [***]</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1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c/o [***]</w:t>
      </w: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United Auto Credit Corporation</w:t>
      </w:r>
    </w:p>
    <w:p>
      <w:pPr>
        <w:ind w:left="4780"/>
        <w:spacing w:after="0" w:line="230" w:lineRule="auto"/>
        <w:rPr>
          <w:sz w:val="20"/>
          <w:szCs w:val="20"/>
          <w:color w:val="auto"/>
        </w:rPr>
      </w:pPr>
      <w:r>
        <w:rPr>
          <w:rFonts w:ascii="Times New Roman" w:cs="Times New Roman" w:eastAsia="Times New Roman" w:hAnsi="Times New Roman"/>
          <w:sz w:val="22"/>
          <w:szCs w:val="22"/>
          <w:color w:val="auto"/>
        </w:rPr>
        <w:t>1071 Camelback Street</w:t>
      </w:r>
    </w:p>
    <w:p>
      <w:pPr>
        <w:ind w:left="4780"/>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ind w:left="4780"/>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ind w:left="4780"/>
        <w:spacing w:after="0" w:line="231" w:lineRule="auto"/>
        <w:rPr>
          <w:sz w:val="20"/>
          <w:szCs w:val="20"/>
          <w:color w:val="auto"/>
        </w:rPr>
      </w:pPr>
      <w:r>
        <w:rPr>
          <w:rFonts w:ascii="Times New Roman" w:cs="Times New Roman" w:eastAsia="Times New Roman" w:hAnsi="Times New Roman"/>
          <w:sz w:val="22"/>
          <w:szCs w:val="22"/>
          <w:color w:val="auto"/>
        </w:rPr>
        <w:t>Telephone No.: [***]</w:t>
      </w:r>
    </w:p>
    <w:p>
      <w:pPr>
        <w:ind w:left="4780"/>
        <w:spacing w:after="0" w:line="230" w:lineRule="auto"/>
        <w:rPr>
          <w:sz w:val="20"/>
          <w:szCs w:val="20"/>
          <w:color w:val="auto"/>
        </w:rPr>
      </w:pPr>
      <w:r>
        <w:rPr>
          <w:rFonts w:ascii="Times New Roman" w:cs="Times New Roman" w:eastAsia="Times New Roman" w:hAnsi="Times New Roman"/>
          <w:sz w:val="22"/>
          <w:szCs w:val="22"/>
          <w:color w:val="auto"/>
        </w:rPr>
        <w:t>Facsimile No.: [***]</w:t>
      </w:r>
    </w:p>
    <w:p>
      <w:pPr>
        <w:jc w:val="center"/>
        <w:ind w:right="420"/>
        <w:spacing w:after="0"/>
        <w:rPr>
          <w:sz w:val="20"/>
          <w:szCs w:val="20"/>
          <w:color w:val="auto"/>
        </w:rPr>
      </w:pPr>
      <w:r>
        <w:rPr>
          <w:rFonts w:ascii="Times New Roman" w:cs="Times New Roman" w:eastAsia="Times New Roman" w:hAnsi="Times New Roman"/>
          <w:sz w:val="22"/>
          <w:szCs w:val="22"/>
          <w:color w:val="auto"/>
        </w:rPr>
        <w:t>E-mail: [***]</w:t>
      </w:r>
    </w:p>
    <w:p>
      <w:pPr>
        <w:sectPr>
          <w:pgSz w:w="11900" w:h="16838" w:orient="portrait"/>
          <w:cols w:equalWidth="0" w:num="1">
            <w:col w:w="11140"/>
          </w:cols>
          <w:pgMar w:left="420" w:top="1420"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SERVICER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CUSTODIAN: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AUTO CREDIT CORPORATION</w:t>
      </w:r>
    </w:p>
    <w:p>
      <w:pPr>
        <w:spacing w:after="0" w:line="466" w:lineRule="exact"/>
        <w:rPr>
          <w:sz w:val="20"/>
          <w:szCs w:val="20"/>
          <w:color w:val="auto"/>
        </w:rPr>
      </w:pPr>
    </w:p>
    <w:p>
      <w:pPr>
        <w:sectPr>
          <w:pgSz w:w="11900" w:h="16838" w:orient="portrait"/>
          <w:cols w:equalWidth="0" w:num="2">
            <w:col w:w="4060" w:space="720"/>
            <w:col w:w="6360"/>
          </w:cols>
          <w:pgMar w:left="420" w:top="1420" w:right="339" w:bottom="1440" w:gutter="0" w:footer="0" w:header="0"/>
          <w:type w:val="continuous"/>
        </w:sectPr>
      </w:pPr>
    </w:p>
    <w:p>
      <w:pPr>
        <w:spacing w:after="0" w:line="1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Ravi Gandhi</w:t>
      </w:r>
    </w:p>
    <w:p>
      <w:pPr>
        <w:spacing w:after="0" w:line="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 Ravi Gandhi</w:t>
      </w:r>
    </w:p>
    <w:p>
      <w:pPr>
        <w:ind w:left="5220"/>
        <w:spacing w:after="0"/>
        <w:rPr>
          <w:sz w:val="20"/>
          <w:szCs w:val="20"/>
          <w:color w:val="auto"/>
        </w:rPr>
      </w:pPr>
      <w:r>
        <w:rPr>
          <w:rFonts w:ascii="Times New Roman" w:cs="Times New Roman" w:eastAsia="Times New Roman" w:hAnsi="Times New Roman"/>
          <w:sz w:val="22"/>
          <w:szCs w:val="22"/>
          <w:color w:val="auto"/>
        </w:rPr>
        <w:t>Title: Managing Director and Chief Financial Officer</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1071 Camelback Street</w:t>
      </w:r>
    </w:p>
    <w:p>
      <w:pPr>
        <w:ind w:left="4780"/>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ind w:left="4780"/>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ind w:left="4780"/>
        <w:spacing w:after="0" w:line="230" w:lineRule="auto"/>
        <w:rPr>
          <w:sz w:val="20"/>
          <w:szCs w:val="20"/>
          <w:color w:val="auto"/>
        </w:rPr>
      </w:pPr>
      <w:r>
        <w:rPr>
          <w:rFonts w:ascii="Times New Roman" w:cs="Times New Roman" w:eastAsia="Times New Roman" w:hAnsi="Times New Roman"/>
          <w:sz w:val="22"/>
          <w:szCs w:val="22"/>
          <w:color w:val="auto"/>
        </w:rPr>
        <w:t>Telephone No.: [***]</w:t>
      </w:r>
    </w:p>
    <w:p>
      <w:pPr>
        <w:ind w:left="4780"/>
        <w:spacing w:after="0" w:line="231" w:lineRule="auto"/>
        <w:rPr>
          <w:sz w:val="20"/>
          <w:szCs w:val="20"/>
          <w:color w:val="auto"/>
        </w:rPr>
      </w:pPr>
      <w:r>
        <w:rPr>
          <w:rFonts w:ascii="Times New Roman" w:cs="Times New Roman" w:eastAsia="Times New Roman" w:hAnsi="Times New Roman"/>
          <w:sz w:val="22"/>
          <w:szCs w:val="22"/>
          <w:color w:val="auto"/>
        </w:rPr>
        <w:t>Facsimile No.: [***]</w:t>
      </w:r>
    </w:p>
    <w:p>
      <w:pPr>
        <w:jc w:val="center"/>
        <w:ind w:right="42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579755</wp:posOffset>
            </wp:positionV>
            <wp:extent cx="7157720" cy="425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20" w:right="339" w:bottom="1440" w:gutter="0" w:footer="0" w:header="0"/>
          <w:type w:val="continuous"/>
        </w:sectPr>
      </w:pPr>
    </w:p>
    <w:bookmarkStart w:id="562" w:name="page563"/>
    <w:bookmarkEnd w:id="562"/>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THE BACKUP SERVICER AND ACCOUNT</w:t>
            </w:r>
          </w:p>
        </w:tc>
        <w:tc>
          <w:tcPr>
            <w:tcW w:w="428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 as Backup Servicer and Account Bank</w:t>
            </w:r>
          </w:p>
        </w:tc>
        <w:tc>
          <w:tcPr>
            <w:tcW w:w="0" w:type="dxa"/>
            <w:vAlign w:val="bottom"/>
          </w:tcPr>
          <w:p>
            <w:pPr>
              <w:spacing w:after="0"/>
              <w:rPr>
                <w:sz w:val="1"/>
                <w:szCs w:val="1"/>
                <w:color w:val="auto"/>
              </w:rPr>
            </w:pPr>
          </w:p>
        </w:tc>
      </w:tr>
      <w:tr>
        <w:trPr>
          <w:trHeight w:val="282"/>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BANK:</w:t>
            </w:r>
          </w:p>
        </w:tc>
        <w:tc>
          <w:tcPr>
            <w:tcW w:w="42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By: [***], as its attorney-in-fact</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4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w:t>
      </w:r>
    </w:p>
    <w:p>
      <w:pPr>
        <w:spacing w:after="0" w:line="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 [***]</w:t>
      </w:r>
    </w:p>
    <w:p>
      <w:pPr>
        <w:ind w:left="5220"/>
        <w:spacing w:after="0"/>
        <w:rPr>
          <w:sz w:val="20"/>
          <w:szCs w:val="20"/>
          <w:color w:val="auto"/>
        </w:rPr>
      </w:pPr>
      <w:r>
        <w:rPr>
          <w:rFonts w:ascii="Times New Roman" w:cs="Times New Roman" w:eastAsia="Times New Roman" w:hAnsi="Times New Roman"/>
          <w:sz w:val="22"/>
          <w:szCs w:val="22"/>
          <w:color w:val="auto"/>
        </w:rPr>
        <w:t>Title: [***]</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579755</wp:posOffset>
            </wp:positionV>
            <wp:extent cx="7157720" cy="425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563" w:name="page564"/>
    <w:bookmarkEnd w:id="563"/>
    <w:p>
      <w:pPr>
        <w:spacing w:after="0"/>
        <w:tabs>
          <w:tab w:leader="none" w:pos="4760" w:val="left"/>
        </w:tabs>
        <w:rPr>
          <w:sz w:val="20"/>
          <w:szCs w:val="20"/>
          <w:color w:val="auto"/>
        </w:rPr>
      </w:pPr>
      <w:r>
        <w:rPr>
          <w:rFonts w:ascii="Times New Roman" w:cs="Times New Roman" w:eastAsia="Times New Roman" w:hAnsi="Times New Roman"/>
          <w:sz w:val="22"/>
          <w:szCs w:val="22"/>
          <w:color w:val="auto"/>
        </w:rPr>
        <w:t>THE ADMINISTRATIVE AGENT:</w:t>
      </w:r>
      <w:r>
        <w:rPr>
          <w:sz w:val="20"/>
          <w:szCs w:val="20"/>
          <w:color w:val="auto"/>
        </w:rPr>
        <w:tab/>
      </w:r>
      <w:r>
        <w:rPr>
          <w:rFonts w:ascii="Times New Roman" w:cs="Times New Roman" w:eastAsia="Times New Roman" w:hAnsi="Times New Roman"/>
          <w:sz w:val="20"/>
          <w:szCs w:val="20"/>
          <w:color w:val="auto"/>
        </w:rPr>
        <w:t>CAPITAL ONE,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Judd Deppisch</w:t>
      </w:r>
    </w:p>
    <w:p>
      <w:pPr>
        <w:spacing w:after="0" w:line="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 Judd Deppisch</w:t>
      </w:r>
    </w:p>
    <w:p>
      <w:pPr>
        <w:ind w:left="52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Capital One, N.A.</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Portfolio Management</w:t>
      </w:r>
    </w:p>
    <w:p>
      <w:pPr>
        <w:ind w:left="4780"/>
        <w:spacing w:after="0" w:line="200" w:lineRule="auto"/>
        <w:rPr>
          <w:sz w:val="20"/>
          <w:szCs w:val="20"/>
          <w:color w:val="auto"/>
        </w:rPr>
      </w:pPr>
      <w:r>
        <w:rPr>
          <w:rFonts w:ascii="Times New Roman" w:cs="Times New Roman" w:eastAsia="Times New Roman" w:hAnsi="Times New Roman"/>
          <w:sz w:val="22"/>
          <w:szCs w:val="22"/>
          <w:color w:val="auto"/>
        </w:rPr>
        <w:t>Financial Institutions Group</w:t>
      </w:r>
    </w:p>
    <w:p>
      <w:pPr>
        <w:ind w:left="4780"/>
        <w:spacing w:after="0" w:line="204" w:lineRule="auto"/>
        <w:rPr>
          <w:sz w:val="20"/>
          <w:szCs w:val="20"/>
          <w:color w:val="auto"/>
        </w:rPr>
      </w:pPr>
      <w:r>
        <w:rPr>
          <w:rFonts w:ascii="Times New Roman" w:cs="Times New Roman" w:eastAsia="Times New Roman" w:hAnsi="Times New Roman"/>
          <w:sz w:val="22"/>
          <w:szCs w:val="22"/>
          <w:color w:val="auto"/>
        </w:rPr>
        <w:t>2 Bethesda Metro Center,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4780"/>
        <w:spacing w:after="0" w:line="231" w:lineRule="auto"/>
        <w:rPr>
          <w:sz w:val="20"/>
          <w:szCs w:val="20"/>
          <w:color w:val="auto"/>
        </w:rPr>
      </w:pPr>
      <w:r>
        <w:rPr>
          <w:rFonts w:ascii="Times New Roman" w:cs="Times New Roman" w:eastAsia="Times New Roman" w:hAnsi="Times New Roman"/>
          <w:sz w:val="22"/>
          <w:szCs w:val="22"/>
          <w:color w:val="auto"/>
        </w:rPr>
        <w:t>Bethesda Maryland 20814</w:t>
      </w:r>
    </w:p>
    <w:p>
      <w:pPr>
        <w:ind w:left="4780"/>
        <w:spacing w:after="0"/>
        <w:rPr>
          <w:sz w:val="20"/>
          <w:szCs w:val="20"/>
          <w:color w:val="auto"/>
        </w:rPr>
      </w:pPr>
      <w:r>
        <w:rPr>
          <w:rFonts w:ascii="Times New Roman" w:cs="Times New Roman" w:eastAsia="Times New Roman" w:hAnsi="Times New Roman"/>
          <w:sz w:val="22"/>
          <w:szCs w:val="22"/>
          <w:color w:val="auto"/>
        </w:rPr>
        <w:t>Ref: UACC Auto Financing Trust V</w:t>
      </w: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w/copy to:</w:t>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Capital One, N.A.</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Financial Institutions Group</w:t>
      </w:r>
    </w:p>
    <w:p>
      <w:pPr>
        <w:ind w:left="4780"/>
        <w:spacing w:after="0" w:line="180" w:lineRule="auto"/>
        <w:rPr>
          <w:sz w:val="20"/>
          <w:szCs w:val="20"/>
          <w:color w:val="auto"/>
        </w:rPr>
      </w:pPr>
      <w:r>
        <w:rPr>
          <w:rFonts w:ascii="Times New Roman" w:cs="Times New Roman" w:eastAsia="Times New Roman" w:hAnsi="Times New Roman"/>
          <w:sz w:val="22"/>
          <w:szCs w:val="22"/>
          <w:color w:val="auto"/>
        </w:rPr>
        <w:t>77 W. Wacker Dr.,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4780"/>
        <w:spacing w:after="0" w:line="231" w:lineRule="auto"/>
        <w:rPr>
          <w:sz w:val="20"/>
          <w:szCs w:val="20"/>
          <w:color w:val="auto"/>
        </w:rPr>
      </w:pPr>
      <w:r>
        <w:rPr>
          <w:rFonts w:ascii="Times New Roman" w:cs="Times New Roman" w:eastAsia="Times New Roman" w:hAnsi="Times New Roman"/>
          <w:sz w:val="22"/>
          <w:szCs w:val="22"/>
          <w:color w:val="auto"/>
        </w:rPr>
        <w:t>Chicago, IL 60601</w:t>
      </w:r>
    </w:p>
    <w:p>
      <w:pPr>
        <w:ind w:left="4780"/>
        <w:spacing w:after="0" w:line="230" w:lineRule="auto"/>
        <w:rPr>
          <w:sz w:val="20"/>
          <w:szCs w:val="20"/>
          <w:color w:val="auto"/>
        </w:rPr>
      </w:pPr>
      <w:r>
        <w:rPr>
          <w:rFonts w:ascii="Times New Roman" w:cs="Times New Roman" w:eastAsia="Times New Roman" w:hAnsi="Times New Roman"/>
          <w:sz w:val="22"/>
          <w:szCs w:val="22"/>
          <w:color w:val="auto"/>
        </w:rPr>
        <w:t>Ref: UACC Auto Financing Trust V</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579755</wp:posOffset>
            </wp:positionV>
            <wp:extent cx="7157720" cy="425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20" w:right="339" w:bottom="1440" w:gutter="0" w:footer="0" w:header="0"/>
        </w:sectPr>
      </w:pPr>
    </w:p>
    <w:bookmarkStart w:id="564" w:name="page565"/>
    <w:bookmarkEnd w:id="564"/>
    <w:p>
      <w:pPr>
        <w:spacing w:after="0"/>
        <w:tabs>
          <w:tab w:leader="none" w:pos="4760" w:val="left"/>
        </w:tabs>
        <w:rPr>
          <w:sz w:val="20"/>
          <w:szCs w:val="20"/>
          <w:color w:val="auto"/>
        </w:rPr>
      </w:pPr>
      <w:r>
        <w:rPr>
          <w:rFonts w:ascii="Times New Roman" w:cs="Times New Roman" w:eastAsia="Times New Roman" w:hAnsi="Times New Roman"/>
          <w:sz w:val="22"/>
          <w:szCs w:val="22"/>
          <w:color w:val="auto"/>
        </w:rPr>
        <w:t>LENDERS:</w:t>
      </w:r>
      <w:r>
        <w:rPr>
          <w:sz w:val="20"/>
          <w:szCs w:val="20"/>
          <w:color w:val="auto"/>
        </w:rPr>
        <w:tab/>
      </w:r>
      <w:r>
        <w:rPr>
          <w:rFonts w:ascii="Times New Roman" w:cs="Times New Roman" w:eastAsia="Times New Roman" w:hAnsi="Times New Roman"/>
          <w:sz w:val="22"/>
          <w:szCs w:val="22"/>
          <w:color w:val="auto"/>
        </w:rPr>
        <w:t>CAPITAL ONE,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Judd Deppisch</w:t>
      </w:r>
    </w:p>
    <w:p>
      <w:pPr>
        <w:spacing w:after="0" w:line="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 Judd Deppisch</w:t>
      </w:r>
    </w:p>
    <w:p>
      <w:pPr>
        <w:ind w:left="52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Commitment: $150,000,000 (prior to 9/24/2022)</w:t>
      </w:r>
    </w:p>
    <w:p>
      <w:pPr>
        <w:spacing w:after="0" w:line="1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$200,000,000 (on or after 9/24/2022)</w:t>
      </w:r>
    </w:p>
    <w:p>
      <w:pPr>
        <w:spacing w:after="0" w:line="200" w:lineRule="exact"/>
        <w:rPr>
          <w:sz w:val="20"/>
          <w:szCs w:val="20"/>
          <w:color w:val="auto"/>
        </w:rPr>
      </w:pPr>
    </w:p>
    <w:p>
      <w:pPr>
        <w:spacing w:after="0" w:line="2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Capital One, N.A.</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Portfolio Management</w:t>
      </w:r>
    </w:p>
    <w:p>
      <w:pPr>
        <w:ind w:left="4780"/>
        <w:spacing w:after="0" w:line="200" w:lineRule="auto"/>
        <w:rPr>
          <w:sz w:val="20"/>
          <w:szCs w:val="20"/>
          <w:color w:val="auto"/>
        </w:rPr>
      </w:pPr>
      <w:r>
        <w:rPr>
          <w:rFonts w:ascii="Times New Roman" w:cs="Times New Roman" w:eastAsia="Times New Roman" w:hAnsi="Times New Roman"/>
          <w:sz w:val="22"/>
          <w:szCs w:val="22"/>
          <w:color w:val="auto"/>
        </w:rPr>
        <w:t>Financial Institutions Group</w:t>
      </w:r>
    </w:p>
    <w:p>
      <w:pPr>
        <w:ind w:left="4780"/>
        <w:spacing w:after="0" w:line="204" w:lineRule="auto"/>
        <w:rPr>
          <w:sz w:val="20"/>
          <w:szCs w:val="20"/>
          <w:color w:val="auto"/>
        </w:rPr>
      </w:pPr>
      <w:r>
        <w:rPr>
          <w:rFonts w:ascii="Times New Roman" w:cs="Times New Roman" w:eastAsia="Times New Roman" w:hAnsi="Times New Roman"/>
          <w:sz w:val="22"/>
          <w:szCs w:val="22"/>
          <w:color w:val="auto"/>
        </w:rPr>
        <w:t>2 Bethesda Metro Center,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Bethesda Maryland 20814</w:t>
      </w: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w/copy to:</w:t>
      </w: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Capital One, N.A.</w:t>
      </w:r>
    </w:p>
    <w:p>
      <w:pPr>
        <w:spacing w:after="0" w:line="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Financial Institutions Group</w:t>
      </w:r>
    </w:p>
    <w:p>
      <w:pPr>
        <w:ind w:left="4780"/>
        <w:spacing w:after="0" w:line="180" w:lineRule="auto"/>
        <w:rPr>
          <w:sz w:val="20"/>
          <w:szCs w:val="20"/>
          <w:color w:val="auto"/>
        </w:rPr>
      </w:pPr>
      <w:r>
        <w:rPr>
          <w:rFonts w:ascii="Times New Roman" w:cs="Times New Roman" w:eastAsia="Times New Roman" w:hAnsi="Times New Roman"/>
          <w:sz w:val="22"/>
          <w:szCs w:val="22"/>
          <w:color w:val="auto"/>
        </w:rPr>
        <w:t>77 W. Wacker Dr.,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4780"/>
        <w:spacing w:after="0" w:line="231" w:lineRule="auto"/>
        <w:rPr>
          <w:sz w:val="20"/>
          <w:szCs w:val="20"/>
          <w:color w:val="auto"/>
        </w:rPr>
      </w:pPr>
      <w:r>
        <w:rPr>
          <w:rFonts w:ascii="Times New Roman" w:cs="Times New Roman" w:eastAsia="Times New Roman" w:hAnsi="Times New Roman"/>
          <w:sz w:val="22"/>
          <w:szCs w:val="22"/>
          <w:color w:val="auto"/>
        </w:rPr>
        <w:t>Chicago, IL 60601</w:t>
      </w:r>
    </w:p>
    <w:p>
      <w:pPr>
        <w:ind w:left="4780"/>
        <w:spacing w:after="0" w:line="230" w:lineRule="auto"/>
        <w:rPr>
          <w:sz w:val="20"/>
          <w:szCs w:val="20"/>
          <w:color w:val="auto"/>
        </w:rPr>
      </w:pPr>
      <w:r>
        <w:rPr>
          <w:rFonts w:ascii="Times New Roman" w:cs="Times New Roman" w:eastAsia="Times New Roman" w:hAnsi="Times New Roman"/>
          <w:sz w:val="22"/>
          <w:szCs w:val="22"/>
          <w:color w:val="auto"/>
        </w:rPr>
        <w:t>Ref: UACC Auto Financing Trust V</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Warehouse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579755</wp:posOffset>
            </wp:positionV>
            <wp:extent cx="7157720" cy="425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20" w:right="339" w:bottom="1440" w:gutter="0" w:footer="0" w:header="0"/>
        </w:sectPr>
      </w:pPr>
    </w:p>
    <w:bookmarkStart w:id="565" w:name="page566"/>
    <w:bookmarkEnd w:id="565"/>
    <w:p>
      <w:pPr>
        <w:jc w:val="right"/>
        <w:spacing w:after="0"/>
        <w:rPr>
          <w:sz w:val="20"/>
          <w:szCs w:val="20"/>
          <w:color w:val="auto"/>
        </w:rPr>
      </w:pPr>
      <w:r>
        <w:rPr>
          <w:rFonts w:ascii="Times New Roman" w:cs="Times New Roman" w:eastAsia="Times New Roman" w:hAnsi="Times New Roman"/>
          <w:sz w:val="22"/>
          <w:szCs w:val="22"/>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REPRESENTATIONS AND WARRANTIES REGARDING SECURITY INTEREST</w:t>
      </w:r>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The Borrower represents and warrants, as of the Closing Date and as of each Funding Date:</w:t>
      </w:r>
    </w:p>
    <w:p>
      <w:pPr>
        <w:spacing w:after="0" w:line="205" w:lineRule="exact"/>
        <w:rPr>
          <w:sz w:val="20"/>
          <w:szCs w:val="20"/>
          <w:color w:val="auto"/>
        </w:rPr>
      </w:pPr>
    </w:p>
    <w:p>
      <w:pPr>
        <w:jc w:val="both"/>
        <w:ind w:left="320" w:right="20" w:firstLine="745"/>
        <w:spacing w:after="0" w:line="244" w:lineRule="auto"/>
        <w:tabs>
          <w:tab w:leader="none" w:pos="150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creates a valid and continuing security interest (as defined in the applicable UCC) in all Receivables in favor of the Administrative Agent, which security interest is prior to all other Liens, and is enforceable as such against creditors of and purchasers from the Borrower;</w:t>
      </w:r>
    </w:p>
    <w:p>
      <w:pPr>
        <w:spacing w:after="0" w:line="172" w:lineRule="exact"/>
        <w:rPr>
          <w:rFonts w:ascii="Times New Roman" w:cs="Times New Roman" w:eastAsia="Times New Roman" w:hAnsi="Times New Roman"/>
          <w:sz w:val="22"/>
          <w:szCs w:val="22"/>
          <w:color w:val="auto"/>
        </w:rPr>
      </w:pPr>
    </w:p>
    <w:p>
      <w:pPr>
        <w:ind w:left="320" w:right="40" w:firstLine="745"/>
        <w:spacing w:after="0" w:line="258" w:lineRule="auto"/>
        <w:tabs>
          <w:tab w:leader="none" w:pos="150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taken all steps necessary to perfect its security interest against the Obligor in the property securing the Receivables;</w:t>
      </w:r>
    </w:p>
    <w:p>
      <w:pPr>
        <w:spacing w:after="0" w:line="157" w:lineRule="exact"/>
        <w:rPr>
          <w:rFonts w:ascii="Times New Roman" w:cs="Times New Roman" w:eastAsia="Times New Roman" w:hAnsi="Times New Roman"/>
          <w:sz w:val="22"/>
          <w:szCs w:val="22"/>
          <w:color w:val="auto"/>
        </w:rPr>
      </w:pPr>
    </w:p>
    <w:p>
      <w:pPr>
        <w:ind w:left="320" w:right="20" w:firstLine="745"/>
        <w:spacing w:after="0" w:line="258" w:lineRule="auto"/>
        <w:tabs>
          <w:tab w:leader="none" w:pos="150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constitute “tangible chattel paper” or “electronic chattel paper” within the meaning of the applicable UCC;</w:t>
      </w:r>
    </w:p>
    <w:p>
      <w:pPr>
        <w:spacing w:after="0" w:line="157" w:lineRule="exact"/>
        <w:rPr>
          <w:rFonts w:ascii="Times New Roman" w:cs="Times New Roman" w:eastAsia="Times New Roman" w:hAnsi="Times New Roman"/>
          <w:sz w:val="22"/>
          <w:szCs w:val="22"/>
          <w:color w:val="auto"/>
        </w:rPr>
      </w:pPr>
    </w:p>
    <w:p>
      <w:pPr>
        <w:ind w:left="320" w:firstLine="745"/>
        <w:spacing w:after="0" w:line="258" w:lineRule="auto"/>
        <w:tabs>
          <w:tab w:leader="none" w:pos="150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owns and has good and marketable title to the Receivables free and clear of any Lien (other than Permitted Liens), claim, or encumbrance of any Person;</w:t>
      </w:r>
    </w:p>
    <w:p>
      <w:pPr>
        <w:spacing w:after="0" w:line="157" w:lineRule="exact"/>
        <w:rPr>
          <w:rFonts w:ascii="Times New Roman" w:cs="Times New Roman" w:eastAsia="Times New Roman" w:hAnsi="Times New Roman"/>
          <w:sz w:val="22"/>
          <w:szCs w:val="22"/>
          <w:color w:val="auto"/>
        </w:rPr>
      </w:pPr>
    </w:p>
    <w:p>
      <w:pPr>
        <w:jc w:val="both"/>
        <w:ind w:left="320" w:firstLine="745"/>
        <w:spacing w:after="0" w:line="244" w:lineRule="auto"/>
        <w:tabs>
          <w:tab w:leader="none" w:pos="150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caused or will have caused, within ten days after the Closing Date, the filing of all appropriate financing statements in the proper filing office in the appropriate jurisdictions under Applicable Law in order to perfect the security interest in the Collateral granted to the Administrative Agent hereunder;</w:t>
      </w:r>
    </w:p>
    <w:p>
      <w:pPr>
        <w:spacing w:after="0" w:line="172" w:lineRule="exact"/>
        <w:rPr>
          <w:rFonts w:ascii="Times New Roman" w:cs="Times New Roman" w:eastAsia="Times New Roman" w:hAnsi="Times New Roman"/>
          <w:sz w:val="22"/>
          <w:szCs w:val="22"/>
          <w:color w:val="auto"/>
        </w:rPr>
      </w:pPr>
    </w:p>
    <w:p>
      <w:pPr>
        <w:jc w:val="both"/>
        <w:ind w:left="320" w:firstLine="745"/>
        <w:spacing w:after="0" w:line="236" w:lineRule="auto"/>
        <w:tabs>
          <w:tab w:leader="none" w:pos="150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security interest granted to the Administrative Agent pursuant to this Agreement, the Borrower has not pledged, assigned, sold, granted a security interest in, or otherwise conveyed any of the Receivables. The Borrower has not authorized the filing of and is not aware of any financing statements against the Borrower that include a description of collateral covering the Receivables other than any financing statement relating to the security interest granted to the Administrative Agent hereunder or that has been terminated. The Borrower is not aware of any judgment or tax lien filings against the Borrower; and</w:t>
      </w:r>
    </w:p>
    <w:p>
      <w:pPr>
        <w:spacing w:after="0" w:line="179" w:lineRule="exact"/>
        <w:rPr>
          <w:rFonts w:ascii="Times New Roman" w:cs="Times New Roman" w:eastAsia="Times New Roman" w:hAnsi="Times New Roman"/>
          <w:sz w:val="22"/>
          <w:szCs w:val="22"/>
          <w:color w:val="auto"/>
        </w:rPr>
      </w:pPr>
    </w:p>
    <w:p>
      <w:pPr>
        <w:jc w:val="both"/>
        <w:ind w:left="320" w:firstLine="745"/>
        <w:spacing w:after="0" w:line="234" w:lineRule="auto"/>
        <w:tabs>
          <w:tab w:leader="none" w:pos="1500" w:val="left"/>
        </w:tabs>
        <w:numPr>
          <w:ilvl w:val="0"/>
          <w:numId w:val="5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has (x) in the case of Tangible Contract, in its possession or (y) in the case of an Electronic Contract, under its “control” (within the meaning of Section 9-105 of the UCC) all of the Contracts that constitute or evidence the Receivables. The Borrower has not communicated an Authoritative Copy of any Electronic Contract that constitutes or evidences any Receivable to any Person other than the Custodian on behalf of the Administrative Agent. The Tangible Contracts that constitute or evidence the Receivables do not have any marks or notations indicating that they have been pledged, assigned, or otherwise conveyed to any Person. The Electronic Contracts which constitute or evidence the Receivables contain the Required Legend. All financing statements filed or to be filed against the Borrower in favor of the Administrative Agent in connection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572135</wp:posOffset>
            </wp:positionV>
            <wp:extent cx="7157720" cy="425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06" w:right="339" w:bottom="1440" w:gutter="0" w:footer="0" w:header="0"/>
        </w:sectPr>
      </w:pPr>
    </w:p>
    <w:bookmarkStart w:id="566" w:name="page567"/>
    <w:bookmarkEnd w:id="566"/>
    <w:p>
      <w:pPr>
        <w:ind w:left="320"/>
        <w:spacing w:after="0" w:line="258" w:lineRule="auto"/>
        <w:rPr>
          <w:sz w:val="20"/>
          <w:szCs w:val="20"/>
          <w:color w:val="auto"/>
        </w:rPr>
      </w:pPr>
      <w:r>
        <w:rPr>
          <w:rFonts w:ascii="Times New Roman" w:cs="Times New Roman" w:eastAsia="Times New Roman" w:hAnsi="Times New Roman"/>
          <w:sz w:val="22"/>
          <w:szCs w:val="22"/>
          <w:color w:val="auto"/>
        </w:rPr>
        <w:t>herewith describing the Receivables will contain a statement to the following effect: “A purchase of or security interest in any collateral described in this financing statement will violate the rights of the Program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572135</wp:posOffset>
            </wp:positionV>
            <wp:extent cx="7157720" cy="425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406" w:right="359" w:bottom="1440" w:gutter="0" w:footer="0" w:header="0"/>
        </w:sectPr>
      </w:pPr>
    </w:p>
    <w:bookmarkStart w:id="567" w:name="page568"/>
    <w:bookmarkEnd w:id="5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586740</wp:posOffset>
            </wp:positionV>
            <wp:extent cx="7157720" cy="425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68" w:name="page569"/>
    <w:bookmarkEnd w:id="568"/>
    <w:p>
      <w:pPr>
        <w:jc w:val="right"/>
        <w:spacing w:after="0"/>
        <w:rPr>
          <w:sz w:val="20"/>
          <w:szCs w:val="20"/>
          <w:color w:val="auto"/>
        </w:rPr>
      </w:pPr>
      <w:r>
        <w:rPr>
          <w:rFonts w:ascii="Times New Roman" w:cs="Times New Roman" w:eastAsia="Times New Roman" w:hAnsi="Times New Roman"/>
          <w:sz w:val="22"/>
          <w:szCs w:val="22"/>
          <w:color w:val="auto"/>
        </w:rPr>
        <w:t>SCHEDULE 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ELIGIBLE RECEIVABLE CRITERIA</w:t>
      </w:r>
    </w:p>
    <w:p>
      <w:pPr>
        <w:spacing w:after="0" w:line="31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 “Eligible Receivable” means, with respect to (i) all Receivables other than Acquired Portfolio Receivables, a Receivable as to which all of the following conditions are satisfied and (ii) all Acquired Portfolio Receivables, a Receivable as to which the Administrative Agent has approved the related sale and purchase agreement and all of the following conditions are satisfied excluding clauses (iii), (iv), (v), (vii), (viii), (ix), (xii), (xxx), (xxxiii), (xxxvii) and (xxxviii):</w:t>
      </w:r>
    </w:p>
    <w:p>
      <w:pPr>
        <w:spacing w:after="0" w:line="179" w:lineRule="exact"/>
        <w:rPr>
          <w:sz w:val="20"/>
          <w:szCs w:val="20"/>
          <w:color w:val="auto"/>
        </w:rPr>
      </w:pPr>
    </w:p>
    <w:p>
      <w:pPr>
        <w:jc w:val="both"/>
        <w:ind w:left="760" w:right="20" w:firstLine="745"/>
        <w:spacing w:after="0" w:line="307" w:lineRule="auto"/>
        <w:tabs>
          <w:tab w:leader="none" w:pos="194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payable in Dollars in the United States and with respect to which, at the time of origination, the related Obligor provided as its most recent billing address an address located in the United States or one of its territories;</w:t>
      </w:r>
    </w:p>
    <w:p>
      <w:pPr>
        <w:spacing w:after="0" w:line="112" w:lineRule="exact"/>
        <w:rPr>
          <w:rFonts w:ascii="Times New Roman" w:cs="Times New Roman" w:eastAsia="Times New Roman" w:hAnsi="Times New Roman"/>
          <w:sz w:val="20"/>
          <w:szCs w:val="20"/>
          <w:color w:val="auto"/>
        </w:rPr>
      </w:pPr>
    </w:p>
    <w:p>
      <w:pPr>
        <w:ind w:left="760" w:right="20" w:firstLine="745"/>
        <w:spacing w:after="0" w:line="307" w:lineRule="auto"/>
        <w:tabs>
          <w:tab w:leader="none" w:pos="194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the related Obligor is not an Affiliate of the Originator, the U.S. government or any State or any agency, department or instrumentality of the U.S. government or any State or other government entity;</w:t>
      </w:r>
    </w:p>
    <w:p>
      <w:pPr>
        <w:spacing w:after="0" w:line="112" w:lineRule="exact"/>
        <w:rPr>
          <w:rFonts w:ascii="Times New Roman" w:cs="Times New Roman" w:eastAsia="Times New Roman" w:hAnsi="Times New Roman"/>
          <w:sz w:val="20"/>
          <w:szCs w:val="20"/>
          <w:color w:val="auto"/>
        </w:rPr>
      </w:pPr>
    </w:p>
    <w:p>
      <w:pPr>
        <w:jc w:val="both"/>
        <w:ind w:left="760" w:right="20" w:firstLine="745"/>
        <w:spacing w:after="0" w:line="244" w:lineRule="auto"/>
        <w:tabs>
          <w:tab w:leader="none" w:pos="1940" w:val="left"/>
        </w:tabs>
        <w:numPr>
          <w:ilvl w:val="1"/>
          <w:numId w:val="5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if the primary Obligor has a credit bureau score obtained from Fair-Isaacs Corporation, Experian, Equifax of TransUnion LLC, the score is at least [***] and the weighted average credit bureau score (for non-zero scores) of all Obligors of Eligible Receivables is not less than [***];</w:t>
      </w:r>
    </w:p>
    <w:p>
      <w:pPr>
        <w:spacing w:after="0" w:line="172" w:lineRule="exact"/>
        <w:rPr>
          <w:rFonts w:ascii="Times New Roman" w:cs="Times New Roman" w:eastAsia="Times New Roman" w:hAnsi="Times New Roman"/>
          <w:sz w:val="22"/>
          <w:szCs w:val="22"/>
          <w:color w:val="auto"/>
        </w:rPr>
      </w:pPr>
    </w:p>
    <w:p>
      <w:pPr>
        <w:jc w:val="both"/>
        <w:ind w:left="760" w:right="20" w:firstLine="745"/>
        <w:spacing w:after="0" w:line="280" w:lineRule="auto"/>
        <w:tabs>
          <w:tab w:leader="none" w:pos="194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had an original Principal Balance of not more than $[***] and which would not cause the weighted average Principal Balance of all Eligible Receivables to be greater than $[***], and the related Obligor of which is required to make payments to the Post Office Boxes or the Local Bank Account under the control of the Servicer;</w:t>
      </w:r>
    </w:p>
    <w:p>
      <w:pPr>
        <w:spacing w:after="0" w:line="138" w:lineRule="exact"/>
        <w:rPr>
          <w:rFonts w:ascii="Times New Roman" w:cs="Times New Roman" w:eastAsia="Times New Roman" w:hAnsi="Times New Roman"/>
          <w:sz w:val="20"/>
          <w:szCs w:val="20"/>
          <w:color w:val="auto"/>
        </w:rPr>
      </w:pPr>
    </w:p>
    <w:p>
      <w:pPr>
        <w:jc w:val="both"/>
        <w:ind w:left="760" w:firstLine="745"/>
        <w:spacing w:after="0" w:line="239" w:lineRule="auto"/>
        <w:tabs>
          <w:tab w:leader="none" w:pos="1940" w:val="left"/>
        </w:tabs>
        <w:numPr>
          <w:ilvl w:val="1"/>
          <w:numId w:val="5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 first Scheduled Payment due no more than [***]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a Defaulted Receivable (a) at the time such Receivable first becomes part of the Collateral or</w:t>
      </w:r>
    </w:p>
    <w:p>
      <w:pPr>
        <w:spacing w:after="0" w:line="36" w:lineRule="exact"/>
        <w:rPr>
          <w:rFonts w:ascii="Times New Roman" w:cs="Times New Roman" w:eastAsia="Times New Roman" w:hAnsi="Times New Roman"/>
          <w:sz w:val="20"/>
          <w:szCs w:val="20"/>
          <w:color w:val="auto"/>
        </w:rPr>
      </w:pPr>
    </w:p>
    <w:p>
      <w:pPr>
        <w:ind w:left="1060" w:hanging="303"/>
        <w:spacing w:after="0"/>
        <w:tabs>
          <w:tab w:leader="none" w:pos="1060" w:val="left"/>
        </w:tabs>
        <w:numPr>
          <w:ilvl w:val="0"/>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related Cutoff Date;</w:t>
      </w:r>
    </w:p>
    <w:p>
      <w:pPr>
        <w:spacing w:after="0" w:line="181" w:lineRule="exact"/>
        <w:rPr>
          <w:rFonts w:ascii="Times New Roman" w:cs="Times New Roman" w:eastAsia="Times New Roman" w:hAnsi="Times New Roman"/>
          <w:sz w:val="22"/>
          <w:szCs w:val="22"/>
          <w:color w:val="auto"/>
        </w:rPr>
      </w:pPr>
    </w:p>
    <w:p>
      <w:pPr>
        <w:ind w:left="760" w:firstLine="745"/>
        <w:spacing w:after="0" w:line="258" w:lineRule="auto"/>
        <w:tabs>
          <w:tab w:leader="none" w:pos="1940" w:val="left"/>
        </w:tabs>
        <w:numPr>
          <w:ilvl w:val="1"/>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no more than [***]% of any related Scheduled Payment is more than [***] days past due at the time such Receivable first becomes part of the Collateral;</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2372" w:val="left"/>
        </w:tabs>
        <w:numPr>
          <w:ilvl w:val="1"/>
          <w:numId w:val="5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sold and originated in the United States in the ordinary course of the Originator’s business pursuant to a transaction constituting a bona fide sale, which was created as a result of an advance by the Originator in the ordinary course of its business, directly to or for the benefit of an Obligor for the purchase or refinancing of the Financed Vehicle and which, to the best of the Borrower’s knowledge, was originated without fraud or misrepresentation;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69" w:name="page570"/>
    <w:bookmarkEnd w:id="569"/>
    <w:p>
      <w:pPr>
        <w:jc w:val="both"/>
        <w:ind w:left="3" w:firstLine="745"/>
        <w:spacing w:after="0" w:line="239" w:lineRule="auto"/>
        <w:tabs>
          <w:tab w:leader="none" w:pos="1184" w:val="left"/>
        </w:tabs>
        <w:numPr>
          <w:ilvl w:val="1"/>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satisfies in all material respects the requirements of the Credit and Collection Policy as in effect as of the related Cutoff Date, was underwritten by the Originator in accordance with the Credit and Collection Policy, which shall have complied with, at the time of its origination, and shall remain in compliance with, all Requirements of Law, including all consumer protection laws;</w:t>
      </w:r>
    </w:p>
    <w:p>
      <w:pPr>
        <w:spacing w:after="0" w:line="178" w:lineRule="exact"/>
        <w:rPr>
          <w:rFonts w:ascii="Times New Roman" w:cs="Times New Roman" w:eastAsia="Times New Roman" w:hAnsi="Times New Roman"/>
          <w:sz w:val="22"/>
          <w:szCs w:val="22"/>
          <w:color w:val="auto"/>
        </w:rPr>
      </w:pPr>
    </w:p>
    <w:p>
      <w:pPr>
        <w:jc w:val="both"/>
        <w:ind w:left="3" w:right="20" w:firstLine="745"/>
        <w:spacing w:after="0" w:line="239" w:lineRule="auto"/>
        <w:tabs>
          <w:tab w:leader="none" w:pos="1184" w:val="left"/>
        </w:tabs>
        <w:numPr>
          <w:ilvl w:val="1"/>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Borrower will have good and marketable title thereto and as to which there is no Lien (other than Liens arising pursuant to the related Receivable) against the related Financed Vehicle, and as to which at any time, the Administrative Agent, for the benefit of the Secured Parties, shall have a valid and perfected first priority security interest, free and clear of all Liens and rights of others;</w:t>
      </w:r>
    </w:p>
    <w:p>
      <w:pPr>
        <w:spacing w:after="0" w:line="178"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84" w:val="left"/>
        </w:tabs>
        <w:numPr>
          <w:ilvl w:val="1"/>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 of no fewer than [***] months and, no more than [***] months;</w:t>
      </w:r>
    </w:p>
    <w:p>
      <w:pPr>
        <w:spacing w:after="0" w:line="178"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84" w:val="left"/>
        </w:tabs>
        <w:numPr>
          <w:ilvl w:val="1"/>
          <w:numId w:val="5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in the event that such Receivable is prepaid by the Obligor, a prepayment that fully pays the Principal Balance of such Receivable and any interest accrued at the related APR through the date of prepayment;</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61" w:lineRule="auto"/>
        <w:tabs>
          <w:tab w:leader="none" w:pos="1615" w:val="left"/>
        </w:tabs>
        <w:numPr>
          <w:ilvl w:val="1"/>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has either (A) been originated by a Dealer approved by the Originator in the United States in the ordinary course of such Dealer’s business to finance the retail sale by such Dealer of the related Finance Vehicle and has been purchased by the Originator in the ordinary course of its respective business pursuant to a Dealer Agreement or</w:t>
      </w:r>
    </w:p>
    <w:p>
      <w:pPr>
        <w:spacing w:after="0" w:line="1" w:lineRule="exact"/>
        <w:rPr>
          <w:rFonts w:ascii="Times New Roman" w:cs="Times New Roman" w:eastAsia="Times New Roman" w:hAnsi="Times New Roman"/>
          <w:sz w:val="20"/>
          <w:szCs w:val="20"/>
          <w:color w:val="auto"/>
        </w:rPr>
      </w:pPr>
    </w:p>
    <w:p>
      <w:pPr>
        <w:jc w:val="both"/>
        <w:ind w:left="3" w:hanging="3"/>
        <w:spacing w:after="0" w:line="233" w:lineRule="auto"/>
        <w:tabs>
          <w:tab w:leader="none" w:pos="401" w:val="left"/>
        </w:tabs>
        <w:numPr>
          <w:ilvl w:val="0"/>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originated in the United States by the Originator in accordance with its customary practices, and sold to the Borrower by the Originator pursuant to the Purchase Agreement; provided that, in the case of (A) and (B) at the time of such origination the Dealer or the Originator, as applicable, had all necessary licenses and permits to originate such Receivable in the State where such Dealer or the Originator, as the case may be, was located;</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71" w:lineRule="auto"/>
        <w:tabs>
          <w:tab w:leader="none" w:pos="1615" w:val="left"/>
        </w:tabs>
        <w:numPr>
          <w:ilvl w:val="1"/>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a commercial vehicle weighing over two tons, designated for racing, modified for use as a public delivery vehicle or any other commercial use.</w:t>
      </w:r>
    </w:p>
    <w:p>
      <w:pPr>
        <w:spacing w:after="0" w:line="147" w:lineRule="exact"/>
        <w:rPr>
          <w:rFonts w:ascii="Times New Roman" w:cs="Times New Roman" w:eastAsia="Times New Roman" w:hAnsi="Times New Roman"/>
          <w:sz w:val="20"/>
          <w:szCs w:val="20"/>
          <w:color w:val="auto"/>
        </w:rPr>
      </w:pPr>
    </w:p>
    <w:p>
      <w:pPr>
        <w:jc w:val="both"/>
        <w:ind w:left="3" w:firstLine="745"/>
        <w:spacing w:after="0" w:line="244" w:lineRule="auto"/>
        <w:tabs>
          <w:tab w:leader="none" w:pos="1184" w:val="left"/>
        </w:tabs>
        <w:numPr>
          <w:ilvl w:val="1"/>
          <w:numId w:val="5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spacing w:after="0" w:line="200" w:lineRule="exact"/>
        <w:rPr>
          <w:sz w:val="20"/>
          <w:szCs w:val="20"/>
          <w:color w:val="auto"/>
        </w:rPr>
      </w:pPr>
    </w:p>
    <w:p>
      <w:pPr>
        <w:spacing w:after="0" w:line="229"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2"/>
          <w:szCs w:val="22"/>
          <w:color w:val="auto"/>
        </w:rPr>
        <w:t>SB-2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6" w:right="339" w:bottom="1440" w:gutter="0" w:footer="0" w:header="0"/>
        </w:sectPr>
      </w:pPr>
    </w:p>
    <w:bookmarkStart w:id="570" w:name="page571"/>
    <w:bookmarkEnd w:id="570"/>
    <w:p>
      <w:pPr>
        <w:ind w:left="-360" w:right="40" w:firstLine="745"/>
        <w:spacing w:after="0" w:line="258" w:lineRule="auto"/>
        <w:tabs>
          <w:tab w:leader="none" w:pos="1252"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which with the proceeds of Commercial Paper Notes would constitute a “current transaction” within the meaning of Section 3(a)(3) of the Securities Act;</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1252"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1252"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 Originator or the Borrower had done anything to impair the rights of the Secured Parties therein;</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1252"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20"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1252"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(excluding any Acquired Portfolio Receivables) first became part of the Collateral, the related Contract has not been waived or modified, except in accordance with the Credit and Collection Policy;</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1252" w:val="left"/>
        </w:tabs>
        <w:numPr>
          <w:ilvl w:val="0"/>
          <w:numId w:val="5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is required by the terms of the related Contract to be covered by an individual physical damage insurance policy in at least the minimum amount required by applicable State law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w:t>
      </w:r>
    </w:p>
    <w:p>
      <w:pPr>
        <w:spacing w:after="0" w:line="200" w:lineRule="exact"/>
        <w:rPr>
          <w:sz w:val="20"/>
          <w:szCs w:val="20"/>
          <w:color w:val="auto"/>
        </w:rPr>
      </w:pPr>
    </w:p>
    <w:p>
      <w:pPr>
        <w:spacing w:after="0" w:line="23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22"/>
          <w:szCs w:val="22"/>
          <w:color w:val="auto"/>
        </w:rPr>
        <w:t>any setoff, counterclaim or defense for any reason whatsoever, subject only to such Obligor’s right of quiet enjoyment;</w:t>
      </w:r>
    </w:p>
    <w:p>
      <w:pPr>
        <w:spacing w:after="0" w:line="205" w:lineRule="exact"/>
        <w:rPr>
          <w:sz w:val="20"/>
          <w:szCs w:val="20"/>
          <w:color w:val="auto"/>
        </w:rPr>
      </w:pPr>
    </w:p>
    <w:p>
      <w:pPr>
        <w:ind w:firstLine="745"/>
        <w:spacing w:after="0" w:line="258" w:lineRule="auto"/>
        <w:tabs>
          <w:tab w:leader="none" w:pos="1612"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constitutes “tangible chattel paper” or “electronic chattel paper” under and as defined in Article 9 of the UCC as then in effect in the UCC;</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2"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(x) in the case of a Tangible Contract, there is only one original executed copy, and (y) in the case of an Electronic Contract, there is only one Authoritative Copy and any perceivable rendering of such Authoritative Copy bears the Required Legend;</w:t>
      </w:r>
    </w:p>
    <w:p>
      <w:pPr>
        <w:spacing w:after="0" w:line="172" w:lineRule="exact"/>
        <w:rPr>
          <w:rFonts w:ascii="Times New Roman" w:cs="Times New Roman" w:eastAsia="Times New Roman" w:hAnsi="Times New Roman"/>
          <w:sz w:val="22"/>
          <w:szCs w:val="22"/>
          <w:color w:val="auto"/>
        </w:rPr>
      </w:pPr>
    </w:p>
    <w:p>
      <w:pPr>
        <w:jc w:val="both"/>
        <w:ind w:firstLine="745"/>
        <w:spacing w:after="0" w:line="236" w:lineRule="auto"/>
        <w:tabs>
          <w:tab w:leader="none" w:pos="1612"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(x) in the case of a Tangible Contract, has been manually or electronically signed by the Obligor in the appropriate spaces, (y) in the case of an Electronic Contract, has been electronically signed through the DocuSign System or eOriginal SmartSign by the Obligor in the appropriate spaces and (z) in the case of a Contract which has been Exported, contains a representation of the electronic signature of the Obligor in the appropriate spaces and the document history includes the date and time such signatures were obtained; and, in each case, all blanks that are required to be filled in have been properly filled in;</w:t>
      </w:r>
    </w:p>
    <w:p>
      <w:pPr>
        <w:spacing w:after="0" w:line="179" w:lineRule="exact"/>
        <w:rPr>
          <w:rFonts w:ascii="Times New Roman" w:cs="Times New Roman" w:eastAsia="Times New Roman" w:hAnsi="Times New Roman"/>
          <w:sz w:val="22"/>
          <w:szCs w:val="22"/>
          <w:color w:val="auto"/>
        </w:rPr>
      </w:pPr>
    </w:p>
    <w:p>
      <w:pPr>
        <w:ind w:right="40" w:firstLine="745"/>
        <w:spacing w:after="0" w:line="258" w:lineRule="auto"/>
        <w:tabs>
          <w:tab w:leader="none" w:pos="1612"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Custodian or the Title Administrator has possession for the benefit of the Secured Parties of the original Certificate of Title, or evidence of the electronic Certificate of Title;</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2"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Contract evidencing such Receivable, including the description of the motor vehicle and/or services contained therein, is in all respects complete, accurate and represents the entire agreement between the Originator and the Obligor;</w:t>
      </w:r>
    </w:p>
    <w:p>
      <w:pPr>
        <w:spacing w:after="0" w:line="172" w:lineRule="exact"/>
        <w:rPr>
          <w:rFonts w:ascii="Times New Roman" w:cs="Times New Roman" w:eastAsia="Times New Roman" w:hAnsi="Times New Roman"/>
          <w:sz w:val="22"/>
          <w:szCs w:val="22"/>
          <w:color w:val="auto"/>
        </w:rPr>
      </w:pPr>
    </w:p>
    <w:p>
      <w:pPr>
        <w:jc w:val="both"/>
        <w:ind w:firstLine="745"/>
        <w:spacing w:after="0" w:line="239" w:lineRule="auto"/>
        <w:tabs>
          <w:tab w:leader="none" w:pos="1612" w:val="left"/>
        </w:tabs>
        <w:numPr>
          <w:ilvl w:val="0"/>
          <w:numId w:val="5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Receivable File is in the possession or “control” (within the meaning of Section 9-105 of the UCC) of the Custodian, and the Custodian has issued a Receivable Receipt to the Administrative Agent acknowledging that such Receivable File is in the Custodian’s possession or “control” (within the meaning of Section 9-105 of the UCC); and</w:t>
      </w:r>
    </w:p>
    <w:p>
      <w:pPr>
        <w:spacing w:after="0" w:line="178" w:lineRule="exact"/>
        <w:rPr>
          <w:rFonts w:ascii="Times New Roman" w:cs="Times New Roman" w:eastAsia="Times New Roman" w:hAnsi="Times New Roman"/>
          <w:sz w:val="22"/>
          <w:szCs w:val="22"/>
          <w:color w:val="auto"/>
        </w:rPr>
      </w:pPr>
    </w:p>
    <w:p>
      <w:pPr>
        <w:jc w:val="both"/>
        <w:ind w:firstLine="745"/>
        <w:spacing w:after="0" w:line="260" w:lineRule="auto"/>
        <w:tabs>
          <w:tab w:leader="none" w:pos="1612"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with respect to each Electronic Contract other than a Paper-In Contract, (a) such Contract was originally originated as an Electronic Contract and has not at any time been a Tangible Contract, (b) the E-Vault System (including the back-up system) is fully operational and is being maintained in accordance with the System Description, and the Custodian has access to the Warehouse Vault Partition (other than during routine maintenance or upgrades by the E-Vault Provider), (c) such Contract was created within the DocuSign System or eOriginal SmartSign by the Originator and, at all times after creation and prior to the transfer thereof to the Borrower, was maintained within the E-Vault System, (d) such Contract was transferred from the Originator Vault Partition to the Warehouse Vault Partition and such transfer has been accepted by the Custodian and confirmed by the Originator within the E-Vault System, (e) during the period from and after the origination thereof to the transfer thereof to the Borrower, the E-Vault Access</w:t>
      </w: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572" w:name="page573"/>
    <w:bookmarkEnd w:id="572"/>
    <w:p>
      <w:pPr>
        <w:jc w:val="both"/>
        <w:ind w:left="3"/>
        <w:spacing w:after="0" w:line="232" w:lineRule="auto"/>
        <w:rPr>
          <w:sz w:val="20"/>
          <w:szCs w:val="20"/>
          <w:color w:val="auto"/>
        </w:rPr>
      </w:pPr>
      <w:r>
        <w:rPr>
          <w:rFonts w:ascii="Times New Roman" w:cs="Times New Roman" w:eastAsia="Times New Roman" w:hAnsi="Times New Roman"/>
          <w:sz w:val="22"/>
          <w:szCs w:val="22"/>
          <w:color w:val="auto"/>
        </w:rPr>
        <w:t>Agreement was in full force and effect and there was no event of default or material breach by any party thereunder, (f) each of the E-Vault Access Agreement and the Electronic Collateral Control Agreement is in full force and effect and is no event of default or material breach by any party thereunder and (g) in respect of which all onboarding fees that are due and payable have been paid to DocuSign, eOriginal SmartSign and the E-Vault Provider and no fees will be payable to or in respect of DocuSign, eOriginal SmartSign or the E-Vault Provider in respect thereof under the E-Vault Access Agreement, the Electronic Collateral Control Agreement (other than in respect of Exporting) or any other applicable agreement, and (B) with respect to each Paper-In Contract, (a) prior to the conversion of such Paper-In Contract from a Tangible Contract to an Electronic Contract, UACC or its agents had sole possession of such Tangible Contract, (b) upon such conversion or within [30] days thereafter, such Tangible Contract was destroyed, (c) the destruction of such Tangible Contract was conducted by UACC or a third party agent on behalf of UACC, (d) the destruction of such Tangible Contract is evidenced in a manner that is satisfactory to the Administrative Agent, whether by visual recording or certification of UACC or such third party agent of UACC or by any other means, and that such evidence has been delivered to or made available to the Administrative Agent, and (e) at the time of conversion of the Paper-In Contract, the requirements set forth in subclauses (b), (d), (f) and (g) of the foregoing clause (A) were satisfied with respect to such Paper-In Contract;</w:t>
      </w:r>
    </w:p>
    <w:p>
      <w:pPr>
        <w:spacing w:after="0" w:line="188" w:lineRule="exact"/>
        <w:rPr>
          <w:sz w:val="20"/>
          <w:szCs w:val="20"/>
          <w:color w:val="auto"/>
        </w:rPr>
      </w:pPr>
    </w:p>
    <w:p>
      <w:pPr>
        <w:ind w:left="1603" w:hanging="855"/>
        <w:spacing w:after="0"/>
        <w:tabs>
          <w:tab w:leader="none" w:pos="1603" w:val="left"/>
        </w:tabs>
        <w:numPr>
          <w:ilvl w:val="1"/>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an “eligible asset” as defined in Rule 3a-7 under the Investment Company Act;</w:t>
      </w:r>
    </w:p>
    <w:p>
      <w:pPr>
        <w:spacing w:after="0" w:line="205"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615" w:val="left"/>
        </w:tabs>
        <w:numPr>
          <w:ilvl w:val="1"/>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any compromise, extension, rebate, adjustment, amendment or modification (including by the extension of time for payment or the granting of any discounts, allowances or credits) was made as permitted by the Credit and Collection Policy and [***];</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35" w:lineRule="auto"/>
        <w:tabs>
          <w:tab w:leader="none" w:pos="1683" w:val="left"/>
        </w:tabs>
        <w:numPr>
          <w:ilvl w:val="1"/>
          <w:numId w:val="5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w:t>
      </w:r>
    </w:p>
    <w:p>
      <w:pPr>
        <w:spacing w:after="0" w:line="4" w:lineRule="exact"/>
        <w:rPr>
          <w:rFonts w:ascii="Times New Roman" w:cs="Times New Roman" w:eastAsia="Times New Roman" w:hAnsi="Times New Roman"/>
          <w:sz w:val="22"/>
          <w:szCs w:val="22"/>
          <w:color w:val="auto"/>
        </w:rPr>
      </w:pPr>
    </w:p>
    <w:p>
      <w:pPr>
        <w:ind w:left="303" w:hanging="303"/>
        <w:spacing w:after="0"/>
        <w:tabs>
          <w:tab w:leader="none" w:pos="303" w:val="left"/>
        </w:tabs>
        <w:numPr>
          <w:ilvl w:val="0"/>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no selection procedures adverse to the interests of the Secured Parties have been utilized;</w:t>
      </w:r>
    </w:p>
    <w:p>
      <w:pPr>
        <w:spacing w:after="0" w:line="181" w:lineRule="exact"/>
        <w:rPr>
          <w:rFonts w:ascii="Times New Roman" w:cs="Times New Roman" w:eastAsia="Times New Roman" w:hAnsi="Times New Roman"/>
          <w:sz w:val="22"/>
          <w:szCs w:val="22"/>
          <w:color w:val="auto"/>
        </w:rPr>
      </w:pPr>
    </w:p>
    <w:p>
      <w:pPr>
        <w:ind w:left="3" w:right="20" w:firstLine="745"/>
        <w:spacing w:after="0" w:line="258" w:lineRule="auto"/>
        <w:tabs>
          <w:tab w:leader="none" w:pos="1615" w:val="left"/>
        </w:tabs>
        <w:numPr>
          <w:ilvl w:val="1"/>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has not been repossessed from the Obligor at the time such Receivable first became part of the Collateral;</w:t>
      </w:r>
    </w:p>
    <w:p>
      <w:pPr>
        <w:spacing w:after="0" w:line="157"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615" w:val="left"/>
        </w:tabs>
        <w:numPr>
          <w:ilvl w:val="1"/>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spacing w:after="0" w:line="172" w:lineRule="exact"/>
        <w:rPr>
          <w:rFonts w:ascii="Times New Roman" w:cs="Times New Roman" w:eastAsia="Times New Roman" w:hAnsi="Times New Roman"/>
          <w:sz w:val="22"/>
          <w:szCs w:val="22"/>
          <w:color w:val="auto"/>
        </w:rPr>
      </w:pPr>
    </w:p>
    <w:p>
      <w:pPr>
        <w:ind w:left="3" w:right="40" w:firstLine="745"/>
        <w:spacing w:after="0" w:line="258" w:lineRule="auto"/>
        <w:tabs>
          <w:tab w:leader="none" w:pos="1615" w:val="left"/>
        </w:tabs>
        <w:numPr>
          <w:ilvl w:val="1"/>
          <w:numId w:val="5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all proceeds on the related Contract were fully disbursed and there is no requirement for future advances thereunder</w:t>
      </w:r>
    </w:p>
    <w:p>
      <w:pPr>
        <w:spacing w:after="0" w:line="200" w:lineRule="exact"/>
        <w:rPr>
          <w:sz w:val="20"/>
          <w:szCs w:val="20"/>
          <w:color w:val="auto"/>
        </w:rPr>
      </w:pPr>
    </w:p>
    <w:p>
      <w:pPr>
        <w:spacing w:after="0" w:line="213"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2"/>
          <w:szCs w:val="22"/>
          <w:color w:val="auto"/>
        </w:rPr>
        <w:t>SB-5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6" w:right="339" w:bottom="1440" w:gutter="0" w:footer="0" w:header="0"/>
        </w:sectPr>
      </w:pPr>
    </w:p>
    <w:bookmarkStart w:id="573" w:name="page574"/>
    <w:bookmarkEnd w:id="573"/>
    <w:p>
      <w:pPr>
        <w:ind w:left="3"/>
        <w:spacing w:after="0"/>
        <w:rPr>
          <w:sz w:val="20"/>
          <w:szCs w:val="20"/>
          <w:color w:val="auto"/>
        </w:rPr>
      </w:pPr>
      <w:r>
        <w:rPr>
          <w:rFonts w:ascii="Times New Roman" w:cs="Times New Roman" w:eastAsia="Times New Roman" w:hAnsi="Times New Roman"/>
          <w:sz w:val="22"/>
          <w:szCs w:val="22"/>
          <w:color w:val="auto"/>
        </w:rPr>
        <w:t>and all fees and expenses in connection with the origination of the Receivable have been paid;</w:t>
      </w:r>
    </w:p>
    <w:p>
      <w:pPr>
        <w:spacing w:after="0" w:line="205" w:lineRule="exact"/>
        <w:rPr>
          <w:sz w:val="20"/>
          <w:szCs w:val="20"/>
          <w:color w:val="auto"/>
        </w:rPr>
      </w:pPr>
    </w:p>
    <w:p>
      <w:pPr>
        <w:jc w:val="both"/>
        <w:ind w:left="3" w:right="20" w:firstLine="745"/>
        <w:spacing w:after="0" w:line="244" w:lineRule="auto"/>
        <w:tabs>
          <w:tab w:leader="none" w:pos="1615" w:val="left"/>
        </w:tabs>
        <w:numPr>
          <w:ilvl w:val="1"/>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provide for the substitution, exchange or addition of any Financed Vehicle to such Receivable and with respect to which the related Financed Vehicle was properly delivered to the related Obligor in good repair, without defects and in satisfactory order;</w:t>
      </w:r>
    </w:p>
    <w:p>
      <w:pPr>
        <w:spacing w:after="0" w:line="172" w:lineRule="exact"/>
        <w:rPr>
          <w:rFonts w:ascii="Times New Roman" w:cs="Times New Roman" w:eastAsia="Times New Roman" w:hAnsi="Times New Roman"/>
          <w:sz w:val="22"/>
          <w:szCs w:val="22"/>
          <w:color w:val="auto"/>
        </w:rPr>
      </w:pPr>
    </w:p>
    <w:p>
      <w:pPr>
        <w:jc w:val="both"/>
        <w:ind w:left="3" w:right="20" w:firstLine="745"/>
        <w:spacing w:after="0" w:line="244" w:lineRule="auto"/>
        <w:tabs>
          <w:tab w:leader="none" w:pos="1734" w:val="left"/>
        </w:tabs>
        <w:numPr>
          <w:ilvl w:val="1"/>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Servicer holds the Certificate of Title or the application for a Certificate of Title for the related Financed Vehicle or the Servicer will obtain within [***] days of the related Cutoff Date a Certificate of Title with respect to the Financed Vehicle as to which the Servicer holds only such application;</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683" w:val="left"/>
        </w:tabs>
        <w:numPr>
          <w:ilvl w:val="1"/>
          <w:numId w:val="5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Dealer (a) was selected by the Originator based on the Credit and Collection Policy,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spacing w:after="0" w:line="178" w:lineRule="exact"/>
        <w:rPr>
          <w:rFonts w:ascii="Times New Roman" w:cs="Times New Roman" w:eastAsia="Times New Roman" w:hAnsi="Times New Roman"/>
          <w:sz w:val="22"/>
          <w:szCs w:val="22"/>
          <w:color w:val="auto"/>
        </w:rPr>
      </w:pPr>
    </w:p>
    <w:p>
      <w:pPr>
        <w:jc w:val="both"/>
        <w:ind w:left="3" w:firstLine="745"/>
        <w:spacing w:after="0" w:line="261" w:lineRule="auto"/>
        <w:tabs>
          <w:tab w:leader="none" w:pos="1690" w:val="left"/>
        </w:tabs>
        <w:numPr>
          <w:ilvl w:val="1"/>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w:t>
      </w:r>
    </w:p>
    <w:p>
      <w:pPr>
        <w:spacing w:after="0" w:line="1" w:lineRule="exact"/>
        <w:rPr>
          <w:rFonts w:ascii="Times New Roman" w:cs="Times New Roman" w:eastAsia="Times New Roman" w:hAnsi="Times New Roman"/>
          <w:sz w:val="20"/>
          <w:szCs w:val="20"/>
          <w:color w:val="auto"/>
        </w:rPr>
      </w:pPr>
    </w:p>
    <w:p>
      <w:pPr>
        <w:jc w:val="both"/>
        <w:ind w:left="3" w:hanging="3"/>
        <w:spacing w:after="0" w:line="231" w:lineRule="auto"/>
        <w:tabs>
          <w:tab w:leader="none" w:pos="319" w:val="left"/>
        </w:tabs>
        <w:numPr>
          <w:ilvl w:val="0"/>
          <w:numId w:val="5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spacing w:after="0" w:line="184" w:lineRule="exact"/>
        <w:rPr>
          <w:sz w:val="20"/>
          <w:szCs w:val="20"/>
          <w:color w:val="auto"/>
        </w:rPr>
      </w:pPr>
    </w:p>
    <w:p>
      <w:pPr>
        <w:ind w:left="3" w:right="20" w:firstLine="749"/>
        <w:spacing w:after="0" w:line="258" w:lineRule="auto"/>
        <w:rPr>
          <w:sz w:val="20"/>
          <w:szCs w:val="20"/>
          <w:color w:val="auto"/>
        </w:rPr>
      </w:pPr>
      <w:r>
        <w:rPr>
          <w:rFonts w:ascii="Times New Roman" w:cs="Times New Roman" w:eastAsia="Times New Roman" w:hAnsi="Times New Roman"/>
          <w:sz w:val="22"/>
          <w:szCs w:val="22"/>
          <w:color w:val="auto"/>
        </w:rPr>
        <w:t>(xl) which, if the related Financed Vehicle is titled in the State of Texas, such Financed Vehicle is a “motor vehicle” as defined in Section 501.002 of the Texas Transportation Code;</w:t>
      </w:r>
    </w:p>
    <w:p>
      <w:pPr>
        <w:spacing w:after="0" w:line="157" w:lineRule="exact"/>
        <w:rPr>
          <w:sz w:val="20"/>
          <w:szCs w:val="20"/>
          <w:color w:val="auto"/>
        </w:rPr>
      </w:pPr>
    </w:p>
    <w:p>
      <w:pPr>
        <w:ind w:left="3" w:right="20" w:firstLine="749"/>
        <w:spacing w:after="0" w:line="258" w:lineRule="auto"/>
        <w:rPr>
          <w:sz w:val="20"/>
          <w:szCs w:val="20"/>
          <w:color w:val="auto"/>
        </w:rPr>
      </w:pPr>
      <w:r>
        <w:rPr>
          <w:rFonts w:ascii="Times New Roman" w:cs="Times New Roman" w:eastAsia="Times New Roman" w:hAnsi="Times New Roman"/>
          <w:sz w:val="22"/>
          <w:szCs w:val="22"/>
          <w:color w:val="auto"/>
        </w:rPr>
        <w:t>(xli) with respect to which the related Contract has not been stamped or otherwise marked to show any interest of any other Person or any such stamp or other mark has been cancelled;</w:t>
      </w:r>
    </w:p>
    <w:p>
      <w:pPr>
        <w:spacing w:after="0" w:line="200" w:lineRule="exact"/>
        <w:rPr>
          <w:sz w:val="20"/>
          <w:szCs w:val="20"/>
          <w:color w:val="auto"/>
        </w:rPr>
      </w:pPr>
    </w:p>
    <w:p>
      <w:pPr>
        <w:spacing w:after="0" w:line="213"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2"/>
          <w:szCs w:val="22"/>
          <w:color w:val="auto"/>
        </w:rPr>
        <w:t>SB-6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7" w:right="339" w:bottom="1440" w:gutter="0" w:footer="0" w:header="0"/>
        </w:sectPr>
      </w:pPr>
    </w:p>
    <w:bookmarkStart w:id="574" w:name="page575"/>
    <w:bookmarkEnd w:id="574"/>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(xlii) 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p>
    <w:p>
      <w:pPr>
        <w:spacing w:after="0" w:line="17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(xliii) which has a Loan-to-Value Ratio of no greater than [***]%, and which would not cause the weighted average Loan-to-Value Ratio of all Eligible Receivables to be greater than [***]%;</w:t>
      </w:r>
    </w:p>
    <w:p>
      <w:pPr>
        <w:spacing w:after="0" w:line="15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(xliv) all requirements of applicable federal, state and local laws, and regulations thereunder (including, without limitation, usury laws, the Federal Truth-in-Lending Act, the Equal Credit Opportunity Act, the Fair Credit Billing Act, the Fair Credit Reporting Act, the Fair Debt Collection Practices Act, the Federal Trade Commission Act, the Moss-Magnuson Warranty Act, the Federal Reserve Board’s Regulations “B” and “Z” (including amendments to the Federal Reserve’s Official Staff Commentary to Regulation Z, effective October 1, 1998, concerning negative equity loans), the Servicemembers Civil Relief Act, the Electronic Signatures in Global and National Commerce Act (E-SIGN), the Uniform Electronic Transactions Act and other state adaptations thereof, each applicable state Motor Vehicle Retail Installment Sales Act, and state adaptations of the National Consumer Act and of the Uniform Consumer Credit Code and other consumer credit laws and equal credit opportunity and disclosure laws) in respect of such Receivable and the Financed Vehicles, have been complied with in all material respects, and such Receivable and the sale of the Financed Vehicle evidenced by such Receivable complied at the time it was originated or made and now complies in all material respects with all applicable legal requirements;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(xlv) as to which, on the applicable Funding Date, the related Obligor has not been identified on the records of the Servicer as being the subject of a current bankruptcy proceeding; and</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(xlvi) with respect to which, the Servicer has not utilized, and has not permitted any Subservicer or any independent contractor or agent to utilize, any “starter interrupt” or similar device (each, a “</w:t>
      </w:r>
      <w:r>
        <w:rPr>
          <w:rFonts w:ascii="Times New Roman" w:cs="Times New Roman" w:eastAsia="Times New Roman" w:hAnsi="Times New Roman"/>
          <w:sz w:val="22"/>
          <w:szCs w:val="22"/>
          <w:u w:val="single" w:color="auto"/>
          <w:color w:val="auto"/>
        </w:rPr>
        <w:t>SID</w:t>
      </w:r>
      <w:r>
        <w:rPr>
          <w:rFonts w:ascii="Times New Roman" w:cs="Times New Roman" w:eastAsia="Times New Roman" w:hAnsi="Times New Roman"/>
          <w:sz w:val="22"/>
          <w:szCs w:val="22"/>
          <w:color w:val="auto"/>
        </w:rPr>
        <w:t>”) that may be installed on the related Financed Vehicle, provided that, for the avoidance of doubt, the use of any global positioning system (GPS) enabled device that may accompany a SID that is installed on the related Financed Vehicle shall not be deemed a breach of this clause (xlvi).</w:t>
      </w:r>
    </w:p>
    <w:p>
      <w:pPr>
        <w:spacing w:after="0" w:line="200" w:lineRule="exact"/>
        <w:rPr>
          <w:sz w:val="20"/>
          <w:szCs w:val="20"/>
          <w:color w:val="auto"/>
        </w:rPr>
      </w:pPr>
    </w:p>
    <w:p>
      <w:pPr>
        <w:spacing w:after="0" w:line="2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575" w:name="page576"/>
    <w:bookmarkEnd w:id="575"/>
    <w:p>
      <w:pPr>
        <w:jc w:val="right"/>
        <w:spacing w:after="0"/>
        <w:rPr>
          <w:sz w:val="20"/>
          <w:szCs w:val="20"/>
          <w:color w:val="auto"/>
        </w:rPr>
      </w:pPr>
      <w:r>
        <w:rPr>
          <w:rFonts w:ascii="Times New Roman" w:cs="Times New Roman" w:eastAsia="Times New Roman" w:hAnsi="Times New Roman"/>
          <w:sz w:val="22"/>
          <w:szCs w:val="22"/>
          <w:color w:val="auto"/>
        </w:rPr>
        <w:t>SCHEDULE C</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OF RECEIVABLES</w:t>
      </w:r>
    </w:p>
    <w:p>
      <w:pPr>
        <w:spacing w:after="0" w:line="3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(Original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6" w:right="339" w:bottom="1440" w:gutter="0" w:footer="0" w:header="0"/>
        </w:sectPr>
      </w:pPr>
    </w:p>
    <w:bookmarkStart w:id="576" w:name="page577"/>
    <w:bookmarkEnd w:id="576"/>
    <w:p>
      <w:pPr>
        <w:jc w:val="right"/>
        <w:spacing w:after="0"/>
        <w:rPr>
          <w:sz w:val="20"/>
          <w:szCs w:val="20"/>
          <w:color w:val="auto"/>
        </w:rPr>
      </w:pPr>
      <w:r>
        <w:rPr>
          <w:rFonts w:ascii="Times New Roman" w:cs="Times New Roman" w:eastAsia="Times New Roman" w:hAnsi="Times New Roman"/>
          <w:sz w:val="22"/>
          <w:szCs w:val="22"/>
          <w:color w:val="auto"/>
        </w:rPr>
        <w:t>SCHEDULE 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LOCATION OF RECEIVABLE FILES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1071 Camelback Street</w:t>
      </w:r>
    </w:p>
    <w:p>
      <w:pPr>
        <w:spacing w:after="0"/>
        <w:rPr>
          <w:sz w:val="20"/>
          <w:szCs w:val="20"/>
          <w:color w:val="auto"/>
        </w:rPr>
      </w:pPr>
      <w:r>
        <w:rPr>
          <w:rFonts w:ascii="Times New Roman" w:cs="Times New Roman" w:eastAsia="Times New Roman" w:hAnsi="Times New Roman"/>
          <w:sz w:val="22"/>
          <w:szCs w:val="22"/>
          <w:color w:val="auto"/>
        </w:rPr>
        <w:t>Newport Beach, California 92660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77" w:name="page578"/>
    <w:bookmarkEnd w:id="577"/>
    <w:p>
      <w:pPr>
        <w:jc w:val="right"/>
        <w:spacing w:after="0"/>
        <w:rPr>
          <w:sz w:val="20"/>
          <w:szCs w:val="20"/>
          <w:color w:val="auto"/>
        </w:rPr>
      </w:pPr>
      <w:r>
        <w:rPr>
          <w:rFonts w:ascii="Times New Roman" w:cs="Times New Roman" w:eastAsia="Times New Roman" w:hAnsi="Times New Roman"/>
          <w:sz w:val="22"/>
          <w:szCs w:val="22"/>
          <w:color w:val="auto"/>
        </w:rPr>
        <w:t>SCHEDULE 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78" w:name="page579"/>
    <w:bookmarkEnd w:id="578"/>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FUNDING REQUEST</w:t>
      </w:r>
    </w:p>
    <w:p>
      <w:pPr>
        <w:spacing w:after="0" w:line="3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0"/>
          <w:szCs w:val="20"/>
          <w:color w:val="auto"/>
        </w:rPr>
        <w:t>____________, 201_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ONE, N.A.</w:t>
      </w:r>
    </w:p>
    <w:p>
      <w:pPr>
        <w:spacing w:after="0" w:line="230" w:lineRule="auto"/>
        <w:rPr>
          <w:sz w:val="20"/>
          <w:szCs w:val="20"/>
          <w:color w:val="auto"/>
        </w:rPr>
      </w:pPr>
      <w:r>
        <w:rPr>
          <w:rFonts w:ascii="Times New Roman" w:cs="Times New Roman" w:eastAsia="Times New Roman" w:hAnsi="Times New Roman"/>
          <w:sz w:val="22"/>
          <w:szCs w:val="22"/>
          <w:color w:val="auto"/>
        </w:rPr>
        <w:t>Portfolio Management</w:t>
      </w:r>
    </w:p>
    <w:p>
      <w:pPr>
        <w:spacing w:after="0" w:line="230" w:lineRule="auto"/>
        <w:rPr>
          <w:sz w:val="20"/>
          <w:szCs w:val="20"/>
          <w:color w:val="auto"/>
        </w:rPr>
      </w:pPr>
      <w:r>
        <w:rPr>
          <w:rFonts w:ascii="Times New Roman" w:cs="Times New Roman" w:eastAsia="Times New Roman" w:hAnsi="Times New Roman"/>
          <w:sz w:val="22"/>
          <w:szCs w:val="22"/>
          <w:color w:val="auto"/>
        </w:rPr>
        <w:t>Financial Institutions Group</w:t>
      </w:r>
    </w:p>
    <w:p>
      <w:pPr>
        <w:spacing w:after="0" w:line="230" w:lineRule="auto"/>
        <w:rPr>
          <w:sz w:val="20"/>
          <w:szCs w:val="20"/>
          <w:color w:val="auto"/>
        </w:rPr>
      </w:pPr>
      <w:r>
        <w:rPr>
          <w:rFonts w:ascii="Times New Roman" w:cs="Times New Roman" w:eastAsia="Times New Roman" w:hAnsi="Times New Roman"/>
          <w:sz w:val="22"/>
          <w:szCs w:val="22"/>
          <w:color w:val="auto"/>
        </w:rPr>
        <w:t>2 Bethesda Metro Center, 7th Floor</w:t>
      </w:r>
    </w:p>
    <w:p>
      <w:pPr>
        <w:spacing w:after="0" w:line="231" w:lineRule="auto"/>
        <w:rPr>
          <w:sz w:val="20"/>
          <w:szCs w:val="20"/>
          <w:color w:val="auto"/>
        </w:rPr>
      </w:pPr>
      <w:r>
        <w:rPr>
          <w:rFonts w:ascii="Times New Roman" w:cs="Times New Roman" w:eastAsia="Times New Roman" w:hAnsi="Times New Roman"/>
          <w:sz w:val="22"/>
          <w:szCs w:val="22"/>
          <w:color w:val="auto"/>
        </w:rPr>
        <w:t>Bethesda Maryland 20814</w:t>
      </w:r>
    </w:p>
    <w:p>
      <w:pPr>
        <w:spacing w:after="0"/>
        <w:rPr>
          <w:sz w:val="20"/>
          <w:szCs w:val="20"/>
          <w:color w:val="auto"/>
        </w:rPr>
      </w:pPr>
      <w:r>
        <w:rPr>
          <w:rFonts w:ascii="Times New Roman" w:cs="Times New Roman" w:eastAsia="Times New Roman" w:hAnsi="Times New Roman"/>
          <w:sz w:val="22"/>
          <w:szCs w:val="22"/>
          <w:color w:val="auto"/>
        </w:rPr>
        <w:t>Ref: UACC Auto Financing Trust V [Address]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V Warehouse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undersigned is a Responsible Officer of UACC Auto Financing Trust V (the “Borrower”) and is authorized to execute and deliver this Funding Request on behalf of the Borrower pursuant to the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Capital One, N.A., as administrative agent. Capitalized terms not otherwise defined herein have the meanings ascribed thereto in the Warehouse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hereby requests that a Loan be made under the Warehouse Agreement on __________, ____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of $__________.</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connection with the foregoing, the undersigned hereby certifies, on behalf of the Borrower, as follows:</w:t>
      </w:r>
    </w:p>
    <w:p>
      <w:pPr>
        <w:spacing w:after="0" w:line="205" w:lineRule="exact"/>
        <w:rPr>
          <w:sz w:val="20"/>
          <w:szCs w:val="20"/>
          <w:color w:val="auto"/>
        </w:rPr>
      </w:pPr>
    </w:p>
    <w:p>
      <w:pPr>
        <w:jc w:val="both"/>
        <w:ind w:left="940" w:firstLine="753"/>
        <w:spacing w:after="0" w:line="239" w:lineRule="auto"/>
        <w:tabs>
          <w:tab w:leader="none" w:pos="2120" w:val="left"/>
        </w:tabs>
        <w:numPr>
          <w:ilvl w:val="0"/>
          <w:numId w:val="5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Borrowing Base (calculated as of the previous Determination Date or, with respect to Receivables added to the Collateral following such Determination Date, but prior to or on such date of determination, the related Cutoff Date) is __________. Attached to this Funding Request is a true, complete and correct calculation of the Borrowing Base and all components thereof.</w:t>
      </w:r>
    </w:p>
    <w:p>
      <w:pPr>
        <w:spacing w:after="0" w:line="178" w:lineRule="exact"/>
        <w:rPr>
          <w:rFonts w:ascii="Times New Roman" w:cs="Times New Roman" w:eastAsia="Times New Roman" w:hAnsi="Times New Roman"/>
          <w:sz w:val="22"/>
          <w:szCs w:val="22"/>
          <w:color w:val="auto"/>
        </w:rPr>
      </w:pPr>
    </w:p>
    <w:p>
      <w:pPr>
        <w:ind w:left="940" w:right="20" w:firstLine="753"/>
        <w:spacing w:after="0" w:line="258" w:lineRule="auto"/>
        <w:tabs>
          <w:tab w:leader="none" w:pos="2120" w:val="left"/>
        </w:tabs>
        <w:numPr>
          <w:ilvl w:val="0"/>
          <w:numId w:val="5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conditions applicable to the requested Loan as set forth in the Warehouse Agreement have been satisfied as of the date hereof and will remain satisfied to the date of such Loan, including:</w:t>
      </w:r>
    </w:p>
    <w:p>
      <w:pPr>
        <w:spacing w:after="0" w:line="157" w:lineRule="exact"/>
        <w:rPr>
          <w:rFonts w:ascii="Times New Roman" w:cs="Times New Roman" w:eastAsia="Times New Roman" w:hAnsi="Times New Roman"/>
          <w:sz w:val="22"/>
          <w:szCs w:val="22"/>
          <w:color w:val="auto"/>
        </w:rPr>
      </w:pPr>
    </w:p>
    <w:p>
      <w:pPr>
        <w:jc w:val="both"/>
        <w:ind w:left="1320" w:firstLine="747"/>
        <w:spacing w:after="0" w:line="244" w:lineRule="auto"/>
        <w:tabs>
          <w:tab w:leader="none" w:pos="2500" w:val="left"/>
        </w:tabs>
        <w:numPr>
          <w:ilvl w:val="1"/>
          <w:numId w:val="5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contained in Article Five of the Warehouse Agreement are true and correct in all respects on and as of the date hereof, before and after giving effect to the Loan and to the application of the proceeds therefrom as though made on and as of the date hereof;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9" w:name="page580"/>
    <w:bookmarkEnd w:id="579"/>
    <w:p>
      <w:pPr>
        <w:ind w:left="200" w:right="40" w:firstLine="747"/>
        <w:spacing w:after="0" w:line="258" w:lineRule="auto"/>
        <w:tabs>
          <w:tab w:leader="none" w:pos="1380" w:val="left"/>
        </w:tabs>
        <w:numPr>
          <w:ilvl w:val="1"/>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or would result from such Loan or from the application of the proceeds therefrom, which constitutes a Termination Event or Unmatured Termination Event;</w:t>
      </w:r>
    </w:p>
    <w:p>
      <w:pPr>
        <w:spacing w:after="0" w:line="157" w:lineRule="exact"/>
        <w:rPr>
          <w:rFonts w:ascii="Times New Roman" w:cs="Times New Roman" w:eastAsia="Times New Roman" w:hAnsi="Times New Roman"/>
          <w:sz w:val="22"/>
          <w:szCs w:val="22"/>
          <w:color w:val="auto"/>
        </w:rPr>
      </w:pPr>
    </w:p>
    <w:p>
      <w:pPr>
        <w:ind w:left="200" w:right="60" w:firstLine="747"/>
        <w:spacing w:after="0" w:line="258" w:lineRule="auto"/>
        <w:tabs>
          <w:tab w:leader="none" w:pos="1380" w:val="left"/>
        </w:tabs>
        <w:numPr>
          <w:ilvl w:val="1"/>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material compliance with each of its covenants set forth in the Warehouse Agreement; and</w:t>
      </w:r>
    </w:p>
    <w:p>
      <w:pPr>
        <w:spacing w:after="0" w:line="157" w:lineRule="exact"/>
        <w:rPr>
          <w:rFonts w:ascii="Times New Roman" w:cs="Times New Roman" w:eastAsia="Times New Roman" w:hAnsi="Times New Roman"/>
          <w:sz w:val="22"/>
          <w:szCs w:val="22"/>
          <w:color w:val="auto"/>
        </w:rPr>
      </w:pPr>
    </w:p>
    <w:p>
      <w:pPr>
        <w:ind w:left="200" w:right="60" w:firstLine="747"/>
        <w:spacing w:after="0" w:line="258" w:lineRule="auto"/>
        <w:tabs>
          <w:tab w:leader="none" w:pos="1380" w:val="left"/>
        </w:tabs>
        <w:numPr>
          <w:ilvl w:val="1"/>
          <w:numId w:val="5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of the Borrower’s knowledge, no event has occurred which constitutes a Servicer Termination Event or Unmatured Servicer Termination Event.</w:t>
      </w:r>
    </w:p>
    <w:p>
      <w:pPr>
        <w:spacing w:after="0" w:line="157" w:lineRule="exact"/>
        <w:rPr>
          <w:rFonts w:ascii="Times New Roman" w:cs="Times New Roman" w:eastAsia="Times New Roman" w:hAnsi="Times New Roman"/>
          <w:sz w:val="22"/>
          <w:szCs w:val="22"/>
          <w:color w:val="auto"/>
        </w:rPr>
      </w:pPr>
    </w:p>
    <w:p>
      <w:pPr>
        <w:ind w:left="1000" w:hanging="427"/>
        <w:spacing w:after="0"/>
        <w:tabs>
          <w:tab w:leader="none" w:pos="1000"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Loan will not, on the Funding Date, exceed the Available Amount.</w:t>
      </w:r>
    </w:p>
    <w:p>
      <w:pPr>
        <w:spacing w:after="0" w:line="205" w:lineRule="exact"/>
        <w:rPr>
          <w:rFonts w:ascii="Times New Roman" w:cs="Times New Roman" w:eastAsia="Times New Roman" w:hAnsi="Times New Roman"/>
          <w:sz w:val="22"/>
          <w:szCs w:val="22"/>
          <w:color w:val="auto"/>
        </w:rPr>
      </w:pPr>
    </w:p>
    <w:p>
      <w:pPr>
        <w:jc w:val="both"/>
        <w:ind w:left="-180" w:firstLine="753"/>
        <w:spacing w:after="0" w:line="239" w:lineRule="auto"/>
        <w:tabs>
          <w:tab w:leader="none" w:pos="1000"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Coverage Ratio, with respect to the Receivables being added to the Collateral on such Funding Date, (a) is equal to ____%, which is equal to or less than the Advance Rate, or (b) in the case of a Reborrowing, is equal to ___%, which is equal to or less than the Collateral Coverage Ratio with respect to all Receivables then constituting a portion of the Collateral.</w:t>
      </w:r>
    </w:p>
    <w:p>
      <w:pPr>
        <w:spacing w:after="0" w:line="178" w:lineRule="exact"/>
        <w:rPr>
          <w:rFonts w:ascii="Times New Roman" w:cs="Times New Roman" w:eastAsia="Times New Roman" w:hAnsi="Times New Roman"/>
          <w:sz w:val="22"/>
          <w:szCs w:val="22"/>
          <w:color w:val="auto"/>
        </w:rPr>
      </w:pPr>
    </w:p>
    <w:p>
      <w:pPr>
        <w:jc w:val="both"/>
        <w:ind w:left="-180" w:firstLine="753"/>
        <w:spacing w:after="0" w:line="244" w:lineRule="auto"/>
        <w:tabs>
          <w:tab w:leader="none" w:pos="1000" w:val="left"/>
        </w:tabs>
        <w:numPr>
          <w:ilvl w:val="0"/>
          <w:numId w:val="5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hereto is a true, correct and complete Schedule A to the Purchase Agreement, reflecting all Receivables which will become part of the Collateral on the Funding Date, each Receivable reflected thereon being an Eligible Receivable.</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4820" w:type="dxa"/>
            <w:vAlign w:val="bottom"/>
          </w:tcPr>
          <w:p>
            <w:pPr>
              <w:spacing w:after="0"/>
              <w:rPr>
                <w:sz w:val="20"/>
                <w:szCs w:val="20"/>
                <w:color w:val="auto"/>
              </w:rPr>
            </w:pPr>
            <w:r>
              <w:rPr>
                <w:rFonts w:ascii="Times New Roman" w:cs="Times New Roman" w:eastAsia="Times New Roman" w:hAnsi="Times New Roman"/>
                <w:sz w:val="22"/>
                <w:szCs w:val="22"/>
                <w:color w:val="auto"/>
                <w:w w:val="99"/>
              </w:rPr>
              <w:t>(6)  The Cutoff Date with respect to the Receivables is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 20_ .</w:t>
            </w:r>
          </w:p>
        </w:tc>
      </w:tr>
      <w:tr>
        <w:trPr>
          <w:trHeight w:val="20"/>
        </w:trPr>
        <w:tc>
          <w:tcPr>
            <w:tcW w:w="4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hanging="427"/>
        <w:spacing w:after="0"/>
        <w:tabs>
          <w:tab w:leader="none" w:pos="1000" w:val="left"/>
        </w:tabs>
        <w:numPr>
          <w:ilvl w:val="0"/>
          <w:numId w:val="5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and after giving effect to the requested Loan, the Borrower is Solvent.</w:t>
      </w:r>
    </w:p>
    <w:p>
      <w:pPr>
        <w:spacing w:after="0" w:line="205" w:lineRule="exact"/>
        <w:rPr>
          <w:rFonts w:ascii="Times New Roman" w:cs="Times New Roman" w:eastAsia="Times New Roman" w:hAnsi="Times New Roman"/>
          <w:sz w:val="22"/>
          <w:szCs w:val="22"/>
          <w:color w:val="auto"/>
        </w:rPr>
      </w:pPr>
    </w:p>
    <w:p>
      <w:pPr>
        <w:ind w:left="3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UACC AUTO FINANCING TRUST V</w:t>
      </w:r>
    </w:p>
    <w:p>
      <w:pPr>
        <w:spacing w:after="0" w:line="205" w:lineRule="exact"/>
        <w:rPr>
          <w:rFonts w:ascii="Times New Roman" w:cs="Times New Roman" w:eastAsia="Times New Roman" w:hAnsi="Times New Roman"/>
          <w:sz w:val="22"/>
          <w:szCs w:val="22"/>
          <w:color w:val="auto"/>
        </w:rPr>
      </w:pPr>
    </w:p>
    <w:p>
      <w:pPr>
        <w:ind w:left="3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-13970</wp:posOffset>
            </wp:positionV>
            <wp:extent cx="7620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5">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22"/>
          <w:szCs w:val="22"/>
          <w:color w:val="auto"/>
        </w:rPr>
        <w:t>Name:</w:t>
      </w:r>
    </w:p>
    <w:p>
      <w:pPr>
        <w:ind w:left="37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580" w:name="page581"/>
    <w:bookmarkEnd w:id="580"/>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w:t>
      </w:r>
    </w:p>
    <w:p>
      <w:pPr>
        <w:spacing w:after="0" w:line="313"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20"/>
          <w:szCs w:val="20"/>
          <w:color w:val="auto"/>
        </w:rPr>
        <w:t>[DATE]</w:t>
      </w:r>
    </w:p>
    <w:p>
      <w:pPr>
        <w:spacing w:after="0" w:line="22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FOR VALUE RECEIVED, the undersigned, UACC AUTO FINANCING TRUST V, a Delaware statutory trust (the “Borrower”), promises to pay to Capital One, N.A., as agent for the Lenders (the “Administrative Agent”), at the office of the Administrative Agent set forth in the Warehouse Agreement, dated as of July 11, 2019 (as amended, restated, supplemented or otherwise modified from time to time, the “Warehouse Agreement”) among the Borrower, United Auto Credit Corporation, as servicer and as custodian, [***], as backup servicer and account bank, the Lenders named therein, and the Administrative Agent, on the Termination Date, in lawful money of the United States of America and in immediately available funds, the principal amount of [__________] Dollars ($[__________]), or, if less, such Lender’s Invested Percentage of the Loans Outstanding under</w:t>
      </w:r>
    </w:p>
    <w:p>
      <w:pPr>
        <w:spacing w:after="0" w:line="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Administrative Agent is authorized to record, on the schedules annexed hereto and made a part hereof or on other appropriate records, the date and the amount each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Administrative Agent to make any such recordation (or any error in such recordation) shall not affect the obligations of the Borrower hereunder or under the Warehouse Agreement in respect of the Loans or each Lender’s Invested Percentage thereof.</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Upon the occurrence of a Termination Event, the Administrative Agent, on behalf of the Secured Parties, shall have all of the remedies specified in the Warehouse Agreement. The Borrower hereby waives presentment, demand, protest and all notices of any kind.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81" w:name="page582"/>
    <w:bookmarkEnd w:id="581"/>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THIS NOTE SHALL BE GOVERNED BY, AND CONSTRUED AND INTERPRETED IN ACCORDANCE WITH, THE LAWS OF THE STATE OF NEW YORK WITHOUT REGARD TO PRINCIPLES OF CONFLICTS OF LAW (OTHER THAN SECTIONS 5-1401 AND 5-1402 OF THE NEW YORK GENERAL OBLIGATIONS LAW).</w:t>
      </w:r>
    </w:p>
    <w:p>
      <w:pPr>
        <w:spacing w:after="0" w:line="1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82" w:name="page583"/>
    <w:bookmarkEnd w:id="582"/>
    <w:p>
      <w:pPr>
        <w:jc w:val="center"/>
        <w:ind w:right="-519"/>
        <w:spacing w:after="0"/>
        <w:rPr>
          <w:sz w:val="20"/>
          <w:szCs w:val="20"/>
          <w:color w:val="auto"/>
        </w:rPr>
      </w:pPr>
      <w:r>
        <w:rPr>
          <w:rFonts w:ascii="Times New Roman" w:cs="Times New Roman" w:eastAsia="Times New Roman" w:hAnsi="Times New Roman"/>
          <w:sz w:val="22"/>
          <w:szCs w:val="22"/>
          <w:color w:val="auto"/>
        </w:rPr>
        <w:t>Schedule 1 to</w:t>
      </w:r>
    </w:p>
    <w:p>
      <w:pPr>
        <w:spacing w:after="0" w:line="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Note</w:t>
      </w:r>
    </w:p>
    <w:p>
      <w:pPr>
        <w:spacing w:after="0" w:line="195" w:lineRule="exact"/>
        <w:rPr>
          <w:sz w:val="20"/>
          <w:szCs w:val="20"/>
          <w:color w:val="auto"/>
        </w:rPr>
      </w:pPr>
    </w:p>
    <w:p>
      <w:pPr>
        <w:spacing w:after="0"/>
        <w:tabs>
          <w:tab w:leader="none" w:pos="3320" w:val="left"/>
          <w:tab w:leader="none" w:pos="6020" w:val="left"/>
          <w:tab w:leader="none" w:pos="8940" w:val="left"/>
        </w:tabs>
        <w:rPr>
          <w:sz w:val="20"/>
          <w:szCs w:val="20"/>
          <w:color w:val="auto"/>
        </w:rPr>
      </w:pPr>
      <w:r>
        <w:rPr>
          <w:rFonts w:ascii="Times New Roman" w:cs="Times New Roman" w:eastAsia="Times New Roman" w:hAnsi="Times New Roman"/>
          <w:sz w:val="22"/>
          <w:szCs w:val="22"/>
          <w:u w:val="single" w:color="auto"/>
          <w:color w:val="auto"/>
        </w:rPr>
        <w:t>Invested Percentage of Loans</w:t>
      </w:r>
      <w:r>
        <w:rPr>
          <w:sz w:val="20"/>
          <w:szCs w:val="20"/>
          <w:color w:val="auto"/>
        </w:rPr>
        <w:tab/>
      </w:r>
      <w:r>
        <w:rPr>
          <w:rFonts w:ascii="Times New Roman" w:cs="Times New Roman" w:eastAsia="Times New Roman" w:hAnsi="Times New Roman"/>
          <w:sz w:val="22"/>
          <w:szCs w:val="22"/>
          <w:color w:val="auto"/>
        </w:rPr>
        <w:t>Interest on Loans</w:t>
      </w:r>
      <w:r>
        <w:rPr>
          <w:sz w:val="20"/>
          <w:szCs w:val="20"/>
          <w:color w:val="auto"/>
        </w:rPr>
        <w:tab/>
      </w:r>
      <w:r>
        <w:rPr>
          <w:rFonts w:ascii="Times New Roman" w:cs="Times New Roman" w:eastAsia="Times New Roman" w:hAnsi="Times New Roman"/>
          <w:sz w:val="22"/>
          <w:szCs w:val="22"/>
          <w:color w:val="auto"/>
        </w:rPr>
        <w:t>Payments on Loans</w:t>
      </w:r>
      <w:r>
        <w:rPr>
          <w:sz w:val="20"/>
          <w:szCs w:val="20"/>
          <w:color w:val="auto"/>
        </w:rPr>
        <w:tab/>
      </w:r>
      <w:r>
        <w:rPr>
          <w:rFonts w:ascii="Times New Roman" w:cs="Times New Roman" w:eastAsia="Times New Roman" w:hAnsi="Times New Roman"/>
          <w:sz w:val="20"/>
          <w:szCs w:val="20"/>
          <w:color w:val="auto"/>
        </w:rPr>
        <w:t>Notation by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19685</wp:posOffset>
            </wp:positionV>
            <wp:extent cx="520573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9">
                      <a:extLst>
                        <a:ext uri="{28A0092B-C50C-407E-A947-70E740481C1C}"/>
                      </a:extLst>
                    </a:blip>
                    <a:srcRect/>
                    <a:stretch>
                      <a:fillRect/>
                    </a:stretch>
                  </pic:blipFill>
                  <pic:spPr bwMode="auto">
                    <a:xfrm>
                      <a:off x="0" y="0"/>
                      <a:ext cx="520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572135</wp:posOffset>
            </wp:positionV>
            <wp:extent cx="7157720" cy="425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460" w:top="1407" w:right="999" w:bottom="1440" w:gutter="0" w:footer="0" w:header="0"/>
        </w:sectPr>
      </w:pPr>
    </w:p>
    <w:bookmarkStart w:id="583" w:name="page584"/>
    <w:bookmarkEnd w:id="583"/>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ASSIGNMENT AND ACCEPTANCE</w:t>
      </w:r>
    </w:p>
    <w:p>
      <w:pPr>
        <w:spacing w:after="0" w:line="3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Dated __________, 201</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Warehouse Agreement, dated as of July 11, 2019 (as amended, restated, supplemented or otherwise modified from time to time, the “Warehouse Agreement”), among UACC Auto Financing Trust V, as borrower, United Auto Credit Corporation, as servicer and as custodian, [***], as backup servicer and account bank, the lenders from time to time parties thereto and Capital One, N.A., as administrative agent (the “Administrative Agent”). Capitalized terms used but not otherwise defined herein shall have the meaning given to them in the Warehouse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__________________ (the “Assignor”) and ___________________ (the “Assignee”) agree as follows:</w:t>
      </w:r>
    </w:p>
    <w:p>
      <w:pPr>
        <w:spacing w:after="0" w:line="205" w:lineRule="exact"/>
        <w:rPr>
          <w:sz w:val="20"/>
          <w:szCs w:val="20"/>
          <w:color w:val="auto"/>
        </w:rPr>
      </w:pPr>
    </w:p>
    <w:p>
      <w:pPr>
        <w:jc w:val="both"/>
        <w:ind w:firstLine="757"/>
        <w:spacing w:after="0" w:line="236" w:lineRule="auto"/>
        <w:tabs>
          <w:tab w:leader="none" w:pos="1180"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hereby sells and assigns to the Assignee, and the Assignee hereby purchases and assumes from the Assignor, that interest in and to all of the Assignor’s rights and obligations under the Warehouse Agreement as of the date hereof which represents the percentage interest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spacing w:after="0" w:line="179" w:lineRule="exact"/>
        <w:rPr>
          <w:rFonts w:ascii="Times New Roman" w:cs="Times New Roman" w:eastAsia="Times New Roman" w:hAnsi="Times New Roman"/>
          <w:sz w:val="22"/>
          <w:szCs w:val="22"/>
          <w:color w:val="auto"/>
        </w:rPr>
      </w:pPr>
    </w:p>
    <w:p>
      <w:pPr>
        <w:ind w:right="40" w:firstLine="757"/>
        <w:spacing w:after="0" w:line="258" w:lineRule="auto"/>
        <w:tabs>
          <w:tab w:leader="none" w:pos="1180"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represents and warrants that it is the legal and beneficial owner of the interest being assigned by it hereunder and that such interest is free and clear of any Lien.</w:t>
      </w:r>
    </w:p>
    <w:p>
      <w:pPr>
        <w:spacing w:after="0" w:line="157"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0"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 Assignee agrees that it will perform in accordance with their terms all of the obligations which by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84" w:name="page585"/>
    <w:bookmarkEnd w:id="584"/>
    <w:p>
      <w:pPr>
        <w:jc w:val="both"/>
        <w:spacing w:after="0" w:line="244" w:lineRule="auto"/>
        <w:rPr>
          <w:sz w:val="20"/>
          <w:szCs w:val="20"/>
          <w:color w:val="auto"/>
        </w:rPr>
      </w:pPr>
      <w:r>
        <w:rPr>
          <w:rFonts w:ascii="Times New Roman" w:cs="Times New Roman" w:eastAsia="Times New Roman" w:hAnsi="Times New Roman"/>
          <w:sz w:val="22"/>
          <w:szCs w:val="22"/>
          <w:color w:val="auto"/>
        </w:rPr>
        <w:t>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spacing w:after="0" w:line="172" w:lineRule="exact"/>
        <w:rPr>
          <w:sz w:val="20"/>
          <w:szCs w:val="20"/>
          <w:color w:val="auto"/>
        </w:rPr>
      </w:pPr>
    </w:p>
    <w:p>
      <w:pPr>
        <w:jc w:val="both"/>
        <w:ind w:firstLine="757"/>
        <w:spacing w:after="0" w:line="280" w:lineRule="auto"/>
        <w:tabs>
          <w:tab w:leader="none" w:pos="1180" w:val="left"/>
        </w:tabs>
        <w:numPr>
          <w:ilvl w:val="0"/>
          <w:numId w:val="5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execution of this Assignment and Acceptance by the Assignor and the Assignee, it will be delivered to the Administrative Agent for acceptance. The effective date of this Assignment and Acceptance (the “Assignment Date”) shall be the date of acceptance thereof by the Administrative Agent, unless a later date is specified in Section 3 of Schedule 1.</w:t>
      </w:r>
    </w:p>
    <w:p>
      <w:pPr>
        <w:spacing w:after="0" w:line="138" w:lineRule="exact"/>
        <w:rPr>
          <w:rFonts w:ascii="Times New Roman" w:cs="Times New Roman" w:eastAsia="Times New Roman" w:hAnsi="Times New Roman"/>
          <w:sz w:val="20"/>
          <w:szCs w:val="20"/>
          <w:color w:val="auto"/>
        </w:rPr>
      </w:pPr>
    </w:p>
    <w:p>
      <w:pPr>
        <w:jc w:val="both"/>
        <w:ind w:firstLine="757"/>
        <w:spacing w:after="0" w:line="244" w:lineRule="auto"/>
        <w:tabs>
          <w:tab w:leader="none" w:pos="1180" w:val="left"/>
        </w:tabs>
        <w:numPr>
          <w:ilvl w:val="0"/>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coving all or the remaining portion of an assigning Assignor’s rights and obligations under the Warehouse Agreement, Assignor shall cease to be a party thereto).</w:t>
      </w:r>
    </w:p>
    <w:p>
      <w:pPr>
        <w:spacing w:after="0" w:line="179"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spacing w:after="0" w:line="176" w:lineRule="exact"/>
        <w:rPr>
          <w:rFonts w:ascii="Times New Roman" w:cs="Times New Roman" w:eastAsia="Times New Roman" w:hAnsi="Times New Roman"/>
          <w:sz w:val="22"/>
          <w:szCs w:val="22"/>
          <w:color w:val="auto"/>
        </w:rPr>
      </w:pPr>
    </w:p>
    <w:p>
      <w:pPr>
        <w:jc w:val="both"/>
        <w:ind w:firstLine="757"/>
        <w:spacing w:after="0"/>
        <w:tabs>
          <w:tab w:leader="none" w:pos="1261" w:val="left"/>
        </w:tabs>
        <w:numPr>
          <w:ilvl w:val="0"/>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THIS ASSIGNMENT AND ACCEPTANCE SHALL BE GOVERNED BY, AND CONSTRUED IN ACCORDANCE WITH, THE LAWS OF THE STATE OF NEW YORK WITHOUT REGARD TO PRINCIPLES OF CONFLICTS OF LAW (OTHER THAN SECTIONS 5-1401 AND 5-1402 OF THE NEW YORK GENERAL OBLIGATIONS LAW).</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85" w:name="page586"/>
    <w:bookmarkEnd w:id="585"/>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Assignor and the Assignee have executed this Acceptance and Assignment as of the __ day of ________, 201 .</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30" w:lineRule="auto"/>
        <w:rPr>
          <w:sz w:val="20"/>
          <w:szCs w:val="20"/>
          <w:color w:val="auto"/>
        </w:rPr>
      </w:pPr>
      <w:r>
        <w:rPr>
          <w:rFonts w:ascii="Times New Roman" w:cs="Times New Roman" w:eastAsia="Times New Roman" w:hAnsi="Times New Roman"/>
          <w:sz w:val="22"/>
          <w:szCs w:val="22"/>
          <w:color w:val="auto"/>
        </w:rPr>
        <w:t>1071 Camelback Street</w:t>
      </w:r>
    </w:p>
    <w:p>
      <w:pPr>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spacing w:after="0" w:line="231" w:lineRule="auto"/>
        <w:rPr>
          <w:sz w:val="20"/>
          <w:szCs w:val="20"/>
          <w:color w:val="auto"/>
        </w:rPr>
      </w:pPr>
      <w:r>
        <w:rPr>
          <w:rFonts w:ascii="Times New Roman" w:cs="Times New Roman" w:eastAsia="Times New Roman" w:hAnsi="Times New Roman"/>
          <w:sz w:val="22"/>
          <w:szCs w:val="22"/>
          <w:color w:val="auto"/>
        </w:rPr>
        <w:t>Telephone No.: [***]</w:t>
      </w: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86" w:name="page587"/>
    <w:bookmarkEnd w:id="586"/>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58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8"/>
              </w:rPr>
              <w:t>Schedule 1</w:t>
            </w:r>
          </w:p>
        </w:tc>
        <w:tc>
          <w:tcPr>
            <w:tcW w:w="4120" w:type="dxa"/>
            <w:vAlign w:val="bottom"/>
          </w:tcPr>
          <w:p>
            <w:pPr>
              <w:spacing w:after="0"/>
              <w:rPr>
                <w:sz w:val="22"/>
                <w:szCs w:val="22"/>
                <w:color w:val="auto"/>
              </w:rPr>
            </w:pPr>
          </w:p>
        </w:tc>
      </w:tr>
      <w:tr>
        <w:trPr>
          <w:trHeight w:val="243"/>
        </w:trPr>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80" w:type="dxa"/>
            <w:vAlign w:val="bottom"/>
          </w:tcPr>
          <w:p>
            <w:pPr>
              <w:jc w:val="center"/>
              <w:ind w:left="1472"/>
              <w:spacing w:after="0" w:line="243" w:lineRule="exact"/>
              <w:rPr>
                <w:sz w:val="20"/>
                <w:szCs w:val="20"/>
                <w:color w:val="auto"/>
              </w:rPr>
            </w:pPr>
            <w:r>
              <w:rPr>
                <w:rFonts w:ascii="Times New Roman" w:cs="Times New Roman" w:eastAsia="Times New Roman" w:hAnsi="Times New Roman"/>
                <w:sz w:val="22"/>
                <w:szCs w:val="22"/>
                <w:color w:val="auto"/>
                <w:w w:val="93"/>
              </w:rPr>
              <w:t>to</w:t>
            </w:r>
          </w:p>
        </w:tc>
        <w:tc>
          <w:tcPr>
            <w:tcW w:w="4120" w:type="dxa"/>
            <w:vAlign w:val="bottom"/>
          </w:tcPr>
          <w:p>
            <w:pPr>
              <w:spacing w:after="0"/>
              <w:rPr>
                <w:sz w:val="21"/>
                <w:szCs w:val="21"/>
                <w:color w:val="auto"/>
              </w:rPr>
            </w:pPr>
          </w:p>
        </w:tc>
      </w:tr>
      <w:tr>
        <w:trPr>
          <w:trHeight w:val="243"/>
        </w:trPr>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80" w:type="dxa"/>
            <w:vAlign w:val="bottom"/>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Assignment and Acceptance</w:t>
            </w:r>
          </w:p>
        </w:tc>
        <w:tc>
          <w:tcPr>
            <w:tcW w:w="4120" w:type="dxa"/>
            <w:vAlign w:val="bottom"/>
          </w:tcPr>
          <w:p>
            <w:pPr>
              <w:spacing w:after="0"/>
              <w:rPr>
                <w:sz w:val="21"/>
                <w:szCs w:val="21"/>
                <w:color w:val="auto"/>
              </w:rPr>
            </w:pPr>
          </w:p>
        </w:tc>
      </w:tr>
      <w:tr>
        <w:trPr>
          <w:trHeight w:val="282"/>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Dated _________, 20_</w:t>
            </w:r>
          </w:p>
        </w:tc>
        <w:tc>
          <w:tcPr>
            <w:tcW w:w="4120" w:type="dxa"/>
            <w:vAlign w:val="bottom"/>
          </w:tcPr>
          <w:p>
            <w:pPr>
              <w:spacing w:after="0"/>
              <w:rPr>
                <w:sz w:val="24"/>
                <w:szCs w:val="24"/>
                <w:color w:val="auto"/>
              </w:rPr>
            </w:pPr>
          </w:p>
        </w:tc>
      </w:tr>
      <w:tr>
        <w:trPr>
          <w:trHeight w:val="635"/>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Percentage Interest:</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w:t>
            </w:r>
          </w:p>
        </w:tc>
      </w:tr>
      <w:tr>
        <w:trPr>
          <w:trHeight w:val="541"/>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Assignee’s Commitment:</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485"/>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Aggregate Lender Advances Owing to the Assignee:</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541"/>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Assignment Date: _____________, 20_</w:t>
            </w:r>
          </w:p>
        </w:tc>
        <w:tc>
          <w:tcPr>
            <w:tcW w:w="4120" w:type="dxa"/>
            <w:vAlign w:val="bottom"/>
          </w:tcPr>
          <w:p>
            <w:pPr>
              <w:spacing w:after="0"/>
              <w:rPr>
                <w:sz w:val="24"/>
                <w:szCs w:val="24"/>
                <w:color w:val="auto"/>
              </w:rPr>
            </w:pPr>
          </w:p>
        </w:tc>
      </w:tr>
      <w:tr>
        <w:trPr>
          <w:trHeight w:val="728"/>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6"/>
              </w:rPr>
              <w:t>C-4</w:t>
            </w:r>
          </w:p>
        </w:tc>
        <w:tc>
          <w:tcPr>
            <w:tcW w:w="4120" w:type="dxa"/>
            <w:vAlign w:val="bottom"/>
          </w:tcPr>
          <w:p>
            <w:pPr>
              <w:spacing w:after="0"/>
              <w:rPr>
                <w:sz w:val="24"/>
                <w:szCs w:val="24"/>
                <w:color w:val="auto"/>
              </w:rPr>
            </w:pPr>
          </w:p>
        </w:tc>
      </w:tr>
      <w:tr>
        <w:trPr>
          <w:trHeight w:val="898"/>
        </w:trPr>
        <w:tc>
          <w:tcPr>
            <w:tcW w:w="1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587" w:name="page588"/>
    <w:bookmarkEnd w:id="587"/>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CREDIT AND COLLECTION POLICY</w:t>
      </w:r>
    </w:p>
    <w:p>
      <w:pPr>
        <w:spacing w:after="0" w:line="33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[Provided In Electronic Form]</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588" w:name="page589"/>
    <w:bookmarkEnd w:id="588"/>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POWER OF ATTORNEY</w:t>
      </w:r>
    </w:p>
    <w:p>
      <w:pPr>
        <w:spacing w:after="0" w:line="31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Power of Attorney (this “Power of Attorney”) is executed and delivered by UACC Auto Financing Trust V (“Grantor”) to Capital One, N.A., as Administrative Agent (“Attorney”), pursuant to the Warehouse Agreement, dated as of July 11, 2019 (as amended, restated, supplemented or otherwise modified from time to time, the “Warehouse Agreement”), among UACC Auto Financing Trust V, as borrower (the “Borrower”), United Auto Credit Corporation, as servicer and as custodian, [***], acting through its Corporate Trust Services division, as backup servicer and account bank, the lenders from time to time parties thereto, and Capital One, N.A., as administrative agent. Capitalized terms used herein that are not otherwise defined shall have the meanings ascribed thereto in the Warehouse Agreement.</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 or Attorney has provided its written consent thereto.</w:t>
      </w:r>
    </w:p>
    <w:p>
      <w:pPr>
        <w:spacing w:after="0" w:line="18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 instruments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89" w:name="page590"/>
    <w:bookmarkEnd w:id="589"/>
    <w:p>
      <w:pPr>
        <w:jc w:val="both"/>
        <w:spacing w:after="0" w:line="262" w:lineRule="auto"/>
        <w:rPr>
          <w:sz w:val="20"/>
          <w:szCs w:val="20"/>
          <w:color w:val="auto"/>
        </w:rPr>
      </w:pPr>
      <w:r>
        <w:rPr>
          <w:rFonts w:ascii="Times New Roman" w:cs="Times New Roman" w:eastAsia="Times New Roman" w:hAnsi="Times New Roman"/>
          <w:sz w:val="20"/>
          <w:szCs w:val="20"/>
          <w:color w:val="auto"/>
        </w:rPr>
        <w:t>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All actions taken by Attorney pursuant to this Power of Attorney may be taken directly by the Administrative Agent.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Grantor hereby ratifies, to the extent permitted by Applicable Law, all that said attorneys shall lawfully do or cause to be done by virtue 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this Power of Attorney is executed by Grantor as of this __ day of [_____________] 2019.</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Sworn to and subscribed before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 this __ day of [_________] 2019</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90" w:name="page591"/>
    <w:bookmarkEnd w:id="590"/>
    <w:p>
      <w:pPr>
        <w:jc w:val="right"/>
        <w:spacing w:after="0"/>
        <w:rPr>
          <w:sz w:val="20"/>
          <w:szCs w:val="20"/>
          <w:color w:val="auto"/>
        </w:rPr>
      </w:pPr>
      <w:r>
        <w:rPr>
          <w:rFonts w:ascii="Times New Roman" w:cs="Times New Roman" w:eastAsia="Times New Roman" w:hAnsi="Times New Roman"/>
          <w:sz w:val="22"/>
          <w:szCs w:val="22"/>
          <w:color w:val="auto"/>
        </w:rPr>
        <w:t>EXHIBIT F</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91" w:name="page592"/>
    <w:bookmarkEnd w:id="591"/>
    <w:p>
      <w:pPr>
        <w:jc w:val="right"/>
        <w:spacing w:after="0"/>
        <w:rPr>
          <w:sz w:val="20"/>
          <w:szCs w:val="20"/>
          <w:color w:val="auto"/>
        </w:rPr>
      </w:pPr>
      <w:r>
        <w:rPr>
          <w:rFonts w:ascii="Times New Roman" w:cs="Times New Roman" w:eastAsia="Times New Roman" w:hAnsi="Times New Roman"/>
          <w:sz w:val="22"/>
          <w:szCs w:val="22"/>
          <w:color w:val="auto"/>
        </w:rPr>
        <w:t>EXHIBIT 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RELEASE OF DOCUMENTS</w:t>
      </w:r>
    </w:p>
    <w:p>
      <w:pPr>
        <w:spacing w:after="0" w:line="3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36969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0">
                      <a:extLst>
                        <a:ext uri="{28A0092B-C50C-407E-A947-70E740481C1C}"/>
                      </a:extLst>
                    </a:blip>
                    <a:srcRect/>
                    <a:stretch>
                      <a:fillRect/>
                    </a:stretch>
                  </pic:blipFill>
                  <pic:spPr bwMode="auto">
                    <a:xfrm>
                      <a:off x="0" y="0"/>
                      <a:ext cx="1369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36969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1">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-13970</wp:posOffset>
            </wp:positionV>
            <wp:extent cx="101981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85" w:lineRule="exact"/>
        <w:rPr>
          <w:sz w:val="20"/>
          <w:szCs w:val="20"/>
          <w:color w:val="auto"/>
        </w:rPr>
      </w:pPr>
    </w:p>
    <w:p>
      <w:pPr>
        <w:ind w:right="5260" w:firstLine="802"/>
        <w:spacing w:after="0" w:line="434"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V Warehouse Agreement</w:t>
      </w:r>
      <w:r>
        <w:rPr>
          <w:rFonts w:ascii="Times New Roman" w:cs="Times New Roman" w:eastAsia="Times New Roman" w:hAnsi="Times New Roman"/>
          <w:sz w:val="22"/>
          <w:szCs w:val="22"/>
          <w:color w:val="auto"/>
        </w:rPr>
        <w:t xml:space="preserve"> Ladies and Gentlemen:</w:t>
      </w:r>
    </w:p>
    <w:p>
      <w:pPr>
        <w:spacing w:after="0" w:line="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Reference is made to the Warehouse Agreement, dated as of July 11, 2019 (as amended, restated, supplemented or otherwise modified from time to time, the “Warehouse Agreement”), among UACC Auto Financing Trust V, as borrower, United Auto Credit Corporation, as servicer (the “Servicer”) and as custodian, [***], as backup servicer and account bank, the lenders from time to time parties thereto, and Capital One, N.A., as administrative agent (the “Administrative Agent”).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undersigned, in its capacity as Servicer under the Warehouse Agreement, hereby requests (check one):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______ that the Custodian release to the Servicer the Receivable Files or other documents set forth on Schedule A to this</w:t>
      </w:r>
    </w:p>
    <w:p>
      <w:pPr>
        <w:spacing w:after="0" w:line="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Release of Documents. All documents so released to the Servicer shall be held by the Servicer in trust for the benefit of the Administrative Agent in accordance with the terms of the Warehouse Agreement and the Servicer agrees to return to the Custodian the Receivable File or other such documents when the Servicer’s need therefor no longer exists.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 that the Custodian permanently release to the Servicer the Receivable Files or other documents set forth on</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Schedule B to this Release of Documents and the Servicer certifies with respect to such Receivable Files that the related Receivable has been liquidated, prepaid or repaid and that all amounts received in connection with such liquidated Receivable have been credited to the Collection Account as provided in the Warehouse Agreement.</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92" w:name="page593"/>
    <w:bookmarkEnd w:id="592"/>
    <w:p>
      <w:pPr>
        <w:ind w:left="760"/>
        <w:spacing w:after="0"/>
        <w:rPr>
          <w:sz w:val="20"/>
          <w:szCs w:val="20"/>
          <w:color w:val="auto"/>
        </w:rPr>
      </w:pPr>
      <w:r>
        <w:rPr>
          <w:rFonts w:ascii="Times New Roman" w:cs="Times New Roman" w:eastAsia="Times New Roman" w:hAnsi="Times New Roman"/>
          <w:sz w:val="20"/>
          <w:szCs w:val="20"/>
          <w:color w:val="auto"/>
        </w:rPr>
        <w:t>The undersigned has executed this Release of Documents as of the date first written above.</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jc w:val="center"/>
        <w:ind w:right="-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64401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4">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28130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5">
                      <a:extLst>
                        <a:ext uri="{28A0092B-C50C-407E-A947-70E740481C1C}"/>
                      </a:extLst>
                    </a:blip>
                    <a:srcRect/>
                    <a:stretch>
                      <a:fillRect/>
                    </a:stretch>
                  </pic:blipFill>
                  <pic:spPr bwMode="auto">
                    <a:xfrm>
                      <a:off x="0" y="0"/>
                      <a:ext cx="281305"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2"/>
          <w:szCs w:val="22"/>
          <w:color w:val="auto"/>
        </w:rPr>
        <w:t>Name:</w:t>
      </w:r>
    </w:p>
    <w:p>
      <w:pPr>
        <w:ind w:left="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593" w:name="page594"/>
    <w:bookmarkEnd w:id="593"/>
    <w:p>
      <w:pPr>
        <w:jc w:val="right"/>
        <w:spacing w:after="0"/>
        <w:rPr>
          <w:sz w:val="20"/>
          <w:szCs w:val="20"/>
          <w:color w:val="auto"/>
        </w:rPr>
      </w:pPr>
      <w:r>
        <w:rPr>
          <w:rFonts w:ascii="Times New Roman" w:cs="Times New Roman" w:eastAsia="Times New Roman" w:hAnsi="Times New Roman"/>
          <w:sz w:val="22"/>
          <w:szCs w:val="22"/>
          <w:color w:val="auto"/>
        </w:rPr>
        <w:t>EXHIBIT 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RECEIVABLE RECEIPT</w:t>
      </w:r>
    </w:p>
    <w:p>
      <w:pPr>
        <w:spacing w:after="0" w:line="3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One, N.A.</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0" w:lineRule="auto"/>
        <w:rPr>
          <w:sz w:val="20"/>
          <w:szCs w:val="20"/>
          <w:color w:val="auto"/>
        </w:rPr>
      </w:pPr>
      <w:r>
        <w:rPr>
          <w:rFonts w:ascii="Times New Roman" w:cs="Times New Roman" w:eastAsia="Times New Roman" w:hAnsi="Times New Roman"/>
          <w:sz w:val="22"/>
          <w:szCs w:val="22"/>
          <w:color w:val="auto"/>
        </w:rPr>
        <w:t>Portfolio Management</w:t>
      </w:r>
    </w:p>
    <w:p>
      <w:pPr>
        <w:spacing w:after="0"/>
        <w:rPr>
          <w:sz w:val="20"/>
          <w:szCs w:val="20"/>
          <w:color w:val="auto"/>
        </w:rPr>
      </w:pPr>
      <w:r>
        <w:rPr>
          <w:rFonts w:ascii="Times New Roman" w:cs="Times New Roman" w:eastAsia="Times New Roman" w:hAnsi="Times New Roman"/>
          <w:sz w:val="22"/>
          <w:szCs w:val="22"/>
          <w:color w:val="auto"/>
        </w:rPr>
        <w:t>Financial Institutions Group</w:t>
      </w:r>
    </w:p>
    <w:p>
      <w:pPr>
        <w:spacing w:after="0" w:line="183" w:lineRule="auto"/>
        <w:rPr>
          <w:sz w:val="20"/>
          <w:szCs w:val="20"/>
          <w:color w:val="auto"/>
        </w:rPr>
      </w:pPr>
      <w:r>
        <w:rPr>
          <w:rFonts w:ascii="Times New Roman" w:cs="Times New Roman" w:eastAsia="Times New Roman" w:hAnsi="Times New Roman"/>
          <w:sz w:val="22"/>
          <w:szCs w:val="22"/>
          <w:color w:val="auto"/>
        </w:rPr>
        <w:t>2 Bethesda Metro Center,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231" w:lineRule="auto"/>
        <w:rPr>
          <w:sz w:val="20"/>
          <w:szCs w:val="20"/>
          <w:color w:val="auto"/>
        </w:rPr>
      </w:pPr>
      <w:r>
        <w:rPr>
          <w:rFonts w:ascii="Times New Roman" w:cs="Times New Roman" w:eastAsia="Times New Roman" w:hAnsi="Times New Roman"/>
          <w:sz w:val="22"/>
          <w:szCs w:val="22"/>
          <w:color w:val="auto"/>
        </w:rPr>
        <w:t>Bethesda Maryland 20814</w:t>
      </w:r>
    </w:p>
    <w:p>
      <w:pPr>
        <w:spacing w:after="0"/>
        <w:rPr>
          <w:sz w:val="20"/>
          <w:szCs w:val="20"/>
          <w:color w:val="auto"/>
        </w:rPr>
      </w:pPr>
      <w:r>
        <w:rPr>
          <w:rFonts w:ascii="Times New Roman" w:cs="Times New Roman" w:eastAsia="Times New Roman" w:hAnsi="Times New Roman"/>
          <w:sz w:val="22"/>
          <w:szCs w:val="22"/>
          <w:color w:val="auto"/>
        </w:rPr>
        <w:t>Ref: UACC Auto Financing Trust V</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[___________]</w:t>
      </w:r>
    </w:p>
    <w:p>
      <w:pPr>
        <w:spacing w:after="0" w:line="205" w:lineRule="exact"/>
        <w:rPr>
          <w:sz w:val="20"/>
          <w:szCs w:val="20"/>
          <w:color w:val="auto"/>
        </w:rPr>
      </w:pPr>
    </w:p>
    <w:p>
      <w:pPr>
        <w:ind w:right="5260" w:firstLine="802"/>
        <w:spacing w:after="0" w:line="434"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V Warehouse Agreement</w:t>
      </w:r>
      <w:r>
        <w:rPr>
          <w:rFonts w:ascii="Times New Roman" w:cs="Times New Roman" w:eastAsia="Times New Roman" w:hAnsi="Times New Roman"/>
          <w:sz w:val="22"/>
          <w:szCs w:val="22"/>
          <w:color w:val="auto"/>
        </w:rPr>
        <w:t xml:space="preserve"> Ladies and Gentlemen:</w:t>
      </w:r>
    </w:p>
    <w:p>
      <w:pPr>
        <w:spacing w:after="0" w:line="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Warehouse Agreement, dated as of July 11, 2019 (as amended, restated, supplemented or otherwise modified from time to time, the “Warehouse Agreement”), among UACC Auto Financing Trust V, as borrower, United Auto Credit Corporation (“UACC”), as servicer and as custodian (in such capacity, the “Custodian”), [***], as backup servicer and account bank, the lenders from time to time parties thereto, and Capital One, N.A., as administrative agent (the “Administrative Agent”).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undersigned, on behalf of UACC, in its capacity as Custodian under the Warehouse Agreement, hereby acknowledges (i) delivery of the executed original counterpart of the Contracts set forth on Schedule 1 hereto, evidencing the related Receivables and (ii) stating that the executed original counterparts of the Contracts set forth on Schedule 2 hereto have not been delivered to the Custodian or are mutilated or damaged in any material respect.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94" w:name="page595"/>
    <w:bookmarkEnd w:id="594"/>
    <w:p>
      <w:pPr>
        <w:jc w:val="right"/>
        <w:spacing w:after="0"/>
        <w:rPr>
          <w:sz w:val="20"/>
          <w:szCs w:val="20"/>
          <w:color w:val="auto"/>
        </w:rPr>
      </w:pPr>
      <w:r>
        <w:rPr>
          <w:rFonts w:ascii="Times New Roman" w:cs="Times New Roman" w:eastAsia="Times New Roman" w:hAnsi="Times New Roman"/>
          <w:sz w:val="22"/>
          <w:szCs w:val="22"/>
          <w:color w:val="auto"/>
        </w:rPr>
        <w:t>Schedule 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6" w:right="339" w:bottom="1440" w:gutter="0" w:footer="0" w:header="0"/>
        </w:sectPr>
      </w:pPr>
    </w:p>
    <w:bookmarkStart w:id="595" w:name="page596"/>
    <w:bookmarkEnd w:id="595"/>
    <w:p>
      <w:pPr>
        <w:jc w:val="right"/>
        <w:spacing w:after="0"/>
        <w:rPr>
          <w:sz w:val="20"/>
          <w:szCs w:val="20"/>
          <w:color w:val="auto"/>
        </w:rPr>
      </w:pPr>
      <w:r>
        <w:rPr>
          <w:rFonts w:ascii="Times New Roman" w:cs="Times New Roman" w:eastAsia="Times New Roman" w:hAnsi="Times New Roman"/>
          <w:sz w:val="22"/>
          <w:szCs w:val="22"/>
          <w:color w:val="auto"/>
        </w:rPr>
        <w:t>Schedule 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596" w:name="page597"/>
    <w:bookmarkEnd w:id="596"/>
    <w:p>
      <w:pPr>
        <w:jc w:val="right"/>
        <w:spacing w:after="0"/>
        <w:rPr>
          <w:sz w:val="20"/>
          <w:szCs w:val="20"/>
          <w:color w:val="auto"/>
        </w:rPr>
      </w:pPr>
      <w:r>
        <w:rPr>
          <w:rFonts w:ascii="Times New Roman" w:cs="Times New Roman" w:eastAsia="Times New Roman" w:hAnsi="Times New Roman"/>
          <w:sz w:val="22"/>
          <w:szCs w:val="22"/>
          <w:color w:val="auto"/>
        </w:rPr>
        <w:t>EXHIBIT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SECURITIZATION RELEASE</w:t>
      </w:r>
    </w:p>
    <w:p>
      <w:pPr>
        <w:spacing w:after="0" w:line="28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hereby made to the Warehouse Agreement,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Capital One, N.A., as administrative agent. Capitalized terms not otherwise defined herein have the meanings ascribed thereto in the Warehouse Agreement.</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Borrower hereby represents and warrants that each condition in the Warehouse Agreement and each other Basic Document, to the consummation of the Securitization to which this Securitization Release relates, has been satisfied, including but not limited to delivery of (i) the executed Securitization Date Certificate, in substantially the form attached hereto as Annex 1 and (i) the executed notice, in substantially the form attached hereto as Annex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deposit in the Collection Account of $___________ in accordance with Section 2.15(a)(iv) in immediately available funds,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Administrative Agent hereby releases all of its right, title and interest, including its Lien, in and to the following:</w:t>
      </w:r>
    </w:p>
    <w:p>
      <w:pPr>
        <w:spacing w:after="0" w:line="181" w:lineRule="exact"/>
        <w:rPr>
          <w:sz w:val="20"/>
          <w:szCs w:val="20"/>
          <w:color w:val="auto"/>
        </w:rPr>
      </w:pPr>
    </w:p>
    <w:p>
      <w:pPr>
        <w:jc w:val="both"/>
        <w:ind w:left="760" w:firstLine="745"/>
        <w:spacing w:after="0" w:line="235" w:lineRule="auto"/>
        <w:tabs>
          <w:tab w:leader="none" w:pos="1940"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to be transferred by the Borrower in the related Securitization and described in Schedule I hereto (the “Securitized Assets” and such Schedule, the “Schedule of Securitized Assets”), together with the related Contracts (including the agreement to service the Receivables), whether now existing or hereafter acquired, and any accounts or obligations evidenced thereby, any guarantee thereof, all Collections related thereto, and all monies due (including any payments made under any guarantee or similar credit enhancement with respect to any such Securitized Assets) or to become due or received by any Person in payment of any of the foregoing on or after the related Securitization Date;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Borrower’s interest in the Financed Vehicles relating to the Securitized Assets (including repossessed vehicles) or in any document or writing evidencing any security interest in any such Financed Vehicle and each security interest in each such Financed Vehicle, whether now existing or hereafter acquired, including all proceeds from any sale or other disposition of such Financed Vehicles;</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products, accessions and proceeds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22"/>
          <w:szCs w:val="22"/>
          <w:color w:val="auto"/>
        </w:rPr>
        <w:t>Executed as of __________, 201_.</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V, as Borrower</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1">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jc w:val="center"/>
        <w:ind w:right="3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UNITED AUTO CREDIT CORPORATION,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2">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jc w:val="center"/>
        <w:ind w:right="3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CAPITAL ONE,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3">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jc w:val="center"/>
        <w:ind w:right="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407" w:right="999" w:bottom="1440" w:gutter="0" w:footer="0" w:header="0"/>
        </w:sectPr>
      </w:pPr>
    </w:p>
    <w:bookmarkStart w:id="598" w:name="page599"/>
    <w:bookmarkEnd w:id="598"/>
    <w:p>
      <w:pPr>
        <w:ind w:left="10320"/>
        <w:spacing w:after="0"/>
        <w:rPr>
          <w:sz w:val="20"/>
          <w:szCs w:val="20"/>
          <w:color w:val="auto"/>
        </w:rPr>
      </w:pPr>
      <w:r>
        <w:rPr>
          <w:rFonts w:ascii="Times New Roman" w:cs="Times New Roman" w:eastAsia="Times New Roman" w:hAnsi="Times New Roman"/>
          <w:sz w:val="20"/>
          <w:szCs w:val="20"/>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20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SECURITIZATION DATE CERTIFICATE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2.15(a)</w:t>
      </w:r>
    </w:p>
    <w:p>
      <w:pPr>
        <w:jc w:val="center"/>
        <w:spacing w:after="0"/>
        <w:rPr>
          <w:sz w:val="20"/>
          <w:szCs w:val="20"/>
          <w:color w:val="auto"/>
        </w:rPr>
      </w:pPr>
      <w:r>
        <w:rPr>
          <w:rFonts w:ascii="Times New Roman" w:cs="Times New Roman" w:eastAsia="Times New Roman" w:hAnsi="Times New Roman"/>
          <w:sz w:val="22"/>
          <w:szCs w:val="22"/>
          <w:color w:val="auto"/>
        </w:rPr>
        <w:t>OF THE WAREHOUSE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UACC AUTO FINANCING TRUST V, a Delaware statutory trust, as borrower (the “Borrower”), delivers this certificate pursuant to Section 2.15(a) of the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Capital One, N.A., as administrative agent, and hereby certifies, as of the date hereof, the following:</w:t>
      </w:r>
    </w:p>
    <w:p>
      <w:pPr>
        <w:spacing w:after="0" w:line="180" w:lineRule="exact"/>
        <w:rPr>
          <w:sz w:val="20"/>
          <w:szCs w:val="20"/>
          <w:color w:val="auto"/>
        </w:rPr>
      </w:pPr>
    </w:p>
    <w:p>
      <w:pPr>
        <w:jc w:val="both"/>
        <w:ind w:left="760" w:right="20" w:firstLine="745"/>
        <w:spacing w:after="0" w:line="244" w:lineRule="auto"/>
        <w:tabs>
          <w:tab w:leader="none" w:pos="1940" w:val="left"/>
        </w:tabs>
        <w:numPr>
          <w:ilvl w:val="0"/>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sufficient funds on the related Securitization Date to effect the Securitization in accordance with the Warehouse Agreement (taking into account, to the extent necessary, the proceeds of sales of the Collateral in the Securitization);</w:t>
      </w:r>
    </w:p>
    <w:p>
      <w:pPr>
        <w:spacing w:after="0" w:line="172" w:lineRule="exact"/>
        <w:rPr>
          <w:rFonts w:ascii="Times New Roman" w:cs="Times New Roman" w:eastAsia="Times New Roman" w:hAnsi="Times New Roman"/>
          <w:sz w:val="22"/>
          <w:szCs w:val="22"/>
          <w:color w:val="auto"/>
        </w:rPr>
      </w:pPr>
    </w:p>
    <w:p>
      <w:pPr>
        <w:jc w:val="both"/>
        <w:ind w:left="760" w:firstLine="745"/>
        <w:spacing w:after="0" w:line="266" w:lineRule="auto"/>
        <w:tabs>
          <w:tab w:leader="none" w:pos="1940" w:val="left"/>
        </w:tabs>
        <w:numPr>
          <w:ilvl w:val="0"/>
          <w:numId w:val="5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of the Securitization, the release by the Administrative Agent of the related Receivables on the Securitization Date and the transfer by the Borrower of the related Receivables on the Securitization Date, (A) the representations and warranties contained in Section 5.01 and 5.02 of the Warehouse Agreement continue to be true and correct in all material respects, except to the extent relating to an earlier date and (B) no Unmatured Termination Event, Termination Event, Servicer Termination Event or Unmatured Servicer Termination Event has resulted; and</w:t>
      </w:r>
    </w:p>
    <w:p>
      <w:pPr>
        <w:spacing w:after="0" w:line="154" w:lineRule="exact"/>
        <w:rPr>
          <w:rFonts w:ascii="Times New Roman" w:cs="Times New Roman" w:eastAsia="Times New Roman" w:hAnsi="Times New Roman"/>
          <w:sz w:val="20"/>
          <w:szCs w:val="20"/>
          <w:color w:val="auto"/>
        </w:rPr>
      </w:pPr>
    </w:p>
    <w:p>
      <w:pPr>
        <w:ind w:left="760" w:right="20" w:firstLine="745"/>
        <w:spacing w:after="0" w:line="258" w:lineRule="auto"/>
        <w:tabs>
          <w:tab w:leader="none" w:pos="1940" w:val="left"/>
        </w:tabs>
        <w:numPr>
          <w:ilvl w:val="0"/>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adverse selection procedure shall have been used by the Borrower with respect to the Receivables that will remain subject to this Agreement after giving effect to the Securitization.</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meanings ascribed thereto in the Warehouse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20"/>
          <w:szCs w:val="20"/>
          <w:color w:val="auto"/>
        </w:rPr>
        <w:t>IN WITNESS WHEREOF, the Borrower has caused this certificate to be executed on its behalf this ___ day of _________, 201_.</w:t>
      </w: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UACC AUTO FINANCING TRUST V, as Borrower</w:t>
      </w: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6">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6" w:right="379" w:bottom="1440" w:gutter="0" w:footer="0" w:header="0"/>
        </w:sectPr>
      </w:pPr>
    </w:p>
    <w:bookmarkStart w:id="600" w:name="page601"/>
    <w:bookmarkEnd w:id="600"/>
    <w:p>
      <w:pPr>
        <w:jc w:val="right"/>
        <w:spacing w:after="0"/>
        <w:rPr>
          <w:sz w:val="20"/>
          <w:szCs w:val="20"/>
          <w:color w:val="auto"/>
        </w:rPr>
      </w:pPr>
      <w:r>
        <w:rPr>
          <w:rFonts w:ascii="Times New Roman" w:cs="Times New Roman" w:eastAsia="Times New Roman" w:hAnsi="Times New Roman"/>
          <w:sz w:val="22"/>
          <w:szCs w:val="22"/>
          <w:color w:val="auto"/>
        </w:rPr>
        <w:t>ANNEX 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NOTICE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200" w:lineRule="exact"/>
        <w:rPr>
          <w:sz w:val="20"/>
          <w:szCs w:val="20"/>
          <w:color w:val="auto"/>
        </w:rPr>
      </w:pPr>
    </w:p>
    <w:p>
      <w:pPr>
        <w:spacing w:after="0" w:line="3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 20___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One, 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0" w:lineRule="auto"/>
        <w:rPr>
          <w:sz w:val="20"/>
          <w:szCs w:val="20"/>
          <w:color w:val="auto"/>
        </w:rPr>
      </w:pPr>
      <w:r>
        <w:rPr>
          <w:rFonts w:ascii="Times New Roman" w:cs="Times New Roman" w:eastAsia="Times New Roman" w:hAnsi="Times New Roman"/>
          <w:sz w:val="22"/>
          <w:szCs w:val="22"/>
          <w:color w:val="auto"/>
        </w:rPr>
        <w:t>Portfolio Management</w:t>
      </w:r>
    </w:p>
    <w:p>
      <w:pPr>
        <w:spacing w:after="0" w:line="230" w:lineRule="auto"/>
        <w:rPr>
          <w:sz w:val="20"/>
          <w:szCs w:val="20"/>
          <w:color w:val="auto"/>
        </w:rPr>
      </w:pPr>
      <w:r>
        <w:rPr>
          <w:rFonts w:ascii="Times New Roman" w:cs="Times New Roman" w:eastAsia="Times New Roman" w:hAnsi="Times New Roman"/>
          <w:sz w:val="22"/>
          <w:szCs w:val="22"/>
          <w:color w:val="auto"/>
        </w:rPr>
        <w:t>Financial Institutions Group</w:t>
      </w:r>
    </w:p>
    <w:p>
      <w:pPr>
        <w:spacing w:after="0" w:line="230" w:lineRule="auto"/>
        <w:rPr>
          <w:sz w:val="20"/>
          <w:szCs w:val="20"/>
          <w:color w:val="auto"/>
        </w:rPr>
      </w:pPr>
      <w:r>
        <w:rPr>
          <w:rFonts w:ascii="Times New Roman" w:cs="Times New Roman" w:eastAsia="Times New Roman" w:hAnsi="Times New Roman"/>
          <w:sz w:val="22"/>
          <w:szCs w:val="22"/>
          <w:color w:val="auto"/>
        </w:rPr>
        <w:t>2 Bethesda Metro Center, 7th Floor</w:t>
      </w:r>
    </w:p>
    <w:p>
      <w:pPr>
        <w:spacing w:after="0" w:line="231" w:lineRule="auto"/>
        <w:rPr>
          <w:sz w:val="20"/>
          <w:szCs w:val="20"/>
          <w:color w:val="auto"/>
        </w:rPr>
      </w:pPr>
      <w:r>
        <w:rPr>
          <w:rFonts w:ascii="Times New Roman" w:cs="Times New Roman" w:eastAsia="Times New Roman" w:hAnsi="Times New Roman"/>
          <w:sz w:val="22"/>
          <w:szCs w:val="22"/>
          <w:color w:val="auto"/>
        </w:rPr>
        <w:t>Bethesda Maryland 20814</w:t>
      </w:r>
    </w:p>
    <w:p>
      <w:pPr>
        <w:spacing w:after="0"/>
        <w:rPr>
          <w:sz w:val="20"/>
          <w:szCs w:val="20"/>
          <w:color w:val="auto"/>
        </w:rPr>
      </w:pPr>
      <w:r>
        <w:rPr>
          <w:rFonts w:ascii="Times New Roman" w:cs="Times New Roman" w:eastAsia="Times New Roman" w:hAnsi="Times New Roman"/>
          <w:sz w:val="22"/>
          <w:szCs w:val="22"/>
          <w:color w:val="auto"/>
        </w:rPr>
        <w:t>Ref: UACC Auto Financing Trust V</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[_____________]</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440" w:firstLine="802"/>
        <w:spacing w:after="0" w:line="434" w:lineRule="auto"/>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UACC AUTO FINANCING TRUST V– Warehouse Agreement</w:t>
      </w:r>
      <w:r>
        <w:rPr>
          <w:rFonts w:ascii="Times New Roman" w:cs="Times New Roman" w:eastAsia="Times New Roman" w:hAnsi="Times New Roman"/>
          <w:sz w:val="22"/>
          <w:szCs w:val="22"/>
          <w:color w:val="auto"/>
        </w:rPr>
        <w:t xml:space="preserve"> Ladies and Gentlemen:</w:t>
      </w:r>
    </w:p>
    <w:p>
      <w:pPr>
        <w:spacing w:after="0" w:line="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Reference is made to the Warehouse Agreement, dated as of July 11, 2019 (as amended, restated, supplemented or otherwise modified from time to time, the “Warehouse Agreement”), among the Borrower, United Auto Credit Corporation, as servicer and as custodian, [***], as backup servicer and account bank, the Lenders from time to time party thereto, and Capital One, N.A., as administrative agent.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Pursuant to Section 2.15(a)(i) of the Warehouse Agreement, the Borrower gives notice of its intent to effect a Securitization on or about __________, 20__ (which date is no fewer than 10 Business Days after the date of delivery of this notice to the Administrative Agent).</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meanings ascribed thereto in the Warehouse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01" w:name="page602"/>
    <w:bookmarkEnd w:id="601"/>
    <w:p>
      <w:pPr>
        <w:ind w:left="33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UACC AUTO FINANCING TRUST V</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-13970</wp:posOffset>
            </wp:positionV>
            <wp:extent cx="7620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9">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22"/>
          <w:szCs w:val="22"/>
          <w:color w:val="auto"/>
        </w:rPr>
        <w:t>Name:</w:t>
      </w:r>
    </w:p>
    <w:p>
      <w:pPr>
        <w:ind w:left="37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440" w:top="1407" w:right="999" w:bottom="1440" w:gutter="0" w:footer="0" w:header="0"/>
        </w:sectPr>
      </w:pPr>
    </w:p>
    <w:bookmarkStart w:id="602" w:name="page603"/>
    <w:bookmarkEnd w:id="602"/>
    <w:p>
      <w:pPr>
        <w:jc w:val="center"/>
        <w:spacing w:after="0"/>
        <w:rPr>
          <w:sz w:val="20"/>
          <w:szCs w:val="20"/>
          <w:color w:val="auto"/>
        </w:rPr>
      </w:pPr>
      <w:r>
        <w:rPr>
          <w:rFonts w:ascii="Times New Roman" w:cs="Times New Roman" w:eastAsia="Times New Roman" w:hAnsi="Times New Roman"/>
          <w:sz w:val="22"/>
          <w:szCs w:val="22"/>
          <w:color w:val="auto"/>
        </w:rPr>
        <w:t>Schedule I</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Securitization Release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of Securitized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2067560</wp:posOffset>
            </wp:positionV>
            <wp:extent cx="7157720" cy="4254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6" w:right="1440" w:bottom="1440" w:gutter="0" w:footer="0" w:header="0"/>
        </w:sectPr>
      </w:pPr>
    </w:p>
    <w:bookmarkStart w:id="603" w:name="page604"/>
    <w:bookmarkEnd w:id="603"/>
    <w:p>
      <w:pPr>
        <w:ind w:left="9000"/>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left="4300"/>
        <w:spacing w:after="0" w:line="258" w:lineRule="auto"/>
        <w:rPr>
          <w:sz w:val="20"/>
          <w:szCs w:val="20"/>
          <w:color w:val="auto"/>
        </w:rPr>
      </w:pPr>
      <w:r>
        <w:rPr>
          <w:rFonts w:ascii="Times New Roman" w:cs="Times New Roman" w:eastAsia="Times New Roman" w:hAnsi="Times New Roman"/>
          <w:sz w:val="22"/>
          <w:szCs w:val="22"/>
          <w:u w:val="single" w:color="auto"/>
          <w:color w:val="auto"/>
        </w:rPr>
        <w:t>Conformed Through Second Amendment to Warehouse Agreement dated as of October 20,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Borrower,</w:t>
      </w:r>
    </w:p>
    <w:p>
      <w:pPr>
        <w:spacing w:after="0" w:line="1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Servicer and Custodian,</w:t>
      </w:r>
    </w:p>
    <w:p>
      <w:pPr>
        <w:spacing w:after="0" w:line="1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Paying Agent,</w:t>
      </w:r>
    </w:p>
    <w:p>
      <w:pPr>
        <w:spacing w:after="0" w:line="1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the LENDERS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from time to time parties hereto,</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406400</wp:posOffset>
            </wp:positionV>
            <wp:extent cx="242316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Dated as of November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156210</wp:posOffset>
            </wp:positionV>
            <wp:extent cx="242316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3">
                      <a:extLst>
                        <a:ext uri="{28A0092B-C50C-407E-A947-70E740481C1C}"/>
                      </a:extLst>
                    </a:blip>
                    <a:srcRect/>
                    <a:stretch>
                      <a:fillRect/>
                    </a:stretch>
                  </pic:blipFill>
                  <pic:spPr bwMode="auto">
                    <a:xfrm>
                      <a:off x="0" y="0"/>
                      <a:ext cx="242316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1607820</wp:posOffset>
            </wp:positionV>
            <wp:extent cx="7157720" cy="425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604" w:name="page605"/>
    <w:bookmarkEnd w:id="604"/>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80" w:type="dxa"/>
            <w:vAlign w:val="bottom"/>
          </w:tcPr>
          <w:p>
            <w:pPr>
              <w:spacing w:after="0"/>
              <w:rPr>
                <w:sz w:val="22"/>
                <w:szCs w:val="22"/>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720"/>
        </w:trPr>
        <w:tc>
          <w:tcPr>
            <w:tcW w:w="9180" w:type="dxa"/>
            <w:vAlign w:val="bottom"/>
          </w:tcPr>
          <w:p>
            <w:pPr>
              <w:jc w:val="center"/>
              <w:ind w:left="1912"/>
              <w:spacing w:after="0"/>
              <w:rPr>
                <w:sz w:val="20"/>
                <w:szCs w:val="20"/>
                <w:color w:val="auto"/>
              </w:rPr>
            </w:pPr>
            <w:r>
              <w:rPr>
                <w:rFonts w:ascii="Times New Roman" w:cs="Times New Roman" w:eastAsia="Times New Roman" w:hAnsi="Times New Roman"/>
                <w:sz w:val="22"/>
                <w:szCs w:val="22"/>
                <w:color w:val="auto"/>
                <w:w w:val="97"/>
              </w:rPr>
              <w:t>ARTICLE ONE</w:t>
            </w:r>
          </w:p>
        </w:tc>
        <w:tc>
          <w:tcPr>
            <w:tcW w:w="16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85"/>
        </w:trPr>
        <w:tc>
          <w:tcPr>
            <w:tcW w:w="9180" w:type="dxa"/>
            <w:vAlign w:val="bottom"/>
          </w:tcPr>
          <w:p>
            <w:pPr>
              <w:jc w:val="center"/>
              <w:ind w:left="1912"/>
              <w:spacing w:after="0"/>
              <w:rPr>
                <w:sz w:val="20"/>
                <w:szCs w:val="20"/>
                <w:color w:val="auto"/>
              </w:rPr>
            </w:pPr>
            <w:r>
              <w:rPr>
                <w:rFonts w:ascii="Times New Roman" w:cs="Times New Roman" w:eastAsia="Times New Roman" w:hAnsi="Times New Roman"/>
                <w:sz w:val="22"/>
                <w:szCs w:val="22"/>
                <w:color w:val="auto"/>
                <w:w w:val="97"/>
              </w:rPr>
              <w:t>DEFINITIONS; CONSTRUCTION</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1.01. Definitions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1.02. Accounting Terms and Determinations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1.03. Computation of Time Periods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1.04. Interpretation</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35</w:t>
            </w:r>
          </w:p>
        </w:tc>
      </w:tr>
      <w:tr>
        <w:trPr>
          <w:trHeight w:val="282"/>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1.05. Rates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35</w:t>
            </w:r>
          </w:p>
        </w:tc>
      </w:tr>
      <w:tr>
        <w:trPr>
          <w:trHeight w:val="485"/>
        </w:trPr>
        <w:tc>
          <w:tcPr>
            <w:tcW w:w="9180" w:type="dxa"/>
            <w:vAlign w:val="bottom"/>
          </w:tcPr>
          <w:p>
            <w:pPr>
              <w:jc w:val="center"/>
              <w:ind w:left="1912"/>
              <w:spacing w:after="0"/>
              <w:rPr>
                <w:sz w:val="20"/>
                <w:szCs w:val="20"/>
                <w:color w:val="auto"/>
              </w:rPr>
            </w:pPr>
            <w:r>
              <w:rPr>
                <w:rFonts w:ascii="Times New Roman" w:cs="Times New Roman" w:eastAsia="Times New Roman" w:hAnsi="Times New Roman"/>
                <w:sz w:val="22"/>
                <w:szCs w:val="22"/>
                <w:color w:val="auto"/>
                <w:w w:val="96"/>
              </w:rPr>
              <w:t>ARTICLE TWO</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180" w:type="dxa"/>
            <w:vAlign w:val="bottom"/>
          </w:tcPr>
          <w:p>
            <w:pPr>
              <w:jc w:val="center"/>
              <w:ind w:left="1912"/>
              <w:spacing w:after="0"/>
              <w:rPr>
                <w:sz w:val="20"/>
                <w:szCs w:val="20"/>
                <w:color w:val="auto"/>
              </w:rPr>
            </w:pPr>
            <w:r>
              <w:rPr>
                <w:rFonts w:ascii="Times New Roman" w:cs="Times New Roman" w:eastAsia="Times New Roman" w:hAnsi="Times New Roman"/>
                <w:sz w:val="22"/>
                <w:szCs w:val="22"/>
                <w:color w:val="auto"/>
                <w:w w:val="98"/>
              </w:rPr>
              <w:t>LOANS</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2.01. Loans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2.02. Funding Mechanics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2.03. Reductions of Commitments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2.04. Extensions of Commitments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2.05. The Notes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2.06. Optional Principal Repayments; Interpayments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2.07. Payments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2.08. Settlement Procedures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2.09. [Reserved]</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2.10. Payments, Computations, Etc.</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2.11. Collections and Allocations; Investment of Funds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2.12. Fees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2.13. Increased Costs; Capital Adequacy; Illegality; Rating Requests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2.14. Taxes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2.15. Securitizations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2.16. Sharing of Payments, Etc.</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2.17. The Paying Agent</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51</w:t>
            </w:r>
          </w:p>
        </w:tc>
      </w:tr>
      <w:tr>
        <w:trPr>
          <w:trHeight w:val="282"/>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2.18. Interest Rate Replacement; Illegality</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55</w:t>
            </w:r>
          </w:p>
        </w:tc>
      </w:tr>
      <w:tr>
        <w:trPr>
          <w:trHeight w:val="485"/>
        </w:trPr>
        <w:tc>
          <w:tcPr>
            <w:tcW w:w="9180" w:type="dxa"/>
            <w:vAlign w:val="bottom"/>
          </w:tcPr>
          <w:p>
            <w:pPr>
              <w:jc w:val="center"/>
              <w:ind w:left="1912"/>
              <w:spacing w:after="0"/>
              <w:rPr>
                <w:sz w:val="20"/>
                <w:szCs w:val="20"/>
                <w:color w:val="auto"/>
              </w:rPr>
            </w:pPr>
            <w:r>
              <w:rPr>
                <w:rFonts w:ascii="Times New Roman" w:cs="Times New Roman" w:eastAsia="Times New Roman" w:hAnsi="Times New Roman"/>
                <w:sz w:val="22"/>
                <w:szCs w:val="22"/>
                <w:color w:val="auto"/>
                <w:w w:val="96"/>
              </w:rPr>
              <w:t>ARTICLE THREE</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180" w:type="dxa"/>
            <w:vAlign w:val="bottom"/>
          </w:tcPr>
          <w:p>
            <w:pPr>
              <w:jc w:val="center"/>
              <w:ind w:left="1932"/>
              <w:spacing w:after="0"/>
              <w:rPr>
                <w:sz w:val="20"/>
                <w:szCs w:val="20"/>
                <w:color w:val="auto"/>
              </w:rPr>
            </w:pPr>
            <w:r>
              <w:rPr>
                <w:rFonts w:ascii="Times New Roman" w:cs="Times New Roman" w:eastAsia="Times New Roman" w:hAnsi="Times New Roman"/>
                <w:sz w:val="22"/>
                <w:szCs w:val="22"/>
                <w:color w:val="auto"/>
                <w:w w:val="98"/>
              </w:rPr>
              <w:t>SECURITY</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3.01. Collateral and Back-Up Collateral</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3.02. Release of Collateral; No Legal Title</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3.03. Protection of Security Interest; Administrative Agent, as Attorney-in-Fact</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3.04. Assignment of the Purchase Agreement</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61</w:t>
            </w:r>
          </w:p>
        </w:tc>
      </w:tr>
      <w:tr>
        <w:trPr>
          <w:trHeight w:val="282"/>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Section 3.05. Waiver of Certain Laws</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61</w:t>
            </w:r>
          </w:p>
        </w:tc>
      </w:tr>
    </w:tbl>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7157720" cy="425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605" w:name="page606"/>
    <w:bookmarkEnd w:id="605"/>
    <w:tbl>
      <w:tblPr>
        <w:tblLayout w:type="fixed"/>
        <w:tblInd w:w="0" w:type="dxa"/>
        <w:tblCellMar>
          <w:top w:w="0" w:type="dxa"/>
          <w:left w:w="0" w:type="dxa"/>
          <w:bottom w:w="0" w:type="dxa"/>
          <w:right w:w="0" w:type="dxa"/>
        </w:tblCellMar>
      </w:tblPr>
      <w:tr>
        <w:trPr>
          <w:trHeight w:val="253"/>
        </w:trPr>
        <w:tc>
          <w:tcPr>
            <w:tcW w:w="102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693"/>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ARTICLE FOUR</w:t>
            </w:r>
          </w:p>
        </w:tc>
        <w:tc>
          <w:tcPr>
            <w:tcW w:w="6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85"/>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7"/>
              </w:rPr>
              <w:t>CONDITIONS OF CLOSING AND LOANS</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4.01. Conditions to Closing and Initial Loan</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62</w:t>
            </w:r>
          </w:p>
        </w:tc>
      </w:tr>
      <w:tr>
        <w:trPr>
          <w:trHeight w:val="282"/>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4.02. Conditions Precedent to All Loans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63</w:t>
            </w:r>
          </w:p>
        </w:tc>
      </w:tr>
      <w:tr>
        <w:trPr>
          <w:trHeight w:val="485"/>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7"/>
              </w:rPr>
              <w:t>ARTICLE FIVE</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5.01. Representations and Warranties of the Borrower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5.02. Representations and Warranties of the Borrower Relating to This Agreement and the Receivables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5.03. Representations and Warranties of the Servicer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71</w:t>
            </w:r>
          </w:p>
        </w:tc>
      </w:tr>
      <w:tr>
        <w:trPr>
          <w:trHeight w:val="282"/>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5.04. Retransfer/Transfer of Certain Receivables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73</w:t>
            </w:r>
          </w:p>
        </w:tc>
      </w:tr>
      <w:tr>
        <w:trPr>
          <w:trHeight w:val="485"/>
        </w:trPr>
        <w:tc>
          <w:tcPr>
            <w:tcW w:w="10200" w:type="dxa"/>
            <w:vAlign w:val="bottom"/>
          </w:tcPr>
          <w:p>
            <w:pPr>
              <w:jc w:val="center"/>
              <w:ind w:left="912"/>
              <w:spacing w:after="0"/>
              <w:rPr>
                <w:sz w:val="20"/>
                <w:szCs w:val="20"/>
                <w:color w:val="auto"/>
              </w:rPr>
            </w:pPr>
            <w:r>
              <w:rPr>
                <w:rFonts w:ascii="Times New Roman" w:cs="Times New Roman" w:eastAsia="Times New Roman" w:hAnsi="Times New Roman"/>
                <w:sz w:val="22"/>
                <w:szCs w:val="22"/>
                <w:color w:val="auto"/>
                <w:w w:val="97"/>
              </w:rPr>
              <w:t>ARTICLE SIX</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10200" w:type="dxa"/>
            <w:vAlign w:val="bottom"/>
          </w:tcPr>
          <w:p>
            <w:pPr>
              <w:jc w:val="center"/>
              <w:ind w:left="912"/>
              <w:spacing w:after="0"/>
              <w:rPr>
                <w:sz w:val="20"/>
                <w:szCs w:val="20"/>
                <w:color w:val="auto"/>
              </w:rPr>
            </w:pPr>
            <w:r>
              <w:rPr>
                <w:rFonts w:ascii="Times New Roman" w:cs="Times New Roman" w:eastAsia="Times New Roman" w:hAnsi="Times New Roman"/>
                <w:sz w:val="22"/>
                <w:szCs w:val="22"/>
                <w:color w:val="auto"/>
                <w:w w:val="97"/>
              </w:rPr>
              <w:t>COVENANTS</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6.01. Affirmative Covenants of the Borrower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6.02. Negative Covenants of the Borrower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6.03. [Reserved]</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6.04. Affirmative Covenants of the Servicer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83</w:t>
            </w:r>
          </w:p>
        </w:tc>
      </w:tr>
      <w:tr>
        <w:trPr>
          <w:trHeight w:val="282"/>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6.05. Negative Covenants of the Servicer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87</w:t>
            </w:r>
          </w:p>
        </w:tc>
      </w:tr>
      <w:tr>
        <w:trPr>
          <w:trHeight w:val="485"/>
        </w:trPr>
        <w:tc>
          <w:tcPr>
            <w:tcW w:w="10200" w:type="dxa"/>
            <w:vAlign w:val="bottom"/>
          </w:tcPr>
          <w:p>
            <w:pPr>
              <w:jc w:val="center"/>
              <w:ind w:left="892"/>
              <w:spacing w:after="0"/>
              <w:rPr>
                <w:sz w:val="20"/>
                <w:szCs w:val="20"/>
                <w:color w:val="auto"/>
              </w:rPr>
            </w:pPr>
            <w:r>
              <w:rPr>
                <w:rFonts w:ascii="Times New Roman" w:cs="Times New Roman" w:eastAsia="Times New Roman" w:hAnsi="Times New Roman"/>
                <w:sz w:val="22"/>
                <w:szCs w:val="22"/>
                <w:color w:val="auto"/>
                <w:w w:val="96"/>
              </w:rPr>
              <w:t>ARTICLE SEVEN</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10200" w:type="dxa"/>
            <w:vAlign w:val="bottom"/>
          </w:tcPr>
          <w:p>
            <w:pPr>
              <w:jc w:val="center"/>
              <w:ind w:left="912"/>
              <w:spacing w:after="0"/>
              <w:rPr>
                <w:sz w:val="20"/>
                <w:szCs w:val="20"/>
                <w:color w:val="auto"/>
              </w:rPr>
            </w:pPr>
            <w:r>
              <w:rPr>
                <w:rFonts w:ascii="Times New Roman" w:cs="Times New Roman" w:eastAsia="Times New Roman" w:hAnsi="Times New Roman"/>
                <w:sz w:val="22"/>
                <w:szCs w:val="22"/>
                <w:color w:val="auto"/>
                <w:w w:val="96"/>
              </w:rPr>
              <w:t>ADMINISTRATION AND SERVICING OF RECEIVABLES</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7.01. Designation of Servicing</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7.02. Servicing Compensation</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7.03. Duties of the Servicer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90</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7.04. Collection of Payments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93</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7.05. Payment of Certain Expenses by Servicer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7.06. Reports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94</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7.07. Due Diligence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95</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7.08. Annual Statement as to Compliance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7.09. Annual Independent Public Accountant’s Reports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7.10. [Reserved]</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7.11. Rights After Designation of Successor Servicer; Liability</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7.12. Limitation on Liability of the Servicer and Others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7.13. The Servicer Not to Resign</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98</w:t>
            </w:r>
          </w:p>
        </w:tc>
      </w:tr>
      <w:tr>
        <w:trPr>
          <w:trHeight w:val="270"/>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7.14. Servicer Termination Events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98</w:t>
            </w:r>
          </w:p>
        </w:tc>
      </w:tr>
      <w:tr>
        <w:trPr>
          <w:trHeight w:val="282"/>
        </w:trPr>
        <w:tc>
          <w:tcPr>
            <w:tcW w:w="10200" w:type="dxa"/>
            <w:vAlign w:val="bottom"/>
          </w:tcPr>
          <w:p>
            <w:pPr>
              <w:spacing w:after="0"/>
              <w:rPr>
                <w:sz w:val="20"/>
                <w:szCs w:val="20"/>
                <w:color w:val="auto"/>
              </w:rPr>
            </w:pPr>
            <w:r>
              <w:rPr>
                <w:rFonts w:ascii="Times New Roman" w:cs="Times New Roman" w:eastAsia="Times New Roman" w:hAnsi="Times New Roman"/>
                <w:sz w:val="22"/>
                <w:szCs w:val="22"/>
                <w:color w:val="auto"/>
              </w:rPr>
              <w:t>Section 7.15. Appointment of Successor Servicer or Subservicer</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r>
    </w:tbl>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572135</wp:posOffset>
            </wp:positionV>
            <wp:extent cx="7157720" cy="425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52" w:right="339" w:bottom="1440" w:gutter="0" w:footer="0" w:header="0"/>
        </w:sectPr>
      </w:pPr>
    </w:p>
    <w:bookmarkStart w:id="606" w:name="page607"/>
    <w:bookmarkEnd w:id="606"/>
    <w:tbl>
      <w:tblPr>
        <w:tblLayout w:type="fixed"/>
        <w:tblInd w:w="0" w:type="dxa"/>
        <w:tblCellMar>
          <w:top w:w="0" w:type="dxa"/>
          <w:left w:w="0" w:type="dxa"/>
          <w:bottom w:w="0" w:type="dxa"/>
          <w:right w:w="0" w:type="dxa"/>
        </w:tblCellMar>
      </w:tblPr>
      <w:tr>
        <w:trPr>
          <w:trHeight w:val="253"/>
        </w:trPr>
        <w:tc>
          <w:tcPr>
            <w:tcW w:w="96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465"/>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7.16. Merger or Consolidation, Assumption of Obligations or Resignation of the Servicer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7.17. Responsibilities of the Borrower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7.18. Custody of Receivable Files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7.19. Duties of Custodian</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82"/>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7.20. Certain Duties for Electronic Contracts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485"/>
        </w:trPr>
        <w:tc>
          <w:tcPr>
            <w:tcW w:w="962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ARTICLE EIGHT</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62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6"/>
              </w:rPr>
              <w:t>[RESERVED]</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01"/>
        </w:trPr>
        <w:tc>
          <w:tcPr>
            <w:tcW w:w="962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auto"/>
                <w:w w:val="96"/>
              </w:rPr>
              <w:t>ARTICLE NINE</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62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TERMINATION EVENTS</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9.01. Termination Events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9.02. Actions Upon Occurrence of the Termination Date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9.03. Exercise of Remedies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9.04. Waiver of Certain Laws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82"/>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9.05. Power of Attorney</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485"/>
        </w:trPr>
        <w:tc>
          <w:tcPr>
            <w:tcW w:w="962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6"/>
              </w:rPr>
              <w:t>ARTICLE TEN</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62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6"/>
              </w:rPr>
              <w:t>INDEMNIFICATION</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10.01. Indemnities by the Borrower and Servicer</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485"/>
        </w:trPr>
        <w:tc>
          <w:tcPr>
            <w:tcW w:w="962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ARTICLE ELEVEN</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62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THE ADMINISTRATIVE AGENT</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11.01. Authorization and Action</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11.02. Delegation of Duties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11.03. Exculpatory Provisions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11.04. Reliance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121</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11.05. Non-Reliance on Administrative Agent and Other Lenders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11.06. Indemnification</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11.07. Administrative Agent in its Individual Capacity</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11.08. Successor Agents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82"/>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11.09. Acknowledgments Regarding Erroneous Payments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485"/>
        </w:trPr>
        <w:tc>
          <w:tcPr>
            <w:tcW w:w="962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auto"/>
                <w:w w:val="96"/>
              </w:rPr>
              <w:t>ARTICLE TWELVE</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62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auto"/>
                <w:w w:val="95"/>
              </w:rPr>
              <w:t>ASSIGNMENTS; PARTICIPATIONS</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9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12.01. Assignments and Participations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512"/>
        </w:trPr>
        <w:tc>
          <w:tcPr>
            <w:tcW w:w="9620" w:type="dxa"/>
            <w:vAlign w:val="bottom"/>
          </w:tcPr>
          <w:p>
            <w:pPr>
              <w:jc w:val="center"/>
              <w:ind w:left="1532"/>
              <w:spacing w:after="0"/>
              <w:rPr>
                <w:sz w:val="20"/>
                <w:szCs w:val="20"/>
                <w:color w:val="auto"/>
              </w:rPr>
            </w:pPr>
            <w:r>
              <w:rPr>
                <w:rFonts w:ascii="Times New Roman" w:cs="Times New Roman" w:eastAsia="Times New Roman" w:hAnsi="Times New Roman"/>
                <w:sz w:val="22"/>
                <w:szCs w:val="22"/>
                <w:color w:val="auto"/>
                <w:w w:val="97"/>
              </w:rPr>
              <w:t>iii</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98"/>
        </w:trPr>
        <w:tc>
          <w:tcPr>
            <w:tcW w:w="96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607" w:name="page608"/>
    <w:bookmarkEnd w:id="607"/>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720" w:type="dxa"/>
            <w:vAlign w:val="bottom"/>
            <w:gridSpan w:val="2"/>
          </w:tcPr>
          <w:p>
            <w:pPr>
              <w:jc w:val="center"/>
              <w:ind w:left="192"/>
              <w:spacing w:after="0"/>
              <w:rPr>
                <w:sz w:val="20"/>
                <w:szCs w:val="20"/>
                <w:color w:val="auto"/>
              </w:rPr>
            </w:pPr>
            <w:r>
              <w:rPr>
                <w:rFonts w:ascii="Times New Roman" w:cs="Times New Roman" w:eastAsia="Times New Roman" w:hAnsi="Times New Roman"/>
                <w:sz w:val="22"/>
                <w:szCs w:val="22"/>
                <w:color w:val="auto"/>
                <w:w w:val="98"/>
              </w:rPr>
              <w:t>Page</w:t>
            </w:r>
          </w:p>
        </w:tc>
      </w:tr>
      <w:tr>
        <w:trPr>
          <w:trHeight w:val="693"/>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7"/>
              </w:rPr>
              <w:t>ARTICLE THIRTEEN</w:t>
            </w: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85"/>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940" w:type="dxa"/>
            <w:vAlign w:val="bottom"/>
            <w:gridSpan w:val="3"/>
          </w:tcPr>
          <w:p>
            <w:pPr>
              <w:jc w:val="center"/>
              <w:ind w:right="752"/>
              <w:spacing w:after="0"/>
              <w:rPr>
                <w:sz w:val="20"/>
                <w:szCs w:val="20"/>
                <w:color w:val="auto"/>
              </w:rPr>
            </w:pPr>
            <w:r>
              <w:rPr>
                <w:rFonts w:ascii="Times New Roman" w:cs="Times New Roman" w:eastAsia="Times New Roman" w:hAnsi="Times New Roman"/>
                <w:sz w:val="22"/>
                <w:szCs w:val="22"/>
                <w:color w:val="auto"/>
                <w:w w:val="98"/>
              </w:rPr>
              <w:t>MUTUAL COVENANTS REGARDING CONFIDENTIALITY</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105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Section 13.01. Covenants of the Borrower, the Servicer, the Paying Agent and the Custodian</w:t>
            </w: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128</w:t>
            </w:r>
          </w:p>
        </w:tc>
      </w:tr>
      <w:tr>
        <w:trPr>
          <w:trHeight w:val="270"/>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Section 13.02. Covenants of the Administrative Agent and the Lenders</w:t>
            </w: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128</w:t>
            </w:r>
          </w:p>
        </w:tc>
      </w:tr>
      <w:tr>
        <w:trPr>
          <w:trHeight w:val="282"/>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Section 13.03. Non-Confidentiality of Tax Treatment and Tax Structure</w:t>
            </w:r>
          </w:p>
        </w:tc>
        <w:tc>
          <w:tcPr>
            <w:tcW w:w="3300" w:type="dxa"/>
            <w:vAlign w:val="bottom"/>
          </w:tcPr>
          <w:p>
            <w:pPr>
              <w:spacing w:after="0"/>
              <w:rPr>
                <w:sz w:val="24"/>
                <w:szCs w:val="24"/>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130</w:t>
            </w:r>
          </w:p>
        </w:tc>
      </w:tr>
      <w:tr>
        <w:trPr>
          <w:trHeight w:val="485"/>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tcPr>
          <w:p>
            <w:pPr>
              <w:jc w:val="center"/>
              <w:ind w:right="112"/>
              <w:spacing w:after="0"/>
              <w:rPr>
                <w:sz w:val="20"/>
                <w:szCs w:val="20"/>
                <w:color w:val="auto"/>
              </w:rPr>
            </w:pPr>
            <w:r>
              <w:rPr>
                <w:rFonts w:ascii="Times New Roman" w:cs="Times New Roman" w:eastAsia="Times New Roman" w:hAnsi="Times New Roman"/>
                <w:sz w:val="22"/>
                <w:szCs w:val="22"/>
                <w:color w:val="auto"/>
                <w:w w:val="96"/>
              </w:rPr>
              <w:t>ARTICLE FOURTEEN</w:t>
            </w: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85"/>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8"/>
              </w:rPr>
              <w:t>MISCELLANEOUS</w:t>
            </w: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73"/>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14.01. Amendments and Waivers</w:t>
            </w:r>
          </w:p>
        </w:tc>
        <w:tc>
          <w:tcPr>
            <w:tcW w:w="29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130</w:t>
            </w:r>
          </w:p>
        </w:tc>
      </w:tr>
      <w:tr>
        <w:trPr>
          <w:trHeight w:val="27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14.02. Notices, Etc.</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132</w:t>
            </w:r>
          </w:p>
        </w:tc>
      </w:tr>
      <w:tr>
        <w:trPr>
          <w:trHeight w:val="27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8"/>
              </w:rPr>
              <w:t>Section 14.03. No Waiver, Rights and Remedies</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132</w:t>
            </w:r>
          </w:p>
        </w:tc>
      </w:tr>
      <w:tr>
        <w:trPr>
          <w:trHeight w:val="27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14.04. Binding Effect</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132</w:t>
            </w:r>
          </w:p>
        </w:tc>
      </w:tr>
      <w:tr>
        <w:trPr>
          <w:trHeight w:val="266"/>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14.05. Term of this Agreement</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132</w:t>
            </w:r>
          </w:p>
        </w:tc>
      </w:tr>
      <w:tr>
        <w:trPr>
          <w:trHeight w:val="270"/>
        </w:trPr>
        <w:tc>
          <w:tcPr>
            <w:tcW w:w="1052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 xml:space="preserve">Section 14.06. </w:t>
            </w:r>
            <w:r>
              <w:rPr>
                <w:rFonts w:ascii="Times New Roman" w:cs="Times New Roman" w:eastAsia="Times New Roman" w:hAnsi="Times New Roman"/>
                <w:sz w:val="22"/>
                <w:szCs w:val="22"/>
                <w:b w:val="1"/>
                <w:bCs w:val="1"/>
                <w:color w:val="auto"/>
              </w:rPr>
              <w:t>GOVERNING LAW; CONSENT TO JURISDICTION; WAIVER OF OBJECTION TO VENUE</w:t>
            </w: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132</w:t>
            </w:r>
          </w:p>
        </w:tc>
      </w:tr>
      <w:tr>
        <w:trPr>
          <w:trHeight w:val="274"/>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 xml:space="preserve">Section 14.07. </w:t>
            </w:r>
            <w:r>
              <w:rPr>
                <w:rFonts w:ascii="Times New Roman" w:cs="Times New Roman" w:eastAsia="Times New Roman" w:hAnsi="Times New Roman"/>
                <w:sz w:val="22"/>
                <w:szCs w:val="22"/>
                <w:b w:val="1"/>
                <w:bCs w:val="1"/>
                <w:color w:val="auto"/>
              </w:rPr>
              <w:t>WAIVER OF JURY TRIAL</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133</w:t>
            </w:r>
          </w:p>
        </w:tc>
      </w:tr>
      <w:tr>
        <w:trPr>
          <w:trHeight w:val="27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14.08. Costs and Expenses</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133</w:t>
            </w:r>
          </w:p>
        </w:tc>
      </w:tr>
      <w:tr>
        <w:trPr>
          <w:trHeight w:val="27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14.09. No Insolvency Proceedings</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133</w:t>
            </w:r>
          </w:p>
        </w:tc>
      </w:tr>
      <w:tr>
        <w:trPr>
          <w:trHeight w:val="27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9"/>
              </w:rPr>
              <w:t>Section 14.10. Recourse Against Certain Parties</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134</w:t>
            </w:r>
          </w:p>
        </w:tc>
      </w:tr>
      <w:tr>
        <w:trPr>
          <w:trHeight w:val="270"/>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w w:val="99"/>
              </w:rPr>
              <w:t>Section 14.11. Limitations on Consequential, Indirect and Certain Other Damages</w:t>
            </w: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134</w:t>
            </w:r>
          </w:p>
        </w:tc>
      </w:tr>
      <w:tr>
        <w:trPr>
          <w:trHeight w:val="270"/>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14.12. Patriot Act Compliance</w:t>
            </w:r>
          </w:p>
        </w:tc>
        <w:tc>
          <w:tcPr>
            <w:tcW w:w="29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134</w:t>
            </w:r>
          </w:p>
        </w:tc>
      </w:tr>
      <w:tr>
        <w:trPr>
          <w:trHeight w:val="270"/>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Section 14.13. Execution in Counterparts; Severability; Integration</w:t>
            </w:r>
          </w:p>
        </w:tc>
        <w:tc>
          <w:tcPr>
            <w:tcW w:w="3300" w:type="dxa"/>
            <w:vAlign w:val="bottom"/>
          </w:tcPr>
          <w:p>
            <w:pPr>
              <w:spacing w:after="0"/>
              <w:rPr>
                <w:sz w:val="23"/>
                <w:szCs w:val="23"/>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135</w:t>
            </w:r>
          </w:p>
        </w:tc>
      </w:tr>
      <w:tr>
        <w:trPr>
          <w:trHeight w:val="282"/>
        </w:trPr>
        <w:tc>
          <w:tcPr>
            <w:tcW w:w="72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Section 14.14. Limitation of Liability of Owner Trustee</w:t>
            </w:r>
          </w:p>
        </w:tc>
        <w:tc>
          <w:tcPr>
            <w:tcW w:w="3300" w:type="dxa"/>
            <w:vAlign w:val="bottom"/>
          </w:tcPr>
          <w:p>
            <w:pPr>
              <w:spacing w:after="0"/>
              <w:rPr>
                <w:sz w:val="24"/>
                <w:szCs w:val="24"/>
                <w:color w:val="auto"/>
              </w:rPr>
            </w:pPr>
          </w:p>
        </w:tc>
        <w:tc>
          <w:tcPr>
            <w:tcW w:w="72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6"/>
              </w:rPr>
              <w:t>135</w:t>
            </w:r>
          </w:p>
        </w:tc>
      </w:tr>
      <w:tr>
        <w:trPr>
          <w:trHeight w:val="688"/>
        </w:trPr>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60" w:type="dxa"/>
            <w:vAlign w:val="bottom"/>
          </w:tcPr>
          <w:p>
            <w:pPr>
              <w:jc w:val="center"/>
              <w:ind w:right="132"/>
              <w:spacing w:after="0"/>
              <w:rPr>
                <w:sz w:val="20"/>
                <w:szCs w:val="20"/>
                <w:color w:val="auto"/>
              </w:rPr>
            </w:pPr>
            <w:r>
              <w:rPr>
                <w:rFonts w:ascii="Times New Roman" w:cs="Times New Roman" w:eastAsia="Times New Roman" w:hAnsi="Times New Roman"/>
                <w:sz w:val="22"/>
                <w:szCs w:val="22"/>
                <w:color w:val="auto"/>
                <w:w w:val="97"/>
              </w:rPr>
              <w:t>SCHEDULES</w:t>
            </w: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9"/>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6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Representations and Warranties Regarding Security Interest</w:t>
            </w:r>
          </w:p>
        </w:tc>
        <w:tc>
          <w:tcPr>
            <w:tcW w:w="3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SA-1</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B</w:t>
            </w:r>
          </w:p>
        </w:tc>
        <w:tc>
          <w:tcPr>
            <w:tcW w:w="3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Eligible Receivable Criteria</w:t>
            </w:r>
          </w:p>
        </w:tc>
        <w:tc>
          <w:tcPr>
            <w:tcW w:w="29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SB-1</w:t>
            </w:r>
          </w:p>
        </w:tc>
        <w:tc>
          <w:tcPr>
            <w:tcW w:w="3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C</w:t>
            </w:r>
          </w:p>
        </w:tc>
        <w:tc>
          <w:tcPr>
            <w:tcW w:w="3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6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of Receivables</w:t>
            </w:r>
          </w:p>
        </w:tc>
        <w:tc>
          <w:tcPr>
            <w:tcW w:w="29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SC-1</w:t>
            </w:r>
          </w:p>
        </w:tc>
        <w:tc>
          <w:tcPr>
            <w:tcW w:w="3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C-1</w:t>
            </w:r>
          </w:p>
        </w:tc>
        <w:tc>
          <w:tcPr>
            <w:tcW w:w="3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6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Schedule of Schedule C-1 Receivables SC-1</w:t>
            </w:r>
          </w:p>
        </w:tc>
        <w:tc>
          <w:tcPr>
            <w:tcW w:w="3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D</w:t>
            </w:r>
          </w:p>
        </w:tc>
        <w:tc>
          <w:tcPr>
            <w:tcW w:w="3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64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Location of Receivable Files SD-1</w:t>
            </w:r>
          </w:p>
        </w:tc>
        <w:tc>
          <w:tcPr>
            <w:tcW w:w="3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Schedule E</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6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 Addresses  SE-1</w:t>
            </w:r>
          </w:p>
        </w:tc>
        <w:tc>
          <w:tcPr>
            <w:tcW w:w="29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608" w:name="page609"/>
    <w:bookmarkEnd w:id="608"/>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4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26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Form of Funding Request</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A-1</w:t>
            </w:r>
          </w:p>
        </w:tc>
        <w:tc>
          <w:tcPr>
            <w:tcW w:w="38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 –</w:t>
            </w:r>
          </w:p>
        </w:tc>
        <w:tc>
          <w:tcPr>
            <w:tcW w:w="14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Note</w:t>
            </w:r>
          </w:p>
        </w:tc>
        <w:tc>
          <w:tcPr>
            <w:tcW w:w="1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B-1</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 –</w:t>
            </w:r>
          </w:p>
        </w:tc>
        <w:tc>
          <w:tcPr>
            <w:tcW w:w="3560" w:type="dxa"/>
            <w:vAlign w:val="bottom"/>
            <w:gridSpan w:val="6"/>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Assignment and Acceptance</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0"/>
              </w:rPr>
              <w:t>C-1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D-1</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 –</w:t>
            </w:r>
          </w:p>
        </w:tc>
        <w:tc>
          <w:tcPr>
            <w:tcW w:w="266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Power of Attorney</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E-1</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 –</w:t>
            </w:r>
          </w:p>
        </w:tc>
        <w:tc>
          <w:tcPr>
            <w:tcW w:w="82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F-1</w:t>
            </w: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68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Receivable Receipt</w:t>
            </w:r>
          </w:p>
        </w:tc>
        <w:tc>
          <w:tcPr>
            <w:tcW w:w="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G-1</w:t>
            </w:r>
          </w:p>
        </w:tc>
        <w:tc>
          <w:tcPr>
            <w:tcW w:w="380" w:type="dxa"/>
            <w:vAlign w:val="bottom"/>
          </w:tcPr>
          <w:p>
            <w:pPr>
              <w:spacing w:after="0"/>
              <w:rPr>
                <w:sz w:val="21"/>
                <w:szCs w:val="2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H</w:t>
            </w:r>
          </w:p>
        </w:tc>
        <w:tc>
          <w:tcPr>
            <w:tcW w:w="4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20" w:type="dxa"/>
            <w:vAlign w:val="bottom"/>
            <w:gridSpan w:val="5"/>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Securitization Release</w:t>
            </w:r>
          </w:p>
        </w:tc>
        <w:tc>
          <w:tcPr>
            <w:tcW w:w="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87"/>
              </w:rPr>
              <w:t>H-1</w:t>
            </w: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I –</w:t>
            </w:r>
          </w:p>
        </w:tc>
        <w:tc>
          <w:tcPr>
            <w:tcW w:w="266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Form of Lender Register</w:t>
            </w:r>
          </w:p>
        </w:tc>
        <w:tc>
          <w:tcPr>
            <w:tcW w:w="4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I-1</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Exhibit J –</w:t>
            </w:r>
          </w:p>
        </w:tc>
        <w:tc>
          <w:tcPr>
            <w:tcW w:w="26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Authorized Representatives</w:t>
            </w:r>
          </w:p>
        </w:tc>
        <w:tc>
          <w:tcPr>
            <w:tcW w:w="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09" w:name="page610"/>
    <w:bookmarkEnd w:id="609"/>
    <w:p>
      <w:pPr>
        <w:jc w:val="center"/>
        <w:spacing w:after="0"/>
        <w:rPr>
          <w:sz w:val="20"/>
          <w:szCs w:val="20"/>
          <w:color w:val="auto"/>
        </w:rPr>
      </w:pPr>
      <w:r>
        <w:rPr>
          <w:rFonts w:ascii="Times New Roman" w:cs="Times New Roman" w:eastAsia="Times New Roman" w:hAnsi="Times New Roman"/>
          <w:sz w:val="22"/>
          <w:szCs w:val="22"/>
          <w:color w:val="auto"/>
        </w:rPr>
        <w:t>WAREHOUSE AGREEMENT</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Warehouse Agreement, dated as of November 18, 2022 (as amended, restated, supplemented or otherwise modified from time to time,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by and among VFS Near Prime Trust I, a Delaware statutory trust, as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Auto Credit Corporation, a California corporation (“</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xml:space="preserve"> ”), as servicer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and as custodian (in such capacity, the “</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 as paying agent (in such capacity, the “</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the lenders from time to time parties hereto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Fifth Third Bank, National Association, as administrative agent for the Lenders and as agent for the Secured Parties (as defined herein)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was formed for the purpose of taking assignments of, and holding, various assets, including motor vehicle finance contracts, amounts received on or in respect of such finance contracts and proceeds of the foregoing;</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has requested that the Lenders make loans to the Borrower from time to time, the proceeds of which will be used to finance the purchase price of motor vehicle retail installment contracts as described herein; and</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Lenders have agreed to make such loans to the Borrower and [***] has agreed to act as Paying Agent, in each case upon the terms and subject to the conditions set forth herein.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hereto agree, effective as of the Closing Date,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ONE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CONSTRUCTION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1.01. Definitions</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Whenever used herein, unless the context otherwise requires, the following words and phrases shall have the following meanings: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Bank</w:t>
      </w:r>
      <w:r>
        <w:rPr>
          <w:rFonts w:ascii="Times New Roman" w:cs="Times New Roman" w:eastAsia="Times New Roman" w:hAnsi="Times New Roman"/>
          <w:sz w:val="20"/>
          <w:szCs w:val="20"/>
          <w:color w:val="auto"/>
        </w:rPr>
        <w:t>” means the Qualified Institution at which the Collection Account is held, which initially shall be [***].</w:t>
      </w:r>
    </w:p>
    <w:p>
      <w:pPr>
        <w:spacing w:after="0" w:line="22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Collateral</w:t>
      </w:r>
      <w:r>
        <w:rPr>
          <w:rFonts w:ascii="Times New Roman" w:cs="Times New Roman" w:eastAsia="Times New Roman" w:hAnsi="Times New Roman"/>
          <w:sz w:val="22"/>
          <w:szCs w:val="22"/>
          <w:color w:val="auto"/>
        </w:rPr>
        <w:t>” means, with respect to each Account, such Account, together with all cash, securities, financial assets (as defined in Section 8-102(a)(9) of the UCC) and investments and other property from time to time deposited or credited to such Account and all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0" w:name="page611"/>
    <w:bookmarkEnd w:id="610"/>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Control Agreement</w:t>
      </w:r>
      <w:r>
        <w:rPr>
          <w:rFonts w:ascii="Times New Roman" w:cs="Times New Roman" w:eastAsia="Times New Roman" w:hAnsi="Times New Roman"/>
          <w:sz w:val="22"/>
          <w:szCs w:val="22"/>
          <w:color w:val="auto"/>
        </w:rPr>
        <w:t>” means the Account Control Agreement relating to the Collection Account, dated as of the Closing Date, among the Borrower, the Servicer, the Administrative Agent and the Paying Agent.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the Collection Account and/or the Lockbox Account, as indicated by context.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Amount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2.14(a)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Pool Balance</w:t>
      </w:r>
      <w:r>
        <w:rPr>
          <w:rFonts w:ascii="Times New Roman" w:cs="Times New Roman" w:eastAsia="Times New Roman" w:hAnsi="Times New Roman"/>
          <w:sz w:val="22"/>
          <w:szCs w:val="22"/>
          <w:color w:val="auto"/>
        </w:rPr>
        <w:t>” means, as of any day, (i) the aggregate Net Pool Balance minus (ii) the Excess Concentration Amount.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Pool Balance Ratio</w:t>
      </w:r>
      <w:r>
        <w:rPr>
          <w:rFonts w:ascii="Times New Roman" w:cs="Times New Roman" w:eastAsia="Times New Roman" w:hAnsi="Times New Roman"/>
          <w:sz w:val="22"/>
          <w:szCs w:val="22"/>
          <w:color w:val="auto"/>
        </w:rPr>
        <w:t>” means, the ratio equal to (X) the sum of (a) product of (i) the Adjusted Net Pool Balance of Non-Prime Receivables and (ii) [***]% and (b) product of (i) the Adjusted Net Pool Balance of Prime Receivables and (ii) [***]%, over (Y) the Adjusted Net Pool Balance.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w:t>
      </w:r>
      <w:r>
        <w:rPr>
          <w:rFonts w:ascii="Times New Roman" w:cs="Times New Roman" w:eastAsia="Times New Roman" w:hAnsi="Times New Roman"/>
          <w:sz w:val="22"/>
          <w:szCs w:val="22"/>
          <w:color w:val="auto"/>
        </w:rPr>
        <w:t>” means:</w:t>
      </w:r>
    </w:p>
    <w:p>
      <w:pPr>
        <w:spacing w:after="0" w:line="205" w:lineRule="exact"/>
        <w:rPr>
          <w:sz w:val="20"/>
          <w:szCs w:val="20"/>
          <w:color w:val="auto"/>
        </w:rPr>
      </w:pPr>
    </w:p>
    <w:p>
      <w:pPr>
        <w:ind w:left="2320" w:hanging="440"/>
        <w:spacing w:after="0"/>
        <w:tabs>
          <w:tab w:leader="none" w:pos="2320" w:val="left"/>
        </w:tabs>
        <w:numPr>
          <w:ilvl w:val="0"/>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day prior to an Early Amortization Event or a Termination Date:</w:t>
      </w:r>
    </w:p>
    <w:p>
      <w:pPr>
        <w:spacing w:after="0" w:line="205" w:lineRule="exact"/>
        <w:rPr>
          <w:rFonts w:ascii="Times New Roman" w:cs="Times New Roman" w:eastAsia="Times New Roman" w:hAnsi="Times New Roman"/>
          <w:sz w:val="22"/>
          <w:szCs w:val="22"/>
          <w:color w:val="auto"/>
        </w:rPr>
      </w:pPr>
    </w:p>
    <w:p>
      <w:pPr>
        <w:jc w:val="both"/>
        <w:ind w:left="1880" w:firstLine="374"/>
        <w:spacing w:after="0" w:line="244" w:lineRule="auto"/>
        <w:tabs>
          <w:tab w:leader="none" w:pos="2686" w:val="left"/>
        </w:tabs>
        <w:numPr>
          <w:ilvl w:val="1"/>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Advance Rate Reduction Event has occurred and is continuing with respect to a Receivable type, (I) with respect to Non-Prime Receivables, [***]%, and (II) with respect to Prime Receivables, [***]%,</w:t>
      </w:r>
    </w:p>
    <w:p>
      <w:pPr>
        <w:spacing w:after="0" w:line="172" w:lineRule="exact"/>
        <w:rPr>
          <w:rFonts w:ascii="Times New Roman" w:cs="Times New Roman" w:eastAsia="Times New Roman" w:hAnsi="Times New Roman"/>
          <w:sz w:val="22"/>
          <w:szCs w:val="22"/>
          <w:color w:val="auto"/>
        </w:rPr>
      </w:pPr>
    </w:p>
    <w:p>
      <w:pPr>
        <w:jc w:val="both"/>
        <w:ind w:left="1880" w:right="20" w:firstLine="374"/>
        <w:spacing w:after="0" w:line="244" w:lineRule="auto"/>
        <w:tabs>
          <w:tab w:leader="none" w:pos="2686" w:val="left"/>
        </w:tabs>
        <w:numPr>
          <w:ilvl w:val="1"/>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Advance Rate Reduction Event has occurred and is continuing with respect to a Receivable type, (I) with respect to Non-Prime Receivables, [***]%, and (II) with respect to Prime Receivables, [***]%, and</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if the Excess Spread Percentage as of a Determination Date is less than the Base Line Excess Spread Percentage for Non-Prime Receivables or Prime Receivables, as applicable, the respective Advance Rate otherwise applicable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shall be calculated by subtracting a percentage equal to (x) the excess of Base Line Excess Spread Percentage applicable to such type of Receivable over the Excess Spread Percentage as of such Determination Date for such type of Receivable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(y) for (I) with respect to Non-Prime Receivables, [***], and (II) with respect to Prime Receivables, [***], as applicable, or</w:t>
      </w:r>
    </w:p>
    <w:p>
      <w:pPr>
        <w:spacing w:after="0" w:line="179" w:lineRule="exact"/>
        <w:rPr>
          <w:sz w:val="20"/>
          <w:szCs w:val="20"/>
          <w:color w:val="auto"/>
        </w:rPr>
      </w:pPr>
    </w:p>
    <w:p>
      <w:pPr>
        <w:ind w:left="760" w:right="20" w:firstLine="1120"/>
        <w:spacing w:after="0" w:line="258" w:lineRule="auto"/>
        <w:tabs>
          <w:tab w:leader="none" w:pos="2315" w:val="left"/>
        </w:tabs>
        <w:numPr>
          <w:ilvl w:val="0"/>
          <w:numId w:val="5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day following the occurrence of an Early Amortization Event or the Termination Date, [***]%, subject to the last paragraph in the definition of Early Amortization Event.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 Reduction Events</w:t>
      </w:r>
      <w:r>
        <w:rPr>
          <w:rFonts w:ascii="Times New Roman" w:cs="Times New Roman" w:eastAsia="Times New Roman" w:hAnsi="Times New Roman"/>
          <w:sz w:val="22"/>
          <w:szCs w:val="22"/>
          <w:color w:val="auto"/>
        </w:rPr>
        <w:t>” means, that as of any Payment Date commencing after the third non-shortened Collection Period after the Closing Date, any of the following events occurs: (i) the arithmetic mean of the Annualized Net Loss Ratio for the related Collection Period and the two previous Collection Periods exceeds (I) with respect to Non-Prime Receivables,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1" w:name="page612"/>
    <w:bookmarkEnd w:id="611"/>
    <w:p>
      <w:pPr>
        <w:jc w:val="both"/>
        <w:spacing w:after="0" w:line="234" w:lineRule="auto"/>
        <w:rPr>
          <w:sz w:val="20"/>
          <w:szCs w:val="20"/>
          <w:color w:val="auto"/>
        </w:rPr>
      </w:pPr>
      <w:r>
        <w:rPr>
          <w:rFonts w:ascii="Times New Roman" w:cs="Times New Roman" w:eastAsia="Times New Roman" w:hAnsi="Times New Roman"/>
          <w:sz w:val="22"/>
          <w:szCs w:val="22"/>
          <w:color w:val="auto"/>
        </w:rPr>
        <w:t>[***]%, and (II) with respect to Prime Receivables, [***]%; (ii) the arithmetic mean of the Annualized Default Ratio for the related Collection Period and the two previous Collection Periods exceeds (I) with respect to Non-Prime Receivables, [***]%, and (II) with respect to Prime Receivables, [***]%; (iii) the arithmetic mean of the Extension Ratio for the related Collection Period and the two previous Collection Periods exceeds (I) with respect to Non-Prime Receivables, [***]%, and (II) with respect to Prime Receivables, [***]%; (iv) the arithmetic mean of the Delinquency Ratio for the related Collection Period and the two previous Collection Periods exceeds (I) with respect to Non-Prime Receivables, [***]%, and (II) with respect to Prime Receivables, [***]%, and the current Collection Period Delinquency Ratio exceeds (I) with respect to Non-Prime Receivables, [***]%, and (II) with respect to Prime Receivables, [***]%, or (v) the Delinquency Ratio for the related Collection Period exceeds [***]%; provided that no event specified in the foregoing clauses shall be deemed to have occurred if as of the Determination Date, the Loans Outstanding do not exceed $[***].</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Advisors</w:t>
      </w:r>
      <w:r>
        <w:rPr>
          <w:rFonts w:ascii="Times New Roman" w:cs="Times New Roman" w:eastAsia="Times New Roman" w:hAnsi="Times New Roman"/>
          <w:sz w:val="22"/>
          <w:szCs w:val="22"/>
          <w:color w:val="auto"/>
        </w:rPr>
        <w:t>” means accountants, attorneys, consultants, advisors, credit enhancers, liquidity providers and Persons similar to the foregoing and the respective directors, officers, employees and managers of each of the foregoing.</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Party</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w:t>
      </w:r>
      <w:r>
        <w:rPr>
          <w:rFonts w:ascii="Times New Roman" w:cs="Times New Roman" w:eastAsia="Times New Roman" w:hAnsi="Times New Roman"/>
          <w:sz w:val="22"/>
          <w:szCs w:val="22"/>
          <w:color w:val="auto"/>
        </w:rPr>
        <w:t>” means, as of any day, the lesser of (i) the sum of the Commitments of each Lender, and (ii) $225,000,000.</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Unpaids</w:t>
      </w:r>
      <w:r>
        <w:rPr>
          <w:rFonts w:ascii="Times New Roman" w:cs="Times New Roman" w:eastAsia="Times New Roman" w:hAnsi="Times New Roman"/>
          <w:sz w:val="22"/>
          <w:szCs w:val="22"/>
          <w:color w:val="auto"/>
        </w:rPr>
        <w:t>” means, as of any day, an amount equal to the sum of (i) the Loans Outstanding, (ii) all accrued but unpaid Interest and (iii) all Unused Fees and other Obligations owed (whether due or accrued) by the Borrower to the Secured Parties, the Paying Agent, the Owner Trustee, the Servicer and the Custodian (if other than UACC) under this Agreement and the other Basic Documents.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means the period commencing on the Commitment Termination Date and ending on the earliest to occur of (i) Facility Termination Date and (ii) Final Maturity Date.</w:t>
      </w:r>
    </w:p>
    <w:p>
      <w:pPr>
        <w:spacing w:after="0" w:line="157"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Amount Financed</w:t>
      </w:r>
      <w:r>
        <w:rPr>
          <w:rFonts w:ascii="Times New Roman" w:cs="Times New Roman" w:eastAsia="Times New Roman" w:hAnsi="Times New Roman"/>
          <w:sz w:val="20"/>
          <w:szCs w:val="20"/>
          <w:color w:val="auto"/>
        </w:rPr>
        <w:t>” 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2" w:name="page613"/>
    <w:bookmarkEnd w:id="612"/>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Percentage Rate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APR</w:t>
      </w:r>
      <w:r>
        <w:rPr>
          <w:rFonts w:ascii="Times New Roman" w:cs="Times New Roman" w:eastAsia="Times New Roman" w:hAnsi="Times New Roman"/>
          <w:sz w:val="22"/>
          <w:szCs w:val="22"/>
          <w:color w:val="auto"/>
        </w:rPr>
        <w:t>” 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or any other Applicable Law, “Annual Percentage Rate” or “APR” shall refer to such reduced rate.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Annualized Default Ratio</w:t>
      </w:r>
      <w:r>
        <w:rPr>
          <w:rFonts w:ascii="Times New Roman" w:cs="Times New Roman" w:eastAsia="Times New Roman" w:hAnsi="Times New Roman"/>
          <w:sz w:val="22"/>
          <w:szCs w:val="22"/>
          <w:color w:val="auto"/>
        </w:rPr>
        <w:t>” means, with respect to any Payment Date and the related Collection Period, the product of</w:t>
      </w:r>
    </w:p>
    <w:p>
      <w:pPr>
        <w:spacing w:after="0" w:line="14" w:lineRule="exact"/>
        <w:rPr>
          <w:sz w:val="20"/>
          <w:szCs w:val="20"/>
          <w:color w:val="auto"/>
        </w:rPr>
      </w:pPr>
    </w:p>
    <w:p>
      <w:pPr>
        <w:jc w:val="both"/>
        <w:ind w:firstLine="8"/>
        <w:spacing w:after="0" w:line="235" w:lineRule="auto"/>
        <w:tabs>
          <w:tab w:leader="none" w:pos="266" w:val="left"/>
        </w:tabs>
        <w:numPr>
          <w:ilvl w:val="0"/>
          <w:numId w:val="5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and (ii) the percentage equivalent of a fraction, (a) the numerator of which equals the Pool Balance of all Receivables that became Defaulted Receivables during such Collection Period and (b) the denominator of which equals the average of (1) the Pool Balance as of the related Determination Date and (2) the Pool Balance as of the Prior Determination Date.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Annualized Net Loss Ratio</w:t>
      </w:r>
      <w:r>
        <w:rPr>
          <w:rFonts w:ascii="Times New Roman" w:cs="Times New Roman" w:eastAsia="Times New Roman" w:hAnsi="Times New Roman"/>
          <w:sz w:val="20"/>
          <w:szCs w:val="20"/>
          <w:color w:val="auto"/>
        </w:rPr>
        <w:t>” means, with respect to any Payment Date and the related Collection Period, the product of</w:t>
      </w:r>
    </w:p>
    <w:p>
      <w:pPr>
        <w:spacing w:after="0" w:line="37" w:lineRule="exact"/>
        <w:rPr>
          <w:sz w:val="20"/>
          <w:szCs w:val="20"/>
          <w:color w:val="auto"/>
        </w:rPr>
      </w:pPr>
    </w:p>
    <w:p>
      <w:pPr>
        <w:jc w:val="both"/>
        <w:ind w:firstLine="8"/>
        <w:spacing w:after="0" w:line="235" w:lineRule="auto"/>
        <w:tabs>
          <w:tab w:leader="none" w:pos="291"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and (ii) the percentage equivalent of a fraction, (a) the numerator of which equals the aggregate Net Losses for such Collection Period and (b) the denominator of which equals the average of (1) the Pool Balance as of the related Determination Date and (2) the Pool Balance as of the Prior Determination Date.</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such Person or any of its respective Subsidiaries from time to time concerning or relating to bribery or corruption.</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including Regulation AB, and the Exchange Act), and applicable judgments, decrees, injunctions, writs, orders or line actions of any court, arbitrator or other administrative, judicial or quasi-judicial tribunal or agency of competent jurisdiction.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has the meaning given to such term in the Fee Letter.</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xml:space="preserve">” means an assignment and acceptance agreement between a Lender and an Eligible Assignee, in substantially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157"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Authoritative Copy</w:t>
      </w:r>
      <w:r>
        <w:rPr>
          <w:rFonts w:ascii="Times New Roman" w:cs="Times New Roman" w:eastAsia="Times New Roman" w:hAnsi="Times New Roman"/>
          <w:sz w:val="20"/>
          <w:szCs w:val="20"/>
          <w:color w:val="auto"/>
        </w:rPr>
        <w:t>” means, with respect to any Electronic Contract, a copy of such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spacing w:after="0" w:line="13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Representative</w:t>
      </w:r>
      <w:r>
        <w:rPr>
          <w:rFonts w:ascii="Times New Roman" w:cs="Times New Roman" w:eastAsia="Times New Roman" w:hAnsi="Times New Roman"/>
          <w:sz w:val="22"/>
          <w:szCs w:val="22"/>
          <w:color w:val="auto"/>
        </w:rPr>
        <w:t>” means, with respect to the Borrower, (i) any president or any executive vice president of UACC and (ii) any officer, employee or director of UACC listed as an Authorized Representative in Exhibit J hereto (which shall remain in effect until UACC or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3" w:name="page614"/>
    <w:bookmarkEnd w:id="613"/>
    <w:p>
      <w:pPr>
        <w:jc w:val="both"/>
        <w:spacing w:after="0" w:line="258" w:lineRule="auto"/>
        <w:rPr>
          <w:sz w:val="20"/>
          <w:szCs w:val="20"/>
          <w:color w:val="auto"/>
        </w:rPr>
      </w:pPr>
      <w:r>
        <w:rPr>
          <w:rFonts w:ascii="Times New Roman" w:cs="Times New Roman" w:eastAsia="Times New Roman" w:hAnsi="Times New Roman"/>
          <w:sz w:val="22"/>
          <w:szCs w:val="22"/>
          <w:color w:val="auto"/>
        </w:rPr>
        <w:t>Borrower notifies the Secured Parties of any change by delivery of an updated form), in each case, as attorney-in-fact for the Borrower.</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means, as of any day, the positive amount, if any, by which the Facility Amount exceeds the Loans Outstanding on such day.</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Funds</w:t>
      </w:r>
      <w:r>
        <w:rPr>
          <w:rFonts w:ascii="Times New Roman" w:cs="Times New Roman" w:eastAsia="Times New Roman" w:hAnsi="Times New Roman"/>
          <w:sz w:val="22"/>
          <w:szCs w:val="22"/>
          <w:color w:val="auto"/>
        </w:rPr>
        <w:t>” means, for any Payment Date and the related Collection Period, the sum of (i) all Collections on deposit in the Collection Account, to the extent received during or in respect of the related Collection Period and (ii) any Monthly Accrued Interest Payment Amount made by UACC pursuant to Section 6.04(o).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w:t>
      </w:r>
    </w:p>
    <w:p>
      <w:pPr>
        <w:spacing w:after="0" w:line="37" w:lineRule="exact"/>
        <w:rPr>
          <w:sz w:val="20"/>
          <w:szCs w:val="20"/>
          <w:color w:val="auto"/>
        </w:rPr>
      </w:pPr>
    </w:p>
    <w:p>
      <w:pPr>
        <w:jc w:val="both"/>
        <w:ind w:firstLine="8"/>
        <w:spacing w:after="0" w:line="232" w:lineRule="auto"/>
        <w:tabs>
          <w:tab w:leader="none" w:pos="306" w:val="left"/>
        </w:tabs>
        <w:numPr>
          <w:ilvl w:val="0"/>
          <w:numId w:val="5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2.18(d).</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w:t>
      </w:r>
      <w:r>
        <w:rPr>
          <w:rFonts w:ascii="Times New Roman" w:cs="Times New Roman" w:eastAsia="Times New Roman" w:hAnsi="Times New Roman"/>
          <w:sz w:val="22"/>
          <w:szCs w:val="22"/>
          <w:color w:val="auto"/>
        </w:rPr>
        <w:t>” means any of the following products, services or facilities extended to any Loan Party from time to time by any Secured Party or any of Affiliate of a Secured Party or any Person who was Administrative Agent, a Lender or an Affiliate of Administrative Agent or a Lender at the time it provided such products, services or facilities: (a) any services in connection with operating, collections, payroll, trust, or other depository or disbursement accounts, including automated clearinghouse, e-payable, electronic funds transfer, wire transfer, controlled disbursement, overdraft, depository, information reporting, lockbox services, stop payment services, and other treasury management services; (b) commercial credit card and merchant card services; and (c) other banking products or services as may be requested by any Loan Party, other than letters of credit and Derivatives; provided, that no such products, services or facilities provided by any Lender (other than any Lender that is also Administrative Agent or an Affiliate of Administrative Agent) or any of its respective Affiliates shall be deemed to be “Bank Products” hereunder until Administrative Agent has been notified in writing by the applicable Lender thereof.</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United States Bankruptcy Code (Title 11 of the United States Code).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Line Excess Spread Percentage</w:t>
      </w:r>
      <w:r>
        <w:rPr>
          <w:rFonts w:ascii="Times New Roman" w:cs="Times New Roman" w:eastAsia="Times New Roman" w:hAnsi="Times New Roman"/>
          <w:sz w:val="22"/>
          <w:szCs w:val="22"/>
          <w:color w:val="auto"/>
        </w:rPr>
        <w:t>” means, (i) for Non-Prime Receivables, [***]%, and (ii) for Prime Receivables,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shall mean a variable per annum rate, as of any date of determination, equal to the Prime Rate. The Base Rate is a reference rate and does not necessarily represent the lowest or best rate actually charged to any customer.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based on the Base Rate.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4" w:name="page615"/>
    <w:bookmarkEnd w:id="614"/>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w:t>
      </w:r>
      <w:r>
        <w:rPr>
          <w:rFonts w:ascii="Times New Roman" w:cs="Times New Roman" w:eastAsia="Times New Roman" w:hAnsi="Times New Roman"/>
          <w:sz w:val="22"/>
          <w:szCs w:val="22"/>
          <w:color w:val="auto"/>
        </w:rPr>
        <w:t>” means the second Basel Accord issued by the Basel Committee on Banking Supervision.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Basel III</w:t>
      </w:r>
      <w:r>
        <w:rPr>
          <w:rFonts w:ascii="Times New Roman" w:cs="Times New Roman" w:eastAsia="Times New Roman" w:hAnsi="Times New Roman"/>
          <w:sz w:val="22"/>
          <w:szCs w:val="22"/>
          <w:color w:val="auto"/>
        </w:rPr>
        <w:t>” means the third Basel Accord issued by the Basel Committee on Banking Supervision.</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Basic Documents</w:t>
      </w:r>
      <w:r>
        <w:rPr>
          <w:rFonts w:ascii="Times New Roman" w:cs="Times New Roman" w:eastAsia="Times New Roman" w:hAnsi="Times New Roman"/>
          <w:sz w:val="22"/>
          <w:szCs w:val="22"/>
          <w:color w:val="auto"/>
        </w:rPr>
        <w:t>” means this Agreement, each Note, the Purchase Agreement, each Transfer Agreement, the Fee Letter, the Performance Guaranty, the Intercreditor Agreement, the Intercreditor Party Supplement, the Trust Agreement, the Account Control Agreement, the E-Vault Access Agreement (if any), the Electronic Collateral Control Agreement, the Custodial Agreement (if any), the Title Administrator Agreement (if any), and any other document, certificate, opinion, agreement or writing the execution of which is necessary or incidental to carrying out the transactions contemplated by this Agreement or any of the other foregoing documents.</w:t>
      </w:r>
    </w:p>
    <w:p>
      <w:pPr>
        <w:spacing w:after="0" w:line="179"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Rate or the then-current Benchmark, then “Benchmark” means the applicable Benchmark Replacement to the extent that such Benchmark Replacement has replaced such prior benchmark rate pursuant to Section 2.18(a).</w:t>
      </w:r>
    </w:p>
    <w:p>
      <w:pPr>
        <w:spacing w:after="0" w:line="13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first alternative set forth in the order below that can be determined by the Administrative Agent for the applicable Benchmark Replacement Date:</w:t>
      </w:r>
    </w:p>
    <w:p>
      <w:pPr>
        <w:spacing w:after="0" w:line="157" w:lineRule="exact"/>
        <w:rPr>
          <w:sz w:val="20"/>
          <w:szCs w:val="20"/>
          <w:color w:val="auto"/>
        </w:rPr>
      </w:pPr>
    </w:p>
    <w:p>
      <w:pPr>
        <w:ind w:left="1940" w:hanging="435"/>
        <w:spacing w:after="0"/>
        <w:tabs>
          <w:tab w:leader="none" w:pos="1940" w:val="left"/>
        </w:tabs>
        <w:numPr>
          <w:ilvl w:val="0"/>
          <w:numId w:val="5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Simple SOFR; or</w:t>
      </w:r>
    </w:p>
    <w:p>
      <w:pPr>
        <w:spacing w:after="0" w:line="205" w:lineRule="exact"/>
        <w:rPr>
          <w:rFonts w:ascii="Times New Roman" w:cs="Times New Roman" w:eastAsia="Times New Roman" w:hAnsi="Times New Roman"/>
          <w:sz w:val="22"/>
          <w:szCs w:val="22"/>
          <w:color w:val="auto"/>
        </w:rPr>
      </w:pPr>
    </w:p>
    <w:p>
      <w:pPr>
        <w:jc w:val="both"/>
        <w:ind w:left="760" w:right="20" w:firstLine="745"/>
        <w:spacing w:after="0" w:line="237" w:lineRule="auto"/>
        <w:tabs>
          <w:tab w:leader="none" w:pos="1940" w:val="left"/>
        </w:tabs>
        <w:numPr>
          <w:ilvl w:val="0"/>
          <w:numId w:val="5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(a) or (b) above would be less than the Benchmark Replacement Adjustment, the Benchmark Replacement will be deemed to be the Benchmark Replacement Adjustment for the purposes of this Agreement and the other Basic Documents.</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22"/>
          <w:szCs w:val="22"/>
          <w:color w:val="auto"/>
        </w:rPr>
        <w:t>with the applicable Unadjusted Benchmark Replacement for Dollar-denominated syndicated credit facilities at such time.</w:t>
      </w:r>
    </w:p>
    <w:p>
      <w:pPr>
        <w:spacing w:after="0" w:line="13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a date and time determined by the Administrative Agent, which date shall be no later than the earliest to occur of the following events with respect to the then-current Benchmark:</w:t>
      </w:r>
    </w:p>
    <w:p>
      <w:pPr>
        <w:spacing w:after="0" w:line="76" w:lineRule="exact"/>
        <w:rPr>
          <w:sz w:val="20"/>
          <w:szCs w:val="20"/>
          <w:color w:val="auto"/>
        </w:rPr>
      </w:pPr>
    </w:p>
    <w:p>
      <w:pPr>
        <w:jc w:val="both"/>
        <w:ind w:left="760" w:firstLine="745"/>
        <w:spacing w:after="0" w:line="239" w:lineRule="auto"/>
        <w:tabs>
          <w:tab w:leader="none" w:pos="1940" w:val="left"/>
        </w:tabs>
        <w:numPr>
          <w:ilvl w:val="0"/>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0" w:val="left"/>
        </w:tabs>
        <w:numPr>
          <w:ilvl w:val="0"/>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of the International Organization of Securities Commissions (IOSCO) Principles for Financial Benchmarks;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90" w:lineRule="exact"/>
        <w:rPr>
          <w:sz w:val="20"/>
          <w:szCs w:val="20"/>
          <w:color w:val="auto"/>
        </w:rPr>
      </w:pPr>
    </w:p>
    <w:p>
      <w:pPr>
        <w:jc w:val="both"/>
        <w:ind w:left="760" w:firstLine="745"/>
        <w:spacing w:after="0" w:line="237" w:lineRule="auto"/>
        <w:tabs>
          <w:tab w:leader="none" w:pos="1940"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0"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6" w:name="page617"/>
    <w:bookmarkEnd w:id="616"/>
    <w:p>
      <w:pPr>
        <w:ind w:left="760" w:right="20"/>
        <w:spacing w:after="0" w:line="258" w:lineRule="auto"/>
        <w:rPr>
          <w:sz w:val="20"/>
          <w:szCs w:val="20"/>
          <w:color w:val="auto"/>
        </w:rPr>
      </w:pPr>
      <w:r>
        <w:rPr>
          <w:rFonts w:ascii="Times New Roman" w:cs="Times New Roman" w:eastAsia="Times New Roman" w:hAnsi="Times New Roman"/>
          <w:sz w:val="22"/>
          <w:szCs w:val="22"/>
          <w:color w:val="auto"/>
        </w:rPr>
        <w:t>permanently or indefinitely, provided that, at the time of such statement or publication, there is no successor administrator that will continue to provide any Available Tenor of such Benchmark (or such component thereof); or</w:t>
      </w:r>
    </w:p>
    <w:p>
      <w:pPr>
        <w:spacing w:after="0" w:line="157" w:lineRule="exact"/>
        <w:rPr>
          <w:sz w:val="20"/>
          <w:szCs w:val="20"/>
          <w:color w:val="auto"/>
        </w:rPr>
      </w:pPr>
    </w:p>
    <w:p>
      <w:pPr>
        <w:jc w:val="both"/>
        <w:ind w:left="760" w:firstLine="745"/>
        <w:spacing w:after="0" w:line="239" w:lineRule="auto"/>
        <w:tabs>
          <w:tab w:leader="none" w:pos="1940"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of the International Organization of Securities Commissions (IOSCO) Principles for Financial Benchmarks.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then-current Benchmark for all purposes hereunder and under any Basic Document in accordance with Section 2.18 and (b) ending at the time that a Benchmark Replacement has replaced the then-current Benchmark for all purposes hereunder and under any Basic Document in accordance with Section 2.18.</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required by the Beneficial Ownership Regulation.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(i) employee benefit plans (as defined in Section 3(3) of ERISA) that are subject to Title I of ERISA, (ii) plans described in Section 4975(e)(1) of the Code and (iii) any entities whose underlying assets include plan assets by reason of a plan’s investment in such entities.</w:t>
      </w:r>
    </w:p>
    <w:p>
      <w:pPr>
        <w:spacing w:after="0" w:line="17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 Investor</w:t>
      </w:r>
      <w:r>
        <w:rPr>
          <w:rFonts w:ascii="Times New Roman" w:cs="Times New Roman" w:eastAsia="Times New Roman" w:hAnsi="Times New Roman"/>
          <w:sz w:val="22"/>
          <w:szCs w:val="22"/>
          <w:color w:val="auto"/>
        </w:rPr>
        <w:t>" means a "benefit plan investor" as defined in Department of Labor regulation 29 C.F.R. Section 2510.3-101, as modified by Section 3(42) of ERISA.</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Basic Documents</w:t>
      </w:r>
      <w:r>
        <w:rPr>
          <w:rFonts w:ascii="Times New Roman" w:cs="Times New Roman" w:eastAsia="Times New Roman" w:hAnsi="Times New Roman"/>
          <w:sz w:val="22"/>
          <w:szCs w:val="22"/>
          <w:color w:val="auto"/>
        </w:rPr>
        <w:t>” means all Basic Documents to which the Borrower is a party or by which it is bound.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Amounts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Indemnified Parties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10.01(a)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 Account</w:t>
      </w:r>
      <w:r>
        <w:rPr>
          <w:rFonts w:ascii="Times New Roman" w:cs="Times New Roman" w:eastAsia="Times New Roman" w:hAnsi="Times New Roman"/>
          <w:sz w:val="22"/>
          <w:szCs w:val="22"/>
          <w:color w:val="auto"/>
        </w:rPr>
        <w:t>” means the bank account of the Borrower, as notified to the Administrative Agent from time to time in writing by the Borrower, into which all Principal Amounts and amounts pursuant to Section 2.08(a)(x) (unless otherwise directed by the Borrower)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22"/>
          <w:szCs w:val="22"/>
          <w:color w:val="auto"/>
        </w:rPr>
        <w:t>shall be deposited, which account, as of the Closing Date, is in the name VFS Near Prime Trust I, at the Account Bank.</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as of any day, an amount equal to the lesser of (i) the product of the applicable Advance Rate and the Adjusted Net Pool Balance by type of Receivable (calculated as of the previous Determination Date or, with respect to Receivables added to the Collateral following such Determination Date, but prior to or on such date of determination, the related Cutoff Date), and (ii) the Aggregate Commitment.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Deficiency</w:t>
      </w:r>
      <w:r>
        <w:rPr>
          <w:rFonts w:ascii="Times New Roman" w:cs="Times New Roman" w:eastAsia="Times New Roman" w:hAnsi="Times New Roman"/>
          <w:sz w:val="22"/>
          <w:szCs w:val="22"/>
          <w:color w:val="auto"/>
        </w:rPr>
        <w:t>” means, as of any day, the positive amount, if any, by which the Loans Outstanding exceed the Borrowing Base.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Breakage Costs</w:t>
      </w:r>
      <w:r>
        <w:rPr>
          <w:rFonts w:ascii="Times New Roman" w:cs="Times New Roman" w:eastAsia="Times New Roman" w:hAnsi="Times New Roman"/>
          <w:sz w:val="22"/>
          <w:szCs w:val="22"/>
          <w:color w:val="auto"/>
        </w:rPr>
        <w:t>” means such amount or amounts as shall compensate any Lender for any loss, cost or expense (but excluding lost profits) incurred by such Lender (as reasonably determined by such Lender) as a result of any prepayment of a Loan (and interest thereon).</w:t>
      </w:r>
    </w:p>
    <w:p>
      <w:pPr>
        <w:spacing w:after="0" w:line="17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 with respect to all notices and determinations, in connection with the Term SOFR Rate, any day that commercial banks in New York, New York are required by law to be open for business and that is a U.S. Government Securities Business Day, which means any day other than a Saturday, Sunday, or day on which the Securities Industry and Financial Markets Association recommends that the fixed income departments of its members be closed for the entire day for purposes of trading in United States government securities and (b) in all other cases, any day on which commercial banks in Los Angeles, California, New York, New York, Chicago, Illinois, Cincinnati, Ohio, Minneapolis, Minnesota or Wilmington, Delaware are required by law to be open for business; provided that, notwithstanding anything to the contrary in this definition of “Business Day”, at any time during which a Derivative with any Lender Party is then in effect with respect to all or a portion of the Obligations, then the definitions of “Business Day” and “Banking Day”, as applicable, pursuant to such Derivative shall govern with respect to all applicable notices and determinations in connection with such portion of the Obligations arising under such Derivative. Periods of days referred to in the Basic Documents will be counted in calendar days unless Business Days are expressly prescribed.</w:t>
      </w:r>
    </w:p>
    <w:p>
      <w:pPr>
        <w:spacing w:after="0" w:line="181"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Certificate of Title</w:t>
      </w:r>
      <w:r>
        <w:rPr>
          <w:rFonts w:ascii="Times New Roman" w:cs="Times New Roman" w:eastAsia="Times New Roman" w:hAnsi="Times New Roman"/>
          <w:sz w:val="20"/>
          <w:szCs w:val="20"/>
          <w:color w:val="auto"/>
        </w:rPr>
        <w:t>” 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 letter or form, which, in either case, shall name the related Obligor as the owner of such Financed Vehicle and the Originator, the Borrower or the Administrative Agent, as secured party.</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Registrar</w:t>
      </w:r>
      <w:r>
        <w:rPr>
          <w:rFonts w:ascii="Times New Roman" w:cs="Times New Roman" w:eastAsia="Times New Roman" w:hAnsi="Times New Roman"/>
          <w:sz w:val="22"/>
          <w:szCs w:val="22"/>
          <w:color w:val="auto"/>
        </w:rPr>
        <w:t>” has the meaning given to such term in the Trust Agreement.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failure (i) of Vroom Finance Holdings, LLC to own, directly or indirectly, all of the outstanding beneficial interests of UACC, (ii) by UACC to own, directly or indirectly, all of the outstanding beneficial interests of the Borrower, or (iii) of Vroom,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22"/>
          <w:szCs w:val="22"/>
          <w:color w:val="auto"/>
        </w:rPr>
        <w:t>Inc. to own, directly or indirectly, all of the outstanding beneficial interest of Vroom Financial Holdings, LLC.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Charged-off Receivable</w:t>
      </w:r>
      <w:r>
        <w:rPr>
          <w:rFonts w:ascii="Times New Roman" w:cs="Times New Roman" w:eastAsia="Times New Roman" w:hAnsi="Times New Roman"/>
          <w:sz w:val="20"/>
          <w:szCs w:val="20"/>
          <w:color w:val="auto"/>
        </w:rPr>
        <w:t>” means any Receivable required to be charged off in accordance with the Credit and Collection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November 18, 2022.</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3.01(a).</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means a segregated account established by the Paying Agent with the Account Bank, in the name of the Borrower, for the benefit of the Secured Parties, into which all Collections shall be deposited.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Period</w:t>
      </w:r>
      <w:r>
        <w:rPr>
          <w:rFonts w:ascii="Times New Roman" w:cs="Times New Roman" w:eastAsia="Times New Roman" w:hAnsi="Times New Roman"/>
          <w:sz w:val="22"/>
          <w:szCs w:val="22"/>
          <w:color w:val="auto"/>
        </w:rPr>
        <w:t>” means, with respect to any Payment Date, the immediately preceding calendar month, except for the first Payment Date, in which case such term means the period from the opening of business the day after the initial Cutoff Date to and including the last day of December, 2022.</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xml:space="preserve">” means, with respect to any Collection Period and the related Payment Date, (i) all cash collections or other cash proceeds of any Receivable received by the Borrower and the Servicer and the Successor Servicer (including from the Originator or the Borrower) from or on behalf of any Obligor in payment of any amounts owed in respect of such Receivable, including all Release Price amounts deposited in either Account pursuant to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and (iii) all amounts received by the Borrower or the Servicer as proceeds of Collateral sold pursuant to </w:t>
      </w:r>
      <w:r>
        <w:rPr>
          <w:rFonts w:ascii="Times New Roman" w:cs="Times New Roman" w:eastAsia="Times New Roman" w:hAnsi="Times New Roman"/>
          <w:sz w:val="22"/>
          <w:szCs w:val="22"/>
          <w:u w:val="single" w:color="auto"/>
          <w:color w:val="auto"/>
        </w:rPr>
        <w:t>Section 9.02(b)(iv)</w:t>
      </w:r>
      <w:r>
        <w:rPr>
          <w:rFonts w:ascii="Times New Roman" w:cs="Times New Roman" w:eastAsia="Times New Roman" w:hAnsi="Times New Roman"/>
          <w:sz w:val="22"/>
          <w:szCs w:val="22"/>
          <w:color w:val="auto"/>
        </w:rPr>
        <w:t>; in each case received and deposited during or in respect of such Collection Period or such Payment Date.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w:t>
      </w:r>
      <w:r>
        <w:rPr>
          <w:rFonts w:ascii="Times New Roman" w:cs="Times New Roman" w:eastAsia="Times New Roman" w:hAnsi="Times New Roman"/>
          <w:sz w:val="22"/>
          <w:szCs w:val="22"/>
          <w:color w:val="auto"/>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Proposed Extension Date</w:t>
      </w:r>
      <w:r>
        <w:rPr>
          <w:rFonts w:ascii="Times New Roman" w:cs="Times New Roman" w:eastAsia="Times New Roman" w:hAnsi="Times New Roman"/>
          <w:sz w:val="22"/>
          <w:szCs w:val="22"/>
          <w:color w:val="auto"/>
        </w:rPr>
        <w:t xml:space="preserve">” means the date no less than 180 days after the Closing Date or any date that the Commitment Termination Date is extended in accordance with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xml:space="preserve">” means the earliest to occur of (i) September 12, 2025 or such later date to which the Commitment Termination Date may be extended in accordance with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(ii) Early Amortization Event and (iii) the Termination Date.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Lender</w:t>
      </w:r>
      <w:r>
        <w:rPr>
          <w:rFonts w:ascii="Times New Roman" w:cs="Times New Roman" w:eastAsia="Times New Roman" w:hAnsi="Times New Roman"/>
          <w:sz w:val="22"/>
          <w:szCs w:val="22"/>
          <w:color w:val="auto"/>
        </w:rPr>
        <w:t>” means any Lender that is designated as a Committed Lender hereunder (which Commitment is set forth below such Lender’s name on the signature pages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9" w:name="page620"/>
    <w:bookmarkEnd w:id="619"/>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or in the Assignment and Acceptance pursuant to which it became a party to this Agreement, and any assignee of such Lender to the extent of the portion of such Commitment assumed by such assignee pursuant to its respective Assignment and Acceptance.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Limits</w:t>
      </w:r>
      <w:r>
        <w:rPr>
          <w:rFonts w:ascii="Times New Roman" w:cs="Times New Roman" w:eastAsia="Times New Roman" w:hAnsi="Times New Roman"/>
          <w:sz w:val="22"/>
          <w:szCs w:val="22"/>
          <w:color w:val="auto"/>
        </w:rPr>
        <w:t>” means that, as of any day during the Revolving Period and only with respects to Eligible Receivables, based on the Net Pool Balance of the related type of such Receivables and without duplication:</w:t>
      </w:r>
    </w:p>
    <w:p>
      <w:pPr>
        <w:spacing w:after="0" w:line="157" w:lineRule="exact"/>
        <w:rPr>
          <w:sz w:val="20"/>
          <w:szCs w:val="20"/>
          <w:color w:val="auto"/>
        </w:rPr>
      </w:pPr>
    </w:p>
    <w:p>
      <w:pPr>
        <w:jc w:val="both"/>
        <w:ind w:left="760" w:firstLine="1120"/>
        <w:spacing w:after="0" w:line="244" w:lineRule="auto"/>
        <w:tabs>
          <w:tab w:leader="none" w:pos="2315"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with respect to Prime Receivables, no more than [***]% of the Net Pool Balance of such Prime Receivables are UACC Receivables (for the avoidance of doubt, Prime Receivables in an amount greater than this Concentration Limit will be treated as Non-Prime Receivables);</w:t>
      </w:r>
    </w:p>
    <w:p>
      <w:pPr>
        <w:spacing w:after="0" w:line="172"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Non-Prime Receivables that cause the Weighted Average Credit Score of such Non-Prime Receivables to be less than [***], and (ii) Prime Receivables that cause the Weighted Average Credit Score of such Prime Receivables to be less than [***], respectively;</w:t>
      </w:r>
    </w:p>
    <w:p>
      <w:pPr>
        <w:spacing w:after="0" w:line="172" w:lineRule="exact"/>
        <w:rPr>
          <w:rFonts w:ascii="Times New Roman" w:cs="Times New Roman" w:eastAsia="Times New Roman" w:hAnsi="Times New Roman"/>
          <w:sz w:val="22"/>
          <w:szCs w:val="22"/>
          <w:color w:val="auto"/>
        </w:rPr>
      </w:pPr>
    </w:p>
    <w:p>
      <w:pPr>
        <w:ind w:left="760" w:firstLine="1120"/>
        <w:spacing w:after="0" w:line="244" w:lineRule="auto"/>
        <w:tabs>
          <w:tab w:leader="none" w:pos="2315"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Non-Prime Receivables that cause the Weighted Average LTV Ratio of such Non-Prime Receivables to be greater than [***]%, and (ii) Prime Receivables that cause the Weighted Average LTV Ratio of such Prime Receivables to be greater than [***]%, respectively;</w:t>
      </w:r>
    </w:p>
    <w:p>
      <w:pPr>
        <w:spacing w:after="0" w:line="172" w:lineRule="exact"/>
        <w:rPr>
          <w:rFonts w:ascii="Times New Roman" w:cs="Times New Roman" w:eastAsia="Times New Roman" w:hAnsi="Times New Roman"/>
          <w:sz w:val="22"/>
          <w:szCs w:val="22"/>
          <w:color w:val="auto"/>
        </w:rPr>
      </w:pPr>
    </w:p>
    <w:p>
      <w:pPr>
        <w:jc w:val="both"/>
        <w:ind w:left="760" w:firstLine="1120"/>
        <w:spacing w:after="0" w:line="234" w:lineRule="auto"/>
        <w:tabs>
          <w:tab w:leader="none" w:pos="2315"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Receivables related to Obligors with mailing addresses in any State exceeding [***]% of the Net Pool Balance for three consecutive months or more, and for which the Borrower has not within [***] days of the occurrence thereof, furnished to the Secured Parties favorable Opinions of Counsel for the Borrower, in form and substance satisfactory to the Administrative Agent, covering each such State,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w:t>
      </w:r>
    </w:p>
    <w:p>
      <w:pPr>
        <w:spacing w:after="0" w:line="184"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Non-Prime Receivables that with obligors that do not have FICO® Scores are no more than [***]% of the Net Pool Balance of Non-Prime Receivables; or</w:t>
      </w:r>
    </w:p>
    <w:p>
      <w:pPr>
        <w:spacing w:after="0" w:line="157"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Non-Prime Receivables that cause the Weighted Average PTI Ratio of such Non-Prime Receivables to be greater than [***]%.</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Schedule C-1 Receivables shall not be included in the calculations of the Concentration Limits described in paragraphs (c) and (f) above.</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information with respect to the Borrower or UACC, their respective businesses or financial condition, the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0" w:name="page621"/>
    <w:bookmarkEnd w:id="620"/>
    <w:p>
      <w:pPr>
        <w:jc w:val="both"/>
        <w:spacing w:after="0" w:line="235" w:lineRule="auto"/>
        <w:rPr>
          <w:sz w:val="20"/>
          <w:szCs w:val="20"/>
          <w:color w:val="auto"/>
        </w:rPr>
      </w:pPr>
      <w:r>
        <w:rPr>
          <w:rFonts w:ascii="Times New Roman" w:cs="Times New Roman" w:eastAsia="Times New Roman" w:hAnsi="Times New Roman"/>
          <w:sz w:val="22"/>
          <w:szCs w:val="22"/>
          <w:color w:val="auto"/>
        </w:rPr>
        <w:t>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from a third party who is not known by such Person to be subject to an obligation of confidentiality or otherwise prohibited from transmitting such information.</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Basic Documents).</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retail installment sale contract executed by an Obligor for a Financed Vehicle under which an extension of credit by the Originator is made in the ordinary course of business to such Obligor and which is secured by the related Financed Vehicle which the Borrower acquires all right, title or interest to from UACC pursuant to the Purchase Agreement or a related Transfer Agreement.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Cram Down Loss</w:t>
      </w:r>
      <w:r>
        <w:rPr>
          <w:rFonts w:ascii="Times New Roman" w:cs="Times New Roman" w:eastAsia="Times New Roman" w:hAnsi="Times New Roman"/>
          <w:sz w:val="22"/>
          <w:szCs w:val="22"/>
          <w:color w:val="auto"/>
        </w:rPr>
        <w:t>” 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greater of the contract rate or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21" w:name="page622"/>
    <w:bookmarkEnd w:id="621"/>
    <w:p>
      <w:pPr>
        <w:jc w:val="both"/>
        <w:spacing w:after="0" w:line="258" w:lineRule="auto"/>
        <w:rPr>
          <w:sz w:val="20"/>
          <w:szCs w:val="20"/>
          <w:color w:val="auto"/>
        </w:rPr>
      </w:pPr>
      <w:r>
        <w:rPr>
          <w:rFonts w:ascii="Times New Roman" w:cs="Times New Roman" w:eastAsia="Times New Roman" w:hAnsi="Times New Roman"/>
          <w:sz w:val="22"/>
          <w:szCs w:val="22"/>
          <w:color w:val="auto"/>
        </w:rPr>
        <w:t>rate of interest specified by the court in such order) of the Scheduled Payments as so modified or restructured. A “Cram Down Loss” shall be deemed to have occurred on the date such order is entered.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means, (x) with respect to the initial Servicer, the credit and collection policies of the Servicer or (y) with respect to any Successor Servicer, the customary credit and collection policies of such Successor Servicer. The Credit and Collection Policy, as in effect on the Closing Date, [***].</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Custodial Agreement</w:t>
      </w:r>
      <w:r>
        <w:rPr>
          <w:rFonts w:ascii="Times New Roman" w:cs="Times New Roman" w:eastAsia="Times New Roman" w:hAnsi="Times New Roman"/>
          <w:sz w:val="22"/>
          <w:szCs w:val="22"/>
          <w:color w:val="auto"/>
        </w:rPr>
        <w:t>” means a Custodial Agreement entered into between the Administrative Agent and a successor Custodian, pursuant to Section 7.19(j).</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xml:space="preserve">” means, (i) so long as no Custodian Termination Event has occurred, UACC, acting directly as Custodian and/or [***] as an agent of UACC, and (ii) following the occurrence of a Custodian Termination Event, a successor Custodian appointed pursuant to </w:t>
      </w:r>
      <w:r>
        <w:rPr>
          <w:rFonts w:ascii="Times New Roman" w:cs="Times New Roman" w:eastAsia="Times New Roman" w:hAnsi="Times New Roman"/>
          <w:sz w:val="22"/>
          <w:szCs w:val="22"/>
          <w:u w:val="single" w:color="auto"/>
          <w:color w:val="auto"/>
        </w:rPr>
        <w:t>Section 7.19(j)</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Custodian Fee</w:t>
      </w:r>
      <w:r>
        <w:rPr>
          <w:rFonts w:ascii="Times New Roman" w:cs="Times New Roman" w:eastAsia="Times New Roman" w:hAnsi="Times New Roman"/>
          <w:sz w:val="20"/>
          <w:szCs w:val="20"/>
          <w:color w:val="auto"/>
        </w:rPr>
        <w:t xml:space="preserve">” means the fee payable to the Custodian on each Payment Date in accordance with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in an amount equal to, if the Custodian is (i) UACC, $0 (as the Servicing Fee covers the compensation of UACC as Custodian), and (ii) any entity other than UACC, the amount agreed upon by such successor Custodian, the Borrower and the Administrative Agent.</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Custodian Termination Event</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Cutoff Date</w:t>
      </w:r>
      <w:r>
        <w:rPr>
          <w:rFonts w:ascii="Times New Roman" w:cs="Times New Roman" w:eastAsia="Times New Roman" w:hAnsi="Times New Roman"/>
          <w:sz w:val="22"/>
          <w:szCs w:val="22"/>
          <w:color w:val="auto"/>
        </w:rPr>
        <w:t>” means, with respect to Receivables transferred to the Borrower on each Funding Date, such date as shall be identified as the Cutoff Date in the related Funding Request.</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Dealer</w:t>
      </w:r>
      <w:r>
        <w:rPr>
          <w:rFonts w:ascii="Times New Roman" w:cs="Times New Roman" w:eastAsia="Times New Roman" w:hAnsi="Times New Roman"/>
          <w:sz w:val="22"/>
          <w:szCs w:val="22"/>
          <w:color w:val="auto"/>
        </w:rPr>
        <w:t>” 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Dealer Agreement</w:t>
      </w:r>
      <w:r>
        <w:rPr>
          <w:rFonts w:ascii="Times New Roman" w:cs="Times New Roman" w:eastAsia="Times New Roman" w:hAnsi="Times New Roman"/>
          <w:sz w:val="20"/>
          <w:szCs w:val="20"/>
          <w:color w:val="auto"/>
        </w:rPr>
        <w:t>” 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the related receivables sold by such Dealer, including that such Dealer has all applicable licenses and approvals to originate receivables, and</w:t>
      </w:r>
    </w:p>
    <w:p>
      <w:pPr>
        <w:spacing w:after="0" w:line="2" w:lineRule="exact"/>
        <w:rPr>
          <w:sz w:val="20"/>
          <w:szCs w:val="20"/>
          <w:color w:val="auto"/>
        </w:rPr>
      </w:pPr>
    </w:p>
    <w:p>
      <w:pPr>
        <w:ind w:left="5520" w:right="4980" w:hanging="5512"/>
        <w:spacing w:after="0" w:line="507" w:lineRule="auto"/>
        <w:tabs>
          <w:tab w:leader="none" w:pos="329" w:val="left"/>
        </w:tabs>
        <w:numPr>
          <w:ilvl w:val="0"/>
          <w:numId w:val="5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 of such Dealer to repurchase contracts and any related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22"/>
          <w:szCs w:val="22"/>
          <w:color w:val="auto"/>
        </w:rPr>
        <w:t>receivable with respect to which one or more of such representations and warranties has been breached.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means the sum of (a) the Term SOFR Rate or the Base Rate, as the case may be, and (b) [***]%.</w:t>
      </w:r>
    </w:p>
    <w:p>
      <w:pPr>
        <w:spacing w:after="0" w:line="20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with respect to any Collection Period, a Receivable for which, as of the related Determination Date, (i) the Servicer has repossessed the related Financed Vehicle and either (a) the Servicer has sold and received proceeds on each sale for such Financed Vehicle and received the proceeds of such sale or (b) 90 days have passed since repossession, (ii) the Servicer has determined in good faith and in accordance with its Credit and Collection Policy that it has received all amounts it expects to recover, or (iii) 10% or more of a scheduled payment became 121 or more days delinquent (or 211 or more days delinquent, in the case of a repossessed Financed Vehicle).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aggregate Principal Balance of all Eligible Receivables as of such Determination Date.</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any Receivable, other than a Defaulted Receivable, with respect to which more than 10% of any Scheduled Payment remains unpaid for more than 61 days after the related due date.</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Deliver</w:t>
      </w:r>
      <w:r>
        <w:rPr>
          <w:rFonts w:ascii="Times New Roman" w:cs="Times New Roman" w:eastAsia="Times New Roman" w:hAnsi="Times New Roman"/>
          <w:sz w:val="22"/>
          <w:szCs w:val="22"/>
          <w:color w:val="auto"/>
        </w:rPr>
        <w:t>” means (x) with respect to a Tangible Contract or other item in a Receivable File (other than an Electronic Contract), to deliver physical possession of such Tangible Contract or item via personal delivery or reputable overnight delivery service and (y) with respect to an Electronic Contract, to initiate a transfer (or cause the Originator to initiate a transfer) of such Electronic Contract from the Originator Vault Partition to the Warehouse Vault Partition. The terms “</w:t>
      </w: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Delivered</w:t>
      </w:r>
      <w:r>
        <w:rPr>
          <w:rFonts w:ascii="Times New Roman" w:cs="Times New Roman" w:eastAsia="Times New Roman" w:hAnsi="Times New Roman"/>
          <w:sz w:val="22"/>
          <w:szCs w:val="22"/>
          <w:color w:val="auto"/>
        </w:rPr>
        <w:t>” have corollary meanings.</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Derivative</w:t>
      </w:r>
      <w:r>
        <w:rPr>
          <w:rFonts w:ascii="Times New Roman" w:cs="Times New Roman" w:eastAsia="Times New Roman" w:hAnsi="Times New Roman"/>
          <w:sz w:val="22"/>
          <w:szCs w:val="22"/>
          <w:color w:val="auto"/>
        </w:rPr>
        <w:t>” means any (i) exchange-traded or over-the-counter forward, future, option, swap, cap, collar, floor or foreign exchange contract or any combination of the foregoing, whether for physical delivery or cash settlement, relating to any interest rate, interest rate index, currency, 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means, with respect to any Payment Date and the related Collection Period, the last day of such Collection Period.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Dissenting Lender</w:t>
      </w:r>
      <w:r>
        <w:rPr>
          <w:rFonts w:ascii="Times New Roman" w:cs="Times New Roman" w:eastAsia="Times New Roman" w:hAnsi="Times New Roman"/>
          <w:sz w:val="20"/>
          <w:szCs w:val="20"/>
          <w:color w:val="auto"/>
        </w:rPr>
        <w:t>” means a Non-Extending Lender from the date of its refusal notice or the end of the Election Period.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3" w:name="page624"/>
    <w:bookmarkEnd w:id="62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means The Dodd-Frank Wall Street Reform and Consumer Protection Act (Pub.L. 111-203, H.R.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4173), as amended.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E-Vault Access Agreement</w:t>
      </w:r>
      <w:r>
        <w:rPr>
          <w:rFonts w:ascii="Times New Roman" w:cs="Times New Roman" w:eastAsia="Times New Roman" w:hAnsi="Times New Roman"/>
          <w:sz w:val="22"/>
          <w:szCs w:val="22"/>
          <w:color w:val="auto"/>
        </w:rPr>
        <w:t>” shall mean an access agreement by and between the E-Vault Provider and the Custodian in form and substance satisfactory to the Administrative Agent, with such changes as may be agreed to in writing by the Administrative Agent from time to time.</w:t>
      </w:r>
    </w:p>
    <w:p>
      <w:pPr>
        <w:spacing w:after="0" w:line="172" w:lineRule="exact"/>
        <w:rPr>
          <w:sz w:val="20"/>
          <w:szCs w:val="20"/>
          <w:color w:val="auto"/>
        </w:rPr>
      </w:pPr>
    </w:p>
    <w:p>
      <w:pPr>
        <w:jc w:val="both"/>
        <w:ind w:firstLine="749"/>
        <w:spacing w:after="0" w:line="30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E-Vault Provider</w:t>
      </w:r>
      <w:r>
        <w:rPr>
          <w:rFonts w:ascii="Times New Roman" w:cs="Times New Roman" w:eastAsia="Times New Roman" w:hAnsi="Times New Roman"/>
          <w:sz w:val="20"/>
          <w:szCs w:val="20"/>
          <w:color w:val="auto"/>
        </w:rPr>
        <w:t>” shall mean as of the Closing Date, [***] or, thereafter, any other party hired by UACC to process the origination and execution of and to maintain control of the electronic contracts that is satisfactory to the Administrative Agent.</w:t>
      </w:r>
    </w:p>
    <w:p>
      <w:pPr>
        <w:spacing w:after="0" w:line="11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E-Vault System</w:t>
      </w:r>
      <w:r>
        <w:rPr>
          <w:rFonts w:ascii="Times New Roman" w:cs="Times New Roman" w:eastAsia="Times New Roman" w:hAnsi="Times New Roman"/>
          <w:sz w:val="22"/>
          <w:szCs w:val="22"/>
          <w:color w:val="auto"/>
        </w:rPr>
        <w:t>” shall mean the “[***] Authoritative Copy System” maintained by the E-Vault Provider (if [***]) or any similar system maintained by any other E-Vault Provider.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Amortization Event</w:t>
      </w:r>
      <w:r>
        <w:rPr>
          <w:rFonts w:ascii="Times New Roman" w:cs="Times New Roman" w:eastAsia="Times New Roman" w:hAnsi="Times New Roman"/>
          <w:sz w:val="22"/>
          <w:szCs w:val="22"/>
          <w:color w:val="auto"/>
        </w:rPr>
        <w:t>” shall mean [***]</w:t>
      </w:r>
    </w:p>
    <w:p>
      <w:pPr>
        <w:spacing w:after="0" w:line="171" w:lineRule="exact"/>
        <w:rPr>
          <w:sz w:val="20"/>
          <w:szCs w:val="20"/>
          <w:color w:val="auto"/>
        </w:rPr>
      </w:pPr>
    </w:p>
    <w:p>
      <w:pPr>
        <w:ind w:left="76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Election Period</w:t>
      </w:r>
      <w:r>
        <w:rPr>
          <w:rFonts w:ascii="Times New Roman" w:cs="Times New Roman" w:eastAsia="Times New Roman" w:hAnsi="Times New Roman"/>
          <w:sz w:val="22"/>
          <w:szCs w:val="22"/>
          <w:color w:val="auto"/>
        </w:rPr>
        <w:t>” means the 60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day period following the date of a request for an extension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Collateral Control Agreement</w:t>
      </w:r>
      <w:r>
        <w:rPr>
          <w:rFonts w:ascii="Times New Roman" w:cs="Times New Roman" w:eastAsia="Times New Roman" w:hAnsi="Times New Roman"/>
          <w:sz w:val="22"/>
          <w:szCs w:val="22"/>
          <w:color w:val="auto"/>
        </w:rPr>
        <w:t>” shall mean an electronic collateral control agreement by and among the E-Vault Provider, the Borrower, the Custodian and the Administrative Agent in form and substance satisfactory to the Administrative Agent, with such changes as may be agreed to in writing by the Administrative Agent from time to time.</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Contract</w:t>
      </w:r>
      <w:r>
        <w:rPr>
          <w:rFonts w:ascii="Times New Roman" w:cs="Times New Roman" w:eastAsia="Times New Roman" w:hAnsi="Times New Roman"/>
          <w:sz w:val="22"/>
          <w:szCs w:val="22"/>
          <w:color w:val="auto"/>
        </w:rPr>
        <w:t>” means a Contract that constitutes “electronic chattel paper” under and as defined in Section 9-102(31) of the UCC.</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Person (i) whose short-term rating is not less than the Short-Term Rating Requirement, or whose obligations under this Agreement are guaranteed by a Person whose short-term rating is not less than the Short-Term Rating Requirement, (ii) who is either a multi-seller commercial paper conduit or an Affiliate of a Secured Party or (iii) who is acceptable to the Administrative Agent; provided that, so long as no Termination Event or Servicer Termination Event has occurred and is continuing, such Person, if not an Affiliate of a Secured Party, shall be acceptable to the Borrower.</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xml:space="preserve">” means, on any day, any Receivable (i) for which the related Receivable File is in the possession of the Servicer or the Custodian, (ii) which is identified on the Schedule of Receivables delivered by the Borrower to the Secured Parties as part of a Funding Request and (iii) (x) which satisfies each of the eligibility requirements set forth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hereto or (y) is a Schedule C-1 Receivable.</w:t>
      </w:r>
    </w:p>
    <w:p>
      <w:pPr>
        <w:spacing w:after="0" w:line="179"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and the regulations promulgated and rulings issued thereunder.</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(i) any corporation which is a member of the same controlled group of corporations (within the meaning of Section 414(b) of the Code) as the Borrower or as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624" w:name="page625"/>
    <w:bookmarkEnd w:id="624"/>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Servicer, as applicable, (ii) a trade or business (whether or not incorporated) under common control (within the meaning of Section 414(c) of the Code) with the Borrower or with the Servicer, as applicable (iii) a member of the same affiliated service group (within the meaning of Section 414(m) of the Code) as the Borrower or as Servicer, as applicable, any corporation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or any trade or business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Concentration Amount</w:t>
      </w:r>
      <w:r>
        <w:rPr>
          <w:rFonts w:ascii="Times New Roman" w:cs="Times New Roman" w:eastAsia="Times New Roman" w:hAnsi="Times New Roman"/>
          <w:sz w:val="22"/>
          <w:szCs w:val="22"/>
          <w:color w:val="auto"/>
        </w:rPr>
        <w:t>” means, with respect to any day, without duplication, the Net Pool Balance of Receivables that cause one or more of the Concentration Limits to not be met; provided, however, that the Excess Concentration Amount will be $0 on any day (i) during the first two full Collection Periods following a Securitization Date or (ii) until the Loans Outstanding exceed $[***] as of the related Determination Date.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Spread Percentage</w:t>
      </w:r>
      <w:r>
        <w:rPr>
          <w:rFonts w:ascii="Times New Roman" w:cs="Times New Roman" w:eastAsia="Times New Roman" w:hAnsi="Times New Roman"/>
          <w:sz w:val="22"/>
          <w:szCs w:val="22"/>
          <w:color w:val="auto"/>
        </w:rPr>
        <w:t xml:space="preserve">” means, with respect to any Payment Date and the related Collection Period, an annualized percentage equal to (i) the weighted average APR of all Eligible Receivables (weighted by Principal Balance) on the related Determination Date minus (ii) the sum of (a) the weighted average rate used to calculate Interest pursuant to </w:t>
      </w:r>
      <w:r>
        <w:rPr>
          <w:rFonts w:ascii="Times New Roman" w:cs="Times New Roman" w:eastAsia="Times New Roman" w:hAnsi="Times New Roman"/>
          <w:sz w:val="22"/>
          <w:szCs w:val="22"/>
          <w:u w:val="single" w:color="auto"/>
          <w:color w:val="auto"/>
        </w:rPr>
        <w:t>Section 2.07(b)</w:t>
      </w:r>
      <w:r>
        <w:rPr>
          <w:rFonts w:ascii="Times New Roman" w:cs="Times New Roman" w:eastAsia="Times New Roman" w:hAnsi="Times New Roman"/>
          <w:sz w:val="22"/>
          <w:szCs w:val="22"/>
          <w:color w:val="auto"/>
        </w:rPr>
        <w:t xml:space="preserve"> and (b) the Servicing Fee Rate.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(i) net income Taxes, franchise Taxes (imposed in lieu of net income Taxes) and branch profits Taxes, in each case imposed on any Secured Party as a result of a present or former connection between such Secured Party (including any applicable lending office) and the jurisdiction of the Governmental Authority imposing such Tax or any political subdivision or taxing authority thereof or therein (other than any such connection arising from such Secured Party’s having executed, delivered, become a party to or performed its obligations or received a payment under, received or perfected a security interest under, engaged in any other transaction pursuant to or enforced, this Agreement or the other Basic Documents, or sold or assigned any interest in a Loan or any Basic Document), (ii) any U.S. withholding Taxes that result from a Lender’s failure to comply with the requirements of </w:t>
      </w:r>
      <w:r>
        <w:rPr>
          <w:rFonts w:ascii="Times New Roman" w:cs="Times New Roman" w:eastAsia="Times New Roman" w:hAnsi="Times New Roman"/>
          <w:sz w:val="22"/>
          <w:szCs w:val="22"/>
          <w:u w:val="single" w:color="auto"/>
          <w:color w:val="auto"/>
        </w:rPr>
        <w:t>Section 2.14(e) or (f)</w:t>
      </w:r>
      <w:r>
        <w:rPr>
          <w:rFonts w:ascii="Times New Roman" w:cs="Times New Roman" w:eastAsia="Times New Roman" w:hAnsi="Times New Roman"/>
          <w:sz w:val="22"/>
          <w:szCs w:val="22"/>
          <w:color w:val="auto"/>
        </w:rPr>
        <w:t>, (iii) in the case of any Non-U.S. Lender, any U.S withholding Taxes that are imposed on amounts payable to such Non-U.S. Lender at the time such Non-U.S. Lender becomes a party to this Agreement or changes the applicable lending office with respect to this Agreement (other than in regard to a change of parties or offices at the request of Borrower), and (iv) any withholding Taxes under FATCA.</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Receivables</w:t>
      </w:r>
      <w:r>
        <w:rPr>
          <w:rFonts w:ascii="Times New Roman" w:cs="Times New Roman" w:eastAsia="Times New Roman" w:hAnsi="Times New Roman"/>
          <w:sz w:val="22"/>
          <w:szCs w:val="22"/>
          <w:color w:val="auto"/>
        </w:rPr>
        <w:t>” means the Receivables that become a part of the Collateral in connection with the Initial Loan.</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Exported</w:t>
      </w:r>
      <w:r>
        <w:rPr>
          <w:rFonts w:ascii="Times New Roman" w:cs="Times New Roman" w:eastAsia="Times New Roman" w:hAnsi="Times New Roman"/>
          <w:sz w:val="22"/>
          <w:szCs w:val="22"/>
          <w:color w:val="auto"/>
        </w:rPr>
        <w:t>” with respect to a Contract, means the Custodian has decommissioned the related electronic chattel paper and the Authoritative Copy of such Contract is printed out pursuant to a “Paper Out”™ within the meaning specified in the System Description. “Export” and “Exporting” shall have corollary meanings.</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Receivable</w:t>
      </w:r>
      <w:r>
        <w:rPr>
          <w:rFonts w:ascii="Times New Roman" w:cs="Times New Roman" w:eastAsia="Times New Roman" w:hAnsi="Times New Roman"/>
          <w:sz w:val="22"/>
          <w:szCs w:val="22"/>
          <w:color w:val="auto"/>
        </w:rPr>
        <w:t>” means any Receivable for which an extension or payment deferment was made (or is in effect) pursuant to the Credit and Collection Policy.</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Ratio</w:t>
      </w:r>
      <w:r>
        <w:rPr>
          <w:rFonts w:ascii="Times New Roman" w:cs="Times New Roman" w:eastAsia="Times New Roman" w:hAnsi="Times New Roman"/>
          <w:sz w:val="22"/>
          <w:szCs w:val="22"/>
          <w:color w:val="auto"/>
        </w:rPr>
        <w:t>” means, with respect to any Payment Date and the related Collection Period, the percentage equivalent of a fraction, (i) the numerator of which equals the Pool Balance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5" w:name="page626"/>
    <w:bookmarkEnd w:id="625"/>
    <w:p>
      <w:pPr>
        <w:jc w:val="both"/>
        <w:spacing w:after="0" w:line="307" w:lineRule="auto"/>
        <w:rPr>
          <w:sz w:val="20"/>
          <w:szCs w:val="20"/>
          <w:color w:val="auto"/>
        </w:rPr>
      </w:pPr>
      <w:r>
        <w:rPr>
          <w:rFonts w:ascii="Times New Roman" w:cs="Times New Roman" w:eastAsia="Times New Roman" w:hAnsi="Times New Roman"/>
          <w:sz w:val="20"/>
          <w:szCs w:val="20"/>
          <w:color w:val="auto"/>
        </w:rPr>
        <w:t>of all Receivables that became Extended Receivables during such Collection Period and (ii) the denominator of which equals the average of (i) the Pool Balance as of the related Determination Date and (b) the Pool Balance as of the Prior Determination Date.</w:t>
      </w:r>
    </w:p>
    <w:p>
      <w:pPr>
        <w:spacing w:after="0" w:line="11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Amount</w:t>
      </w:r>
      <w:r>
        <w:rPr>
          <w:rFonts w:ascii="Times New Roman" w:cs="Times New Roman" w:eastAsia="Times New Roman" w:hAnsi="Times New Roman"/>
          <w:sz w:val="22"/>
          <w:szCs w:val="22"/>
          <w:color w:val="auto"/>
        </w:rPr>
        <w:t>” means (i) prior to the Termination Date, the Aggregate Commitments on such day, and (ii) on and after the Termination Date, the Loans Outstanding.</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Termination Date</w:t>
      </w:r>
      <w:r>
        <w:rPr>
          <w:rFonts w:ascii="Times New Roman" w:cs="Times New Roman" w:eastAsia="Times New Roman" w:hAnsi="Times New Roman"/>
          <w:sz w:val="22"/>
          <w:szCs w:val="22"/>
          <w:color w:val="auto"/>
        </w:rPr>
        <w:t>” means the date on which the Aggregate Unpaids have been indefeasibly paid in full and all commitments hereunder have terminated.</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 166/167 Rules</w:t>
      </w:r>
      <w:r>
        <w:rPr>
          <w:rFonts w:ascii="Times New Roman" w:cs="Times New Roman" w:eastAsia="Times New Roman" w:hAnsi="Times New Roman"/>
          <w:sz w:val="22"/>
          <w:szCs w:val="22"/>
          <w:color w:val="auto"/>
        </w:rPr>
        <w:t>” 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December 15, 2009, by the Federal Accounting Standard Board.</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 and any fiscal or regulatory legislation, rules or official administrative practices adopted pursuant to any intergovernmental agreement, treaty or convention among Governmental Authorities and implementing such Sections of the Code.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a floating rate equal to the weighted average of the rates on overnight federal funds transactions among members of the Federal Reserve System, as determined by Administrative Agent in its sole discretion, which determination shall be final, binding and conclusive (absent manifest error).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the letter, dated as of the Closing Date, among the Borrower, and the Administrative Agent, setting forth the Unused Fee Rate, the Upfront Fee and the Applicable Margin.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Fifth Third</w:t>
      </w:r>
      <w:r>
        <w:rPr>
          <w:rFonts w:ascii="Times New Roman" w:cs="Times New Roman" w:eastAsia="Times New Roman" w:hAnsi="Times New Roman"/>
          <w:sz w:val="22"/>
          <w:szCs w:val="22"/>
          <w:color w:val="auto"/>
        </w:rPr>
        <w:t>” means Fifth Third Bank, National Association.</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the earlier to occur of (i) 12 Payment Dates following the end of the Commitment Termination Date as described in clauses (i) and (ii) of such definition and (ii) the Termination Date.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Financed Vehicle</w:t>
      </w:r>
      <w:r>
        <w:rPr>
          <w:rFonts w:ascii="Times New Roman" w:cs="Times New Roman" w:eastAsia="Times New Roman" w:hAnsi="Times New Roman"/>
          <w:sz w:val="22"/>
          <w:szCs w:val="22"/>
          <w:color w:val="auto"/>
        </w:rPr>
        <w:t>” means, with respect to a Receivable, any new or used automobile, light- and medium-duty truck, minivan, sport utility vehicle or other passenger vehicle, together with all accessions thereto, securing the related Obligor’s Indebtedness thereunder.</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means any delay or failure to perform hereunder due to floods, pandemics, epidemics, riots, strikes, freight embargoes, acts of God, acts of war or hostilities of</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6" w:name="page627"/>
    <w:bookmarkEnd w:id="626"/>
    <w:p>
      <w:pPr>
        <w:jc w:val="both"/>
        <w:spacing w:after="0" w:line="258" w:lineRule="auto"/>
        <w:rPr>
          <w:sz w:val="20"/>
          <w:szCs w:val="20"/>
          <w:color w:val="auto"/>
        </w:rPr>
      </w:pPr>
      <w:r>
        <w:rPr>
          <w:rFonts w:ascii="Times New Roman" w:cs="Times New Roman" w:eastAsia="Times New Roman" w:hAnsi="Times New Roman"/>
          <w:sz w:val="22"/>
          <w:szCs w:val="22"/>
          <w:color w:val="auto"/>
        </w:rPr>
        <w:t>any nature, laws or regulations of any government (whether foreign or domestic, federal, state, county or municipal), and failures in or unavailability of public or private communication and/or data lines or systems.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Formation Documents</w:t>
      </w:r>
      <w:r>
        <w:rPr>
          <w:rFonts w:ascii="Times New Roman" w:cs="Times New Roman" w:eastAsia="Times New Roman" w:hAnsi="Times New Roman"/>
          <w:sz w:val="22"/>
          <w:szCs w:val="22"/>
          <w:color w:val="auto"/>
        </w:rPr>
        <w:t>” means, with respect to (i) the Borrower, the Trust Agreement and certificate of trust and (ii) UACC, its articles of incorporation and bylaws.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each Business Day on which a Loan is made.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Request</w:t>
      </w:r>
      <w:r>
        <w:rPr>
          <w:rFonts w:ascii="Times New Roman" w:cs="Times New Roman" w:eastAsia="Times New Roman" w:hAnsi="Times New Roman"/>
          <w:sz w:val="22"/>
          <w:szCs w:val="22"/>
          <w:color w:val="auto"/>
        </w:rPr>
        <w:t>” means a written notice from the Borrower requesting a Loan and including the items required by Section 2.01(b), substantially in the form of Exhibit A 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with respect to any Person, any nation or government, any State or other political subdivision thereof, and any agency, department or other entity exercising executive, legislative, judicial, regulatory or administrative functions of or pertaining to government, in each case, having jurisdiction over such Person.</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and any day,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in respect of acceptances issued or created for the account of such Person, (iii) all liabilities secured by any Lien on any property owned by such Person even though such Person has not assumed or otherwise become liable for the payment thereof and (iv) all indebtedness, obligations or liabilities of that Person in respect of Derivatives.</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means all Borrower Indemnified Amounts, Servicer Indemnified Amounts and Seller Indemnified Amounts.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means the Borrower Indemnified Parties, Servicer Indemnified Parties and the Seller Indemnified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(i) Taxes, other than Excluded Taxes, imposed on or with respect to any payment made by or on account of any Obligation of the Borrower under the Loan or any Basic Document and (ii) to the extent not otherwise described in (i) Other Taxes.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Index Floor</w:t>
      </w:r>
      <w:r>
        <w:rPr>
          <w:rFonts w:ascii="Times New Roman" w:cs="Times New Roman" w:eastAsia="Times New Roman" w:hAnsi="Times New Roman"/>
          <w:sz w:val="22"/>
          <w:szCs w:val="22"/>
          <w:color w:val="auto"/>
        </w:rPr>
        <w:t>” means a rate of interest equal to [***]%.</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Loan</w:t>
      </w:r>
      <w:r>
        <w:rPr>
          <w:rFonts w:ascii="Times New Roman" w:cs="Times New Roman" w:eastAsia="Times New Roman" w:hAnsi="Times New Roman"/>
          <w:sz w:val="22"/>
          <w:szCs w:val="22"/>
          <w:color w:val="auto"/>
        </w:rPr>
        <w:t>” means the first Loan made on or after the Closing Date.</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Event</w:t>
      </w:r>
      <w:r>
        <w:rPr>
          <w:rFonts w:ascii="Times New Roman" w:cs="Times New Roman" w:eastAsia="Times New Roman" w:hAnsi="Times New Roman"/>
          <w:sz w:val="22"/>
          <w:szCs w:val="22"/>
          <w:color w:val="auto"/>
        </w:rPr>
        <w:t>” means, with respect to any Person, (i)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627" w:name="page628"/>
    <w:bookmarkEnd w:id="627"/>
    <w:p>
      <w:pPr>
        <w:jc w:val="both"/>
        <w:spacing w:after="0" w:line="235" w:lineRule="auto"/>
        <w:rPr>
          <w:sz w:val="20"/>
          <w:szCs w:val="20"/>
          <w:color w:val="auto"/>
        </w:rPr>
      </w:pPr>
      <w:r>
        <w:rPr>
          <w:rFonts w:ascii="Times New Roman" w:cs="Times New Roman" w:eastAsia="Times New Roman" w:hAnsi="Times New Roman"/>
          <w:sz w:val="22"/>
          <w:szCs w:val="22"/>
          <w:color w:val="auto"/>
        </w:rPr>
        <w:t>liquidation of such Person’s affairs, and such decree or order shall remain unstayed and in effect for a period of 60 consecutive days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Laws</w:t>
      </w:r>
      <w:r>
        <w:rPr>
          <w:rFonts w:ascii="Times New Roman" w:cs="Times New Roman" w:eastAsia="Times New Roman" w:hAnsi="Times New Roman"/>
          <w:sz w:val="22"/>
          <w:szCs w:val="22"/>
          <w:color w:val="auto"/>
        </w:rPr>
        <w:t>” 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means any “instrument” (as defined in Article 9 of the UCC), other than an instrument that constitutes part of chattel paper.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Policy</w:t>
      </w:r>
      <w:r>
        <w:rPr>
          <w:rFonts w:ascii="Times New Roman" w:cs="Times New Roman" w:eastAsia="Times New Roman" w:hAnsi="Times New Roman"/>
          <w:sz w:val="22"/>
          <w:szCs w:val="22"/>
          <w:color w:val="auto"/>
        </w:rPr>
        <w:t>” 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means any amounts payable or any payments made under any Insurance Policy.</w:t>
      </w:r>
    </w:p>
    <w:p>
      <w:pPr>
        <w:spacing w:after="0" w:line="205" w:lineRule="exact"/>
        <w:rPr>
          <w:sz w:val="20"/>
          <w:szCs w:val="20"/>
          <w:color w:val="auto"/>
        </w:rPr>
      </w:pPr>
    </w:p>
    <w:p>
      <w:pPr>
        <w:jc w:val="both"/>
        <w:ind w:firstLine="803"/>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the intercreditor agreement, dated as of February 2, 2011, among UACC, the Lockbox Bank and any other special purpose subsidiary of UACC that executed the Intercreditor Party Supplement and each party listed as an intercreditor party on the signature page thereto, as supplemented by the Intercreditor Party Supplement.</w:t>
      </w:r>
    </w:p>
    <w:p>
      <w:pPr>
        <w:spacing w:after="0" w:line="172" w:lineRule="exact"/>
        <w:rPr>
          <w:sz w:val="20"/>
          <w:szCs w:val="20"/>
          <w:color w:val="auto"/>
        </w:rPr>
      </w:pPr>
    </w:p>
    <w:p>
      <w:pPr>
        <w:jc w:val="both"/>
        <w:ind w:firstLine="81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Party Supplement</w:t>
      </w:r>
      <w:r>
        <w:rPr>
          <w:rFonts w:ascii="Times New Roman" w:cs="Times New Roman" w:eastAsia="Times New Roman" w:hAnsi="Times New Roman"/>
          <w:sz w:val="22"/>
          <w:szCs w:val="22"/>
          <w:color w:val="auto"/>
        </w:rPr>
        <w:t>” means the Intercreditor Party Supplement, dated as of the Closing Date, among the Borrower, the Administrative Agent and the parties to the Intercreditor Agreement.</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means, for any Interest Period and each Loan (or portion thereof) outstanding during such Interest Period, interest on the outstanding Principal Amount of such Loan computed pursuant to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means, with respect to any Payment Date, the immediately preceding Collection Period (or, in the case of the first Payment Date following the Closing Date, from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8" w:name="page629"/>
    <w:bookmarkEnd w:id="628"/>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 xml:space="preserve">including the Closing Date to and including the last day of the Collection Period in which the Closing Date occurs);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Interest Period that commences before the Final Maturity Date that would otherwise end after the Final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Maturity Date shall end on the Final Maturity Date.</w:t>
      </w:r>
    </w:p>
    <w:p>
      <w:pPr>
        <w:spacing w:after="0" w:line="17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xml:space="preserve">” means, with respect to any Loan (or portion thereof) on any day, the sum of (i) the Benchmark on such day and (ii) the related Applicable Margin, provided, however, that for the avoidance of doubt, on each day following the automatic occurrence, or the declaration of the occurrence, of the Termination Date in accordance with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the Interest Rate for each Loan (or portion thereof) shall be a rate per annum equal to the related Default Rate.</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means Collections on deposit in the Collection Account that are used to repay at least $[***] in principal amount of Loans Outstanding pursuant to Section 2.06(e).</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Invested Percentage</w:t>
      </w:r>
      <w:r>
        <w:rPr>
          <w:rFonts w:ascii="Times New Roman" w:cs="Times New Roman" w:eastAsia="Times New Roman" w:hAnsi="Times New Roman"/>
          <w:sz w:val="22"/>
          <w:szCs w:val="22"/>
          <w:color w:val="auto"/>
        </w:rPr>
        <w:t xml:space="preserve">” means, for a Lender on any day, the percentage equivalent of (i) the sum of (a) the portion of the Loans Outstanding (if any) funded by such Lender on such day,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any portion of the Loans Outstanding acquired by such Lender on or prior to such day as an assignee from another Lender pursuant to an Assignment and Acceptance,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 any portion of the Loans Outstanding assigned by such Lender to an assignee on or prior to such day pursuant to an Assignment and Acceptance, </w:t>
      </w:r>
      <w:r>
        <w:rPr>
          <w:rFonts w:ascii="Times New Roman" w:cs="Times New Roman" w:eastAsia="Times New Roman" w:hAnsi="Times New Roman"/>
          <w:sz w:val="22"/>
          <w:szCs w:val="22"/>
          <w:i w:val="1"/>
          <w:iCs w:val="1"/>
          <w:color w:val="auto"/>
        </w:rPr>
        <w:t>divided b</w:t>
      </w:r>
      <w:r>
        <w:rPr>
          <w:rFonts w:ascii="Times New Roman" w:cs="Times New Roman" w:eastAsia="Times New Roman" w:hAnsi="Times New Roman"/>
          <w:sz w:val="22"/>
          <w:szCs w:val="22"/>
          <w:color w:val="auto"/>
        </w:rPr>
        <w:t>y (ii) the Loans Outstanding on such day.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means a Committed Lender,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all of the Committed Lenders.</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Advance</w:t>
      </w:r>
      <w:r>
        <w:rPr>
          <w:rFonts w:ascii="Times New Roman" w:cs="Times New Roman" w:eastAsia="Times New Roman" w:hAnsi="Times New Roman"/>
          <w:sz w:val="22"/>
          <w:szCs w:val="22"/>
          <w:color w:val="auto"/>
        </w:rPr>
        <w:t>” means, a Committed Lender’s Lender Percentage of the Principal Amount of a particular Loan to be made to the Borrower on a Funding Date.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Parties</w:t>
      </w:r>
      <w:r>
        <w:rPr>
          <w:rFonts w:ascii="Times New Roman" w:cs="Times New Roman" w:eastAsia="Times New Roman" w:hAnsi="Times New Roman"/>
          <w:sz w:val="22"/>
          <w:szCs w:val="22"/>
          <w:color w:val="auto"/>
        </w:rPr>
        <w:t>” means, collectively, each Lender, each provider of Bank Products and each provider of Derivatives.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Percentage</w:t>
      </w:r>
      <w:r>
        <w:rPr>
          <w:rFonts w:ascii="Times New Roman" w:cs="Times New Roman" w:eastAsia="Times New Roman" w:hAnsi="Times New Roman"/>
          <w:sz w:val="22"/>
          <w:szCs w:val="22"/>
          <w:color w:val="auto"/>
        </w:rPr>
        <w:t>” means, with respect to a Committed Lender, prior to the occurrence of a Commitment Termination Date, its Commitment as a percentage of the Aggregate Commitment and after a Commitment Termination Date, its Invested Percentage.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Register</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12.01(d)</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Leverage Ratio</w:t>
      </w:r>
      <w:r>
        <w:rPr>
          <w:rFonts w:ascii="Times New Roman" w:cs="Times New Roman" w:eastAsia="Times New Roman" w:hAnsi="Times New Roman"/>
          <w:sz w:val="22"/>
          <w:szCs w:val="22"/>
          <w:color w:val="auto"/>
        </w:rPr>
        <w:t>” means, with respect to any Person as of any day, the ratio of such Person’s total Indebtedness (less the sum of such Person’s (i) unrestricted cash on hand in excess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29" w:name="page630"/>
    <w:bookmarkEnd w:id="629"/>
    <w:p>
      <w:pPr>
        <w:jc w:val="both"/>
        <w:spacing w:after="0" w:line="258" w:lineRule="auto"/>
        <w:rPr>
          <w:sz w:val="20"/>
          <w:szCs w:val="20"/>
          <w:color w:val="auto"/>
        </w:rPr>
      </w:pPr>
      <w:r>
        <w:rPr>
          <w:rFonts w:ascii="Times New Roman" w:cs="Times New Roman" w:eastAsia="Times New Roman" w:hAnsi="Times New Roman"/>
          <w:sz w:val="22"/>
          <w:szCs w:val="22"/>
          <w:color w:val="auto"/>
        </w:rPr>
        <w:t>of $[***] and (ii) restricted cash used for any prefunding of Securitizations) to its Tangible Net Worth, in each case, as of the last day of the immediately preceding calendar quarter.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lien, pledge, charge, claim, security interest or encumbrance of any kind.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Loan-to-Value Ratio</w:t>
      </w:r>
      <w:r>
        <w:rPr>
          <w:rFonts w:ascii="Times New Roman" w:cs="Times New Roman" w:eastAsia="Times New Roman" w:hAnsi="Times New Roman"/>
          <w:sz w:val="22"/>
          <w:szCs w:val="22"/>
          <w:color w:val="auto"/>
        </w:rPr>
        <w:t>” 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 Outstanding</w:t>
      </w:r>
      <w:r>
        <w:rPr>
          <w:rFonts w:ascii="Times New Roman" w:cs="Times New Roman" w:eastAsia="Times New Roman" w:hAnsi="Times New Roman"/>
          <w:sz w:val="22"/>
          <w:szCs w:val="22"/>
          <w:color w:val="auto"/>
        </w:rPr>
        <w:t>” means, on any day, the aggregate Principal Amount of Loans made on or prior to such day, reduced from time to time by payments and distributions in respect of principal of such Loans in accordance with the terms hereof. For avoidance of doubt, on any day the Loans Outstanding are less than the Borrowing Base and solely with respect to the Usage Fee Rate, the Loans Outstanding will be comprised first of the Prime Receivables and the remainder of Loans Outstanding, if any, will be comprised of Non-Prime Receivables.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Party</w:t>
      </w:r>
      <w:r>
        <w:rPr>
          <w:rFonts w:ascii="Times New Roman" w:cs="Times New Roman" w:eastAsia="Times New Roman" w:hAnsi="Times New Roman"/>
          <w:sz w:val="22"/>
          <w:szCs w:val="22"/>
          <w:color w:val="auto"/>
        </w:rPr>
        <w:t>” means the Borrower, the Servicer, the Originator and the Custodian.</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Lockbox Account</w:t>
      </w:r>
      <w:r>
        <w:rPr>
          <w:rFonts w:ascii="Times New Roman" w:cs="Times New Roman" w:eastAsia="Times New Roman" w:hAnsi="Times New Roman"/>
          <w:sz w:val="22"/>
          <w:szCs w:val="22"/>
          <w:color w:val="auto"/>
        </w:rPr>
        <w:t>” means a bank account established and maintained by the Servicer at the Lockbox Bank (or at any other Qualified Institution, with the prior written consent of the Administrative Agent) for the benefit of the Secured Parties pursuant to the Intercreditor Agreement and the Intercreditor Party Supplement.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Lockbox Bank</w:t>
      </w:r>
      <w:r>
        <w:rPr>
          <w:rFonts w:ascii="Times New Roman" w:cs="Times New Roman" w:eastAsia="Times New Roman" w:hAnsi="Times New Roman"/>
          <w:sz w:val="22"/>
          <w:szCs w:val="22"/>
          <w:color w:val="auto"/>
        </w:rPr>
        <w:t>” means [***].</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Rating Requirement</w:t>
      </w:r>
      <w:r>
        <w:rPr>
          <w:rFonts w:ascii="Times New Roman" w:cs="Times New Roman" w:eastAsia="Times New Roman" w:hAnsi="Times New Roman"/>
          <w:sz w:val="22"/>
          <w:szCs w:val="22"/>
          <w:color w:val="auto"/>
        </w:rPr>
        <w:t>” means, with respect to any Person, that such Person has a long-term unsecured debt rating of not less than A by Standard &amp; Poor’s and not less than A2 by Moody’s.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xml:space="preserve">” means, with respect to any Person and to any event or circumstance, a material adverse effect on (i) the business, condition (financial or otherwise), 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w:t>
      </w:r>
      <w:r>
        <w:rPr>
          <w:rFonts w:ascii="Times New Roman" w:cs="Times New Roman" w:eastAsia="Times New Roman" w:hAnsi="Times New Roman"/>
          <w:sz w:val="20"/>
          <w:szCs w:val="20"/>
          <w:u w:val="single" w:color="auto"/>
          <w:color w:val="auto"/>
        </w:rPr>
        <w:t>clauses (a),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taken as a whole, (iii) the rights and remedies of the Secured Parties under this Agreement or any other Basic Document,</w:t>
      </w:r>
    </w:p>
    <w:p>
      <w:pPr>
        <w:spacing w:after="0" w:line="1" w:lineRule="exact"/>
        <w:rPr>
          <w:sz w:val="20"/>
          <w:szCs w:val="20"/>
          <w:color w:val="auto"/>
        </w:rPr>
      </w:pPr>
    </w:p>
    <w:p>
      <w:pPr>
        <w:jc w:val="both"/>
        <w:ind w:firstLine="8"/>
        <w:spacing w:after="0" w:line="235" w:lineRule="auto"/>
        <w:tabs>
          <w:tab w:leader="none" w:pos="370"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Lawful Rate</w:t>
      </w:r>
      <w:r>
        <w:rPr>
          <w:rFonts w:ascii="Times New Roman" w:cs="Times New Roman" w:eastAsia="Times New Roman" w:hAnsi="Times New Roman"/>
          <w:sz w:val="22"/>
          <w:szCs w:val="22"/>
          <w:color w:val="auto"/>
        </w:rPr>
        <w:t>” means the highest rate of interest permissible under Applicable Law.</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630" w:name="page631"/>
    <w:bookmarkEnd w:id="630"/>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Accrued Interest Payment Amount</w:t>
      </w:r>
      <w:r>
        <w:rPr>
          <w:rFonts w:ascii="Times New Roman" w:cs="Times New Roman" w:eastAsia="Times New Roman" w:hAnsi="Times New Roman"/>
          <w:sz w:val="22"/>
          <w:szCs w:val="22"/>
          <w:color w:val="auto"/>
        </w:rPr>
        <w:t>” means, with respect to any Payment Date and the related Collection Period during which an Interpayment is made, an amount equal to the sum of, without duplication, (i) the amount, if any, by which Collections for such Collection Period are not sufficient to make the Interest payments described in clause (iv) and (vi) of Section 2.08(a) on such Payment Date and (ii) an amount equal to Interest on the Loans repaid by such Interpayment through the end of the related Interest Period.</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Principal Payment Amount</w:t>
      </w:r>
      <w:r>
        <w:rPr>
          <w:rFonts w:ascii="Times New Roman" w:cs="Times New Roman" w:eastAsia="Times New Roman" w:hAnsi="Times New Roman"/>
          <w:sz w:val="22"/>
          <w:szCs w:val="22"/>
          <w:color w:val="auto"/>
        </w:rPr>
        <w:t>” means, with respect to any Payment Date and the related Collection Period, the amount, if any, necessary to reduce the Loans Outstanding to the Borrowing Base as of the last day of such Collection Period.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w:t>
      </w:r>
      <w:r>
        <w:rPr>
          <w:rFonts w:ascii="Times New Roman" w:cs="Times New Roman" w:eastAsia="Times New Roman" w:hAnsi="Times New Roman"/>
          <w:sz w:val="22"/>
          <w:szCs w:val="22"/>
          <w:color w:val="auto"/>
        </w:rPr>
        <w:t>” means a monthly statement of the Servicer delivered on each Reporting Date with respect to the immediately preceding Collection Period, [***], which may be modified from time to time as mutually agreed by the Servicer, the Paying Agent and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which is or was at any time during the current year or the immediately preceding five years contributed to by the Borrower or any ERISA Affiliate of the Borrower, or by the Servicer or any ERISA Affiliate of the Servicer, as applicable, on behalf of its employees.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Loss</w:t>
      </w:r>
      <w:r>
        <w:rPr>
          <w:rFonts w:ascii="Times New Roman" w:cs="Times New Roman" w:eastAsia="Times New Roman" w:hAnsi="Times New Roman"/>
          <w:sz w:val="22"/>
          <w:szCs w:val="22"/>
          <w:color w:val="auto"/>
        </w:rPr>
        <w:t xml:space="preserve">” means, with respect to any Payment Date and the related Collection Period, an amount equal to (i) the Pool Balance of all Receivables that first became Defaulted Receivables during such Collection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all Recoveries received by the Servicer during such Collection Period with respect to any Defaulted Receivables.</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Pool Balance</w:t>
      </w:r>
      <w:r>
        <w:rPr>
          <w:rFonts w:ascii="Times New Roman" w:cs="Times New Roman" w:eastAsia="Times New Roman" w:hAnsi="Times New Roman"/>
          <w:sz w:val="22"/>
          <w:szCs w:val="22"/>
          <w:color w:val="auto"/>
        </w:rPr>
        <w:t>” means on any day with respect to all of the Receivables or a specified portion of the Receivables, as indicated by the context, the aggregate Principal Balance of all such Receivables that are Eligible Receivables.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Non-Extending Lender</w:t>
      </w:r>
      <w:r>
        <w:rPr>
          <w:rFonts w:ascii="Times New Roman" w:cs="Times New Roman" w:eastAsia="Times New Roman" w:hAnsi="Times New Roman"/>
          <w:sz w:val="22"/>
          <w:szCs w:val="22"/>
          <w:color w:val="auto"/>
        </w:rPr>
        <w:t>” means, after its respective Commitment Termination Date, each Committed Lender that has declined to extend such Commitment Termination Date in accordance with Section 2.04, to the extent not replaced pursuant to Section 2.04(b).</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Non-Prime Receivable</w:t>
      </w:r>
      <w:r>
        <w:rPr>
          <w:rFonts w:ascii="Times New Roman" w:cs="Times New Roman" w:eastAsia="Times New Roman" w:hAnsi="Times New Roman"/>
          <w:sz w:val="22"/>
          <w:szCs w:val="22"/>
          <w:color w:val="auto"/>
        </w:rPr>
        <w:t>” means, an Eligible Receivable as to which all of the following criteria are satisfied as of its respective Cut-Off Date, or, with respect to criteria no. 6 below, as of the most recent date of determination:</w:t>
      </w:r>
    </w:p>
    <w:p>
      <w:pPr>
        <w:spacing w:after="0" w:line="157" w:lineRule="exact"/>
        <w:rPr>
          <w:sz w:val="20"/>
          <w:szCs w:val="20"/>
          <w:color w:val="auto"/>
        </w:rPr>
      </w:pPr>
    </w:p>
    <w:p>
      <w:pPr>
        <w:ind w:left="1180" w:hanging="424"/>
        <w:spacing w:after="0"/>
        <w:tabs>
          <w:tab w:leader="none" w:pos="1180"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 Prime Receivable;</w:t>
      </w:r>
    </w:p>
    <w:p>
      <w:pPr>
        <w:spacing w:after="0" w:line="205"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other than for a Schedule C-1 Receivable, had an original term of not more than [***] months;</w:t>
      </w:r>
    </w:p>
    <w:p>
      <w:pPr>
        <w:spacing w:after="0" w:line="205"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other than for a Schedule C-1 Receivable, had an original Principal Balance of not more than $[***];</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1" w:name="page632"/>
    <w:bookmarkEnd w:id="631"/>
    <w:p>
      <w:pPr>
        <w:ind w:left="1180" w:hanging="424"/>
        <w:spacing w:after="0"/>
        <w:tabs>
          <w:tab w:leader="none" w:pos="1180" w:val="left"/>
        </w:tabs>
        <w:numPr>
          <w:ilvl w:val="0"/>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other than for a Schedule C-1 Receivable, had a Loan-to-Value Ratio of no greater than [***]%;</w:t>
      </w:r>
    </w:p>
    <w:p>
      <w:pPr>
        <w:spacing w:after="0" w:line="205"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other than for a Schedule C-1 Receivable, had a PTI Ratio of no greater than [***]%; and</w:t>
      </w:r>
    </w:p>
    <w:p>
      <w:pPr>
        <w:spacing w:after="0" w:line="205" w:lineRule="exact"/>
        <w:rPr>
          <w:rFonts w:ascii="Times New Roman" w:cs="Times New Roman" w:eastAsia="Times New Roman" w:hAnsi="Times New Roman"/>
          <w:sz w:val="22"/>
          <w:szCs w:val="22"/>
          <w:color w:val="auto"/>
        </w:rPr>
      </w:pPr>
    </w:p>
    <w:p>
      <w:pPr>
        <w:ind w:left="1140" w:right="20" w:hanging="384"/>
        <w:spacing w:after="0" w:line="258" w:lineRule="auto"/>
        <w:tabs>
          <w:tab w:leader="none" w:pos="1197" w:val="left"/>
        </w:tabs>
        <w:numPr>
          <w:ilvl w:val="0"/>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an Eligible Receivable that is in excess of the [***]% concentration limit described in paragraph (a) of the definition of “Concentration Limits”.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Non-U.S. Lender</w:t>
      </w:r>
      <w:r>
        <w:rPr>
          <w:rFonts w:ascii="Times New Roman" w:cs="Times New Roman" w:eastAsia="Times New Roman" w:hAnsi="Times New Roman"/>
          <w:sz w:val="22"/>
          <w:szCs w:val="22"/>
          <w:color w:val="auto"/>
        </w:rPr>
        <w:t>” means a Lender that is not a “United States person” as defined in Code Section 7701(a)(30).</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loans, advances, debts, liabilities, indemnities and obligations for monetary amounts owing by the Borrower to the Secured Parties, the Administrative Agent, the Paying Agent, the Owner Trustee,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or any other Basic Document, whether or not evidenced by any separate Note, agreement or other instrument, including all unpaid Principal Amounts, Interest (including Interest that accrues after the commencement against the Borrower of any action under the Bankruptcy Code), amounts payable pursuant to Sections 2.13 and 2.14, Breakage Costs, Indemnified Amounts, fees, including any and all arrangement fees, loan fees and Unused Fees, and any and all other fees, expenses, costs, indemnities or other sums (including attorney fees and disbursements) chargeable to the Borrower under the Basic Documents.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each Person obligated to make payments pursuant to a Receivable, including any guarantor thereof.</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a certificate signed by any officer of the Borrower, the Servicer, the Originator, the Performance Guarantor or the Custodian, as the case may be, and delivered to the Administrative Agent.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with respect to any Person, a written opinion of counsel, who is reasonably acceptable to the Administrative Agent.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means UACC.</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 Vault Partition</w:t>
      </w:r>
      <w:r>
        <w:rPr>
          <w:rFonts w:ascii="Times New Roman" w:cs="Times New Roman" w:eastAsia="Times New Roman" w:hAnsi="Times New Roman"/>
          <w:sz w:val="22"/>
          <w:szCs w:val="22"/>
          <w:color w:val="auto"/>
        </w:rPr>
        <w:t>” shall mean the segregated partition of the E-Vault System governed by an E-Vault Access Agreement which reflects the owner of record as UACC.</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2" w:name="page633"/>
    <w:bookmarkEnd w:id="632"/>
    <w:p>
      <w:pPr>
        <w:jc w:val="both"/>
        <w:spacing w:after="0" w:line="258" w:lineRule="auto"/>
        <w:rPr>
          <w:sz w:val="20"/>
          <w:szCs w:val="20"/>
          <w:color w:val="auto"/>
        </w:rPr>
      </w:pPr>
      <w:r>
        <w:rPr>
          <w:rFonts w:ascii="Times New Roman" w:cs="Times New Roman" w:eastAsia="Times New Roman" w:hAnsi="Times New Roman"/>
          <w:sz w:val="22"/>
          <w:szCs w:val="22"/>
          <w:color w:val="auto"/>
        </w:rPr>
        <w:t>performed its obligations under, received payments under, received or perfected a security interest under, engaged in any other transaction pursuant to or enforced any Basic Document, or sold or assigned an interest in any Loan or Basic Document).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recording, stamp, documentary, court, intangible, recording, filing or similar Taxes, charges or levies arising from any payment made under this Agreement or from the execution, delivery, performance, registration or enforcement of, from the receipt or perfection of a security interest under, or otherwise with respect to this Agreement or other Basic Document.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Warehouse Agreements</w:t>
      </w:r>
      <w:r>
        <w:rPr>
          <w:rFonts w:ascii="Times New Roman" w:cs="Times New Roman" w:eastAsia="Times New Roman" w:hAnsi="Times New Roman"/>
          <w:sz w:val="22"/>
          <w:szCs w:val="22"/>
          <w:color w:val="auto"/>
        </w:rPr>
        <w:t>” means all warehouse agreements, credit agreements, funding agreements or similar agreements of UACC and its Affiliates, other than this Agreement, that are secured or collateralized by similar motor vehicle receivables.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 Trustee</w:t>
      </w:r>
      <w:r>
        <w:rPr>
          <w:rFonts w:ascii="Times New Roman" w:cs="Times New Roman" w:eastAsia="Times New Roman" w:hAnsi="Times New Roman"/>
          <w:sz w:val="22"/>
          <w:szCs w:val="22"/>
          <w:color w:val="auto"/>
        </w:rPr>
        <w:t>” means [***], not in its individual capacity, but solely as Owner Trustee under the Trust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Owners</w:t>
      </w:r>
      <w:r>
        <w:rPr>
          <w:rFonts w:ascii="Times New Roman" w:cs="Times New Roman" w:eastAsia="Times New Roman" w:hAnsi="Times New Roman"/>
          <w:sz w:val="22"/>
          <w:szCs w:val="22"/>
          <w:color w:val="auto"/>
        </w:rPr>
        <w:t>” means the Lenders that are owners of record of the Notes.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Paper-In Contract</w:t>
      </w:r>
      <w:r>
        <w:rPr>
          <w:rFonts w:ascii="Times New Roman" w:cs="Times New Roman" w:eastAsia="Times New Roman" w:hAnsi="Times New Roman"/>
          <w:sz w:val="22"/>
          <w:szCs w:val="22"/>
          <w:color w:val="auto"/>
        </w:rPr>
        <w:t>” means a Tangible Contract that has been converted to an Electronic Contract in accordance with the requirements of the E-Vault System.</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w:t>
      </w:r>
      <w:r>
        <w:rPr>
          <w:rFonts w:ascii="Times New Roman" w:cs="Times New Roman" w:eastAsia="Times New Roman" w:hAnsi="Times New Roman"/>
          <w:sz w:val="22"/>
          <w:szCs w:val="22"/>
          <w:color w:val="auto"/>
        </w:rPr>
        <w:t>” means the occurrence of the election of one or more Non-Extending Lenders after the Commitment Termination Date to not extend its Commitment, unless such Non-Extending Lender is replaced pursuant to Section 2.04(b) or unless the Termination Date shall have occurred.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Partial Expiration Event Amount</w:t>
      </w:r>
      <w:r>
        <w:rPr>
          <w:rFonts w:ascii="Times New Roman" w:cs="Times New Roman" w:eastAsia="Times New Roman" w:hAnsi="Times New Roman"/>
          <w:sz w:val="22"/>
          <w:szCs w:val="22"/>
          <w:color w:val="auto"/>
        </w:rPr>
        <w:t>” means the portion of Loans Outstanding payable in connection with a Partial Expiration Event.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means the USA PATRIOT Act (Title III of Pub. L. 107-56 (signed into law October 26, 2001)) as the same may be amended from time to time, and corresponding provisions of future laws.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 Fee</w:t>
      </w:r>
      <w:r>
        <w:rPr>
          <w:rFonts w:ascii="Times New Roman" w:cs="Times New Roman" w:eastAsia="Times New Roman" w:hAnsi="Times New Roman"/>
          <w:sz w:val="22"/>
          <w:szCs w:val="22"/>
          <w:color w:val="auto"/>
        </w:rPr>
        <w:t>” means $[***] per month.</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11.09(a)</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both"/>
        <w:ind w:firstLine="749"/>
        <w:spacing w:after="0" w:line="21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means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or, if any such day is not a Business Day, the next succeeding Business Day, commencing January 12, 2023.</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11.09(b)</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Plans</w:t>
      </w:r>
      <w:r>
        <w:rPr>
          <w:rFonts w:ascii="Times New Roman" w:cs="Times New Roman" w:eastAsia="Times New Roman" w:hAnsi="Times New Roman"/>
          <w:sz w:val="22"/>
          <w:szCs w:val="22"/>
          <w:color w:val="auto"/>
        </w:rPr>
        <w:t>” means an “employee pension benefit plan,” as such term is defined in Section 3 of ERISA, which is subject to Title IV of ERISA or Section 412 of the Code and which is or was at any time during the current year or the immediately preceding five years contributed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3" w:name="page634"/>
    <w:bookmarkEnd w:id="633"/>
    <w:p>
      <w:pPr>
        <w:ind w:right="20"/>
        <w:spacing w:after="0" w:line="258" w:lineRule="auto"/>
        <w:rPr>
          <w:sz w:val="20"/>
          <w:szCs w:val="20"/>
          <w:color w:val="auto"/>
        </w:rPr>
      </w:pPr>
      <w:r>
        <w:rPr>
          <w:rFonts w:ascii="Times New Roman" w:cs="Times New Roman" w:eastAsia="Times New Roman" w:hAnsi="Times New Roman"/>
          <w:sz w:val="22"/>
          <w:szCs w:val="22"/>
          <w:color w:val="auto"/>
        </w:rPr>
        <w:t>to by the Borrower or any ERISA Affiliate of the Borrower, or by the Servicer or any ERISA Affiliate of the Servicer, as applicable, for any of its employees.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Guarantor</w:t>
      </w:r>
      <w:r>
        <w:rPr>
          <w:rFonts w:ascii="Times New Roman" w:cs="Times New Roman" w:eastAsia="Times New Roman" w:hAnsi="Times New Roman"/>
          <w:sz w:val="22"/>
          <w:szCs w:val="22"/>
          <w:color w:val="auto"/>
        </w:rPr>
        <w:t>” means Vroom Finance Holdings, LLC.</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Guaranty</w:t>
      </w:r>
      <w:r>
        <w:rPr>
          <w:rFonts w:ascii="Times New Roman" w:cs="Times New Roman" w:eastAsia="Times New Roman" w:hAnsi="Times New Roman"/>
          <w:sz w:val="22"/>
          <w:szCs w:val="22"/>
          <w:color w:val="auto"/>
        </w:rPr>
        <w:t>” means the Performance Guaranty, dated as of Closing Date, from the Performance Guarantor, in favor of the Secured Parties.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 any of the following types of investments:</w:t>
      </w:r>
    </w:p>
    <w:p>
      <w:pPr>
        <w:spacing w:after="0" w:line="205" w:lineRule="exact"/>
        <w:rPr>
          <w:sz w:val="20"/>
          <w:szCs w:val="20"/>
          <w:color w:val="auto"/>
        </w:rPr>
      </w:pPr>
    </w:p>
    <w:p>
      <w:pPr>
        <w:ind w:left="860" w:right="20" w:firstLine="647"/>
        <w:spacing w:after="0" w:line="307" w:lineRule="auto"/>
        <w:tabs>
          <w:tab w:leader="none" w:pos="1947" w:val="left"/>
        </w:tabs>
        <w:numPr>
          <w:ilvl w:val="0"/>
          <w:numId w:val="5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obligations of the United States, the full and timely payment of which are backed by the full faith and credit of the United States and which have a maturity of not more than 270 days from the date of acquisition;</w:t>
      </w:r>
    </w:p>
    <w:p>
      <w:pPr>
        <w:spacing w:after="0" w:line="112" w:lineRule="exact"/>
        <w:rPr>
          <w:rFonts w:ascii="Times New Roman" w:cs="Times New Roman" w:eastAsia="Times New Roman" w:hAnsi="Times New Roman"/>
          <w:sz w:val="20"/>
          <w:szCs w:val="20"/>
          <w:color w:val="auto"/>
        </w:rPr>
      </w:pPr>
    </w:p>
    <w:p>
      <w:pPr>
        <w:jc w:val="both"/>
        <w:ind w:left="860" w:firstLine="647"/>
        <w:spacing w:after="0" w:line="264" w:lineRule="exact"/>
        <w:tabs>
          <w:tab w:leader="none" w:pos="1947"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w:t>
      </w:r>
    </w:p>
    <w:p>
      <w:pPr>
        <w:spacing w:after="0" w:line="146" w:lineRule="exact"/>
        <w:rPr>
          <w:rFonts w:ascii="Times New Roman" w:cs="Times New Roman" w:eastAsia="Times New Roman" w:hAnsi="Times New Roman"/>
          <w:sz w:val="22"/>
          <w:szCs w:val="22"/>
          <w:color w:val="auto"/>
        </w:rPr>
      </w:pPr>
    </w:p>
    <w:p>
      <w:pPr>
        <w:ind w:left="860" w:right="60" w:firstLine="647"/>
        <w:spacing w:after="0" w:line="258" w:lineRule="auto"/>
        <w:tabs>
          <w:tab w:leader="none" w:pos="1947"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ten days for underlying securities of the types described in clauses (i) and (ii) above entered into with any bank of the type described in clause (ii) above;</w:t>
      </w:r>
    </w:p>
    <w:p>
      <w:pPr>
        <w:spacing w:after="0" w:line="122" w:lineRule="exact"/>
        <w:rPr>
          <w:rFonts w:ascii="Times New Roman" w:cs="Times New Roman" w:eastAsia="Times New Roman" w:hAnsi="Times New Roman"/>
          <w:sz w:val="22"/>
          <w:szCs w:val="22"/>
          <w:color w:val="auto"/>
        </w:rPr>
      </w:pPr>
    </w:p>
    <w:p>
      <w:pPr>
        <w:ind w:left="1940" w:hanging="433"/>
        <w:spacing w:after="0" w:line="253" w:lineRule="exact"/>
        <w:tabs>
          <w:tab w:leader="none" w:pos="1940"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rated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253" w:lineRule="exact"/>
        <w:rPr>
          <w:rFonts w:ascii="Times New Roman" w:cs="Times New Roman" w:eastAsia="Times New Roman" w:hAnsi="Times New Roman"/>
          <w:sz w:val="22"/>
          <w:szCs w:val="22"/>
          <w:color w:val="auto"/>
        </w:rPr>
      </w:pPr>
    </w:p>
    <w:p>
      <w:pPr>
        <w:jc w:val="both"/>
        <w:ind w:left="860" w:firstLine="647"/>
        <w:spacing w:after="0" w:line="239" w:lineRule="auto"/>
        <w:tabs>
          <w:tab w:leader="none" w:pos="1947"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registered under the Investment Company Act having a rating, at the time of such investment, of not less than Aaa by Moody’s and AAAm by Standard &amp; Poor’s (including any such funds for which the Paying Agent in its individual capacity, or any of its Affiliates, receives compensation as administrator, sponsor, agent or the like);</w:t>
      </w:r>
    </w:p>
    <w:p>
      <w:pPr>
        <w:spacing w:after="0" w:line="178" w:lineRule="exact"/>
        <w:rPr>
          <w:rFonts w:ascii="Times New Roman" w:cs="Times New Roman" w:eastAsia="Times New Roman" w:hAnsi="Times New Roman"/>
          <w:sz w:val="22"/>
          <w:szCs w:val="22"/>
          <w:color w:val="auto"/>
        </w:rPr>
      </w:pPr>
    </w:p>
    <w:p>
      <w:pPr>
        <w:jc w:val="both"/>
        <w:ind w:left="860" w:firstLine="647"/>
        <w:spacing w:after="0" w:line="257" w:lineRule="exact"/>
        <w:tabs>
          <w:tab w:leader="none" w:pos="1947"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Rating Requirement; or</w:t>
      </w:r>
    </w:p>
    <w:p>
      <w:pPr>
        <w:spacing w:after="0" w:line="148" w:lineRule="exact"/>
        <w:rPr>
          <w:rFonts w:ascii="Times New Roman" w:cs="Times New Roman" w:eastAsia="Times New Roman" w:hAnsi="Times New Roman"/>
          <w:sz w:val="22"/>
          <w:szCs w:val="22"/>
          <w:color w:val="auto"/>
        </w:rPr>
      </w:pPr>
    </w:p>
    <w:p>
      <w:pPr>
        <w:ind w:left="1940" w:hanging="433"/>
        <w:spacing w:after="0"/>
        <w:tabs>
          <w:tab w:leader="none" w:pos="1940"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investments approved in writing by the Administrative Agent;</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provided, that each of the Permitted Investments may be purchased by the Paying Agent or through an Affiliate of the Paying Agent.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4" w:name="page635"/>
    <w:bookmarkEnd w:id="634"/>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(i) Liens in favor of the Administrative Agent, as agent for the Secured Parties, created pursuant to this Agreement or any other Basic Document and (ii) Liens related to a Financed Vehicle for Taxes, labor, materials or storage, (iii) Liens for Taxes and assessments and governmental charges or levies that are not yet due and payable or that are being contested in good faith and by proper proceedings and as to which appropriate reserves are being maintained, provided that they have been fully reserved for in accordance with GAAP, and (iv) with respect to the Accounts, Liens on the Lockbox Account in favor of the Lockbox Bank pursuant to the Intercreditor Agreement, and Liens on the Collection Account in favor of the Administrative Agent hereunder.</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Pool Balance</w:t>
      </w:r>
      <w:r>
        <w:rPr>
          <w:rFonts w:ascii="Times New Roman" w:cs="Times New Roman" w:eastAsia="Times New Roman" w:hAnsi="Times New Roman"/>
          <w:sz w:val="22"/>
          <w:szCs w:val="22"/>
          <w:color w:val="auto"/>
        </w:rPr>
        <w:t>” means, as of any day, the aggregate Principal Balance of all Receivables (or if indicated by the context, a specified portion of the Receivables) as of such day.</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Purchase Receivable</w:t>
      </w:r>
      <w:r>
        <w:rPr>
          <w:rFonts w:ascii="Times New Roman" w:cs="Times New Roman" w:eastAsia="Times New Roman" w:hAnsi="Times New Roman"/>
          <w:sz w:val="22"/>
          <w:szCs w:val="22"/>
          <w:color w:val="auto"/>
        </w:rPr>
        <w:t>” means any Receivable originated by Vroom Automotive, LLC or an Affiliate thereof, originally transferred to a third party purchaser who paid par or above par for the Receivable and then reacquired by Vroom Automotive, LLC or an Affiliate thereof and then subsequently acquired by the Borrower on or after the Closing Date, and with respect to which the Servicer holds the Certificate of Title or the application for a Certificate of Title for the related Financed Vehicle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5348605</wp:posOffset>
            </wp:positionH>
            <wp:positionV relativeFrom="paragraph">
              <wp:posOffset>-492760</wp:posOffset>
            </wp:positionV>
            <wp:extent cx="5143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w:t>
      </w:r>
      <w:r>
        <w:rPr>
          <w:rFonts w:ascii="Times New Roman" w:cs="Times New Roman" w:eastAsia="Times New Roman" w:hAnsi="Times New Roman"/>
          <w:sz w:val="22"/>
          <w:szCs w:val="22"/>
          <w:color w:val="auto"/>
        </w:rPr>
        <w:t>” means one or more post office boxes established and maintained by the Servicer for the benefit of the Secured Parties pursuant to the Intercreditor Agreement and the Intercreditor Party Supplement.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 Office Box Processor</w:t>
      </w:r>
      <w:r>
        <w:rPr>
          <w:rFonts w:ascii="Times New Roman" w:cs="Times New Roman" w:eastAsia="Times New Roman" w:hAnsi="Times New Roman"/>
          <w:sz w:val="22"/>
          <w:szCs w:val="22"/>
          <w:color w:val="auto"/>
        </w:rPr>
        <w:t>” means the Lockbox Bank and any other Person that may from time to time perform lockbox services with respect to one or more Post Office Boxes.</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means a Power of Attorney of the Borrower appointing the Administrative Agent as its lawful attorney in accordance with Section 9.05, in substantially the form of Exhibit E.</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as of any date,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Receivable</w:t>
      </w:r>
      <w:r>
        <w:rPr>
          <w:rFonts w:ascii="Times New Roman" w:cs="Times New Roman" w:eastAsia="Times New Roman" w:hAnsi="Times New Roman"/>
          <w:sz w:val="22"/>
          <w:szCs w:val="22"/>
          <w:color w:val="auto"/>
        </w:rPr>
        <w:t>” means, prior to the occurrence of a Prime Receivable Conversion Event, an Eligible Receivable as to which all of the following criteria are satisfied as of its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22"/>
          <w:szCs w:val="22"/>
          <w:color w:val="auto"/>
        </w:rPr>
        <w:t>respective Cut-Off Date, or, with respect to criteria no. 5 below, as of the most recent date of determination:</w:t>
      </w:r>
    </w:p>
    <w:p>
      <w:pPr>
        <w:spacing w:after="0" w:line="205" w:lineRule="exact"/>
        <w:rPr>
          <w:sz w:val="20"/>
          <w:szCs w:val="20"/>
          <w:color w:val="auto"/>
        </w:rPr>
      </w:pPr>
    </w:p>
    <w:p>
      <w:pPr>
        <w:ind w:left="1140" w:right="60" w:hanging="384"/>
        <w:spacing w:after="0" w:line="258" w:lineRule="auto"/>
        <w:tabs>
          <w:tab w:leader="none" w:pos="1197"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primary Obligor has a credit bureau score obtained from Fair-Isaacs Corporation, Experian, Equifax of TransUnion LLC, of at least [***];</w:t>
      </w:r>
    </w:p>
    <w:p>
      <w:pPr>
        <w:spacing w:after="0" w:line="157"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an original Principal Balance of not more than $[***];</w:t>
      </w:r>
    </w:p>
    <w:p>
      <w:pPr>
        <w:spacing w:after="0" w:line="205"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an original term of no fewer than 12 months and no more than [***] months;</w:t>
      </w:r>
    </w:p>
    <w:p>
      <w:pPr>
        <w:spacing w:after="0" w:line="205" w:lineRule="exact"/>
        <w:rPr>
          <w:rFonts w:ascii="Times New Roman" w:cs="Times New Roman" w:eastAsia="Times New Roman" w:hAnsi="Times New Roman"/>
          <w:sz w:val="22"/>
          <w:szCs w:val="22"/>
          <w:color w:val="auto"/>
        </w:rPr>
      </w:pPr>
    </w:p>
    <w:p>
      <w:pPr>
        <w:ind w:left="1180" w:hanging="424"/>
        <w:spacing w:after="0"/>
        <w:tabs>
          <w:tab w:leader="none" w:pos="1180"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other than for a Schedule C-1 Receivable, had a Loan-to-Value Ratio of no greater than [***]%; and</w:t>
      </w:r>
    </w:p>
    <w:p>
      <w:pPr>
        <w:spacing w:after="0" w:line="205" w:lineRule="exact"/>
        <w:rPr>
          <w:rFonts w:ascii="Times New Roman" w:cs="Times New Roman" w:eastAsia="Times New Roman" w:hAnsi="Times New Roman"/>
          <w:sz w:val="22"/>
          <w:szCs w:val="22"/>
          <w:color w:val="auto"/>
        </w:rPr>
      </w:pPr>
    </w:p>
    <w:p>
      <w:pPr>
        <w:ind w:left="1140" w:right="20" w:hanging="384"/>
        <w:spacing w:after="0" w:line="258" w:lineRule="auto"/>
        <w:tabs>
          <w:tab w:leader="none" w:pos="1197"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an Eligible Receivable that is in excess of the [***]% concentration limit described in paragraph (a) of the definition of “Concentration Limits”.</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for the avoidance of doubt, if any Prime Receivable Conversion Event has occurred, all Prime Receivables shall be treated as Non-Prime Receivables for all purposes hereunder and for any Basic Document.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Receivable Conversion Event</w:t>
      </w:r>
      <w:r>
        <w:rPr>
          <w:rFonts w:ascii="Times New Roman" w:cs="Times New Roman" w:eastAsia="Times New Roman" w:hAnsi="Times New Roman"/>
          <w:sz w:val="22"/>
          <w:szCs w:val="22"/>
          <w:color w:val="auto"/>
        </w:rPr>
        <w:t>” means the occurrence of any of the following events:</w:t>
      </w:r>
    </w:p>
    <w:p>
      <w:pPr>
        <w:spacing w:after="0" w:line="205" w:lineRule="exact"/>
        <w:rPr>
          <w:sz w:val="20"/>
          <w:szCs w:val="20"/>
          <w:color w:val="auto"/>
        </w:rPr>
      </w:pPr>
    </w:p>
    <w:p>
      <w:pPr>
        <w:ind w:left="380" w:right="20" w:firstLine="1123"/>
        <w:spacing w:after="0" w:line="258" w:lineRule="auto"/>
        <w:rPr>
          <w:sz w:val="20"/>
          <w:szCs w:val="20"/>
          <w:color w:val="auto"/>
        </w:rPr>
      </w:pPr>
      <w:r>
        <w:rPr>
          <w:rFonts w:ascii="Times New Roman" w:cs="Times New Roman" w:eastAsia="Times New Roman" w:hAnsi="Times New Roman"/>
          <w:sz w:val="22"/>
          <w:szCs w:val="22"/>
          <w:color w:val="auto"/>
        </w:rPr>
        <w:t>(a) the arithmetic mean of the Annualized Net Loss Ratio for the related Collection and the two previous Collection Periods for Prime Receivables exceeds [***]%;</w:t>
      </w:r>
    </w:p>
    <w:p>
      <w:pPr>
        <w:spacing w:after="0" w:line="157" w:lineRule="exact"/>
        <w:rPr>
          <w:sz w:val="20"/>
          <w:szCs w:val="20"/>
          <w:color w:val="auto"/>
        </w:rPr>
      </w:pPr>
    </w:p>
    <w:p>
      <w:pPr>
        <w:ind w:left="760" w:right="20" w:firstLine="745"/>
        <w:spacing w:after="0" w:line="258" w:lineRule="auto"/>
        <w:tabs>
          <w:tab w:leader="none" w:pos="1940"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Annualized Default Ratio for the related Collection Period and the two previous Collection Periods for Prime Receivables exceeds [***]%;</w:t>
      </w:r>
    </w:p>
    <w:p>
      <w:pPr>
        <w:spacing w:after="0" w:line="157"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0"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Extension Ratio for the related Collection Period and the two previous Collection Periods for Prime Receivables exceeds [***]%;</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0"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arithmetic mean of the Delinquency Ratio for the related Collection Period and the two preceding Collection Periods for Prime Receivables exceeds [***]%, and the Delinquency Ratio for the current Collection Period for Prime Receivables exceeds [***]%; or</w:t>
      </w:r>
    </w:p>
    <w:p>
      <w:pPr>
        <w:spacing w:after="0" w:line="17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Delinquency Ratio for the current Collection Period for Prime Receivables exceeds [***]%.</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person holding an ownership interest in a Borrower of 25% or more.</w:t>
      </w:r>
    </w:p>
    <w:p>
      <w:pPr>
        <w:spacing w:after="0" w:line="20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means, with respect to any Loan, the aggregate amount advanced by the Lenders on the Funding Date in respect of such Loan.</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Balance</w:t>
      </w:r>
      <w:r>
        <w:rPr>
          <w:rFonts w:ascii="Times New Roman" w:cs="Times New Roman" w:eastAsia="Times New Roman" w:hAnsi="Times New Roman"/>
          <w:sz w:val="22"/>
          <w:szCs w:val="22"/>
          <w:color w:val="auto"/>
        </w:rPr>
        <w:t>” means, with respect to a Receivable, as of the close of business on a date of determination, the Amount Financed of such Receivable minus the sum of the following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6" w:name="page637"/>
    <w:bookmarkEnd w:id="636"/>
    <w:p>
      <w:pPr>
        <w:jc w:val="both"/>
        <w:spacing w:after="0" w:line="237" w:lineRule="auto"/>
        <w:rPr>
          <w:sz w:val="20"/>
          <w:szCs w:val="20"/>
          <w:color w:val="auto"/>
        </w:rPr>
      </w:pPr>
      <w:r>
        <w:rPr>
          <w:rFonts w:ascii="Times New Roman" w:cs="Times New Roman" w:eastAsia="Times New Roman" w:hAnsi="Times New Roman"/>
          <w:sz w:val="22"/>
          <w:szCs w:val="22"/>
          <w:color w:val="auto"/>
        </w:rPr>
        <w:t>related amounts, without duplication, (i) that portion of all Scheduled Payments actually received on or prior to such day allocable to principal using the Simple Interest Method, (ii) any payment of the Release Price with respect to a Receivable allocable to principal, (iii) any Cram Down Loss and (iv) any prepayment in full or any partial prepayment applied in reduction of principal. Notwithstanding the foregoing, and without duplication, the Principal Balance of a Defaulted Receivable will be zero as of the last day of the Collection Period during which it became a Defaulted Receivable.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PTI Ratio</w:t>
      </w:r>
      <w:r>
        <w:rPr>
          <w:rFonts w:ascii="Times New Roman" w:cs="Times New Roman" w:eastAsia="Times New Roman" w:hAnsi="Times New Roman"/>
          <w:sz w:val="22"/>
          <w:szCs w:val="22"/>
          <w:color w:val="auto"/>
        </w:rPr>
        <w:t>” means with respect to any Receivable, as of the related origination date, the ratio (expressed as a percentage) of (x) the scheduled monthly payment amount of such Receivable on the date such Receivable was originated, to (y) the combined monthly gross income from all sources of the Obligor(s) on the date such Receivable was originated.</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the Purchase and Contribution Agreement, dated as of the Closing Date, between UACC and the Borrower, and each Transfer Agreement.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Institution</w:t>
      </w:r>
      <w:r>
        <w:rPr>
          <w:rFonts w:ascii="Times New Roman" w:cs="Times New Roman" w:eastAsia="Times New Roman" w:hAnsi="Times New Roman"/>
          <w:sz w:val="22"/>
          <w:szCs w:val="22"/>
          <w:color w:val="auto"/>
        </w:rPr>
        <w:t>” 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Agency</w:t>
      </w:r>
      <w:r>
        <w:rPr>
          <w:rFonts w:ascii="Times New Roman" w:cs="Times New Roman" w:eastAsia="Times New Roman" w:hAnsi="Times New Roman"/>
          <w:sz w:val="22"/>
          <w:szCs w:val="22"/>
          <w:color w:val="auto"/>
        </w:rPr>
        <w:t>” means any nationally recognized statistical ratings organization acceptable to the Administrative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Request</w:t>
      </w:r>
      <w:r>
        <w:rPr>
          <w:rFonts w:ascii="Times New Roman" w:cs="Times New Roman" w:eastAsia="Times New Roman" w:hAnsi="Times New Roman"/>
          <w:sz w:val="22"/>
          <w:szCs w:val="22"/>
          <w:color w:val="auto"/>
        </w:rPr>
        <w:t>” means a written request by the Administrative Agent to the Borrower and the Servicer, stating that the Administrative Agent intends to request that one or more Rating Agencies publicly/privately issue a rating to the transactions contemplated by this Agreement pursuant to Section 2.13(g).</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and loan made by a Dealer or the Originator with respect to a Financed Vehicle in connection therewith, and includes the right of payment of any finance charges and other obligations of the Obligor with respect thereto. Notwithstanding the foregoing, once the Administrative Agent has released its security interest in a Receivable and the related Contract in accordance with the terms of this Agreement, such Receivable shall no longer be a Receivable hereunder.</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Data</w:t>
      </w:r>
      <w:r>
        <w:rPr>
          <w:rFonts w:ascii="Times New Roman" w:cs="Times New Roman" w:eastAsia="Times New Roman" w:hAnsi="Times New Roman"/>
          <w:sz w:val="22"/>
          <w:szCs w:val="22"/>
          <w:color w:val="auto"/>
        </w:rPr>
        <w:t>” means a data tape, which shall include as to each Receivable such information as shall be agreed upon by the Administrative Agent and the Servicer, including such information as the Administrative Agent may reasonably request from time to time to satisfy or fulfill regulatory requirements applicable to the Secured Parties, including capital treatment under Basel II or Basel III.</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File</w:t>
      </w:r>
      <w:r>
        <w:rPr>
          <w:rFonts w:ascii="Times New Roman" w:cs="Times New Roman" w:eastAsia="Times New Roman" w:hAnsi="Times New Roman"/>
          <w:sz w:val="22"/>
          <w:szCs w:val="22"/>
          <w:color w:val="auto"/>
        </w:rPr>
        <w:t>” means, with respect to each Receivable and the related Contract, (i) (x) in the case of a Tangible Contract, the original fully executed Contract, (y) in the case of 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7" w:name="page638"/>
    <w:bookmarkEnd w:id="637"/>
    <w:p>
      <w:pPr>
        <w:jc w:val="both"/>
        <w:spacing w:after="0" w:line="239" w:lineRule="auto"/>
        <w:rPr>
          <w:sz w:val="20"/>
          <w:szCs w:val="20"/>
          <w:color w:val="auto"/>
        </w:rPr>
      </w:pPr>
      <w:r>
        <w:rPr>
          <w:rFonts w:ascii="Times New Roman" w:cs="Times New Roman" w:eastAsia="Times New Roman" w:hAnsi="Times New Roman"/>
          <w:sz w:val="22"/>
          <w:szCs w:val="22"/>
          <w:color w:val="auto"/>
        </w:rPr>
        <w:t>Electronic Contract, an Authoritative Copy of the executed Contract and (z) in the case of a Contract which has been Exported, the physical rendering of the related Electronic Contract produced upon Export, together with the related document history report, and (ii) any instruments or documents that may modify the terms and conditions of such Receivable or Contract and the original endorsements or assignments of such Contract.</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Receipt</w:t>
      </w:r>
      <w:r>
        <w:rPr>
          <w:rFonts w:ascii="Times New Roman" w:cs="Times New Roman" w:eastAsia="Times New Roman" w:hAnsi="Times New Roman"/>
          <w:sz w:val="22"/>
          <w:szCs w:val="22"/>
          <w:color w:val="auto"/>
        </w:rPr>
        <w:t>” means the receivable receipt substantially in the form attached hereto as Exhibit G executed by the Custodian for the benefit of the Administrative Agent.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with respect to any Receivable, all documents, books, records and other information (including computer programs, tapes, disks, data processing software and related property and rights) maintained with respect to any related item of Collateral and the related Obligor.</w:t>
      </w:r>
    </w:p>
    <w:p>
      <w:pPr>
        <w:spacing w:after="0" w:line="1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Recoveries</w:t>
      </w:r>
      <w:r>
        <w:rPr>
          <w:rFonts w:ascii="Times New Roman" w:cs="Times New Roman" w:eastAsia="Times New Roman" w:hAnsi="Times New Roman"/>
          <w:sz w:val="20"/>
          <w:szCs w:val="20"/>
          <w:color w:val="auto"/>
        </w:rPr>
        <w:t>” means, with respect to any Payment Date and the related Collection Period, all monies collected from whatever source during such Collection Period in respect of a Defaulted Receivable, including Insurance Proceeds (but excluding payment of the related Release Price), net of any amounts required by Applicable Law to be remitted to the related Obligor and net of the Servicer’s reasonable out-of-pocket expenses (other than overhead) incurred in connection with the liquidation of such Defaulted Receivable and the related Financed Vehicle, to the extent not previously reimbursed to the Servicer.</w:t>
      </w:r>
    </w:p>
    <w:p>
      <w:pPr>
        <w:spacing w:after="0" w:line="15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 of Titles</w:t>
      </w:r>
      <w:r>
        <w:rPr>
          <w:rFonts w:ascii="Times New Roman" w:cs="Times New Roman" w:eastAsia="Times New Roman" w:hAnsi="Times New Roman"/>
          <w:sz w:val="22"/>
          <w:szCs w:val="22"/>
          <w:color w:val="auto"/>
        </w:rPr>
        <w:t>” means, with respect to any Governmental Authority or body responsible for the registration of, and the issuance of certificates of title relating to, motor vehicles and Liens thereon.</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AB</w:t>
      </w:r>
      <w:r>
        <w:rPr>
          <w:rFonts w:ascii="Times New Roman" w:cs="Times New Roman" w:eastAsia="Times New Roman" w:hAnsi="Times New Roman"/>
          <w:sz w:val="22"/>
          <w:szCs w:val="22"/>
          <w:color w:val="auto"/>
        </w:rPr>
        <w:t>” means Subpart 229.1100 – Asset Backed Securities (Regulation AB), 17 C.F.R. §§229.1100-229.1125, as such may be amended from time to time, and subject to such clarification and interpretation as have been provided by the Commission in the adopting releases (Asset Backed Securities, Securities Act Release No. 33 8518, 70 Fed. Reg. 1,506, 1,531 (Jan. 7, 2005) and the portions of Asset-Backed Securities Disclosure and Registration, Securities Act Release No. 33-9638, 79 Fed. Reg. 57,184 (Sept. 24, 2014)) that are in effect on any specific date or by the staff of the Commission, or as may be provided by the Commission or its staff from time to time.</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means a Payment Date specified by the Borrower in connection with the retransfer of the Receivables under Section 5.04(b).</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Price</w:t>
      </w:r>
      <w:r>
        <w:rPr>
          <w:rFonts w:ascii="Times New Roman" w:cs="Times New Roman" w:eastAsia="Times New Roman" w:hAnsi="Times New Roman"/>
          <w:sz w:val="22"/>
          <w:szCs w:val="22"/>
          <w:color w:val="auto"/>
        </w:rPr>
        <w:t>” means an amount equal to the Principal Balance of each Receivable retransferred or repurchased pursuant to Section 5.04(a) or (b), plus accrued interest on such Receivable (at the related APR) through the date of such retransfer or repurchase, and all Breakage Costs, if any, arising out of or relating to such retransfer or repurchase.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Date</w:t>
      </w:r>
      <w:r>
        <w:rPr>
          <w:rFonts w:ascii="Times New Roman" w:cs="Times New Roman" w:eastAsia="Times New Roman" w:hAnsi="Times New Roman"/>
          <w:sz w:val="22"/>
          <w:szCs w:val="22"/>
          <w:color w:val="auto"/>
        </w:rPr>
        <w:t>” means the date which is two Business Days prior to any Payment Date.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8" w:name="page639"/>
    <w:bookmarkEnd w:id="638"/>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Legend</w:t>
      </w:r>
      <w:r>
        <w:rPr>
          <w:rFonts w:ascii="Times New Roman" w:cs="Times New Roman" w:eastAsia="Times New Roman" w:hAnsi="Times New Roman"/>
          <w:sz w:val="22"/>
          <w:szCs w:val="22"/>
          <w:color w:val="auto"/>
        </w:rPr>
        <w:t>” means a legend applied by the E-Vault System to every page of a Contract which identifies the owner of Record as “VFS Near Prime Trust I, and held by United Auto Credit Corporation, as Custodian, on behalf of Fifth Third Bank, National Association, as Administrative Agent”.</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 particular time, Lenders with aggregate Commitments in excess of 66 2/3% of the Aggregate Commitment.</w:t>
      </w:r>
    </w:p>
    <w:p>
      <w:pPr>
        <w:spacing w:after="0" w:line="15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 upon such Person or to which such Person is subject, whether federal, State or local (including usury laws, the Federal Truth in Lending Act, Regulations U and T of the Federal Reserve Board and Regulations B, X and Z of the Consumer Financial Protection Bureau).</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when used with respect to (i) any Person other than the Borrower, any officer of such Person, including any director,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Period</w:t>
      </w:r>
      <w:r>
        <w:rPr>
          <w:rFonts w:ascii="Times New Roman" w:cs="Times New Roman" w:eastAsia="Times New Roman" w:hAnsi="Times New Roman"/>
          <w:sz w:val="22"/>
          <w:szCs w:val="22"/>
          <w:color w:val="auto"/>
        </w:rPr>
        <w:t>” means the period commencing on the Closing Date and ending on the earlier to occur of (i) the Commitment Termination Date and (ii) the day immediately preceding the Termination Date.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the subject or target of any Sanctions broadly restricting or prohibiting dealings with such country or territory (including, without limitation, the Crimea region of Ukraine and the countries of Cuba, Iran, North Korea and Syria).</w:t>
      </w:r>
    </w:p>
    <w:p>
      <w:pPr>
        <w:spacing w:after="0" w:line="17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any Person, or Person acting on behalf of any Person, with whom dealings are restricted or prohibited under Sanctions, including (a) any Person named on any Sanctions-related list of designated Persons maintained by OFAC, the U.S. Department of State, or by the United Nations Security Council, her Majesty’s Treasury of the United Kingdom, the European Union or any EU member state, (b) any Person located, operating under the laws of, organized or resident in, or any Governmental Authority or governmental instrumentality of, a Sanctioned Country or (c) any Person directly or indirectly, in whole or in part, owned by, controlled by, or acting on behalf of any Person described in (a) or (b) above.</w:t>
      </w:r>
    </w:p>
    <w:p>
      <w:pPr>
        <w:spacing w:after="0" w:line="154" w:lineRule="exact"/>
        <w:rPr>
          <w:sz w:val="20"/>
          <w:szCs w:val="20"/>
          <w:color w:val="auto"/>
        </w:rPr>
      </w:pPr>
    </w:p>
    <w:p>
      <w:pPr>
        <w:jc w:val="both"/>
        <w:ind w:firstLine="73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the U.S. Department of Commerce, or the U.S. Department of State, (b) the United Nations Security Council, the European Union or Her Majesty’s Treasury of the United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9" w:name="page640"/>
    <w:bookmarkEnd w:id="639"/>
    <w:p>
      <w:pPr>
        <w:jc w:val="both"/>
        <w:spacing w:after="0" w:line="258" w:lineRule="auto"/>
        <w:rPr>
          <w:sz w:val="20"/>
          <w:szCs w:val="20"/>
          <w:color w:val="auto"/>
        </w:rPr>
      </w:pPr>
      <w:r>
        <w:rPr>
          <w:rFonts w:ascii="Times New Roman" w:cs="Times New Roman" w:eastAsia="Times New Roman" w:hAnsi="Times New Roman"/>
          <w:sz w:val="22"/>
          <w:szCs w:val="22"/>
          <w:color w:val="auto"/>
        </w:rPr>
        <w:t>Kingdom, or (c) any other similar sanctions imposed by a Governmental Authority to which the Borrower or Servicer, or any of the Borrower or Servicer’s Subsidiaries and/or Affiliates are subject, as applicable.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C-1 Receivable</w:t>
      </w:r>
      <w:r>
        <w:rPr>
          <w:rFonts w:ascii="Times New Roman" w:cs="Times New Roman" w:eastAsia="Times New Roman" w:hAnsi="Times New Roman"/>
          <w:sz w:val="22"/>
          <w:szCs w:val="22"/>
          <w:color w:val="auto"/>
        </w:rPr>
        <w:t xml:space="preserve">” means a Receivable (i) which satisfies each of the eligibility requirements set forth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hereto as of its respective Cut-Off Date, other than paragraphs (viii), (ix), (xiii), (xvii), (xx), (xxv), (xxx), (xxxi), (xxxvii) and (xxviii) therein, and (ii) is identified in Schedule C-1 hereof.</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 of Receivables</w:t>
      </w:r>
      <w:r>
        <w:rPr>
          <w:rFonts w:ascii="Times New Roman" w:cs="Times New Roman" w:eastAsia="Times New Roman" w:hAnsi="Times New Roman"/>
          <w:sz w:val="22"/>
          <w:szCs w:val="22"/>
          <w:color w:val="auto"/>
        </w:rPr>
        <w:t xml:space="preserve">” means the schedule of Receivables attached hereto (i) with respect to Receivables other than Schedule C-1 Receivables, as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as updated from time to time in connection with each Funding Request, or (ii) with respect to Schedule C-1 Receivables, Schedule C-1.</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Payments</w:t>
      </w:r>
      <w:r>
        <w:rPr>
          <w:rFonts w:ascii="Times New Roman" w:cs="Times New Roman" w:eastAsia="Times New Roman" w:hAnsi="Times New Roman"/>
          <w:sz w:val="22"/>
          <w:szCs w:val="22"/>
          <w:color w:val="auto"/>
        </w:rPr>
        <w:t>” means regularly scheduled payments to be made by an Obligor pursuant to the terms of the related Contract.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means (i) the Administrative Agent, (ii) each Lender and (iii) each Bank Products and/or Derivatives provider, if any, that executes a counterpart of this Agreement agreeing to be bound by the terms of this Agreement applicable to a Secured Party.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w:t>
      </w:r>
      <w:r>
        <w:rPr>
          <w:rFonts w:ascii="Times New Roman" w:cs="Times New Roman" w:eastAsia="Times New Roman" w:hAnsi="Times New Roman"/>
          <w:sz w:val="22"/>
          <w:szCs w:val="22"/>
          <w:color w:val="auto"/>
        </w:rPr>
        <w:t>” means any public SEC-registered, Rule 144A or 4(a)(2) private offering of asset-backed term notes or secured loan or similar transaction involving all or a portion of the Collateral, provided, that in each case no adverse selection procedures were used by the Borrower or such Special Purpose Affiliate with respect to such Collateral.</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Date</w:t>
      </w:r>
      <w:r>
        <w:rPr>
          <w:rFonts w:ascii="Times New Roman" w:cs="Times New Roman" w:eastAsia="Times New Roman" w:hAnsi="Times New Roman"/>
          <w:sz w:val="22"/>
          <w:szCs w:val="22"/>
          <w:color w:val="auto"/>
        </w:rPr>
        <w:t>” means the date upon which a Securitization is consummated.</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Date Certificate</w:t>
      </w:r>
      <w:r>
        <w:rPr>
          <w:rFonts w:ascii="Times New Roman" w:cs="Times New Roman" w:eastAsia="Times New Roman" w:hAnsi="Times New Roman"/>
          <w:sz w:val="22"/>
          <w:szCs w:val="22"/>
          <w:color w:val="auto"/>
        </w:rPr>
        <w:t xml:space="preserve">” means a certificate, substantially in the form attached as Annex 1 to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delivered by a Responsible Officer of the Servicer on a Securitization Date indicating that the requirements set forth in this Agreement for a Securitization have been satisfied.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Securitization Release</w:t>
      </w:r>
      <w:r>
        <w:rPr>
          <w:rFonts w:ascii="Times New Roman" w:cs="Times New Roman" w:eastAsia="Times New Roman" w:hAnsi="Times New Roman"/>
          <w:sz w:val="22"/>
          <w:szCs w:val="22"/>
          <w:color w:val="auto"/>
        </w:rPr>
        <w:t xml:space="preserve">” means a release executed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Purchase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Amounts</w:t>
      </w:r>
      <w:r>
        <w:rPr>
          <w:rFonts w:ascii="Times New Roman" w:cs="Times New Roman" w:eastAsia="Times New Roman" w:hAnsi="Times New Roman"/>
          <w:sz w:val="22"/>
          <w:szCs w:val="22"/>
          <w:color w:val="auto"/>
        </w:rPr>
        <w:t>” has the meaning given to such term in Section 5.07 of the Purchase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Parties</w:t>
      </w:r>
      <w:r>
        <w:rPr>
          <w:rFonts w:ascii="Times New Roman" w:cs="Times New Roman" w:eastAsia="Times New Roman" w:hAnsi="Times New Roman"/>
          <w:sz w:val="22"/>
          <w:szCs w:val="22"/>
          <w:color w:val="auto"/>
        </w:rPr>
        <w:t>” has the meaning given to such term in Section 5.07 of the Purchase Agreement.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Interest</w:t>
      </w:r>
      <w:r>
        <w:rPr>
          <w:rFonts w:ascii="Times New Roman" w:cs="Times New Roman" w:eastAsia="Times New Roman" w:hAnsi="Times New Roman"/>
          <w:sz w:val="22"/>
          <w:szCs w:val="22"/>
          <w:color w:val="auto"/>
        </w:rPr>
        <w:t xml:space="preserve">” means any Interest accrued at a rate equal to (a) the Benchmark or the Base Rate, as the case may be,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(b) the Applicable Margin at the Closing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0" w:name="page641"/>
    <w:bookmarkEnd w:id="640"/>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has the meaning given to such term in the Preamble.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Basic Documents</w:t>
      </w:r>
      <w:r>
        <w:rPr>
          <w:rFonts w:ascii="Times New Roman" w:cs="Times New Roman" w:eastAsia="Times New Roman" w:hAnsi="Times New Roman"/>
          <w:sz w:val="22"/>
          <w:szCs w:val="22"/>
          <w:color w:val="auto"/>
        </w:rPr>
        <w:t>” means all Basic Documents to which the Servicer is a party or by which it is bound.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File</w:t>
      </w:r>
      <w:r>
        <w:rPr>
          <w:rFonts w:ascii="Times New Roman" w:cs="Times New Roman" w:eastAsia="Times New Roman" w:hAnsi="Times New Roman"/>
          <w:sz w:val="22"/>
          <w:szCs w:val="22"/>
          <w:color w:val="auto"/>
        </w:rPr>
        <w:t>” means, with respect to a Receivable, each of the following documents:</w:t>
      </w:r>
    </w:p>
    <w:p>
      <w:pPr>
        <w:spacing w:after="0" w:line="205" w:lineRule="exact"/>
        <w:rPr>
          <w:sz w:val="20"/>
          <w:szCs w:val="20"/>
          <w:color w:val="auto"/>
        </w:rPr>
      </w:pPr>
    </w:p>
    <w:p>
      <w:pPr>
        <w:ind w:left="1940" w:hanging="435"/>
        <w:spacing w:after="0"/>
        <w:tabs>
          <w:tab w:leader="none" w:pos="1940" w:val="left"/>
        </w:tabs>
        <w:numPr>
          <w:ilvl w:val="0"/>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Amounts</w:t>
      </w:r>
      <w:r>
        <w:rPr>
          <w:rFonts w:ascii="Times New Roman" w:cs="Times New Roman" w:eastAsia="Times New Roman" w:hAnsi="Times New Roman"/>
          <w:sz w:val="22"/>
          <w:szCs w:val="22"/>
          <w:color w:val="auto"/>
        </w:rPr>
        <w:t>” has the meaning given to such term in Section 10.01(b).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Parties</w:t>
      </w:r>
      <w:r>
        <w:rPr>
          <w:rFonts w:ascii="Times New Roman" w:cs="Times New Roman" w:eastAsia="Times New Roman" w:hAnsi="Times New Roman"/>
          <w:sz w:val="22"/>
          <w:szCs w:val="22"/>
          <w:color w:val="auto"/>
        </w:rPr>
        <w:t>” has the meaning given to such term in Section 10.01(b).</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Event</w:t>
      </w:r>
      <w:r>
        <w:rPr>
          <w:rFonts w:ascii="Times New Roman" w:cs="Times New Roman" w:eastAsia="Times New Roman" w:hAnsi="Times New Roman"/>
          <w:sz w:val="22"/>
          <w:szCs w:val="22"/>
          <w:color w:val="auto"/>
        </w:rPr>
        <w:t>” has the meaning given to such term in Section 7.14.</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Termination Notice</w:t>
      </w:r>
      <w:r>
        <w:rPr>
          <w:rFonts w:ascii="Times New Roman" w:cs="Times New Roman" w:eastAsia="Times New Roman" w:hAnsi="Times New Roman"/>
          <w:sz w:val="22"/>
          <w:szCs w:val="22"/>
          <w:color w:val="auto"/>
        </w:rPr>
        <w:t>” has the meaning given to such term in Section 7.14.</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means the fee payable to the Servicer on each Payment Date in accordance with Section 2.12(b) in an amount equal to the product of (i) one-twelfth, (ii) the Servicing Fee Rate for each Receivable type (i.e. Non-Prime Receivables and Prime Receivables) and (iii) the daily average Pool Balance during the related Collection Period for each Receivable type (i.e. Non-Prime Receivables and Prime Receivables); provided, that if UACC is no longer the Servicer, the “Servicing Fee” shall be adjusted by the Administrative Agent at the request of the then Servicer to reflect the then market rates for the servicing of motor vehicles receivables similar to the Receivables.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Rate</w:t>
      </w:r>
      <w:r>
        <w:rPr>
          <w:rFonts w:ascii="Times New Roman" w:cs="Times New Roman" w:eastAsia="Times New Roman" w:hAnsi="Times New Roman"/>
          <w:sz w:val="22"/>
          <w:szCs w:val="22"/>
          <w:color w:val="auto"/>
        </w:rPr>
        <w:t>” means (i) for Non-Prime Receivables, [***]%, and (ii) for Prime Receivables, [***]%.</w:t>
      </w:r>
    </w:p>
    <w:p>
      <w:pPr>
        <w:spacing w:after="0" w:line="205" w:lineRule="exact"/>
        <w:rPr>
          <w:sz w:val="20"/>
          <w:szCs w:val="20"/>
          <w:color w:val="auto"/>
        </w:rPr>
      </w:pPr>
    </w:p>
    <w:p>
      <w:pPr>
        <w:jc w:val="both"/>
        <w:ind w:firstLine="749"/>
        <w:spacing w:after="0" w:line="28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Rating Requirement</w:t>
      </w:r>
      <w:r>
        <w:rPr>
          <w:rFonts w:ascii="Times New Roman" w:cs="Times New Roman" w:eastAsia="Times New Roman" w:hAnsi="Times New Roman"/>
          <w:sz w:val="22"/>
          <w:szCs w:val="22"/>
          <w:color w:val="auto"/>
        </w:rPr>
        <w:t>” means, with respect to any Person, that such Person has a short-term unsecured debt rating of not less than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Standard &amp; Poor’s and not less than Prime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by Moody’s.</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Contract</w:t>
      </w:r>
      <w:r>
        <w:rPr>
          <w:rFonts w:ascii="Times New Roman" w:cs="Times New Roman" w:eastAsia="Times New Roman" w:hAnsi="Times New Roman"/>
          <w:sz w:val="22"/>
          <w:szCs w:val="22"/>
          <w:color w:val="auto"/>
        </w:rPr>
        <w:t>” means any Contract under which the portion of a payment allocable to interest and the portion allocable to principal are determined in accordance with the Simple Interest Method.</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Simple Interest Method</w:t>
      </w:r>
      <w:r>
        <w:rPr>
          <w:rFonts w:ascii="Times New Roman" w:cs="Times New Roman" w:eastAsia="Times New Roman" w:hAnsi="Times New Roman"/>
          <w:sz w:val="22"/>
          <w:szCs w:val="22"/>
          <w:color w:val="auto"/>
        </w:rPr>
        <w:t>” 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1" w:name="page642"/>
    <w:bookmarkEnd w:id="641"/>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 mature in the normal course of business; (iv) such Person does not intend to, and does not believe that it will, incur debts or liabilities beyond such Person’s ability to pay as such debts and liabilities mature; and (v) such Person is not engaged in business or a transaction, and is not about to engage in a business or a transaction, for which such Person’s property would constitute unreasonably small capital.</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Purpose Affiliate</w:t>
      </w:r>
      <w:r>
        <w:rPr>
          <w:rFonts w:ascii="Times New Roman" w:cs="Times New Roman" w:eastAsia="Times New Roman" w:hAnsi="Times New Roman"/>
          <w:sz w:val="22"/>
          <w:szCs w:val="22"/>
          <w:color w:val="auto"/>
        </w:rPr>
        <w:t>” means any bankruptcy-remote special purpose entity that is an Affiliate of the Borrower and was created for the purpose of one or more Securitizations.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&amp; Poor’s</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w:t>
      </w:r>
      <w:r>
        <w:rPr>
          <w:rFonts w:ascii="Times New Roman" w:cs="Times New Roman" w:eastAsia="Times New Roman" w:hAnsi="Times New Roman"/>
          <w:sz w:val="22"/>
          <w:szCs w:val="22"/>
          <w:color w:val="auto"/>
        </w:rPr>
        <w:t>” means any state of the United States or the District of Columbia.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 Interest</w:t>
      </w:r>
      <w:r>
        <w:rPr>
          <w:rFonts w:ascii="Times New Roman" w:cs="Times New Roman" w:eastAsia="Times New Roman" w:hAnsi="Times New Roman"/>
          <w:sz w:val="22"/>
          <w:szCs w:val="22"/>
          <w:color w:val="auto"/>
        </w:rPr>
        <w:t>” means all accrued Interest other than Senior Interest.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Loan</w:t>
      </w:r>
      <w:r>
        <w:rPr>
          <w:rFonts w:ascii="Times New Roman" w:cs="Times New Roman" w:eastAsia="Times New Roman" w:hAnsi="Times New Roman"/>
          <w:sz w:val="22"/>
          <w:szCs w:val="22"/>
          <w:color w:val="auto"/>
        </w:rPr>
        <w:t>” means each Loan made following the Initial Loan.</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Receivable</w:t>
      </w:r>
      <w:r>
        <w:rPr>
          <w:rFonts w:ascii="Times New Roman" w:cs="Times New Roman" w:eastAsia="Times New Roman" w:hAnsi="Times New Roman"/>
          <w:sz w:val="22"/>
          <w:szCs w:val="22"/>
          <w:color w:val="auto"/>
        </w:rPr>
        <w:t>” means each Receivable that becomes a part of the Collateral on a Funding Date other than the Funding Date relating to the Initial Loan.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means a subservicer appointed by the Servicer and acceptable to the Administrative Agent for the servicing and administration of the Receivables.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Servicer</w:t>
      </w:r>
      <w:r>
        <w:rPr>
          <w:rFonts w:ascii="Times New Roman" w:cs="Times New Roman" w:eastAsia="Times New Roman" w:hAnsi="Times New Roman"/>
          <w:sz w:val="22"/>
          <w:szCs w:val="22"/>
          <w:color w:val="auto"/>
        </w:rPr>
        <w:t>” has the meaning given to such term in Section 7.15(a).</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System Description</w:t>
      </w:r>
      <w:r>
        <w:rPr>
          <w:rFonts w:ascii="Times New Roman" w:cs="Times New Roman" w:eastAsia="Times New Roman" w:hAnsi="Times New Roman"/>
          <w:sz w:val="22"/>
          <w:szCs w:val="22"/>
          <w:color w:val="auto"/>
        </w:rPr>
        <w:t>” shall mean a description of the E-Vault System in form and substance satisfactory to the Administrative Agent.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Contract</w:t>
      </w:r>
      <w:r>
        <w:rPr>
          <w:rFonts w:ascii="Times New Roman" w:cs="Times New Roman" w:eastAsia="Times New Roman" w:hAnsi="Times New Roman"/>
          <w:sz w:val="22"/>
          <w:szCs w:val="22"/>
          <w:color w:val="auto"/>
        </w:rPr>
        <w:t>” means a Contract that constitutes “tangible chattel paper” under and as defined in Section 9-102(78) of the UCC.</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Tangible Net Worth</w:t>
      </w:r>
      <w:r>
        <w:rPr>
          <w:rFonts w:ascii="Times New Roman" w:cs="Times New Roman" w:eastAsia="Times New Roman" w:hAnsi="Times New Roman"/>
          <w:sz w:val="22"/>
          <w:szCs w:val="22"/>
          <w:color w:val="auto"/>
        </w:rPr>
        <w:t>” means, with respect to any Person, the net worth of such Person calculated in accordance with GAAP, after subtracting therefrom the aggregate amount of such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2" w:name="page643"/>
    <w:bookmarkEnd w:id="642"/>
    <w:p>
      <w:pPr>
        <w:jc w:val="both"/>
        <w:spacing w:after="0" w:line="258" w:lineRule="auto"/>
        <w:rPr>
          <w:sz w:val="20"/>
          <w:szCs w:val="20"/>
          <w:color w:val="auto"/>
        </w:rPr>
      </w:pPr>
      <w:r>
        <w:rPr>
          <w:rFonts w:ascii="Times New Roman" w:cs="Times New Roman" w:eastAsia="Times New Roman" w:hAnsi="Times New Roman"/>
          <w:sz w:val="22"/>
          <w:szCs w:val="22"/>
          <w:color w:val="auto"/>
        </w:rPr>
        <w:t>Person’s intangible assets, including goodwill, franchises, licenses, patents, trademarks, tradenames, copyrights and service marks.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present or future taxes, levies, imposts, duties, charges, withholding (including backup withholding), assessments or fees of any nature (including interest, penalties and additions thereto) that are imposed by any Government Authority, including any interest, additions to tax or penalties applicable thereto.</w:t>
      </w:r>
    </w:p>
    <w:p>
      <w:pPr>
        <w:spacing w:after="0" w:line="17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shall ever be less than the Index Floor, then Term SOFR shall be deemed to be the Index Floor.</w:t>
      </w:r>
    </w:p>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means any Loans that accrue interest by reference to the Term SOFR Rate.</w:t>
      </w:r>
    </w:p>
    <w:p>
      <w:pPr>
        <w:spacing w:after="0" w:line="205"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Rate</w:t>
      </w:r>
      <w:r>
        <w:rPr>
          <w:rFonts w:ascii="Times New Roman" w:cs="Times New Roman" w:eastAsia="Times New Roman" w:hAnsi="Times New Roman"/>
          <w:sz w:val="22"/>
          <w:szCs w:val="22"/>
          <w:color w:val="auto"/>
        </w:rPr>
        <w:t>” means, with respect to any Interest Period, the greater of (a) the Index Floor and (b) Term SOFR. Each determination by the Administrative Agent of the Term SOFR Rate shall be conclusive and binding in the absence of manifest error.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to occur of (i) the Business Day designated by the Borrower to the Lenders as the Termination Date at any time following 60 days’ prior written notice or (ii) the automatic occurrence, or the declaration of the occurrence, of the Termination Date in accordance with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9.01(a)</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Administrator</w:t>
      </w:r>
      <w:r>
        <w:rPr>
          <w:rFonts w:ascii="Times New Roman" w:cs="Times New Roman" w:eastAsia="Times New Roman" w:hAnsi="Times New Roman"/>
          <w:sz w:val="22"/>
          <w:szCs w:val="22"/>
          <w:color w:val="auto"/>
        </w:rPr>
        <w:t>” means each of Decision Dynamics, Inc., or any successor thereto, or other Person that has executed an agreement in form and substance satisfactory to the Administrative Agent to provide motor vehicle title administration software and related services to the Servicer.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3" w:name="page644"/>
    <w:bookmarkEnd w:id="643"/>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Administrator Agreement</w:t>
      </w:r>
      <w:r>
        <w:rPr>
          <w:rFonts w:ascii="Times New Roman" w:cs="Times New Roman" w:eastAsia="Times New Roman" w:hAnsi="Times New Roman"/>
          <w:sz w:val="22"/>
          <w:szCs w:val="22"/>
          <w:color w:val="auto"/>
        </w:rPr>
        <w:t>” means a letter agreement from the Servicer to the Title Administrator, and acknowledged by the Administrative Agent, the Borrower and the Custodian, in form and substance satisfactory to the Administrative Agent, with such changes as may be agreed to in writing by the Administrative Agent from time to time.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has the meaning ascribed to such term in the System Description.</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Agreement</w:t>
      </w:r>
      <w:r>
        <w:rPr>
          <w:rFonts w:ascii="Times New Roman" w:cs="Times New Roman" w:eastAsia="Times New Roman" w:hAnsi="Times New Roman"/>
          <w:sz w:val="22"/>
          <w:szCs w:val="22"/>
          <w:color w:val="auto"/>
        </w:rPr>
        <w:t>” means a Transfer Agreement in substantially the form attached to the Purchase Agreement as Exhibit A, executed by the Borrower and UACC in connection with a transfer of Receivables and the related Collateral on any Funding Date.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Date</w:t>
      </w:r>
      <w:r>
        <w:rPr>
          <w:rFonts w:ascii="Times New Roman" w:cs="Times New Roman" w:eastAsia="Times New Roman" w:hAnsi="Times New Roman"/>
          <w:sz w:val="22"/>
          <w:szCs w:val="22"/>
          <w:color w:val="auto"/>
        </w:rPr>
        <w:t>” has the meaning set forth in the Purchase Agreement.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Expenses</w:t>
      </w:r>
      <w:r>
        <w:rPr>
          <w:rFonts w:ascii="Times New Roman" w:cs="Times New Roman" w:eastAsia="Times New Roman" w:hAnsi="Times New Roman"/>
          <w:sz w:val="22"/>
          <w:szCs w:val="22"/>
          <w:color w:val="auto"/>
        </w:rPr>
        <w:t xml:space="preserve">” has the meaning given to such term in </w:t>
      </w:r>
      <w:r>
        <w:rPr>
          <w:rFonts w:ascii="Times New Roman" w:cs="Times New Roman" w:eastAsia="Times New Roman" w:hAnsi="Times New Roman"/>
          <w:sz w:val="22"/>
          <w:szCs w:val="22"/>
          <w:u w:val="single" w:color="auto"/>
          <w:color w:val="auto"/>
        </w:rPr>
        <w:t>Section 7.15(d).</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Agreement</w:t>
      </w:r>
      <w:r>
        <w:rPr>
          <w:rFonts w:ascii="Times New Roman" w:cs="Times New Roman" w:eastAsia="Times New Roman" w:hAnsi="Times New Roman"/>
          <w:sz w:val="22"/>
          <w:szCs w:val="22"/>
          <w:color w:val="auto"/>
        </w:rPr>
        <w:t>” means the Amended and Restated Trust Agreement, dated as of the Closing Date, between UACC, as depositor, and [***], as Owner Trustee and Certificate Registrar.</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w:t>
      </w:r>
      <w:r>
        <w:rPr>
          <w:rFonts w:ascii="Times New Roman" w:cs="Times New Roman" w:eastAsia="Times New Roman" w:hAnsi="Times New Roman"/>
          <w:sz w:val="22"/>
          <w:szCs w:val="22"/>
          <w:color w:val="auto"/>
        </w:rPr>
        <w:t>” means United Auto Credit Corporation (d/b/a Vroom Financial Services).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UACC Receivable</w:t>
      </w:r>
      <w:r>
        <w:rPr>
          <w:rFonts w:ascii="Times New Roman" w:cs="Times New Roman" w:eastAsia="Times New Roman" w:hAnsi="Times New Roman"/>
          <w:sz w:val="22"/>
          <w:szCs w:val="22"/>
          <w:color w:val="auto"/>
        </w:rPr>
        <w:t>” means any Receivable originated by the Originator through a network of Dealers other than the Vroom Origination Channel.</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from time to time in effect in the applicable jurisdiction.</w:t>
      </w:r>
    </w:p>
    <w:p>
      <w:pPr>
        <w:spacing w:after="0" w:line="20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means the United States of America.</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Servicer Termination Event</w:t>
      </w:r>
      <w:r>
        <w:rPr>
          <w:rFonts w:ascii="Times New Roman" w:cs="Times New Roman" w:eastAsia="Times New Roman" w:hAnsi="Times New Roman"/>
          <w:sz w:val="22"/>
          <w:szCs w:val="22"/>
          <w:color w:val="auto"/>
        </w:rPr>
        <w:t>” means any event that, with the giving of notice or the lapse of time, or both, would become a Servicer Termination Event.</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Unmatured Termination Event</w:t>
      </w:r>
      <w:r>
        <w:rPr>
          <w:rFonts w:ascii="Times New Roman" w:cs="Times New Roman" w:eastAsia="Times New Roman" w:hAnsi="Times New Roman"/>
          <w:sz w:val="22"/>
          <w:szCs w:val="22"/>
          <w:color w:val="auto"/>
        </w:rPr>
        <w:t>” means any event that, with the giving of notice or the lapse of time, or both, would become a Termination Event.</w:t>
      </w:r>
    </w:p>
    <w:p>
      <w:pPr>
        <w:spacing w:after="0" w:line="15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w:t>
      </w:r>
      <w:r>
        <w:rPr>
          <w:rFonts w:ascii="Times New Roman" w:cs="Times New Roman" w:eastAsia="Times New Roman" w:hAnsi="Times New Roman"/>
          <w:sz w:val="22"/>
          <w:szCs w:val="22"/>
          <w:color w:val="auto"/>
        </w:rPr>
        <w:t>” means, with respect to any Payment Date and the related Collection Period, the fee payable by the Borrower pursuant to the Fee Letter on such Payment Date in an amount equal to the product of (i) the Unused Fee Rate and (ii) the Aggregate Commitment minus the average daily Loans Outstanding during such Collection Period divided by 12 (or for the first Interest Period, the actual number of days in the first Interest Period divided by 360).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4" w:name="page645"/>
    <w:bookmarkEnd w:id="644"/>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Fee Rate</w:t>
      </w:r>
      <w:r>
        <w:rPr>
          <w:rFonts w:ascii="Times New Roman" w:cs="Times New Roman" w:eastAsia="Times New Roman" w:hAnsi="Times New Roman"/>
          <w:sz w:val="22"/>
          <w:szCs w:val="22"/>
          <w:color w:val="auto"/>
        </w:rPr>
        <w:t>” has the meaning set forth in the Fee Letter.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Upfront Fee</w:t>
      </w:r>
      <w:r>
        <w:rPr>
          <w:rFonts w:ascii="Times New Roman" w:cs="Times New Roman" w:eastAsia="Times New Roman" w:hAnsi="Times New Roman"/>
          <w:sz w:val="22"/>
          <w:szCs w:val="22"/>
          <w:color w:val="auto"/>
        </w:rPr>
        <w:t>” has the meaning given to such term in the Fee Letter.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the regulations adopted to implement Section 619 of the Dodd-Frank Act.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 Origination Channel</w:t>
      </w:r>
      <w:r>
        <w:rPr>
          <w:rFonts w:ascii="Times New Roman" w:cs="Times New Roman" w:eastAsia="Times New Roman" w:hAnsi="Times New Roman"/>
          <w:sz w:val="22"/>
          <w:szCs w:val="22"/>
          <w:color w:val="auto"/>
        </w:rPr>
        <w:t>” means the network of Dealers established by Vroom Automotive, LLC.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Vroom Receivable</w:t>
      </w:r>
      <w:r>
        <w:rPr>
          <w:rFonts w:ascii="Times New Roman" w:cs="Times New Roman" w:eastAsia="Times New Roman" w:hAnsi="Times New Roman"/>
          <w:sz w:val="22"/>
          <w:szCs w:val="22"/>
          <w:color w:val="auto"/>
        </w:rPr>
        <w:t>” means any Receivable originated by the Originator through the Vroom Origination Channel.</w:t>
      </w:r>
    </w:p>
    <w:p>
      <w:pPr>
        <w:spacing w:after="0" w:line="20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Credit Score</w:t>
      </w:r>
      <w:r>
        <w:rPr>
          <w:rFonts w:ascii="Times New Roman" w:cs="Times New Roman" w:eastAsia="Times New Roman" w:hAnsi="Times New Roman"/>
          <w:sz w:val="22"/>
          <w:szCs w:val="22"/>
          <w:color w:val="auto"/>
        </w:rPr>
        <w:t>” means with respect to a type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Non-Prime or Prime Receivables, as applicable) of Eligible Receivables as of any day, the average of the original non-zero FICO® Scores (using, with respect to a Receivable that has co-obligors, the higher of the FICO® Scores of the co-obligors) of such Receivables as of such day, weighted according to the aggregate Principal Balance of such Eligible Receivables as of such day.</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LTV Ratio</w:t>
      </w:r>
      <w:r>
        <w:rPr>
          <w:rFonts w:ascii="Times New Roman" w:cs="Times New Roman" w:eastAsia="Times New Roman" w:hAnsi="Times New Roman"/>
          <w:sz w:val="22"/>
          <w:szCs w:val="22"/>
          <w:color w:val="auto"/>
        </w:rPr>
        <w:t>” means with respect to a type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Non-Prime or Prime Receivables, as applicable) of Eligible Receivables as of any day, the average of the Loan-to-Value Ratios of such Receivables, weighted according to the aggregate Principal Balance of such Receivables as of such day.</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PTI Ratio</w:t>
      </w:r>
      <w:r>
        <w:rPr>
          <w:rFonts w:ascii="Times New Roman" w:cs="Times New Roman" w:eastAsia="Times New Roman" w:hAnsi="Times New Roman"/>
          <w:sz w:val="22"/>
          <w:szCs w:val="22"/>
          <w:color w:val="auto"/>
        </w:rPr>
        <w:t>” means with respect to a type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Non-Prime or Prime Receivables, as applicable) of Eligible Receivables as of any day, the average of the PTI Ratios for such Receivables, weighted according to the aggregate Principal Balance of such Receivables as of such day.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1.02. Accounting Terms and Determinations</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1.03. Computation of Time Periods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Unless otherwise stated in this Agreement, in the computation of a period of time from a specified date to a later specified date, the word “from” means “from and including” and the words “to” and “until” each mean “to but excluding.”</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1.04. Interpretation</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5" w:name="page646"/>
    <w:bookmarkEnd w:id="645"/>
    <w:p>
      <w:pPr>
        <w:jc w:val="both"/>
        <w:spacing w:after="0" w:line="234" w:lineRule="auto"/>
        <w:rPr>
          <w:sz w:val="20"/>
          <w:szCs w:val="20"/>
          <w:color w:val="auto"/>
        </w:rPr>
      </w:pPr>
      <w:r>
        <w:rPr>
          <w:rFonts w:ascii="Times New Roman" w:cs="Times New Roman" w:eastAsia="Times New Roman" w:hAnsi="Times New Roman"/>
          <w:sz w:val="22"/>
          <w:szCs w:val="22"/>
          <w:color w:val="auto"/>
        </w:rPr>
        <w:t>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reproducing words in a visible form; and (x) the term “proceeds” has the meaning set forth in the applicable UCC.</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Rates</w:t>
      </w:r>
    </w:p>
    <w:p>
      <w:pPr>
        <w:spacing w:after="0" w:line="20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Administrative Agent does not warrant or accept any responsibility for, and shall not have any liability with respect to, (a) the continuation of, administration of, submission of, calculation of or any other matter related to the Term SOFR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Rate,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TWO</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LOANS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2.01. Loans</w:t>
      </w:r>
    </w:p>
    <w:p>
      <w:pPr>
        <w:spacing w:after="0" w:line="205" w:lineRule="exact"/>
        <w:rPr>
          <w:sz w:val="20"/>
          <w:szCs w:val="20"/>
          <w:color w:val="auto"/>
        </w:rPr>
      </w:pPr>
    </w:p>
    <w:p>
      <w:pPr>
        <w:jc w:val="both"/>
        <w:ind w:firstLine="757"/>
        <w:spacing w:after="0" w:line="244" w:lineRule="auto"/>
        <w:tabs>
          <w:tab w:leader="none" w:pos="1180" w:val="left"/>
        </w:tabs>
        <w:numPr>
          <w:ilvl w:val="0"/>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herein, including this Section and Article Four, the Borrower may from time to time on any Business Day during the Revolving Period, request that each Committed Lender make an advance (each, a “Loan”) in the amount of each such Committed Lender’s Lender Advance, to the Borrower on a Funding Date.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6" w:name="page647"/>
    <w:bookmarkEnd w:id="646"/>
    <w:p>
      <w:pPr>
        <w:jc w:val="both"/>
        <w:ind w:firstLine="757"/>
        <w:spacing w:after="0" w:line="244" w:lineRule="auto"/>
        <w:tabs>
          <w:tab w:leader="none" w:pos="1180" w:val="left"/>
        </w:tabs>
        <w:numPr>
          <w:ilvl w:val="0"/>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12:01 p.m., New York City time, one Business Days prior to the proposed Funding Date, the Borrower shall notify the Secured Parties of such proposed Funding Date and Loan by delivering to the Secured Parties and the Paying Agent, in form and substance satisfactory to the Administrative Agent:</w:t>
      </w:r>
    </w:p>
    <w:p>
      <w:pPr>
        <w:spacing w:after="0" w:line="172"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Funding Request, which will include, among other things, the proposed Funding Date, a calculation of the Borrowing Base and the Principal Amount of the Loan requested, which shall be in an amount at least equal to $[***] or integral multiples of $[***] in excess thereof; and</w:t>
      </w:r>
    </w:p>
    <w:p>
      <w:pPr>
        <w:spacing w:after="0" w:line="172"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updated Schedule of Receivables that includes each Receivable that is the subject of the proposed</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w:t>
      </w:r>
    </w:p>
    <w:p>
      <w:pPr>
        <w:spacing w:after="0" w:line="181" w:lineRule="exact"/>
        <w:rPr>
          <w:rFonts w:ascii="Times New Roman" w:cs="Times New Roman" w:eastAsia="Times New Roman" w:hAnsi="Times New Roman"/>
          <w:sz w:val="22"/>
          <w:szCs w:val="22"/>
          <w:color w:val="auto"/>
        </w:rPr>
      </w:pPr>
    </w:p>
    <w:p>
      <w:pPr>
        <w:jc w:val="both"/>
        <w:ind w:firstLine="757"/>
        <w:spacing w:after="0" w:line="280" w:lineRule="auto"/>
        <w:tabs>
          <w:tab w:leader="none" w:pos="1180" w:val="left"/>
        </w:tabs>
        <w:numPr>
          <w:ilvl w:val="0"/>
          <w:numId w:val="5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receipt by the Administrative Agent and the Lenders of a Funding Request, and prior to the Commitment Termination Date, each Committed Lender severally agrees to make its Lender Advance of any Loan requested by the Borrower, in each case subject to the conditions contained herein, in an aggregate amount equal to the Loan so requested.</w:t>
      </w:r>
    </w:p>
    <w:p>
      <w:pPr>
        <w:spacing w:after="0" w:line="138"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w:t>
      </w:r>
    </w:p>
    <w:p>
      <w:pPr>
        <w:spacing w:after="0" w:line="205"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Committed Lender be required on any date to fund a Principal Amount that would cause its Lender Percentage of the Loans Outstanding, determined after giving effect to such funding, to exceed its Commitment;</w:t>
      </w:r>
    </w:p>
    <w:p>
      <w:pPr>
        <w:spacing w:after="0" w:line="157"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Committed Lender be obligated to fund any Loan to the extent that after giving effect to such Loan, an Early Amortization Event or a Termination Event would occur;</w:t>
      </w:r>
    </w:p>
    <w:p>
      <w:pPr>
        <w:spacing w:after="0" w:line="157"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ind w:left="760" w:right="60" w:firstLine="1120"/>
        <w:spacing w:after="0" w:line="258" w:lineRule="auto"/>
        <w:tabs>
          <w:tab w:leader="none" w:pos="2315"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be made after the Revolving Period or the Principal Amount of any Loan exceed the Available Amount on the related Funding Date;</w:t>
      </w:r>
    </w:p>
    <w:p>
      <w:pPr>
        <w:spacing w:after="0" w:line="157"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one Loan be funded on any Business Day.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2.02. Funding Mechanics</w:t>
      </w:r>
    </w:p>
    <w:p>
      <w:pPr>
        <w:spacing w:after="0" w:line="205" w:lineRule="exact"/>
        <w:rPr>
          <w:sz w:val="20"/>
          <w:szCs w:val="20"/>
          <w:color w:val="auto"/>
        </w:rPr>
      </w:pPr>
    </w:p>
    <w:p>
      <w:pPr>
        <w:jc w:val="both"/>
        <w:ind w:firstLine="757"/>
        <w:spacing w:after="0" w:line="234" w:lineRule="auto"/>
        <w:tabs>
          <w:tab w:leader="none" w:pos="1180"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Funding Request is delivered to the Administrative Agent and each Lender after 12:01 p.m., New York City time, on the first Business Day prior to the proposed Funding Date, such Funding Request shall be deemed to be received prior to 12:01 p.m., New York City time, on the next succeeding Business Day and the proposed Funding Date of such proposed Loan shall be deemed to be the Business Day following such deemed receipt. Each Funding Request shall include a representation by the Borrower that (i) the requested Loan will not, on the Funding Date, exceed the Available Amount, (ii) after giving effect to the requested Loan, a Borrowing Base Deficiency will not exist, and (iii) all conditions precedent to the making of such Loan have been (or prior to the making of such Loan on the Funding Date will be) satisfied. Any Funding Request shall be irrevocable.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7" w:name="page648"/>
    <w:bookmarkEnd w:id="647"/>
    <w:p>
      <w:pPr>
        <w:jc w:val="both"/>
        <w:ind w:firstLine="757"/>
        <w:spacing w:after="0" w:line="237" w:lineRule="auto"/>
        <w:tabs>
          <w:tab w:leader="none" w:pos="1180"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fulfillment of the applicable conditions set forth in Article Four, as certified in the Funding Request to the Secured Parties by the Borrower, not later than 4:00 p.m. New York City time on such Funding Date, each Lender shall make its Lender Advance of the requested Loans available to the Borrower by wire transfer of immediately available funds to the Borrower’s Account. Each Lender shall promptly notify the Borrower and the Administrative Agent in the event that it fails to make such funds available to the Borrower before such time.</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makes available to the Borrower funds for any Loan to be made by such Lender as provided in the foregoing provisions of this Article, but the conditions to the applicable Loan set forth in Article Four are not satisfied or waived in accordance with the terms hereof, the Borrower shall return such funds (in like funds as received from such Lender), together with interest thereon at the Default Rate, to such Lender.</w:t>
      </w:r>
    </w:p>
    <w:p>
      <w:pPr>
        <w:spacing w:after="0" w:line="178"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0"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2.03. Reductions of Commitments</w:t>
      </w:r>
    </w:p>
    <w:p>
      <w:pPr>
        <w:spacing w:after="0" w:line="205" w:lineRule="exact"/>
        <w:rPr>
          <w:sz w:val="20"/>
          <w:szCs w:val="20"/>
          <w:color w:val="auto"/>
        </w:rPr>
      </w:pPr>
    </w:p>
    <w:p>
      <w:pPr>
        <w:jc w:val="both"/>
        <w:ind w:firstLine="757"/>
        <w:spacing w:after="0" w:line="235" w:lineRule="auto"/>
        <w:tabs>
          <w:tab w:leader="none" w:pos="1180"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during the Revolving Period the Borrower may, upon at least five Business Days’ prior written notice to the Secured Parties and the Paying Agent, reduce the Facility Amount, which shall be applied, unless otherwise consented to by the Administrative Agent and the Lenders, pro rata to the Commitments. Each partial reduction shall be in a minimum aggregate amount of $[***] or integral multiples of $[***] in excess thereof. Reductions of the Facility Amount pursuant to this Section shall be allocated to the Commitment of each Committed Lender, pro rata based on the Lender Percentage represented by such Commitment. Any request for a reduction in the Facility Amount shall be irrevocable and the Borrower shall deliver no more than four such requests in any 12-month period.</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reduction of the Facility Amount, the Borrower shall remit to the Secured Parties, (i) instructions regarding such reduction and (ii) for payment to each applicable Secured Party, cash in an amount sufficient to pay the Aggregate Unpaids with respect to such reduction, including any associated Breakage Costs. The Borrower shall apply such amounts first to the pro rata reduction of the Loans Outstanding, and second to the payment of the remaining Aggregate Unpaids with respect thereto, including any Breakage Costs, by paying such amounts to the applicable Secured Parties pro rata, based on their respective remaining Aggregate Unpaids.</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Commitment Termination Date, the Commitment of each Lender shall be automatically reduced to zero.</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2.04. Extensions of Commitments</w:t>
      </w:r>
    </w:p>
    <w:p>
      <w:pPr>
        <w:spacing w:after="0" w:line="205" w:lineRule="exact"/>
        <w:rPr>
          <w:sz w:val="20"/>
          <w:szCs w:val="20"/>
          <w:color w:val="auto"/>
        </w:rPr>
      </w:pPr>
    </w:p>
    <w:p>
      <w:pPr>
        <w:ind w:right="640" w:firstLine="757"/>
        <w:spacing w:after="0" w:line="239" w:lineRule="auto"/>
        <w:tabs>
          <w:tab w:leader="none" w:pos="1180"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Commitment Termination Date has occurred, the Borrower may request in writing, before the Commitment Proposed Extension Date, to each Committed Lender (with a copy to the Administrative Agent), that each Committed Lender extend its Commitment Termination Date up to an additional 728-day period as herein provided, which request may be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48" w:name="page649"/>
    <w:bookmarkEnd w:id="648"/>
    <w:p>
      <w:pPr>
        <w:spacing w:after="0" w:line="234" w:lineRule="auto"/>
        <w:rPr>
          <w:sz w:val="20"/>
          <w:szCs w:val="20"/>
          <w:color w:val="auto"/>
        </w:rPr>
      </w:pPr>
      <w:r>
        <w:rPr>
          <w:rFonts w:ascii="Times New Roman" w:cs="Times New Roman" w:eastAsia="Times New Roman" w:hAnsi="Times New Roman"/>
          <w:sz w:val="22"/>
          <w:szCs w:val="22"/>
          <w:color w:val="auto"/>
        </w:rPr>
        <w:t>granted or denied by each Committed Lender in its sole discretion. On or before the last day of the Election Period, each Committed Lender shall notify the Borrower and the Administrative Agent of its willingness or refusal to so extend its Commitment Termination Date, provided that the failure of any Committed Lender to timely respond shall be deemed to be its refusal to so extend. If (i) one or more Committed Lenders have agreed to extend the Commitment Termination Date and (ii) at the end of the applicable Election Period, no Commitment Termination Date shall have occurred and be continuing, the Commitment Termination Date then in effect for each such Committed Lender shall be extended to the date agreed upon by the Administrative Agent and each such Committed Lender or, if such day is not a Business Day, the next preceding Business Day (or any other date as agreed upon by the Borrower and each Committed Lender); provided, that if not all Committed Lenders agree to such extension, the Borrower may elect, by notice to the Administrative Agent and the Committed Lenders, delivered not later than five Business Days after the end of the Election Period, not to have such extension become effective.</w:t>
      </w:r>
    </w:p>
    <w:p>
      <w:pPr>
        <w:spacing w:after="0" w:line="176" w:lineRule="exact"/>
        <w:rPr>
          <w:sz w:val="20"/>
          <w:szCs w:val="20"/>
          <w:color w:val="auto"/>
        </w:rPr>
      </w:pPr>
    </w:p>
    <w:p>
      <w:pPr>
        <w:ind w:right="20" w:firstLine="757"/>
        <w:spacing w:after="0" w:line="261" w:lineRule="auto"/>
        <w:tabs>
          <w:tab w:leader="none" w:pos="1180" w:val="left"/>
        </w:tabs>
        <w:numPr>
          <w:ilvl w:val="0"/>
          <w:numId w:val="5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two Business Days following the end of an Election Period, the Administrative Agent shall notify each other Lender and the Borrower of the identity of any Dissenting Lender and the amount of its Commitment. The Borrower may (but shall not be required to) request one or more other Lenders or seek another financial institution reasonably acceptable to the Administrative Agent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Administrative Agent 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spacing w:after="0" w:line="156"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5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Business Days following the end of an Election Period, to the extent not acquired pursuant to Section</w:t>
      </w:r>
    </w:p>
    <w:p>
      <w:pPr>
        <w:spacing w:after="0" w:line="14"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spacing w:after="0" w:line="181" w:lineRule="exact"/>
        <w:rPr>
          <w:sz w:val="20"/>
          <w:szCs w:val="20"/>
          <w:color w:val="auto"/>
        </w:rPr>
      </w:pPr>
    </w:p>
    <w:p>
      <w:pPr>
        <w:ind w:right="60" w:firstLine="757"/>
        <w:spacing w:after="0" w:line="237" w:lineRule="auto"/>
        <w:tabs>
          <w:tab w:leader="none" w:pos="1180" w:val="left"/>
        </w:tabs>
        <w:numPr>
          <w:ilvl w:val="0"/>
          <w:numId w:val="5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occurrence of a Termination Event, if a Partial Expiration Event has occurred, the Administrative Agent shall give notice to the Borrower and the Servicer to apply any Collections in accordance with Section 2.08(a)(vii), to the pro rata repayment of such amounts owing to any Non-Extending Lender as of the date of the related Partial Expiration Event, commencing no later than the first Payment Date which is at least two Business Days following the Commitment Termination Date for the Non-Extending Lender, specifying the amounts thereof.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9" w:name="page650"/>
    <w:bookmarkEnd w:id="649"/>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2.05. The Notes</w:t>
      </w:r>
    </w:p>
    <w:p>
      <w:pPr>
        <w:spacing w:after="0" w:line="205" w:lineRule="exact"/>
        <w:rPr>
          <w:sz w:val="20"/>
          <w:szCs w:val="20"/>
          <w:color w:val="auto"/>
        </w:rPr>
      </w:pPr>
    </w:p>
    <w:p>
      <w:pPr>
        <w:jc w:val="both"/>
        <w:ind w:firstLine="757"/>
        <w:spacing w:after="0" w:line="236" w:lineRule="auto"/>
        <w:tabs>
          <w:tab w:leader="none" w:pos="1180" w:val="left"/>
        </w:tabs>
        <w:numPr>
          <w:ilvl w:val="0"/>
          <w:numId w:val="5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made by the Lenders hereunder shall be evidenced by one or more duly executed promissory notes payable to the Persons specified by the Owners, with the Lender’s Loans Outstanding not to exceed the Commitment for the applicable Lender or the Aggregate Commitment in total, in substantially the form of Exhibit B hereto (each, a “Note” and collectively, the “Notes”). Each Note shall be dated the Closing Date and shall otherwise be duly completed and shall be delivered by the Borrower to the applicable Lender. The maturity date of each Note shall be the Final Maturity Date or such later date as to which the Administrative Agent, with the consent of each Lender, shall notify the Borrower in writing.</w:t>
      </w:r>
    </w:p>
    <w:p>
      <w:pPr>
        <w:spacing w:after="0" w:line="179" w:lineRule="exact"/>
        <w:rPr>
          <w:rFonts w:ascii="Times New Roman" w:cs="Times New Roman" w:eastAsia="Times New Roman" w:hAnsi="Times New Roman"/>
          <w:sz w:val="22"/>
          <w:szCs w:val="22"/>
          <w:color w:val="auto"/>
        </w:rPr>
      </w:pPr>
    </w:p>
    <w:p>
      <w:pPr>
        <w:jc w:val="both"/>
        <w:ind w:firstLine="757"/>
        <w:spacing w:after="0" w:line="266" w:lineRule="auto"/>
        <w:tabs>
          <w:tab w:leader="none" w:pos="1180" w:val="left"/>
        </w:tabs>
        <w:numPr>
          <w:ilvl w:val="0"/>
          <w:numId w:val="5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is hereby authorized to enter notations (which may be computer generated) on a schedule attached to the Note with respect to the Lender Advance, regarding (i) the date and Principal Amount thereof and (ii) each payment and repayment of principal thereof and any such recordation shall constitute prima facie evidence of the accuracy of the information so recorded. The failure of a Lender to make any such notation on the schedule attached to its Note shall not limit or otherwise affect the obligation of the Borrower to repay the Loans in accordance with their respective terms as set forth herein.</w:t>
      </w:r>
    </w:p>
    <w:p>
      <w:pPr>
        <w:spacing w:after="0" w:line="154"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5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Facility Termination Date, each Lender shall mark its Note “Paid” and return it to the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Optional Principal Repayments; Interpayments</w:t>
      </w:r>
    </w:p>
    <w:p>
      <w:pPr>
        <w:spacing w:after="0" w:line="205" w:lineRule="exact"/>
        <w:rPr>
          <w:sz w:val="20"/>
          <w:szCs w:val="20"/>
          <w:color w:val="auto"/>
        </w:rPr>
      </w:pPr>
    </w:p>
    <w:p>
      <w:pPr>
        <w:jc w:val="both"/>
        <w:ind w:firstLine="757"/>
        <w:spacing w:after="0" w:line="234" w:lineRule="auto"/>
        <w:tabs>
          <w:tab w:leader="none" w:pos="1180" w:val="left"/>
        </w:tabs>
        <w:numPr>
          <w:ilvl w:val="0"/>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any Business Day prior to the occurrence of a Termination Date, the Borrower may prepay all or a portion of the Loans Outstanding and all other Aggregate Unpaids, on at least two Business Days’ prior notice to the Secured Parties and the Paying Agent; provided that (i) the amount prepaid is at least $[***] or integral multiples of $[***] in excess thereof (unless otherwise agreed to in writing by the Administrative Agent); (ii) the Borrower pays to the appropriate parties all Aggregate Unpaids (excluding all Breakage Costs) due and owing pursuant to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 xml:space="preserve"> in connection with and through the date of such prepayment, including any fees or other amounts payable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and (iii) the Borrower certifies that following such prepayment, the Borrower will be in compliance with the provisions of this Agreement. Any notice of a prepayment shall be irrevocable.</w:t>
      </w:r>
    </w:p>
    <w:p>
      <w:pPr>
        <w:spacing w:after="0" w:line="184"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related optional principal repayment date the following shall be true and correct and the Borrower shall be deemed to have certified that after giving effect to such optional principal repayment and the release to the Borrower of the related Receivables, (A) no adverse selection procedures shall have been used by the Borrower with respect to the Receivables that will remain part of the Collateral after giving effect to such optional principal repayment, (B) no Termination Event, Unmatured Termination Event, Servicer Termination Event or Unmatured Servicer Termination Event shall have occurred nor will any such event occur as a result of such optional principal repayment, (C) after giving effect to such optional principal repayment, (i) no Borrowing Base Deficiency shall have occurred, and (ii) no Advance Rate Reduction Event shall have occurred.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0" w:name="page651"/>
    <w:bookmarkEnd w:id="650"/>
    <w:p>
      <w:pPr>
        <w:ind w:right="40" w:firstLine="757"/>
        <w:spacing w:after="0" w:line="258" w:lineRule="auto"/>
        <w:tabs>
          <w:tab w:leader="none" w:pos="1180"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related optional principal repayment date, the Borrower shall have delivered to the Secured Parties a list specifying all Contracts relating to the Receivables to be released pursuant to such optional principal repayment.</w:t>
      </w:r>
    </w:p>
    <w:p>
      <w:pPr>
        <w:spacing w:after="0" w:line="157"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0"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the reasonable out-of-pocket legal fees and expenses of the Paying Agent and the Secured Parties in connection with any optional principal repayment (including expenses incurred in connection with the release of the Lien of the Secured Parties in connection with such optional principal repayment).</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2.06(a), the Borrower may, prior to the occurrence of a Termination Event, and only if approved by the Administrative Agent in its sole discretion (and with written notice to the Paying Agent), subject to the payment of all amounts set forth in Section 2.06(a), prepay all or any portion of the Loans Outstanding on any Business Day by making an Interpayment. On the Payment Date relating to the Collection Period during which an Interpayment is made, if required by the Administrative Agent, UACC shall deposit into the Collection Account an amount equal to the Monthly Accrued Interest Payment Amount.</w:t>
      </w:r>
    </w:p>
    <w:p>
      <w:pPr>
        <w:spacing w:after="0" w:line="179" w:lineRule="exact"/>
        <w:rPr>
          <w:rFonts w:ascii="Times New Roman" w:cs="Times New Roman" w:eastAsia="Times New Roman" w:hAnsi="Times New Roman"/>
          <w:sz w:val="22"/>
          <w:szCs w:val="22"/>
          <w:color w:val="auto"/>
        </w:rPr>
      </w:pPr>
    </w:p>
    <w:p>
      <w:pPr>
        <w:jc w:val="both"/>
        <w:ind w:firstLine="757"/>
        <w:spacing w:after="0" w:line="271" w:lineRule="auto"/>
        <w:tabs>
          <w:tab w:leader="none" w:pos="1180" w:val="left"/>
        </w:tabs>
        <w:numPr>
          <w:ilvl w:val="0"/>
          <w:numId w:val="5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optional principal repayment of a Term SOFR Loan on a day other than the last day of an Interest Period therefor shall include Interest on the Principal Amount being repaid and shall be subject to Section 2.18. Any optional principal repayment of Loans Outstanding shall be applied first to that portion of such Loans Outstanding comprised of Base Rate Loans and then to that portion of such Loans Outstanding comprised of Term SOFR Loans, in direct order of Interest Period maturities.</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2.07. Payments</w:t>
      </w:r>
    </w:p>
    <w:p>
      <w:pPr>
        <w:spacing w:after="0" w:line="205" w:lineRule="exact"/>
        <w:rPr>
          <w:sz w:val="20"/>
          <w:szCs w:val="20"/>
          <w:color w:val="auto"/>
        </w:rPr>
      </w:pPr>
    </w:p>
    <w:p>
      <w:pPr>
        <w:jc w:val="both"/>
        <w:ind w:firstLine="757"/>
        <w:spacing w:after="0" w:line="239" w:lineRule="auto"/>
        <w:tabs>
          <w:tab w:leader="none" w:pos="1180"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pay Interest on the unpaid Principal Amount of each Loan for the period from the related Funding Date until the date that such Loan shall be paid in full. Interest shall accrue during each Interest Period at the Interest Rate and be payable on the Loans Outstanding on each Payment Date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unless earlier paid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Lender’s Invested Percentage of the Loans Outstanding shall bear Interest for each Interest Period at a rate per annum equal to the Interest Rate for each day during each Interest Period.</w:t>
      </w:r>
    </w:p>
    <w:p>
      <w:pPr>
        <w:spacing w:after="0" w:line="157" w:lineRule="exact"/>
        <w:rPr>
          <w:rFonts w:ascii="Times New Roman" w:cs="Times New Roman" w:eastAsia="Times New Roman" w:hAnsi="Times New Roman"/>
          <w:sz w:val="22"/>
          <w:szCs w:val="22"/>
          <w:color w:val="auto"/>
        </w:rPr>
      </w:pPr>
    </w:p>
    <w:p>
      <w:pPr>
        <w:ind w:right="20" w:firstLine="757"/>
        <w:spacing w:after="0" w:line="307" w:lineRule="auto"/>
        <w:tabs>
          <w:tab w:leader="none" w:pos="1180" w:val="left"/>
        </w:tabs>
        <w:numPr>
          <w:ilvl w:val="0"/>
          <w:numId w:val="5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calculated by reference to the Interest Rate shall be calculated on the basis of (i) for the Term SOFR Rate, a 360-day year for the actual days elapsed and (ii) the Prime Rate, a 365 or 366-day year, as applicable for the actual days elapsed.</w:t>
      </w:r>
    </w:p>
    <w:p>
      <w:pPr>
        <w:spacing w:after="0" w:line="112" w:lineRule="exact"/>
        <w:rPr>
          <w:rFonts w:ascii="Times New Roman" w:cs="Times New Roman" w:eastAsia="Times New Roman" w:hAnsi="Times New Roman"/>
          <w:sz w:val="20"/>
          <w:szCs w:val="20"/>
          <w:color w:val="auto"/>
        </w:rPr>
      </w:pPr>
    </w:p>
    <w:p>
      <w:pPr>
        <w:jc w:val="both"/>
        <w:ind w:firstLine="757"/>
        <w:spacing w:after="0" w:line="264" w:lineRule="auto"/>
        <w:tabs>
          <w:tab w:leader="none" w:pos="1180" w:val="left"/>
        </w:tabs>
        <w:numPr>
          <w:ilvl w:val="0"/>
          <w:numId w:val="5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Principal Amount of and Interest on the Notes shall be paid as provided herein and in the Notes. Payments in respect of the unpaid Principal Amount and Interest (including pursuant to Sections 2.06 and 2.15) shall be allocated and applied to Owners of such Note based on their respective Invested Percentages, or in any such case in such other proportions as each affected Lender may agree upon in writing from time to time with the Administrative Agent and the Borrower; provided that from and after the Commitment Termination Date for each Dissenting Lender until the earlier to occur of (i) the Termination Date and (ii) the date on which the aggregate amount of payments in reduction of Loans Outstanding made after the date of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1" w:name="page652"/>
    <w:bookmarkEnd w:id="651"/>
    <w:p>
      <w:pPr>
        <w:jc w:val="both"/>
        <w:spacing w:after="0" w:line="244" w:lineRule="auto"/>
        <w:rPr>
          <w:sz w:val="20"/>
          <w:szCs w:val="20"/>
          <w:color w:val="auto"/>
        </w:rPr>
      </w:pPr>
      <w:r>
        <w:rPr>
          <w:rFonts w:ascii="Times New Roman" w:cs="Times New Roman" w:eastAsia="Times New Roman" w:hAnsi="Times New Roman"/>
          <w:sz w:val="22"/>
          <w:szCs w:val="22"/>
          <w:color w:val="auto"/>
        </w:rPr>
        <w:t>occurrence of the related Partial Expiration Event equals the Partial Expiration Event Amount, payments pursuant to Section 2.08(a)(vii) in reduction of the Partial Expiration Event Amount shall be allocated and applied to Non-Extending Lenders pro rata based on their respective Lender Percentages.</w:t>
      </w:r>
    </w:p>
    <w:p>
      <w:pPr>
        <w:spacing w:after="0" w:line="172" w:lineRule="exact"/>
        <w:rPr>
          <w:sz w:val="20"/>
          <w:szCs w:val="20"/>
          <w:color w:val="auto"/>
        </w:rPr>
      </w:pPr>
    </w:p>
    <w:p>
      <w:pPr>
        <w:jc w:val="both"/>
        <w:ind w:firstLine="757"/>
        <w:spacing w:after="0" w:line="237" w:lineRule="auto"/>
        <w:tabs>
          <w:tab w:leader="none" w:pos="1180"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before 12:01 p.m. (New York City time) on the day that is two Business Days prior to next Interest Period, the Administrative Agent shall notify each Lender, the Borrower and the Servicer of the Benchmark or the Base Rate, as the case may be, due for the next Interest Period. Each determination of the Benchmark and Base Rate by the Administrative Agent pursuant to any provision of this Agreement shall be conclusive and binding on the Borrower and the Lenders in the absence of manifest error.</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lawfully have received, had the Interest due been calculated from the Closing Date at the Maximum Lawful Rate.</w:t>
      </w:r>
    </w:p>
    <w:p>
      <w:pPr>
        <w:spacing w:after="0" w:line="184"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0"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or the other Basic Documents, the Loans Outstanding, together with all Aggregate Unpaids, shall be due and payable in full in immediately available funds upon the automatic occurrence, or the declaration of the occurrence, of the Termination Date in accordance with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2.08. Settlement Procedures</w:t>
      </w:r>
    </w:p>
    <w:p>
      <w:pPr>
        <w:spacing w:after="0" w:line="205" w:lineRule="exact"/>
        <w:rPr>
          <w:sz w:val="20"/>
          <w:szCs w:val="20"/>
          <w:color w:val="auto"/>
        </w:rPr>
      </w:pPr>
    </w:p>
    <w:p>
      <w:pPr>
        <w:jc w:val="both"/>
        <w:ind w:firstLine="757"/>
        <w:spacing w:after="0" w:line="244" w:lineRule="auto"/>
        <w:tabs>
          <w:tab w:leader="none" w:pos="1180" w:val="left"/>
        </w:tabs>
        <w:numPr>
          <w:ilvl w:val="0"/>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Payment Date, the Servicer shall instruct (by delivery of the Monthly Report on the related Reporting Date) the Paying Agent to pay to the following Persons, from the Collection Account to the extent of Available Funds, the following amounts in the following order of priority, as set forth in the Monthly Report:</w:t>
      </w:r>
    </w:p>
    <w:p>
      <w:pPr>
        <w:spacing w:after="0" w:line="172" w:lineRule="exact"/>
        <w:rPr>
          <w:rFonts w:ascii="Times New Roman" w:cs="Times New Roman" w:eastAsia="Times New Roman" w:hAnsi="Times New Roman"/>
          <w:sz w:val="22"/>
          <w:szCs w:val="22"/>
          <w:color w:val="auto"/>
        </w:rPr>
      </w:pPr>
    </w:p>
    <w:p>
      <w:pPr>
        <w:jc w:val="both"/>
        <w:ind w:left="760" w:firstLine="1120"/>
        <w:spacing w:after="0" w:line="237" w:lineRule="auto"/>
        <w:tabs>
          <w:tab w:leader="none" w:pos="2315" w:val="left"/>
        </w:tabs>
        <w:numPr>
          <w:ilvl w:val="1"/>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 per annum;</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1"/>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pro rata, (A) to the Paying Agent, an amount equal to any accrued and unpaid Paying Agent Fee, together with its accrued and unpaid expenses and indemnities (which expenses and indemnities prior to the occurrence of a Termination Event shall not exceed $[***] per annum), (B) to the Successor Servicer, any unpaid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2" w:name="page653"/>
    <w:bookmarkEnd w:id="652"/>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 xml:space="preserve">Transition Expenses payable pursuant to </w:t>
      </w:r>
      <w:r>
        <w:rPr>
          <w:rFonts w:ascii="Times New Roman" w:cs="Times New Roman" w:eastAsia="Times New Roman" w:hAnsi="Times New Roman"/>
          <w:sz w:val="22"/>
          <w:szCs w:val="22"/>
          <w:u w:val="single" w:color="auto"/>
          <w:color w:val="auto"/>
        </w:rPr>
        <w:t>Section 7.15(d)</w:t>
      </w:r>
      <w:r>
        <w:rPr>
          <w:rFonts w:ascii="Times New Roman" w:cs="Times New Roman" w:eastAsia="Times New Roman" w:hAnsi="Times New Roman"/>
          <w:sz w:val="22"/>
          <w:szCs w:val="22"/>
          <w:color w:val="auto"/>
        </w:rPr>
        <w:t>, and (C) to the extent not previously paid, to the E-Vault Provider, any unpaid fees and expenses due and owing in respect of Electronic Contracts maintained in the Warehouse Vault Partition;</w:t>
      </w:r>
    </w:p>
    <w:p>
      <w:pPr>
        <w:spacing w:after="0" w:line="172" w:lineRule="exact"/>
        <w:rPr>
          <w:sz w:val="20"/>
          <w:szCs w:val="20"/>
          <w:color w:val="auto"/>
        </w:rPr>
      </w:pPr>
    </w:p>
    <w:p>
      <w:pPr>
        <w:jc w:val="both"/>
        <w:ind w:left="760" w:firstLine="1120"/>
        <w:spacing w:after="0" w:line="244" w:lineRule="auto"/>
        <w:tabs>
          <w:tab w:leader="none" w:pos="2315"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extent not paid for by UACC, to the Custodian (if not UACC), the accrued and unpaid Custodian Fee and any accrued and unpaid expenses and indemnities which amounts may be limited as per the successor Custodian Agreement;</w:t>
      </w:r>
    </w:p>
    <w:p>
      <w:pPr>
        <w:spacing w:after="0" w:line="172"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pro rata in accordance with their Invested Percentages, to each Lender in an amount equal to any accrued and unpaid (i) Senior Interest on the Loans, (ii) the Unused Fee, and (iii) any accrued and unpaid Senior Interest on the Loans and Unused Fees that remain unpaid on one or more prior Payment Dates;</w:t>
      </w:r>
    </w:p>
    <w:p>
      <w:pPr>
        <w:spacing w:after="0" w:line="172" w:lineRule="exact"/>
        <w:rPr>
          <w:rFonts w:ascii="Times New Roman" w:cs="Times New Roman" w:eastAsia="Times New Roman" w:hAnsi="Times New Roman"/>
          <w:sz w:val="22"/>
          <w:szCs w:val="22"/>
          <w:color w:val="auto"/>
        </w:rPr>
      </w:pPr>
    </w:p>
    <w:p>
      <w:pPr>
        <w:ind w:left="760" w:firstLine="1120"/>
        <w:spacing w:after="0" w:line="258" w:lineRule="auto"/>
        <w:tabs>
          <w:tab w:leader="none" w:pos="2315"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pro rata in accordance with their Invested Percentages, to each Lender, in an amount equal to the Monthly Principal Payment Amount;</w:t>
      </w:r>
    </w:p>
    <w:p>
      <w:pPr>
        <w:spacing w:after="0" w:line="157"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pro rata in accordance with their Invested Percentages, to each Lender in an amount equal to any accrued and unpaid Subordinate Interest on the Loans, any accrued and unpaid Subordinate Interest on the Loans that remain unpaid on one or more prior Payment Dates;</w:t>
      </w:r>
    </w:p>
    <w:p>
      <w:pPr>
        <w:spacing w:after="0" w:line="172"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if a Partial Expiration Event has occurred, the remaining funds to reduce pro rata the portion of the Loans Outstanding constituting the Lender Advances of any Non-Extending Lender, to zero;</w:t>
      </w:r>
    </w:p>
    <w:p>
      <w:pPr>
        <w:spacing w:after="0" w:line="157"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746"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Eighth, pro rata, to the Affected Parties and the Indemnified Parties, all other Aggregate Unpaids (other than the principal amount of the Loans Outstanding) then due under this Agreement or the other Basic Documents to them;</w:t>
      </w:r>
    </w:p>
    <w:p>
      <w:pPr>
        <w:spacing w:after="0" w:line="172" w:lineRule="exact"/>
        <w:rPr>
          <w:rFonts w:ascii="Times New Roman" w:cs="Times New Roman" w:eastAsia="Times New Roman" w:hAnsi="Times New Roman"/>
          <w:sz w:val="22"/>
          <w:szCs w:val="22"/>
          <w:color w:val="auto"/>
        </w:rPr>
      </w:pPr>
    </w:p>
    <w:p>
      <w:pPr>
        <w:ind w:left="760" w:right="20" w:firstLine="1120"/>
        <w:spacing w:after="0" w:line="307" w:lineRule="auto"/>
        <w:tabs>
          <w:tab w:leader="none" w:pos="2315" w:val="left"/>
        </w:tabs>
        <w:numPr>
          <w:ilvl w:val="0"/>
          <w:numId w:val="5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Ninth, to the Servicer, the Owner Trustee, the Custodian (if other than UACC), the Paying Agent and any Successor Servicer, any fees, expenses and indemnities not paid pursuant to </w:t>
      </w:r>
      <w:r>
        <w:rPr>
          <w:rFonts w:ascii="Times New Roman" w:cs="Times New Roman" w:eastAsia="Times New Roman" w:hAnsi="Times New Roman"/>
          <w:sz w:val="20"/>
          <w:szCs w:val="20"/>
          <w:u w:val="single" w:color="auto"/>
          <w:color w:val="auto"/>
        </w:rPr>
        <w:t>clauses (i) through (iii)</w:t>
      </w:r>
      <w:r>
        <w:rPr>
          <w:rFonts w:ascii="Times New Roman" w:cs="Times New Roman" w:eastAsia="Times New Roman" w:hAnsi="Times New Roman"/>
          <w:sz w:val="20"/>
          <w:szCs w:val="20"/>
          <w:color w:val="auto"/>
        </w:rPr>
        <w:t xml:space="preserve"> above; and</w:t>
      </w:r>
    </w:p>
    <w:p>
      <w:pPr>
        <w:spacing w:after="0" w:line="112" w:lineRule="exact"/>
        <w:rPr>
          <w:rFonts w:ascii="Times New Roman" w:cs="Times New Roman" w:eastAsia="Times New Roman" w:hAnsi="Times New Roman"/>
          <w:sz w:val="20"/>
          <w:szCs w:val="20"/>
          <w:color w:val="auto"/>
        </w:rPr>
      </w:pPr>
    </w:p>
    <w:p>
      <w:pPr>
        <w:ind w:left="760" w:firstLine="1120"/>
        <w:spacing w:after="0" w:line="258" w:lineRule="auto"/>
        <w:tabs>
          <w:tab w:leader="none" w:pos="2315"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Tenth, any remaining amount shall be distributed to the Borrower into the Borrower’s Account or such other account as directed by the Borrower.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[Reserved]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2.10. Payments, Computations, Etc.</w:t>
      </w:r>
    </w:p>
    <w:p>
      <w:pPr>
        <w:spacing w:after="0" w:line="205" w:lineRule="exact"/>
        <w:rPr>
          <w:sz w:val="20"/>
          <w:szCs w:val="20"/>
          <w:color w:val="auto"/>
        </w:rPr>
      </w:pPr>
    </w:p>
    <w:p>
      <w:pPr>
        <w:jc w:val="both"/>
        <w:ind w:firstLine="757"/>
        <w:spacing w:after="0" w:line="236" w:lineRule="auto"/>
        <w:tabs>
          <w:tab w:leader="none" w:pos="1180"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expressly provided herein, all amounts to be paid or deposited by the Borrower hereunder shall be paid or deposited in accordance with the terms hereof no later than 12:01 p.m., New York, New York time, on the day when due in Dollars in immediately available funds to the depository account or accounts specified by each Lender. Except as otherwise provided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the Borrower shall, to the extent permitted by Applicable Law, pay to the Lender, interest on all amounts not paid or deposited when due hereunder at the Default Rate, payable on demand; provided, however, that such interest rate shall not at any time exceed the Maximum Lawful Rate.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53" w:name="page654"/>
    <w:bookmarkEnd w:id="653"/>
    <w:p>
      <w:pPr>
        <w:jc w:val="both"/>
        <w:ind w:firstLine="757"/>
        <w:spacing w:after="0" w:line="236" w:lineRule="auto"/>
        <w:tabs>
          <w:tab w:leader="none" w:pos="1180"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12:01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spacing w:after="0" w:line="179"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Loan requested by the Borrower and approved by a Lender and the Administrative Agent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w:t>
      </w:r>
      <w:r>
        <w:rPr>
          <w:rFonts w:ascii="Times New Roman" w:cs="Times New Roman" w:eastAsia="Times New Roman" w:hAnsi="Times New Roman"/>
          <w:sz w:val="22"/>
          <w:szCs w:val="22"/>
          <w:color w:val="auto"/>
        </w:rPr>
        <w:t xml:space="preserve"> is not, for any reason (other than due to the gross negligence, bad faith or willful misconduct of such Lender),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all payments hereunder shall be made without set-off (other than as provided by Section 2.16) or counterclaim and in such amounts as may be necessary in order that all such payments shall not be less than the amounts otherwise specified to be paid under this Agreement.</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 the extent such payment or proceeds are set aside, the obligation or part thereof intended to be satisfied shall be revived and continue in full force and effect, as if such payment or proceeds had not been received or deemed received by such related party.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2.11. Collections and Allocations; Investment of Funds</w:t>
      </w:r>
    </w:p>
    <w:p>
      <w:pPr>
        <w:spacing w:after="0" w:line="205" w:lineRule="exact"/>
        <w:rPr>
          <w:sz w:val="20"/>
          <w:szCs w:val="20"/>
          <w:color w:val="auto"/>
        </w:rPr>
      </w:pPr>
    </w:p>
    <w:p>
      <w:pPr>
        <w:jc w:val="both"/>
        <w:ind w:firstLine="757"/>
        <w:spacing w:after="0" w:line="259" w:lineRule="auto"/>
        <w:tabs>
          <w:tab w:leader="none" w:pos="1180" w:val="left"/>
        </w:tabs>
        <w:numPr>
          <w:ilvl w:val="0"/>
          <w:numId w:val="5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Lockbox Account; provided, that such payments may also be directed to and accepted by the Servicer in accordance with the Credit and Collection Policy. The Servicer shall provide the Lockbox Bank with standing instructions to remit all cleared funds in the Lockbox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the Lockbox Bank, on behalf of the Administrative Agent and the other secured parties as set forth in the Intercreditor Agreement and the Intercreditor Party Supplement, shall have exclusive access to the Post Office Boxes. The Servicer shall direct the Lockbox Bank 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4" w:name="page655"/>
    <w:bookmarkEnd w:id="654"/>
    <w:p>
      <w:pPr>
        <w:jc w:val="both"/>
        <w:spacing w:after="0" w:line="236" w:lineRule="auto"/>
        <w:rPr>
          <w:sz w:val="20"/>
          <w:szCs w:val="20"/>
          <w:color w:val="auto"/>
        </w:rPr>
      </w:pPr>
      <w:r>
        <w:rPr>
          <w:rFonts w:ascii="Times New Roman" w:cs="Times New Roman" w:eastAsia="Times New Roman" w:hAnsi="Times New Roman"/>
          <w:sz w:val="22"/>
          <w:szCs w:val="22"/>
          <w:color w:val="auto"/>
        </w:rPr>
        <w:t>remove all payments on or in respect of the Receivables from the Post Office Boxes on each Business Day and shall deposit such amounts into the Lockbox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Lockbox Account shall be performed by the Successor Servicer unless otherwise designated by the Administrative Agent in writing.</w:t>
      </w:r>
    </w:p>
    <w:p>
      <w:pPr>
        <w:spacing w:after="0" w:line="179" w:lineRule="exact"/>
        <w:rPr>
          <w:sz w:val="20"/>
          <w:szCs w:val="20"/>
          <w:color w:val="auto"/>
        </w:rPr>
      </w:pPr>
    </w:p>
    <w:p>
      <w:pPr>
        <w:jc w:val="both"/>
        <w:ind w:firstLine="757"/>
        <w:spacing w:after="0" w:line="239" w:lineRule="auto"/>
        <w:tabs>
          <w:tab w:leader="none" w:pos="1180" w:val="left"/>
        </w:tabs>
        <w:numPr>
          <w:ilvl w:val="0"/>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and on each Funding Date, the Servicer will deposit (in immediately available funds) into either Account all Collections available after the applicable Cutoff Date and through and including the Closing Date or Funding Date, as the case may be, in respect of Receivables added to the Collateral on the related date. The Servicer will deposit all Collections received into either Account within two Business Days of receipt.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spacing w:after="0" w:line="172"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there are uninvested amounts on deposit in the Collection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Absent such written direction, funds in the Collection Account shall remain uninvested. No Permitted Investment may be purchased at a premium. Any earnings (and losses) on the foregoing investments shall be for the account of the Borrower. Each of the Borrower and the Administrative Agent acknowledges that upon its written request and at no additional cost, it has the right to receive notification after the completion of each purchase and sale of Permitted Investments or Paying Agent’s receipt of a broker’s confirmation. Each of the Borrower and the Administrative Agent agrees that such notifications shall not be provided by the Paying Agent hereunder, and the Paying Agent shall make available, upon request and in lieu of notifications, periodic account statements that reflect such investment activity. No statement need be made available for any account if no activity has occurred in such account during such period.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2.12. Fees</w:t>
      </w:r>
    </w:p>
    <w:p>
      <w:pPr>
        <w:spacing w:after="0" w:line="205" w:lineRule="exact"/>
        <w:rPr>
          <w:sz w:val="20"/>
          <w:szCs w:val="20"/>
          <w:color w:val="auto"/>
        </w:rPr>
      </w:pPr>
    </w:p>
    <w:p>
      <w:pPr>
        <w:jc w:val="both"/>
        <w:ind w:right="20" w:firstLine="757"/>
        <w:spacing w:after="0" w:line="244" w:lineRule="auto"/>
        <w:tabs>
          <w:tab w:leader="none" w:pos="1180" w:val="left"/>
        </w:tabs>
        <w:numPr>
          <w:ilvl w:val="0"/>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to each Lender, monthly in arrears, its respective portion of the Unused Fee from the Collection Account in accordance with Section 2.08. Payments of the Unused Fee shall be allocated and paid to the Lenders based upon their respective Invested Percentages for the applicable Interest Period.</w:t>
      </w:r>
    </w:p>
    <w:p>
      <w:pPr>
        <w:spacing w:after="0" w:line="172"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any Successor Servicer, the Paying Agent and the Custodian shall be entitled to receive any accrued and unpaid Servicing Fee, Paying Agent Fee and Custodian Fee due to them, respectively,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5" w:name="page656"/>
    <w:bookmarkEnd w:id="655"/>
    <w:p>
      <w:pPr>
        <w:jc w:val="both"/>
        <w:ind w:firstLine="757"/>
        <w:spacing w:after="0" w:line="237" w:lineRule="auto"/>
        <w:tabs>
          <w:tab w:leader="none" w:pos="1180"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on or before the Closing Date, any fees set forth in the Fee Letter to be paid on the Closing Date and any reasonable out-of-pocket fees and expenses (including the fees and expense of its outside counsel in connection with the preparation, negotiation and execution of this Agreement and those charged by any nationally recognized statistical rating organization in connection with reviewing the transactions contemplated by this Agreement, if any) in immediately available funds.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2.13. Increased Costs; Capital Adequacy; Illegality; Rating Requests</w:t>
      </w:r>
    </w:p>
    <w:p>
      <w:pPr>
        <w:spacing w:after="0" w:line="205" w:lineRule="exact"/>
        <w:rPr>
          <w:sz w:val="20"/>
          <w:szCs w:val="20"/>
          <w:color w:val="auto"/>
        </w:rPr>
      </w:pPr>
    </w:p>
    <w:p>
      <w:pPr>
        <w:jc w:val="both"/>
        <w:ind w:firstLine="757"/>
        <w:spacing w:after="0" w:line="233" w:lineRule="auto"/>
        <w:tabs>
          <w:tab w:leader="none" w:pos="118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either (i) the introduction of or any change (including any change by way of imposition or increase of reserve requirements) in or in the interpretation of any Applicable Law or (ii) the compliance by a Lender or any of its Affiliates (each, an “Affected Party”) with any guideline or request from any Governmental Authority (whether or not having the force of law), shall (A) subject an Affected Party to any Tax (except for Taxes described in </w:t>
      </w:r>
      <w:r>
        <w:rPr>
          <w:rFonts w:ascii="Times New Roman" w:cs="Times New Roman" w:eastAsia="Times New Roman" w:hAnsi="Times New Roman"/>
          <w:sz w:val="22"/>
          <w:szCs w:val="22"/>
          <w:u w:val="single" w:color="auto"/>
          <w:color w:val="auto"/>
        </w:rPr>
        <w:t>clauses (ii) through (iv)</w:t>
      </w:r>
      <w:r>
        <w:rPr>
          <w:rFonts w:ascii="Times New Roman" w:cs="Times New Roman" w:eastAsia="Times New Roman" w:hAnsi="Times New Roman"/>
          <w:sz w:val="22"/>
          <w:szCs w:val="22"/>
          <w:color w:val="auto"/>
        </w:rPr>
        <w:t xml:space="preserve"> of the definition of Excluded Taxes, any Indemnified Taxes, and Connection Income Taxes), duty or other charge with respect to a Loan hereunder, or on any payment made hereunder, (B) impose, modify or deem applicable any reserve requirement (including any reserve requirement imposed by the Federal Reserve Board, but excluding any reserve requirement, if any, included in the determination of Interest), special deposit or similar requirement against assets of, deposits with or for the amount of, or credit extended by, any Affected Party or (C) impose any other condition affecting a Loan or an Affected Party’s rights hereunder, then within 30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181"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0" w:val="left"/>
        </w:tabs>
        <w:numPr>
          <w:ilvl w:val="0"/>
          <w:numId w:val="5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(i) the introduction of or any change in or in the interpretation of any law, guideline, rule, regulation, directive or request (including the Dodd-Frank Act, Basel II or Basel III) or (ii) compliance by any Affected Party with any law, guideline, rule, regulation, directive or request from any central bank or other Governmental Authority (whether or not having the force of law), including compliance by an Affected Party with any request or directive regarding capital adequacy (including the Dodd-Frank Act, Basel II or Basel III) has the result of reducing the rate of return on an Affected Party’s capital or assets as a consequence of its obligations under this Agreement, then from time to time, within 30 days after demand by such Affected Party (which demand shall be accompanied by a statement setting forth the basis for such demand), the Borrower shall pay directly to such Affected Party such additional amount or amounts as will compensate such Affected Party for such reduction.</w:t>
      </w:r>
    </w:p>
    <w:p>
      <w:pPr>
        <w:spacing w:after="0" w:line="156" w:lineRule="exact"/>
        <w:rPr>
          <w:rFonts w:ascii="Times New Roman" w:cs="Times New Roman" w:eastAsia="Times New Roman" w:hAnsi="Times New Roman"/>
          <w:sz w:val="20"/>
          <w:szCs w:val="20"/>
          <w:color w:val="auto"/>
        </w:rPr>
      </w:pPr>
    </w:p>
    <w:p>
      <w:pPr>
        <w:ind w:left="1180" w:hanging="423"/>
        <w:spacing w:after="0"/>
        <w:tabs>
          <w:tab w:leader="none" w:pos="118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spacing w:after="0" w:line="17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6" w:name="page657"/>
    <w:bookmarkEnd w:id="656"/>
    <w:p>
      <w:pPr>
        <w:ind w:left="1180" w:hanging="423"/>
        <w:spacing w:after="0"/>
        <w:tabs>
          <w:tab w:leader="none" w:pos="1180"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firstLine="757"/>
        <w:spacing w:after="0" w:line="258" w:lineRule="auto"/>
        <w:tabs>
          <w:tab w:leader="none" w:pos="1180" w:val="left"/>
        </w:tabs>
        <w:numPr>
          <w:ilvl w:val="0"/>
          <w:numId w:val="5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Owner or Committed Lender has, or anticipates having, any claim for compensation under the FAS 166/167 Rules against the Borrower, and such Owner or Committed Lender believes that having the transactions contemplated by this Agreement publicly rated by a Rating Agency or qualifying under the supervisory formula approach under Basel II or Basel III would reduce the amount of such compensation by an amount deemed by such Owner or Committed Lender to be material, the Administrative Agent, on behalf of such Owner or Committed Lender shall provide a Rating Request to the Borrower and the Servicer. The Borrower and the Servicer shall cooperate with the Administrative Agent’s efforts to obtain the rating from the Rating Agency specified in the Rating Request within 120 days following delivery of any Rating Request, and shall provide directly or through distribution to the Administrative Agent or Owner any information such Rating Agency may require for purposes of providing and monitoring such rating. The Borrower shall pay the initial fees payable to the Rating Agency in connection with a Rating Request, and the Servicer shall pay any subsequent or ongoing fees and if the amount of the increase in compensation from obtaining a rating is less than the Rating Agency fee, the obligation to pay the Rating Agency will be borne by the applicable Secured Party and the Borrower/Servicer will reimburse the Secured Party only for the increased compensation.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2.14. Taxes</w:t>
      </w:r>
    </w:p>
    <w:p>
      <w:pPr>
        <w:spacing w:after="0" w:line="205" w:lineRule="exact"/>
        <w:rPr>
          <w:sz w:val="20"/>
          <w:szCs w:val="20"/>
          <w:color w:val="auto"/>
        </w:rPr>
      </w:pPr>
    </w:p>
    <w:p>
      <w:pPr>
        <w:jc w:val="both"/>
        <w:ind w:firstLine="757"/>
        <w:spacing w:after="0" w:line="234" w:lineRule="auto"/>
        <w:tabs>
          <w:tab w:leader="none" w:pos="1180"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If such Taxes are Indemnified Taxes, the Borrower shall increase the amount payable to each Lender or the Administrative Agent, as the case may be (such increase, the “Additional Amount”) such that every net payment made under this Agreement after deduction or withholding for or on account of any Non- Excluded Taxes (including any deduction or withholding for or on account of such Additional Amount) is not less than the amount that would have been paid had no such deduction or withholding been deducted or withheld.</w:t>
      </w:r>
    </w:p>
    <w:p>
      <w:pPr>
        <w:spacing w:after="0" w:line="184"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timely pay to the relevant Governmental Authority in accordance with Applicable Law, or at the option of the Administrative Agent timely reimburse it for the payment of, any Other Taxes.</w:t>
      </w:r>
    </w:p>
    <w:p>
      <w:pPr>
        <w:spacing w:after="0" w:line="157"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will indemnify each Secured Party, within 10 days after demand therefor, for the full amount of Indemnified Taxes (including any Indemnified Taxes imposed by any jurisdiction on such Additional Amounts) paid by such Secured Party or required to be withheld or deducted from a payment to such Secured Party and any liability (including penalties, interest and expenses) arising therefrom or with respect thereto whether or not such Indemnified Taxes were correctly or legally imposed or asserted by the relevant Governmental Authority; provided, however, that the Secured Party making a demand for indemnity payment hereunder shall provide the Borrower with a certificate from the relevant taxing authority or from a Responsible Officer of such Secured Party stating or otherwise evidencing that such Secured Party has made payment of such Taxes and will provide a copy of or extract from documentation, if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657" w:name="page658"/>
    <w:bookmarkEnd w:id="657"/>
    <w:p>
      <w:pPr>
        <w:ind w:right="20"/>
        <w:spacing w:after="0" w:line="258" w:lineRule="auto"/>
        <w:rPr>
          <w:sz w:val="20"/>
          <w:szCs w:val="20"/>
          <w:color w:val="auto"/>
        </w:rPr>
      </w:pPr>
      <w:r>
        <w:rPr>
          <w:rFonts w:ascii="Times New Roman" w:cs="Times New Roman" w:eastAsia="Times New Roman" w:hAnsi="Times New Roman"/>
          <w:sz w:val="22"/>
          <w:szCs w:val="22"/>
          <w:color w:val="auto"/>
        </w:rPr>
        <w:t>available, furnished by such taxing authority evidencing assertion or payment of such Taxes. This indemnification shall be made within 10 days from the date a Secured Party makes demand therefor.</w:t>
      </w:r>
    </w:p>
    <w:p>
      <w:pPr>
        <w:spacing w:after="0" w:line="157" w:lineRule="exact"/>
        <w:rPr>
          <w:sz w:val="20"/>
          <w:szCs w:val="20"/>
          <w:color w:val="auto"/>
        </w:rPr>
      </w:pPr>
    </w:p>
    <w:p>
      <w:pPr>
        <w:jc w:val="both"/>
        <w:ind w:right="20" w:firstLine="757"/>
        <w:spacing w:after="0" w:line="244" w:lineRule="auto"/>
        <w:tabs>
          <w:tab w:leader="none" w:pos="1180"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and at least within 30 days after the date of any payment by the Borrower of any Taxes pursuant to this Section, the Borrower will furnish to the Administrative Agent, at its address set forth in Schedule E appropriate evidence of payment thereof.</w:t>
      </w:r>
    </w:p>
    <w:p>
      <w:pPr>
        <w:spacing w:after="0" w:line="172"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0"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Lender is a Non-U.S. Lender, such Lender shall, to the extent that it may then do so under Applicable Law, deliver to the Borrower, with a copy to the Administrative Agent and the Paying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2.14(e)</w:t>
      </w:r>
      <w:r>
        <w:rPr>
          <w:rFonts w:ascii="Times New Roman" w:cs="Times New Roman" w:eastAsia="Times New Roman" w:hAnsi="Times New Roman"/>
          <w:sz w:val="22"/>
          <w:szCs w:val="22"/>
          <w:color w:val="auto"/>
        </w:rPr>
        <w:t xml:space="preserve">,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“United States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w:t>
      </w:r>
      <w:r>
        <w:rPr>
          <w:rFonts w:ascii="Times New Roman" w:cs="Times New Roman" w:eastAsia="Times New Roman" w:hAnsi="Times New Roman"/>
          <w:sz w:val="22"/>
          <w:szCs w:val="22"/>
          <w:u w:val="single" w:color="auto"/>
          <w:color w:val="auto"/>
        </w:rPr>
        <w:t>Section 2.14(e)</w:t>
      </w:r>
      <w:r>
        <w:rPr>
          <w:rFonts w:ascii="Times New Roman" w:cs="Times New Roman" w:eastAsia="Times New Roman" w:hAnsi="Times New Roman"/>
          <w:sz w:val="22"/>
          <w:szCs w:val="22"/>
          <w:color w:val="auto"/>
        </w:rPr>
        <w:t xml:space="preserve"> and upon written request of the Borrower, a duly completed copy of the IRS Form W-9 (or any successor forms or other certificates or statements which may be required from time to time by the relevant U.S. taxing authorities or Applicable Law). Upon request from the Paying Agent, the Borrower will provide such additional information that it may have to assist the Paying Agent in making any withholdings or informational reports, if any.</w:t>
      </w:r>
    </w:p>
    <w:p>
      <w:pPr>
        <w:spacing w:after="0" w:line="179"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deliver to the Borrower, with a copy to the Administrative Agent and the Paying Agent, at the time or times prescribed by Applicable Law and at such time or times reasonably requested by the Borrower or the Administrative Agent, such documentation prescribed by Applicable Law (including as prescribed by Code Section 1471(b)(3)(C)(i)) and such additional documentation reasonably requested by the Borrower or the Administrative Agent to comply with its obligations under FATCA, to determine that such recipient has complied with such recipient’s obligations under FATCA, or to determine the amount to deduct and withhold from such payment, if 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8" w:name="page659"/>
    <w:bookmarkEnd w:id="658"/>
    <w:p>
      <w:pPr>
        <w:spacing w:after="0" w:line="258" w:lineRule="auto"/>
        <w:rPr>
          <w:sz w:val="20"/>
          <w:szCs w:val="20"/>
          <w:color w:val="auto"/>
        </w:rPr>
      </w:pPr>
      <w:r>
        <w:rPr>
          <w:rFonts w:ascii="Times New Roman" w:cs="Times New Roman" w:eastAsia="Times New Roman" w:hAnsi="Times New Roman"/>
          <w:sz w:val="22"/>
          <w:szCs w:val="22"/>
          <w:color w:val="auto"/>
        </w:rPr>
        <w:t xml:space="preserve">Solely for purposes of this </w:t>
      </w:r>
      <w:r>
        <w:rPr>
          <w:rFonts w:ascii="Times New Roman" w:cs="Times New Roman" w:eastAsia="Times New Roman" w:hAnsi="Times New Roman"/>
          <w:sz w:val="22"/>
          <w:szCs w:val="22"/>
          <w:u w:val="single" w:color="auto"/>
          <w:color w:val="auto"/>
        </w:rPr>
        <w:t>Section 2.14(f)</w:t>
      </w:r>
      <w:r>
        <w:rPr>
          <w:rFonts w:ascii="Times New Roman" w:cs="Times New Roman" w:eastAsia="Times New Roman" w:hAnsi="Times New Roman"/>
          <w:sz w:val="22"/>
          <w:szCs w:val="22"/>
          <w:color w:val="auto"/>
        </w:rPr>
        <w:t>, “FATCA” shall include any amendments made to FATCA after the date of this Agreement.</w:t>
      </w:r>
    </w:p>
    <w:p>
      <w:pPr>
        <w:spacing w:after="0" w:line="157" w:lineRule="exact"/>
        <w:rPr>
          <w:sz w:val="20"/>
          <w:szCs w:val="20"/>
          <w:color w:val="auto"/>
        </w:rPr>
      </w:pPr>
    </w:p>
    <w:p>
      <w:pPr>
        <w:jc w:val="both"/>
        <w:ind w:firstLine="757"/>
        <w:spacing w:after="0" w:line="235" w:lineRule="auto"/>
        <w:tabs>
          <w:tab w:leader="none" w:pos="1180"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of the written request of the Borrower to a Secured Party, the Secured Party shall execute and deliver to the Borrower such certificates, forms or other documents which can be furnished consistent with the facts and which are reasonably necessary to assist the Borrower in applying for refunds of Taxes remitted hereunder; provided, however, that (i) the Secured Party shall not be required to deliver such certificates, forms or other documents if in their respective sole discretion it is determined that the deliverance of such certificate, form or other document would have a Material Adverse Effect on the Secured Party and (ii) the Borrower shall reimburse the Secured Party for any reasonable expenses incurred in the delivery of such certificate, form or other document.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each Lender, or other Person designated by a Lender, by its acceptance of the Notes, agree to treat the Notes for federal, State and local income, single business and franchise Tax purposes as Indebtedness of the Borrower.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Securitizations</w:t>
      </w:r>
    </w:p>
    <w:p>
      <w:pPr>
        <w:spacing w:after="0" w:line="205" w:lineRule="exact"/>
        <w:rPr>
          <w:sz w:val="20"/>
          <w:szCs w:val="20"/>
          <w:color w:val="auto"/>
        </w:rPr>
      </w:pPr>
    </w:p>
    <w:p>
      <w:pPr>
        <w:jc w:val="both"/>
        <w:ind w:firstLine="757"/>
        <w:spacing w:after="0" w:line="239" w:lineRule="auto"/>
        <w:tabs>
          <w:tab w:leader="none" w:pos="1180" w:val="left"/>
        </w:tabs>
        <w:numPr>
          <w:ilvl w:val="0"/>
          <w:numId w:val="5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Termination Event has occurred, the Borrower shall have the right on any Business Day to prepay all or (subject to clause (v) below) a portion of the Loans Outstanding and request the Administrative Agent to release its security interest and Lien on the related Receivables (and the other related Collateral) in connection with a Securitization, subject to the following terms and conditions:</w:t>
      </w:r>
    </w:p>
    <w:p>
      <w:pPr>
        <w:spacing w:after="0" w:line="178"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5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given the Secured Parties, the Paying Agent and the Custodian at least five</w:t>
      </w:r>
    </w:p>
    <w:p>
      <w:pPr>
        <w:spacing w:after="0" w:line="13" w:lineRule="exact"/>
        <w:rPr>
          <w:rFonts w:ascii="Times New Roman" w:cs="Times New Roman" w:eastAsia="Times New Roman" w:hAnsi="Times New Roman"/>
          <w:sz w:val="22"/>
          <w:szCs w:val="22"/>
          <w:color w:val="auto"/>
        </w:rPr>
      </w:pPr>
    </w:p>
    <w:p>
      <w:pPr>
        <w:jc w:val="both"/>
        <w:ind w:left="7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(5) Business Days’ prior written notice of its intent to effect a Securitization and, at least two (2) Business Days prior to the closing of the Securitization, shall provide the Secured Parties with all information reasonably required by it to produce the related Securitization Release, substantially in the form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760" w:firstLine="1120"/>
        <w:spacing w:after="0" w:line="239" w:lineRule="auto"/>
        <w:tabs>
          <w:tab w:leader="none" w:pos="2315" w:val="left"/>
        </w:tabs>
        <w:numPr>
          <w:ilvl w:val="1"/>
          <w:numId w:val="5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Securitization shall reduce the Loans Outstanding either (A) to $0.00 or (B) to no less than $[***]; provided, however, that notwithstanding the foregoing provisions of this Section, the Administrative Agent may, acting in good faith, permit a Securitization following the occurrence of a Termination Event provided that such Securitization satisfies the other provisions of this Section and shall reduce the Loans Outstanding to $0.00.</w:t>
      </w:r>
    </w:p>
    <w:p>
      <w:pPr>
        <w:spacing w:after="0" w:line="178" w:lineRule="exact"/>
        <w:rPr>
          <w:rFonts w:ascii="Times New Roman" w:cs="Times New Roman" w:eastAsia="Times New Roman" w:hAnsi="Times New Roman"/>
          <w:sz w:val="22"/>
          <w:szCs w:val="22"/>
          <w:color w:val="auto"/>
        </w:rPr>
      </w:pPr>
    </w:p>
    <w:p>
      <w:pPr>
        <w:jc w:val="both"/>
        <w:ind w:left="760" w:firstLine="1120"/>
        <w:spacing w:after="0" w:line="237" w:lineRule="auto"/>
        <w:tabs>
          <w:tab w:leader="none" w:pos="2315" w:val="left"/>
        </w:tabs>
        <w:numPr>
          <w:ilvl w:val="1"/>
          <w:numId w:val="5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Securitization is to be effected on a Payment Date (in which case the relevant calculations with respect to such Securitization shall be reflected on the applicable Monthly Report), the Servicer shall deliver to the Secured Parties a Securitization Date Certificate and updated Receivable Data, together with evidence to the reasonable satisfaction of the Administrative Agent that the Borrower shall have sufficient funds on the related Securitization Date to effect such Securitization in accordance 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59" w:name="page660"/>
    <w:bookmarkEnd w:id="659"/>
    <w:p>
      <w:pPr>
        <w:jc w:val="both"/>
        <w:ind w:left="760"/>
        <w:spacing w:after="0" w:line="237" w:lineRule="auto"/>
        <w:rPr>
          <w:sz w:val="20"/>
          <w:szCs w:val="20"/>
          <w:color w:val="auto"/>
        </w:rPr>
      </w:pPr>
      <w:r>
        <w:rPr>
          <w:rFonts w:ascii="Times New Roman" w:cs="Times New Roman" w:eastAsia="Times New Roman" w:hAnsi="Times New Roman"/>
          <w:sz w:val="22"/>
          <w:szCs w:val="22"/>
          <w:color w:val="auto"/>
        </w:rPr>
        <w:t>this Agreement, which funds may come from the proceeds of sales of the Receivables in connection with such Securitization (which sales must be made in arm’s-length transactions); provided that, for the avoidance of doubt, the Administrative Agent shall not incur (and does not assume) any liability in connection with the determination by the Servicer or the Borrower that the Borrower has sufficient funds on the related Securitization Date to effect such Securitization in accordance with this Agreement.</w:t>
      </w:r>
    </w:p>
    <w:p>
      <w:pPr>
        <w:spacing w:after="0" w:line="180" w:lineRule="exact"/>
        <w:rPr>
          <w:sz w:val="20"/>
          <w:szCs w:val="20"/>
          <w:color w:val="auto"/>
        </w:rPr>
      </w:pPr>
    </w:p>
    <w:p>
      <w:pPr>
        <w:jc w:val="both"/>
        <w:ind w:left="760" w:firstLine="1120"/>
        <w:spacing w:after="0" w:line="234" w:lineRule="auto"/>
        <w:tabs>
          <w:tab w:leader="none" w:pos="2315" w:val="left"/>
        </w:tabs>
        <w:numPr>
          <w:ilvl w:val="1"/>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related Securitization Date, the following shall be true and correct and the Borrower shall be deemed to have certified that, after giving effect to the Securitization and the release to the Borrower of the related Receivables (and the other related Collateral) on the related Securitization Date, (A) no adverse selection procedures shall have been used by the Borrower with respect to the Receivables that will remain subject to this Agreement after giving effect to the Securitization (except as is necessary to comply with normal and customary eligibility criteria for asset-backed securities transactions involving retail auto loan receivables similar to the Receivables), (B) the representations and warranties contained in </w:t>
      </w:r>
      <w:r>
        <w:rPr>
          <w:rFonts w:ascii="Times New Roman" w:cs="Times New Roman" w:eastAsia="Times New Roman" w:hAnsi="Times New Roman"/>
          <w:sz w:val="22"/>
          <w:szCs w:val="22"/>
          <w:u w:val="single" w:color="auto"/>
          <w:color w:val="auto"/>
        </w:rPr>
        <w:t>Sections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are true and correct in all material respects, except to the extent relating to an earlier date, and (C) no Unmatured Termination Event, Termination Event, Early Amortization Event or Unmatured Servicer Termination Event, has occurred or will result from such Securitization.</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32" w:lineRule="auto"/>
        <w:tabs>
          <w:tab w:leader="none" w:pos="2315" w:val="left"/>
        </w:tabs>
        <w:numPr>
          <w:ilvl w:val="1"/>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related Securitization Date, the Borrower shall pay directly to the Secured Parties, in immediately available funds, (A) the portion of the Loans Outstanding to be paid (such amount to be allocated pro rata among the lenders based on the Invested Percentages of the Lenders), (B) an amount equal to all unpaid Interest (including Interest not yet accrued) to the extent reasonably estimated by the Administrative Agent to be attributable to that portion of the aggregate Loans Outstanding to be paid in connection with the Securitization, and (C) all Aggregate Unpaids then due and payable with respect thereto. The amount paid pursuant to (1) </w:t>
      </w:r>
      <w:r>
        <w:rPr>
          <w:rFonts w:ascii="Times New Roman" w:cs="Times New Roman" w:eastAsia="Times New Roman" w:hAnsi="Times New Roman"/>
          <w:sz w:val="22"/>
          <w:szCs w:val="22"/>
          <w:u w:val="single" w:color="auto"/>
          <w:color w:val="auto"/>
        </w:rPr>
        <w:t>clauses (A) and (B)</w:t>
      </w:r>
      <w:r>
        <w:rPr>
          <w:rFonts w:ascii="Times New Roman" w:cs="Times New Roman" w:eastAsia="Times New Roman" w:hAnsi="Times New Roman"/>
          <w:sz w:val="22"/>
          <w:szCs w:val="22"/>
          <w:color w:val="auto"/>
        </w:rPr>
        <w:t xml:space="preserve"> shall be deposited in the Collection Account to be applied as Available Funds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on the Securitization Date or next Payment Date (or on such Payment Date, if the Securitization Date is on a Payment Date) and (2)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be paid to the Persons to whom such amounts are to be owed on such Securitization Date. In the event that the Administrative Agent subsequently determines that the actual accrued and unpaid Interest attributable to that portion of the aggregate Loans Outstanding paid in connection with the Securitization is in excess of the amount of accrued and unpaid Interest estimated pursuant to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the Borrower will remit or cause to be remitted the amount of such excess to the Lenders in immediately available funds on the date of the Administrative Agent’s request or, if commercially impracticable, promptly upon such request.</w:t>
      </w:r>
    </w:p>
    <w:p>
      <w:pPr>
        <w:spacing w:after="0" w:line="190" w:lineRule="exact"/>
        <w:rPr>
          <w:rFonts w:ascii="Times New Roman" w:cs="Times New Roman" w:eastAsia="Times New Roman" w:hAnsi="Times New Roman"/>
          <w:sz w:val="22"/>
          <w:szCs w:val="22"/>
          <w:color w:val="auto"/>
        </w:rPr>
      </w:pPr>
    </w:p>
    <w:p>
      <w:pPr>
        <w:ind w:left="760" w:firstLine="1120"/>
        <w:spacing w:after="0" w:line="258" w:lineRule="auto"/>
        <w:tabs>
          <w:tab w:leader="none" w:pos="2315" w:val="left"/>
        </w:tabs>
        <w:numPr>
          <w:ilvl w:val="1"/>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related Securitization Date, the Servicer shall have received, in immediately available funds, all amounts due and payable by the Borrower to the Servicer under this Agreement.</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agrees to pay the reasonable legal fees, expenses and indemnities of the Custodian, the Paying Agent, the Servicer and the Secured Parties in connection with any Securitization (including expenses incurred in connection with the release of the Lien of the Secured Parties in connection with such Securitization).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0" w:name="page661"/>
    <w:bookmarkEnd w:id="660"/>
    <w:p>
      <w:pPr>
        <w:jc w:val="both"/>
        <w:ind w:firstLine="757"/>
        <w:spacing w:after="0" w:line="234" w:lineRule="auto"/>
        <w:tabs>
          <w:tab w:leader="none" w:pos="1180" w:val="left"/>
        </w:tabs>
        <w:numPr>
          <w:ilvl w:val="0"/>
          <w:numId w:val="5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Securitization, on the related Securitization Date, subject to satisfaction of the conditions referred to in this Section, the Administrative Agent shall, at the expense of the Borrower, (i) execute such instruments of release with respect to the portion of the related Receivables (and the other related Collateral) to be released to the Borrower, including a Securitization Release, in favor of the Borrower as the Borrower may reasonably request, (ii) deliver or cause to be delivered any portion of the related Receivables (and the other related Collateral) to be released to the Borrower to the Borrower and (iii) otherwise take such actions, and cause or permit the Servicer to take such actions, as are necessary and appropriate to release the Lien of the Administrative Agent on the portion of the related Receivables (and the other related Collateral) to be released to the Borrower and deliver to the Borrower such related Receivables and related Collateral.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2.16. Sharing of Payments, Etc.</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If, other than as expressly provided elsewhere herein, any Lender shall obtain on account of the Notes owned by it any payment in excess of its Invested Percentage in such payment, such Lender shall immediately (i) notify the Administrative Agent of such fact and (ii) purchase from the other Lenders such participations made by them as shall be necessary to cause such purchasing Lender to share the excess payment pro rata (based on the Lender Percentage of each Lender) with each of them;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all or any portion of such excess payment is thereafter recovered from the purchasing Lender,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 shall to that extent be rescinded and each other Lender shall repay to the purchasing Lender the purchase price paid therefor, together with an amount equal to such paying Lender’s ratable share (according to the proportion of (a) the amount of such paying Lender’s required repayment to (b)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Each such Lender will keep its own records (which shall be conclusive and binding in the absence of manifest error) of participations purchased under this Section.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2.17. The Paying Agent</w:t>
      </w:r>
    </w:p>
    <w:p>
      <w:pPr>
        <w:spacing w:after="0" w:line="205" w:lineRule="exact"/>
        <w:rPr>
          <w:sz w:val="20"/>
          <w:szCs w:val="20"/>
          <w:color w:val="auto"/>
        </w:rPr>
      </w:pPr>
    </w:p>
    <w:p>
      <w:pPr>
        <w:jc w:val="both"/>
        <w:ind w:right="20" w:firstLine="757"/>
        <w:spacing w:after="0" w:line="244" w:lineRule="auto"/>
        <w:tabs>
          <w:tab w:leader="none" w:pos="1180"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hereby appoints [***] as the initial Paying Agent. All payments of amounts due and payable in respect of the Obligations that are to be made from amounts withdrawn from the Collection Account shall be made on behalf of the Borrower by the Paying Agent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Paying Agent shall be compensated for its activities hereunder and the Account Control Agreement by receiving the Paying Agent Fee. The Paying Agent Fee shall be payable in accordance with the priorities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2.08</w:t>
      </w:r>
      <w:r>
        <w:rPr>
          <w:rFonts w:ascii="Times New Roman" w:cs="Times New Roman" w:eastAsia="Times New Roman" w:hAnsi="Times New Roman"/>
          <w:sz w:val="22"/>
          <w:szCs w:val="22"/>
          <w:color w:val="auto"/>
        </w:rPr>
        <w:t xml:space="preserve"> or, at the option of the Servicer, may be paid directly to the Paying Agent by the Servicer. The Borrower shall indemnify the Paying Agent and its officers, directors, employees and agents for, and hold them harmless against any fee, damage, loss, liability or expense incurred (including the reasonable fees and expenses of counsel and court costs, including, without limitation, those incurred in connection with any enforcement (including any action, claim, or suit brought) by the Paying Agent of any indemnification or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1" w:name="page662"/>
    <w:bookmarkEnd w:id="66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obligation of Borrower), other than in connection with the willful misconduct, gross negligence or bad faith on the part of the Paying Agent, arising out of or in connection with (i) the performance of its obligations under and in accordance with this Agreement and the Account Control Agreement, including the costs and expenses of defending itself against any claim or liability in connection with the exercise or performance of any of its powers or duties under this Agreement or the Account Control Agreement and (ii) the negligence, willful misconduct or bad faith of the Borrower in the performance of its duties hereunder or thereunder. All such amounts shall be payable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The provisions of this Section shall survive the resignation or removal of any party and the termination or assignment of this Agreement. Anything in this Agreement or the Account Control Agreement to the contrary notwithstanding, in no event shall Paying Agent be liable for special, indirect or consequential loss or damage of any kind whatsoever (including, but not limited to, lost profits), even if Paying Agent has been advised of the likelihood of such loss or damage and regardless of the form of action.</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FOREGOING INDEMNIFICATION SHALL APPLY WHETHER OR NOT SUCH LIABILITIES AND COSTS ARE IN ANY WAY OR TO ANY EXTENT OWED, IN WHOLE OR IN PART, UNDER ANY CLAIM OR THEORY OF STRICT LIABILITY.</w:t>
      </w:r>
    </w:p>
    <w:p>
      <w:pPr>
        <w:spacing w:after="0" w:line="172" w:lineRule="exact"/>
        <w:rPr>
          <w:sz w:val="20"/>
          <w:szCs w:val="20"/>
          <w:color w:val="auto"/>
        </w:rPr>
      </w:pPr>
    </w:p>
    <w:p>
      <w:pPr>
        <w:jc w:val="both"/>
        <w:ind w:firstLine="757"/>
        <w:spacing w:after="0" w:line="236" w:lineRule="auto"/>
        <w:tabs>
          <w:tab w:leader="none" w:pos="1180"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be liable in accordance herewith only to the extent of the obligations specifically undertaken by the Paying Agent in such capacity herein and under the Account Control Agreement. No implied covenants or obligations shall be read into this Agreement or the Account Control Agreement against the Paying Agent and, in the absence of bad faith on the part of the Paying Agent, the Paying Agent may conclusively rely on the truth of the statements and the correctness of the opinions expressed in any certificates or opinions furnished to the Paying Agent pursuant to and conforming to the requirements of this Agreement.</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liable for:</w:t>
      </w:r>
    </w:p>
    <w:p>
      <w:pPr>
        <w:spacing w:after="0" w:line="205"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error of judgment made in good faith by one of its Responsible Officers; or</w:t>
      </w:r>
    </w:p>
    <w:p>
      <w:pPr>
        <w:spacing w:after="0" w:line="205" w:lineRule="exact"/>
        <w:rPr>
          <w:rFonts w:ascii="Times New Roman" w:cs="Times New Roman" w:eastAsia="Times New Roman" w:hAnsi="Times New Roman"/>
          <w:sz w:val="22"/>
          <w:szCs w:val="22"/>
          <w:color w:val="auto"/>
        </w:rPr>
      </w:pPr>
    </w:p>
    <w:p>
      <w:pPr>
        <w:jc w:val="both"/>
        <w:ind w:left="760" w:right="20" w:firstLine="1120"/>
        <w:spacing w:after="0" w:line="239" w:lineRule="auto"/>
        <w:tabs>
          <w:tab w:leader="none" w:pos="2315" w:val="left"/>
        </w:tabs>
        <w:numPr>
          <w:ilvl w:val="1"/>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Paying Agent under this Agreement in each case unless it shall be proved that the Paying Agent shall have been negligent in ascertaining the pertinent facts.</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charged with knowledge of any event or information, including any Early Amortization Event, Servicer Termination Event, Unmatured Servicer Termination Event, Termination Event or Unmatured Termination Event unless a Responsible Officer of the Paying Agent obtains actual knowledge of such event or receives written notice of such event or information from the Borrower, the Servicer, or any Secured Party, as the case may be, and shall have no duty to take any action to determine whether any such event has occurred.</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this Section, the Paying Agent shall have no duty (i) to see to, or with respect to the accuracy of, any recording, filing or depositing of this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2" w:name="page663"/>
    <w:bookmarkEnd w:id="662"/>
    <w:p>
      <w:pPr>
        <w:jc w:val="both"/>
        <w:spacing w:after="0" w:line="233" w:lineRule="auto"/>
        <w:rPr>
          <w:sz w:val="20"/>
          <w:szCs w:val="20"/>
          <w:color w:val="auto"/>
        </w:rPr>
      </w:pPr>
      <w:r>
        <w:rPr>
          <w:rFonts w:ascii="Times New Roman" w:cs="Times New Roman" w:eastAsia="Times New Roman" w:hAnsi="Times New Roman"/>
          <w:sz w:val="22"/>
          <w:szCs w:val="22"/>
          <w:color w:val="auto"/>
        </w:rPr>
        <w:t>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Policy on the Financed Vehicles or Obligors or to effect or maintain any such Insurance Policy, (iii) to see to the payment or discharge of any Tax, assessment or other governmental charge or any Lien or encumbrance of any kind owing with respect to, assessed or levied against, any part of the Contracts, (iv) to re-calculate or confirm or verify the contents of any reports or certificates of the Servicer or the Borrower or any other Person delivered to the Paying Agent pursuant to this Agreement or the Account Control Agreement believed by the Paying Agent to be genuine and to have been signed or presented by the proper party or parties or (v) to inspect the Financed Vehicles at any time or ascertain or inquire as to the performance or observance of any of the Borrower’s or the Servicer’s representations and warranties or covenants or the Servicer’s duties and obligations as Servicer and as Custodian of books, Records, files and computer records relating to the Contracts under this Agreement.</w:t>
      </w:r>
    </w:p>
    <w:p>
      <w:pPr>
        <w:spacing w:after="0" w:line="184" w:lineRule="exact"/>
        <w:rPr>
          <w:sz w:val="20"/>
          <w:szCs w:val="20"/>
          <w:color w:val="auto"/>
        </w:rPr>
      </w:pPr>
    </w:p>
    <w:p>
      <w:pPr>
        <w:jc w:val="both"/>
        <w:ind w:firstLine="757"/>
        <w:spacing w:after="0" w:line="236" w:lineRule="auto"/>
        <w:tabs>
          <w:tab w:leader="none" w:pos="1180"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Paying Agent to perform, or be responsible for the manner of performance of, any of the obligations of the Servicer, the Borrower or any other Person under this Agreement.</w:t>
      </w:r>
    </w:p>
    <w:p>
      <w:pPr>
        <w:spacing w:after="0" w:line="179"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 The Paying Agent shall be under no duty to inquire into or investigate the validity, accuracy or content of any such document.</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may consult with counsel of its choice with regard to legal questions arising out of or in connection with this Agreement and the advice or opinion of such counsel shall be full and complete authorization and protection in respect of any action taken, omitted or suffered by the Paying Agent in good faith in accordance therewith.</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be under no obligation to exercise any of the rights, powers or remedies vested in it by this Agreement or to undertake any discretionary action,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Paying Agent security or indemnity reasonably satisfactory to it against the costs, expenses and liabilities that may be incurred therein or thereby.</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39" w:lineRule="auto"/>
        <w:tabs>
          <w:tab w:leader="none" w:pos="1180" w:val="left"/>
        </w:tabs>
        <w:numPr>
          <w:ilvl w:val="0"/>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bound to make any investigation into the facts of matters stated in any resolution, certificate, statement, instrument, opinion, report, notice, request, consent, order, approval, bond or other paper or document, unless requested in writing so to do by a Secured Party; provided, that if the payment within a reasonable time to the Paying Agent of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3" w:name="page664"/>
    <w:bookmarkEnd w:id="663"/>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costs, expenses or liabilities likely to be incurred by it in the making of such investigation shall be, in the opinion of the Paying Agent, not reasonably assured by the Borrower, the Paying Agent may require indemnity reasonably satisfactory to it against such cost, expense or liability as a condition to so proceeding. The reasonable expense of every such examination shall be paid by the Borrower or, if paid by the Paying Agent, shall be reimbursed by the Borrower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757"/>
        <w:spacing w:after="0" w:line="244" w:lineRule="auto"/>
        <w:tabs>
          <w:tab w:leader="none" w:pos="1180"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may execute any of the trusts or powers hereunder or perform any duties under this Agreement either directly or by or through agents or attorneys or a custodian. The Paying Agent shall not be responsible for any misconduct or negligence of any such agent or custodian appointed with due care by it hereunder.</w:t>
      </w:r>
    </w:p>
    <w:p>
      <w:pPr>
        <w:spacing w:after="0" w:line="172"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have no duties or responsibilities except those that are specifically set forth herein and the other Basic Documents to which it is a party, and no implied covenants or obligations shall be read into this Agreement against the Paying Agent. The Paying Agent shall have the right to request instructions from the Administrative Agent, the Borrower or the Servicer with respect to any act, action or failure to act in connection with and as set forth in this Agreement, and the Paying Agent shall be entitled to refrain from taking such action and continue to refrain from acting unless and until the Paying Agent shall have received written instructions from the Administrative Agent, the Borrower or the Servicer, as applicable, without incurring any liability therefor to the Administrative Agent, the Borrower, the Servicer or any other person, and shall further be entitled to conclusively rely on any such instruction received.</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5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may act in reliance upon any written communication of the Administrative Agent concerning the delivery of Collateral pursuant to this Agreement. The Paying Agent does not assume and shall have no responsibility for, and makes no representation as to, monitoring the value of the Receivables and other Collateral. The Paying Agent shall not be liable for any action or omission to act hereunder, except for its own gross negligence, bad faith or willful misconduct.</w:t>
      </w:r>
    </w:p>
    <w:p>
      <w:pPr>
        <w:spacing w:after="0" w:line="179" w:lineRule="exact"/>
        <w:rPr>
          <w:sz w:val="20"/>
          <w:szCs w:val="20"/>
          <w:color w:val="auto"/>
        </w:rPr>
      </w:pPr>
    </w:p>
    <w:p>
      <w:pPr>
        <w:ind w:right="20" w:firstLine="749"/>
        <w:spacing w:after="0" w:line="307" w:lineRule="auto"/>
        <w:rPr>
          <w:sz w:val="20"/>
          <w:szCs w:val="20"/>
          <w:color w:val="auto"/>
        </w:rPr>
      </w:pPr>
      <w:r>
        <w:rPr>
          <w:rFonts w:ascii="Times New Roman" w:cs="Times New Roman" w:eastAsia="Times New Roman" w:hAnsi="Times New Roman"/>
          <w:sz w:val="20"/>
          <w:szCs w:val="20"/>
          <w:color w:val="auto"/>
        </w:rPr>
        <w:t>THE FOREGOING PARAGRAPH SHALL APPLY WHETHER OR NOT SUCH LIABILITIES ARE IN ANY WAY OR TO ANY EXTENT OWED, IN WHOLE OR IN PART, UNDER ANY CLAIM OR THEORY OF STRICT LIABILITY.</w:t>
      </w:r>
    </w:p>
    <w:p>
      <w:pPr>
        <w:spacing w:after="0" w:line="113" w:lineRule="exact"/>
        <w:rPr>
          <w:sz w:val="20"/>
          <w:szCs w:val="20"/>
          <w:color w:val="auto"/>
        </w:rPr>
      </w:pPr>
    </w:p>
    <w:p>
      <w:pPr>
        <w:jc w:val="both"/>
        <w:ind w:firstLine="757"/>
        <w:spacing w:after="0" w:line="233" w:lineRule="auto"/>
        <w:tabs>
          <w:tab w:leader="none" w:pos="1180" w:val="left"/>
        </w:tabs>
        <w:numPr>
          <w:ilvl w:val="0"/>
          <w:numId w:val="5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Paying Agent shall at any time receive conflicting instructions from the Administrative Agent and the Servicer or any other party to this Agreement and the conflict between such instructions cannot be resolved by reference to the terms of this Agreement, the Paying Agent shall be entitled to rely on the instructions of the Administrative Agent. In the absence of bad faith, gross negligence or willful misconduct on the part of the Paying Agent, the Paying Agent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Paying Agent may rely upon the validity of documents delivered to it, without investigation as to their authenticity or legal effectiveness, and the Paying Agent shall not be liable to the Servicer or any other party to this Agreement in respect of any claims that may arise or be asserted against the Paying Agent because of the invalidity of any such documents or their failure to fulfill their intended purpose. The Paying Agent shall not be bound to ascertain or inquire as to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4" w:name="page665"/>
    <w:bookmarkEnd w:id="664"/>
    <w:p>
      <w:pPr>
        <w:jc w:val="both"/>
        <w:spacing w:after="0" w:line="244" w:lineRule="auto"/>
        <w:rPr>
          <w:sz w:val="20"/>
          <w:szCs w:val="20"/>
          <w:color w:val="auto"/>
        </w:rPr>
      </w:pPr>
      <w:r>
        <w:rPr>
          <w:rFonts w:ascii="Times New Roman" w:cs="Times New Roman" w:eastAsia="Times New Roman" w:hAnsi="Times New Roman"/>
          <w:sz w:val="22"/>
          <w:szCs w:val="22"/>
          <w:color w:val="auto"/>
        </w:rPr>
        <w:t>the performance or observance of any of the terms of this Agreement or any other agreement on the part of any party, except as may otherwise be specifically set forth herein, and may assume performance thereby absent actual knowledge of, or written notice to, a Responsible Officer of the Paying Agent to the contrary.</w:t>
      </w:r>
    </w:p>
    <w:p>
      <w:pPr>
        <w:spacing w:after="0" w:line="172" w:lineRule="exact"/>
        <w:rPr>
          <w:sz w:val="20"/>
          <w:szCs w:val="20"/>
          <w:color w:val="auto"/>
        </w:rPr>
      </w:pPr>
    </w:p>
    <w:p>
      <w:pPr>
        <w:jc w:val="both"/>
        <w:ind w:firstLine="757"/>
        <w:spacing w:after="0" w:line="259" w:lineRule="auto"/>
        <w:tabs>
          <w:tab w:leader="none" w:pos="1180" w:val="left"/>
        </w:tabs>
        <w:numPr>
          <w:ilvl w:val="0"/>
          <w:numId w:val="5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Paying Agent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Paying Agent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spacing w:after="0" w:line="161" w:lineRule="exact"/>
        <w:rPr>
          <w:rFonts w:ascii="Times New Roman" w:cs="Times New Roman" w:eastAsia="Times New Roman" w:hAnsi="Times New Roman"/>
          <w:sz w:val="20"/>
          <w:szCs w:val="20"/>
          <w:color w:val="auto"/>
        </w:rPr>
      </w:pPr>
    </w:p>
    <w:p>
      <w:pPr>
        <w:jc w:val="both"/>
        <w:ind w:firstLine="757"/>
        <w:spacing w:after="0" w:line="239" w:lineRule="auto"/>
        <w:tabs>
          <w:tab w:leader="none" w:pos="1180"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imputed with any knowledge of, or information possessed or obtained by any other Person, or any affiliate, line of business, or other division of [***] (and vice versa). Information contained in any reports (including Monthly Reports) delivered to the Paying Agent and any other publicly available information shall not constitute actual or constructive knowledge or notice.</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Paying Agent acts or refrains from acting, it may require an Officer’s Certificate or an Opinion of Counsel, as applicable (at the expense of the party requesting the Paying Agent act or refrain from acting). The Paying Agent shall not be liable for any action it takes, suffers or omits to take in good faith in reliance on such Officer’s Certificate or Opinion of Counsel.</w:t>
      </w:r>
    </w:p>
    <w:p>
      <w:pPr>
        <w:spacing w:after="0" w:line="178" w:lineRule="exact"/>
        <w:rPr>
          <w:rFonts w:ascii="Times New Roman" w:cs="Times New Roman" w:eastAsia="Times New Roman" w:hAnsi="Times New Roman"/>
          <w:sz w:val="22"/>
          <w:szCs w:val="22"/>
          <w:color w:val="auto"/>
        </w:rPr>
      </w:pPr>
    </w:p>
    <w:p>
      <w:pPr>
        <w:ind w:right="40" w:firstLine="757"/>
        <w:spacing w:after="0" w:line="258" w:lineRule="auto"/>
        <w:tabs>
          <w:tab w:leader="none" w:pos="1180"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the Paying Agent shall not be required to take any action that is not in accordance with Applicable Law.</w:t>
      </w:r>
    </w:p>
    <w:p>
      <w:pPr>
        <w:spacing w:after="0" w:line="157"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the Paying Agent to perform any permissive or discretionary act enumerated in this Agreement or any related document shall not be construed as a duty.</w:t>
      </w:r>
    </w:p>
    <w:p>
      <w:pPr>
        <w:spacing w:after="0" w:line="157"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not be responsible for the recitals in this Agreement (which are the statements of the</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Paying Agent be liable either directly or indirectly for losses or delays resulting from any Force Majeure Event to the extent beyond Paying Agent’s reasonable control.</w:t>
      </w:r>
    </w:p>
    <w:p>
      <w:pPr>
        <w:spacing w:after="0" w:line="157" w:lineRule="exact"/>
        <w:rPr>
          <w:rFonts w:ascii="Times New Roman" w:cs="Times New Roman" w:eastAsia="Times New Roman" w:hAnsi="Times New Roman"/>
          <w:sz w:val="22"/>
          <w:szCs w:val="22"/>
          <w:color w:val="auto"/>
        </w:rPr>
      </w:pPr>
    </w:p>
    <w:p>
      <w:pPr>
        <w:ind w:right="20" w:firstLine="757"/>
        <w:spacing w:after="0" w:line="258" w:lineRule="auto"/>
        <w:tabs>
          <w:tab w:leader="none" w:pos="1180"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benefits, protections and indemnities afforded to the Paying Agent hereunder shall apply equally to the Paying Agent under any other Basic Document to which it is a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5" w:name="page666"/>
    <w:bookmarkEnd w:id="665"/>
    <w:p>
      <w:pPr>
        <w:ind w:left="760"/>
        <w:spacing w:after="0"/>
        <w:rPr>
          <w:sz w:val="20"/>
          <w:szCs w:val="20"/>
          <w:color w:val="auto"/>
        </w:rPr>
      </w:pPr>
      <w:r>
        <w:rPr>
          <w:rFonts w:ascii="Times New Roman" w:cs="Times New Roman" w:eastAsia="Times New Roman" w:hAnsi="Times New Roman"/>
          <w:sz w:val="22"/>
          <w:szCs w:val="22"/>
          <w:u w:val="single" w:color="auto"/>
          <w:color w:val="auto"/>
        </w:rPr>
        <w:t>Section 2.18. Interest Rate Replacement; Illegality</w:t>
      </w:r>
    </w:p>
    <w:p>
      <w:pPr>
        <w:spacing w:after="0" w:line="205" w:lineRule="exact"/>
        <w:rPr>
          <w:sz w:val="20"/>
          <w:szCs w:val="20"/>
          <w:color w:val="auto"/>
        </w:rPr>
      </w:pPr>
    </w:p>
    <w:p>
      <w:pPr>
        <w:jc w:val="both"/>
        <w:ind w:firstLine="757"/>
        <w:spacing w:after="0"/>
        <w:tabs>
          <w:tab w:leader="none" w:pos="1180" w:val="left"/>
        </w:tabs>
        <w:numPr>
          <w:ilvl w:val="0"/>
          <w:numId w:val="5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Notwithstanding anything to the contrary herein or in any other Basic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Basic Document in respect of such Benchmark setting and subsequent Benchmark settings without any amendment to, or further action or consent of any other party to, this Agreement or any other Basic Document and (y) if a Benchmark Replacement is determined in accordance with clause (b) of the definition of “Benchmark Replacement” for such Benchmark Replacement Date, such Benchmark Replacement will replace such Benchmark for all purposes hereunder and under any Basic Document in respect of any Benchmark setting at or after 5:00 p.m. (New York City time)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after the date notice of such Benchmark Replacement is provided to the Lenders without any amendment to, or further action or consent of any other party to, this Agreement or any other Basic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76" w:lineRule="exact"/>
        <w:rPr>
          <w:rFonts w:ascii="Times New Roman" w:cs="Times New Roman" w:eastAsia="Times New Roman" w:hAnsi="Times New Roman"/>
          <w:sz w:val="21"/>
          <w:szCs w:val="21"/>
          <w:color w:val="auto"/>
        </w:rPr>
      </w:pPr>
    </w:p>
    <w:p>
      <w:pPr>
        <w:jc w:val="both"/>
        <w:ind w:firstLine="757"/>
        <w:spacing w:after="0" w:line="236" w:lineRule="auto"/>
        <w:tabs>
          <w:tab w:leader="none" w:pos="1261"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Basic Document, any amendments implementing such Conforming Changes will become effective without any further action or consent of any other party to this Agreement or any other Basic Document; provided, however, that any such amendment must not affect Owner Trustee’s or the Paying Agent’s rights, indemnities or obligations without its consent.</w:t>
      </w:r>
    </w:p>
    <w:p>
      <w:pPr>
        <w:spacing w:after="0" w:line="179"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Administrative Agent will promptly notify the Borrower and the Lenders of (i) any occurrence of a Benchmark Transition Event and its related Benchmark Replacement Date,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Section 2.18(d) and (y) the commencement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Basic Document, except, in each case, as expressly required pursuant to this Section 2.18.</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207"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Basic Document, at any time (including in connection with the implementation of a Benchmark Replacement), (i) if the then-current Benchmark is a term rate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6" w:name="page667"/>
    <w:bookmarkEnd w:id="666"/>
    <w:p>
      <w:pPr>
        <w:jc w:val="both"/>
        <w:spacing w:after="0" w:line="232" w:lineRule="auto"/>
        <w:rPr>
          <w:sz w:val="20"/>
          <w:szCs w:val="20"/>
          <w:color w:val="auto"/>
        </w:rPr>
      </w:pPr>
      <w:r>
        <w:rPr>
          <w:rFonts w:ascii="Times New Roman" w:cs="Times New Roman" w:eastAsia="Times New Roman" w:hAnsi="Times New Roman"/>
          <w:sz w:val="22"/>
          <w:szCs w:val="22"/>
          <w:color w:val="auto"/>
        </w:rPr>
        <w:t>(including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of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of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 Neither the Owner Trustee nor the Paying Agent shall be (i) responsible for making decisions or determinations in connection with any Benchmark Replacement or Benchmark Transition Event or (ii) have any liability for any determination, decision or election made by or on behalf of the Administrative Agent or the Borrower in connection with a Benchmark Transition Event or a Benchmark Replacement. Each Lender shall be deemed to waive and release any and all claims against the Owner Trustee and the Paying Agent relating to any such determination, decision or election by the Administrative Agent or the Borrower.</w:t>
      </w:r>
    </w:p>
    <w:p>
      <w:pPr>
        <w:spacing w:after="0" w:line="185" w:lineRule="exact"/>
        <w:rPr>
          <w:sz w:val="20"/>
          <w:szCs w:val="20"/>
          <w:color w:val="auto"/>
        </w:rPr>
      </w:pPr>
    </w:p>
    <w:p>
      <w:pPr>
        <w:jc w:val="both"/>
        <w:ind w:firstLine="757"/>
        <w:spacing w:after="0" w:line="234" w:lineRule="auto"/>
        <w:tabs>
          <w:tab w:leader="none" w:pos="1194"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(i) the Borrower may revoke any pending request for a Term SOFR Loan of, conversion to or continuation of Term SOFR Loans to be made, converted or continued during any Benchmark Unavailability Period and, failing that, the Borrower will be deemed to have converted any such request into a request for a Borrowing of or conversion to Base Rate Loans and (ii) any outstanding affected Term SOFR Loans will be deemed to have been converted to Base Rate Loans at the end of the applicable Interest Period.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4"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Notwithstanding any other provisions hereof, if any Law shall make it unlawful for any Lender to make, fund or maintain Term SOFR Loans, such Lender shall promptly give notice of such circumstances to Administrative Agent, Borrower and the other Lenders. In such an event, (i) the commitment of the Lenders to make Term SOFR Loans, continue Term SOFR Loans as Term SOFR Loans or convert Base Rate Loans to Term SOFR Loans shall be immediately suspended and (ii) any outstanding Term SOFR Loans shall be converted automatically to Base Rate Loans on the last day of the Interest Period thereof or at such earlier time as may be required by Law.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7" w:name="page668"/>
    <w:bookmarkEnd w:id="667"/>
    <w:p>
      <w:pPr>
        <w:jc w:val="center"/>
        <w:spacing w:after="0"/>
        <w:rPr>
          <w:sz w:val="20"/>
          <w:szCs w:val="20"/>
          <w:color w:val="auto"/>
        </w:rPr>
      </w:pPr>
      <w:r>
        <w:rPr>
          <w:rFonts w:ascii="Times New Roman" w:cs="Times New Roman" w:eastAsia="Times New Roman" w:hAnsi="Times New Roman"/>
          <w:sz w:val="22"/>
          <w:szCs w:val="22"/>
          <w:color w:val="auto"/>
        </w:rPr>
        <w:t>ARTICLE THREE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3.01. Collateral and Back-Up Collateral</w:t>
      </w:r>
    </w:p>
    <w:p>
      <w:pPr>
        <w:spacing w:after="0" w:line="205" w:lineRule="exact"/>
        <w:rPr>
          <w:sz w:val="20"/>
          <w:szCs w:val="20"/>
          <w:color w:val="auto"/>
        </w:rPr>
      </w:pPr>
    </w:p>
    <w:p>
      <w:pPr>
        <w:jc w:val="both"/>
        <w:ind w:firstLine="757"/>
        <w:spacing w:after="0" w:line="236" w:lineRule="auto"/>
        <w:tabs>
          <w:tab w:leader="none" w:pos="1180" w:val="left"/>
        </w:tabs>
        <w:numPr>
          <w:ilvl w:val="0"/>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760" w:firstLine="1120"/>
        <w:spacing w:after="0" w:line="236" w:lineRule="auto"/>
        <w:tabs>
          <w:tab w:leader="none" w:pos="2315" w:val="left"/>
        </w:tabs>
        <w:numPr>
          <w:ilvl w:val="1"/>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all security interests or Liens purporting to secure payment of the foregoing, if any, and the related Contracts (including the right to service the Receivables in connection therewith) listed on the Schedule of Receivables, whether now existing or hereafter acquired, and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after the related Cutoff Date;</w:t>
      </w:r>
    </w:p>
    <w:p>
      <w:pPr>
        <w:spacing w:after="0" w:line="179" w:lineRule="exact"/>
        <w:rPr>
          <w:rFonts w:ascii="Times New Roman" w:cs="Times New Roman" w:eastAsia="Times New Roman" w:hAnsi="Times New Roman"/>
          <w:sz w:val="22"/>
          <w:szCs w:val="22"/>
          <w:color w:val="auto"/>
        </w:rPr>
      </w:pPr>
    </w:p>
    <w:p>
      <w:pPr>
        <w:jc w:val="both"/>
        <w:ind w:left="760" w:firstLine="1120"/>
        <w:spacing w:after="0" w:line="239" w:lineRule="auto"/>
        <w:tabs>
          <w:tab w:leader="none" w:pos="2315" w:val="left"/>
        </w:tabs>
        <w:numPr>
          <w:ilvl w:val="1"/>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Financed Vehicles related to such Receivables (including Financed Vehicles that have been repossessed) or in any document or writing evidencing any security interest in any Financed Vehicle and each security interest in each Financed Vehicle, whether now existing or hereafter acquired, securing each such Receivable, including all proceeds from any sale or other disposition of such Financed Vehicles;</w:t>
      </w:r>
    </w:p>
    <w:p>
      <w:pPr>
        <w:spacing w:after="0" w:line="178"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5"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products, accessions and proceeds of the foregoing.</w:t>
      </w:r>
    </w:p>
    <w:p>
      <w:pPr>
        <w:spacing w:after="0" w:line="205"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under this Section does not constitute and is not intended to result in a creation or an assumption by any Secured Party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no Secured Party shall have any obligations or liability under the Collateral by reason of this Agreement, nor shall any Secured Party be obligated to perform any of the obligations or duties of the Borrower thereunder or to take any action to collect or enforce any claim for payment assigned hereunder.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68" w:name="page669"/>
    <w:bookmarkEnd w:id="668"/>
    <w:p>
      <w:pPr>
        <w:ind w:firstLine="757"/>
        <w:spacing w:after="0" w:line="258" w:lineRule="auto"/>
        <w:tabs>
          <w:tab w:leader="none" w:pos="1180" w:val="left"/>
        </w:tabs>
        <w:numPr>
          <w:ilvl w:val="0"/>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grant of security interest, no account, instrument, chattel paper or other obligation or property of any kind due from, owned by or belonging to a Sanctioned Person shall be Collateral.</w:t>
      </w:r>
    </w:p>
    <w:p>
      <w:pPr>
        <w:spacing w:after="0" w:line="15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Borrower and the Administrative Agent represents and warrants as to itself that each remittance of Collections by the Borrower to any Secured Party under this Agreement will have been (i) in payment of a debt incurred by the Borrower in the ordinary course of business or financial affairs of the Borrower and any Secured Party and (ii) made in the ordinary course of business or financial affairs of the Borrower and any Secured Party.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3.02. Release of Collateral; No Legal Title</w:t>
      </w:r>
    </w:p>
    <w:p>
      <w:pPr>
        <w:spacing w:after="0" w:line="205" w:lineRule="exact"/>
        <w:rPr>
          <w:sz w:val="20"/>
          <w:szCs w:val="20"/>
          <w:color w:val="auto"/>
        </w:rPr>
      </w:pPr>
    </w:p>
    <w:p>
      <w:pPr>
        <w:jc w:val="both"/>
        <w:ind w:firstLine="757"/>
        <w:spacing w:after="0" w:line="233" w:lineRule="auto"/>
        <w:tabs>
          <w:tab w:leader="none" w:pos="1180" w:val="left"/>
        </w:tabs>
        <w:numPr>
          <w:ilvl w:val="1"/>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same time as any Contract relating to a Receivable (i) expires by its terms and all amounts in respect thereof have been paid by the related Obligor and deposited in either Account or (ii) has been prepaid in full and all amounts in respect thereof have been paid by the related Obligor and deposited in either Account, the Administrative Agent will, to the extent requested by the Servicer, promptly release its interest and Lien in such Contract and the related Collateral. In connection with any sale of the related Financed Vehicle on or after the occurrence of an event described in </w:t>
      </w:r>
      <w:r>
        <w:rPr>
          <w:rFonts w:ascii="Times New Roman" w:cs="Times New Roman" w:eastAsia="Times New Roman" w:hAnsi="Times New Roman"/>
          <w:sz w:val="22"/>
          <w:szCs w:val="22"/>
          <w:u w:val="single" w:color="auto"/>
          <w:color w:val="auto"/>
        </w:rPr>
        <w:t>clauses (i) or (ii)</w:t>
      </w:r>
      <w:r>
        <w:rPr>
          <w:rFonts w:ascii="Times New Roman" w:cs="Times New Roman" w:eastAsia="Times New Roman" w:hAnsi="Times New Roman"/>
          <w:sz w:val="22"/>
          <w:szCs w:val="22"/>
          <w:color w:val="auto"/>
        </w:rPr>
        <w:t xml:space="preserve"> above, after the deposit by the Servicer of the proceeds of such sale into either Account, the Administrative Agent will, at the sole expense of the Servicer, promptly execute and deliver to the Servicer any assignments, bills of sale, termination statements and any other releases and instruments as the Servicer may reasonably request in order to effect the release and transfer of such Financed Vehicle; provided, that the Administrative Agent will not make any representation or warranty, express or implied, with respect to any such Receivable, Financed Vehicle and all related Collateral in connection with such sale or transfer and assignment. Nothing in this Section shall diminish the Servicer’s obligations pursuant to </w:t>
      </w:r>
      <w:r>
        <w:rPr>
          <w:rFonts w:ascii="Times New Roman" w:cs="Times New Roman" w:eastAsia="Times New Roman" w:hAnsi="Times New Roman"/>
          <w:sz w:val="22"/>
          <w:szCs w:val="22"/>
          <w:u w:val="single" w:color="auto"/>
          <w:color w:val="auto"/>
        </w:rPr>
        <w:t>Sections 7.03(c)(iii)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7.03(d)</w:t>
      </w:r>
      <w:r>
        <w:rPr>
          <w:rFonts w:ascii="Times New Roman" w:cs="Times New Roman" w:eastAsia="Times New Roman" w:hAnsi="Times New Roman"/>
          <w:sz w:val="22"/>
          <w:szCs w:val="22"/>
          <w:color w:val="auto"/>
        </w:rPr>
        <w:t xml:space="preserve"> with respect to the proceeds of any such sale.</w:t>
      </w:r>
    </w:p>
    <w:p>
      <w:pPr>
        <w:spacing w:after="0" w:line="181"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1"/>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 reallocation of the Receivables and related Collateral in connection with an optional principal repayment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or a Securitization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or (ii) the Facility Termination Date, the Administrative Agent shall, at the Borrower’s expense, upon payment in full of the related Aggregate Unpaids then due and payable, promptly</w:t>
      </w:r>
    </w:p>
    <w:p>
      <w:pPr>
        <w:spacing w:after="0" w:line="2" w:lineRule="exact"/>
        <w:rPr>
          <w:rFonts w:ascii="Times New Roman" w:cs="Times New Roman" w:eastAsia="Times New Roman" w:hAnsi="Times New Roman"/>
          <w:sz w:val="22"/>
          <w:szCs w:val="22"/>
          <w:color w:val="auto"/>
        </w:rPr>
      </w:pPr>
    </w:p>
    <w:p>
      <w:pPr>
        <w:jc w:val="both"/>
        <w:ind w:firstLine="8"/>
        <w:spacing w:after="0" w:line="232" w:lineRule="auto"/>
        <w:tabs>
          <w:tab w:leader="none" w:pos="407" w:val="left"/>
        </w:tabs>
        <w:numPr>
          <w:ilvl w:val="0"/>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file instruments of release, partial or full assignments of financing statements and other documents and instruments as the Borrower or the Servicer may reasonably request with respect to the portion of the related Receivables (and the other related Collateral) to be released to the Borrower, (B) 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related Receivables (and the other related Collateral) to be released to the Borrower and deliver to the Borrower such Receivables and related Collateral.</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1"/>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(i) the Borrower shall not be permitted to remove any Contract or related Collateral from the Lien of this Agreement, (ii) the Borrower shall not be permitted to sell, transfer or assign any Receivable to any party and (iii) the Administrative Agent shall not release its interest in any Contract or related Collateral except in accordance with the provisions of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9" w:name="page670"/>
    <w:bookmarkEnd w:id="669"/>
    <w:p>
      <w:pPr>
        <w:jc w:val="both"/>
        <w:ind w:firstLine="757"/>
        <w:spacing w:after="0" w:line="244" w:lineRule="auto"/>
        <w:tabs>
          <w:tab w:leader="none" w:pos="1180" w:val="left"/>
        </w:tabs>
        <w:numPr>
          <w:ilvl w:val="0"/>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except as may result from the exercise of its remedies hereunder, have legal title to any part of the Collateral on the Facility Termination Date and will have no further interest in or rights with respect to the Collateral.</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3.03. Protection of Security Interest; Administrative Agent, as Attorney-in-Fact</w:t>
      </w:r>
    </w:p>
    <w:p>
      <w:pPr>
        <w:spacing w:after="0" w:line="205" w:lineRule="exact"/>
        <w:rPr>
          <w:sz w:val="20"/>
          <w:szCs w:val="20"/>
          <w:color w:val="auto"/>
        </w:rPr>
      </w:pPr>
    </w:p>
    <w:p>
      <w:pPr>
        <w:jc w:val="both"/>
        <w:ind w:firstLine="757"/>
        <w:spacing w:after="0" w:line="235" w:lineRule="auto"/>
        <w:tabs>
          <w:tab w:leader="none" w:pos="1180"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any Secured Party as Lienholder.</w:t>
      </w:r>
    </w:p>
    <w:p>
      <w:pPr>
        <w:spacing w:after="0" w:line="180"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0"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Borrower fails to perform any of its obligations hereunder after three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 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Such financing statements may describe the Collateral in the same manner as described herein or may contain an indication or description of Collateral that describes such property in any other manner as the Administrative Agent may determine, in its reasonable discretion, is necessary, advisable or prudent to ensure the perfection of the security interest in the Collateral granted to the Administrative Agent herein, including, without limitation, describing such property as “all assets” or “all personal property, whether now owned or hereafter acquired.” This appointment is coupled with an interest and is irrevocable.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3.04. Assignment of the Purchase Agreement</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Borrower hereby represents, warrants and confirms to the Administrative Agent that the Borrower has assigned to the Administrative Agent, for the ratable benefit of the Secured Parties hereunder, all of the Borrower’s right and title to and interest in the Purchase Agreement. The Borrower confirms that the Administrative Agent shall have the sole right to enforce the Borrower’s rights and remedies under the Purchase Agreement for the benefit of the Secured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70" w:name="page671"/>
    <w:bookmarkEnd w:id="670"/>
    <w:p>
      <w:pPr>
        <w:jc w:val="both"/>
        <w:spacing w:after="0" w:line="236" w:lineRule="auto"/>
        <w:rPr>
          <w:sz w:val="20"/>
          <w:szCs w:val="20"/>
          <w:color w:val="auto"/>
        </w:rPr>
      </w:pPr>
      <w:r>
        <w:rPr>
          <w:rFonts w:ascii="Times New Roman" w:cs="Times New Roman" w:eastAsia="Times New Roman" w:hAnsi="Times New Roman"/>
          <w:sz w:val="22"/>
          <w:szCs w:val="22"/>
          <w:color w:val="auto"/>
        </w:rPr>
        <w:t>Parties, but without any obligation on the part of the Secured Parties or any of their respective Affiliates, to perform any of the obligations of the Borrower under the Purchase Agreement. The Borrower further confirms and agrees that such assignment to the Administrative Agent shall terminate upon the Facility Termination Date; provided, however, that the rights of the Secured Parties pursuant to such assignment with respect to rights and remedies in connection with any indemnities and any breach of any representation, warranty or covenants made by the Seller pursuant to the Purchase Agreement, which rights and remedies survive the termination of the Purchase Agreement, shall be continuing and shall survive any termination of such assignment.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3.05. Waiver of Certain Laws</w:t>
      </w:r>
    </w:p>
    <w:p>
      <w:pPr>
        <w:spacing w:after="0" w:line="20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Each of the Borrower, the Servicer, the Paying Agent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Paying Agent and the Custodian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FOUR</w:t>
      </w:r>
    </w:p>
    <w:p>
      <w:pPr>
        <w:spacing w:after="0" w:line="232" w:lineRule="exact"/>
        <w:rPr>
          <w:sz w:val="20"/>
          <w:szCs w:val="20"/>
          <w:color w:val="auto"/>
        </w:rPr>
      </w:pPr>
    </w:p>
    <w:p>
      <w:pPr>
        <w:ind w:left="760" w:right="3660" w:firstLine="2902"/>
        <w:spacing w:after="0" w:line="434" w:lineRule="auto"/>
        <w:rPr>
          <w:sz w:val="20"/>
          <w:szCs w:val="20"/>
          <w:color w:val="auto"/>
        </w:rPr>
      </w:pPr>
      <w:r>
        <w:rPr>
          <w:rFonts w:ascii="Times New Roman" w:cs="Times New Roman" w:eastAsia="Times New Roman" w:hAnsi="Times New Roman"/>
          <w:sz w:val="22"/>
          <w:szCs w:val="22"/>
          <w:color w:val="auto"/>
        </w:rPr>
        <w:t xml:space="preserve">CONDITIONS OF CLOSING AND LOANS </w:t>
      </w:r>
      <w:r>
        <w:rPr>
          <w:rFonts w:ascii="Times New Roman" w:cs="Times New Roman" w:eastAsia="Times New Roman" w:hAnsi="Times New Roman"/>
          <w:sz w:val="22"/>
          <w:szCs w:val="22"/>
          <w:u w:val="single" w:color="auto"/>
          <w:color w:val="auto"/>
        </w:rPr>
        <w:t>Section 4.01. Conditions to Closing and Initial Loan</w:t>
      </w:r>
    </w:p>
    <w:p>
      <w:pPr>
        <w:spacing w:after="0" w:line="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Closing Date shall not occur and no Lender shall be obligated to make any Lender Advance hereunder on the occasion of the Initial Loan, nor shall any Secured Party, the Paying Agent or the Custodian be obligated to take, fulfill or perform any other action hereunder, until all of the following conditions have been satisfied, [***].</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4.02. Conditions Precedent to All Loans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Each request for a Loan (including the Initial Loan) by the Borrower to a Lender shall be subject to the conditions set forth in Section 4.01 and the further conditions precedent that:</w:t>
      </w:r>
    </w:p>
    <w:p>
      <w:pPr>
        <w:spacing w:after="0" w:line="157"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71" w:name="page672"/>
    <w:bookmarkEnd w:id="671"/>
    <w:p>
      <w:pPr>
        <w:jc w:val="center"/>
        <w:ind w:right="737"/>
        <w:spacing w:after="0"/>
        <w:rPr>
          <w:sz w:val="20"/>
          <w:szCs w:val="20"/>
          <w:color w:val="auto"/>
        </w:rPr>
      </w:pPr>
      <w:r>
        <w:rPr>
          <w:rFonts w:ascii="Times New Roman" w:cs="Times New Roman" w:eastAsia="Times New Roman" w:hAnsi="Times New Roman"/>
          <w:sz w:val="22"/>
          <w:szCs w:val="22"/>
          <w:color w:val="auto"/>
        </w:rPr>
        <w:t>ARTICLE FIVE</w:t>
      </w:r>
    </w:p>
    <w:p>
      <w:pPr>
        <w:spacing w:after="0" w:line="232" w:lineRule="exact"/>
        <w:rPr>
          <w:sz w:val="20"/>
          <w:szCs w:val="20"/>
          <w:color w:val="auto"/>
        </w:rPr>
      </w:pPr>
    </w:p>
    <w:p>
      <w:pPr>
        <w:ind w:left="2903"/>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u w:val="single" w:color="auto"/>
          <w:color w:val="auto"/>
        </w:rPr>
        <w:t>Section 5.01. Representations and Warranties of the Borrower</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The Borrower represents and warrants, as of the Closing Date and each Funding Date, as follows:</w:t>
      </w:r>
    </w:p>
    <w:p>
      <w:pPr>
        <w:spacing w:after="0" w:line="205" w:lineRule="exact"/>
        <w:rPr>
          <w:sz w:val="20"/>
          <w:szCs w:val="20"/>
          <w:color w:val="auto"/>
        </w:rPr>
      </w:pPr>
    </w:p>
    <w:p>
      <w:pPr>
        <w:jc w:val="both"/>
        <w:ind w:left="3" w:firstLine="745"/>
        <w:spacing w:after="0" w:line="237" w:lineRule="auto"/>
        <w:tabs>
          <w:tab w:leader="none" w:pos="1211"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97"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Borrower is duly qualified to do business and is in good standing as a Delaware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 and the other Collateral).</w:t>
      </w:r>
    </w:p>
    <w:p>
      <w:pPr>
        <w:spacing w:after="0" w:line="178" w:lineRule="exact"/>
        <w:rPr>
          <w:rFonts w:ascii="Times New Roman" w:cs="Times New Roman" w:eastAsia="Times New Roman" w:hAnsi="Times New Roman"/>
          <w:sz w:val="22"/>
          <w:szCs w:val="22"/>
          <w:color w:val="auto"/>
        </w:rPr>
      </w:pPr>
    </w:p>
    <w:p>
      <w:pPr>
        <w:jc w:val="both"/>
        <w:ind w:left="3" w:firstLine="745"/>
        <w:spacing w:after="0" w:line="236" w:lineRule="auto"/>
        <w:tabs>
          <w:tab w:leader="none" w:pos="1224" w:val="left"/>
        </w:tabs>
        <w:numPr>
          <w:ilvl w:val="1"/>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Borrower (i) has all necessary statutory trust power, authority and legal right to (A) execute and deliver the Borrower Basic Documents, (B) carry out the terms of the Borrower Basic Documents and (C)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spacing w:after="0" w:line="179" w:lineRule="exact"/>
        <w:rPr>
          <w:rFonts w:ascii="Times New Roman" w:cs="Times New Roman" w:eastAsia="Times New Roman" w:hAnsi="Times New Roman"/>
          <w:sz w:val="22"/>
          <w:szCs w:val="22"/>
          <w:color w:val="auto"/>
        </w:rPr>
      </w:pPr>
    </w:p>
    <w:p>
      <w:pPr>
        <w:jc w:val="both"/>
        <w:ind w:left="3" w:firstLine="745"/>
        <w:spacing w:after="0" w:line="265" w:lineRule="auto"/>
        <w:tabs>
          <w:tab w:leader="none" w:pos="1197" w:val="left"/>
        </w:tabs>
        <w:numPr>
          <w:ilvl w:val="1"/>
          <w:numId w:val="5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The execution and delivery of the Borrower Basic Documents, the consummation of the transactions contemplated by the Borrower Basic Documents and the fulfillment of the terms hereof and thereof will not</w:t>
      </w:r>
    </w:p>
    <w:p>
      <w:pPr>
        <w:spacing w:after="0" w:line="1" w:lineRule="exact"/>
        <w:rPr>
          <w:rFonts w:ascii="Times New Roman" w:cs="Times New Roman" w:eastAsia="Times New Roman" w:hAnsi="Times New Roman"/>
          <w:sz w:val="20"/>
          <w:szCs w:val="20"/>
          <w:color w:val="auto"/>
        </w:rPr>
      </w:pPr>
    </w:p>
    <w:p>
      <w:pPr>
        <w:jc w:val="both"/>
        <w:ind w:left="3" w:hanging="3"/>
        <w:spacing w:after="0" w:line="232" w:lineRule="auto"/>
        <w:tabs>
          <w:tab w:leader="none" w:pos="267" w:val="left"/>
        </w:tabs>
        <w:numPr>
          <w:ilvl w:val="0"/>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(except Permitted Liens)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37" w:lineRule="auto"/>
        <w:tabs>
          <w:tab w:leader="none" w:pos="1197" w:val="left"/>
        </w:tabs>
        <w:numPr>
          <w:ilvl w:val="1"/>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spacing w:after="0" w:line="200" w:lineRule="exact"/>
        <w:rPr>
          <w:sz w:val="20"/>
          <w:szCs w:val="20"/>
          <w:color w:val="auto"/>
        </w:rPr>
      </w:pPr>
    </w:p>
    <w:p>
      <w:pPr>
        <w:spacing w:after="0" w:line="236"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7" w:right="339" w:bottom="1440" w:gutter="0" w:footer="0" w:header="0"/>
        </w:sectPr>
      </w:pPr>
    </w:p>
    <w:bookmarkStart w:id="672" w:name="page673"/>
    <w:bookmarkEnd w:id="672"/>
    <w:p>
      <w:pPr>
        <w:jc w:val="both"/>
        <w:ind w:left="-360" w:firstLine="745"/>
        <w:spacing w:after="0" w:line="244" w:lineRule="auto"/>
        <w:tabs>
          <w:tab w:leader="none" w:pos="834"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licenses or other actions of any Person or of any Governmental Authority required for the due execution, delivery and performance by the Borrower of the Borrower Basic Documents have been obtained.</w:t>
      </w:r>
    </w:p>
    <w:p>
      <w:pPr>
        <w:spacing w:after="0" w:line="172" w:lineRule="exact"/>
        <w:rPr>
          <w:rFonts w:ascii="Times New Roman" w:cs="Times New Roman" w:eastAsia="Times New Roman" w:hAnsi="Times New Roman"/>
          <w:sz w:val="22"/>
          <w:szCs w:val="22"/>
          <w:color w:val="auto"/>
        </w:rPr>
      </w:pPr>
    </w:p>
    <w:p>
      <w:pPr>
        <w:ind w:left="-360" w:firstLine="745"/>
        <w:spacing w:after="0" w:line="258" w:lineRule="auto"/>
        <w:tabs>
          <w:tab w:leader="none" w:pos="834"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Sales</w:t>
      </w:r>
      <w:r>
        <w:rPr>
          <w:rFonts w:ascii="Times New Roman" w:cs="Times New Roman" w:eastAsia="Times New Roman" w:hAnsi="Times New Roman"/>
          <w:sz w:val="22"/>
          <w:szCs w:val="22"/>
          <w:color w:val="auto"/>
        </w:rPr>
        <w:t>. The execution, delivery and performance of this Agreement do not require compliance with any “bulk sales” act or similar law by the Borrower.</w:t>
      </w:r>
    </w:p>
    <w:p>
      <w:pPr>
        <w:spacing w:after="0" w:line="157" w:lineRule="exact"/>
        <w:rPr>
          <w:rFonts w:ascii="Times New Roman" w:cs="Times New Roman" w:eastAsia="Times New Roman" w:hAnsi="Times New Roman"/>
          <w:sz w:val="22"/>
          <w:szCs w:val="22"/>
          <w:color w:val="auto"/>
        </w:rPr>
      </w:pPr>
    </w:p>
    <w:p>
      <w:pPr>
        <w:ind w:left="-360" w:firstLine="745"/>
        <w:spacing w:after="0" w:line="258" w:lineRule="auto"/>
        <w:tabs>
          <w:tab w:leader="none" w:pos="820"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contemplated by the Borrower Basic Documents do not and will not render the Borrower not Solvent.</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32" w:lineRule="auto"/>
        <w:tabs>
          <w:tab w:leader="none" w:pos="820"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Procedures</w:t>
      </w:r>
      <w:r>
        <w:rPr>
          <w:rFonts w:ascii="Times New Roman" w:cs="Times New Roman" w:eastAsia="Times New Roman" w:hAnsi="Times New Roman"/>
          <w:sz w:val="22"/>
          <w:szCs w:val="22"/>
          <w:color w:val="auto"/>
        </w:rPr>
        <w:t xml:space="preserve">. No procedures that could reasonably be expected to be adverse to the interests of the Secured Parties were utilized by the Borrower in identifying and/or selecting Receivables when compared to similar contracts owned by the Originator or any Subsidiary thereof in connection with Other Warehouse Agreements (if any) designed to fund the acquisition of assets similar to the Receivables, in each case taking into consideration the applicable eligibility criteria and concentration limits. In addition, each Receivable shall have been (i) (a) underwritten by the Originator in accordance with the Credit and Collection Policy in effect at the time of origination of such Receivable except with regards to Receivables repurchased pursuant to Schedule B (xlviii), (b) if such Receivable was originated on or after the Closing Date, underwritten in accordance with the Credit and Collection Policy in effect at the time of origination but without giving effect to any amendment, supplement or modification thereto implemented in contravention of the requirements of </w:t>
      </w:r>
      <w:r>
        <w:rPr>
          <w:rFonts w:ascii="Times New Roman" w:cs="Times New Roman" w:eastAsia="Times New Roman" w:hAnsi="Times New Roman"/>
          <w:sz w:val="22"/>
          <w:szCs w:val="22"/>
          <w:u w:val="single" w:color="auto"/>
          <w:color w:val="auto"/>
        </w:rPr>
        <w:t>Sections 6.01(h), 6.02(l)</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6.04(h)</w:t>
      </w:r>
      <w:r>
        <w:rPr>
          <w:rFonts w:ascii="Times New Roman" w:cs="Times New Roman" w:eastAsia="Times New Roman" w:hAnsi="Times New Roman"/>
          <w:sz w:val="22"/>
          <w:szCs w:val="22"/>
          <w:color w:val="auto"/>
        </w:rPr>
        <w:t xml:space="preserve">, and (ii) serviced in accordance with the Credit and Collection Policy as in effect on the Closing Date or such date of repurchase pursuant to Schedule B (xlviii), as such Credit and Collection Policy has been amended, supplemented or otherwise modified after the Closing Date, but without giving effect to any such amendment, supplement or modification implemented in contravention of the requirements of </w:t>
      </w:r>
      <w:r>
        <w:rPr>
          <w:rFonts w:ascii="Times New Roman" w:cs="Times New Roman" w:eastAsia="Times New Roman" w:hAnsi="Times New Roman"/>
          <w:sz w:val="22"/>
          <w:szCs w:val="22"/>
          <w:u w:val="single" w:color="auto"/>
          <w:color w:val="auto"/>
        </w:rPr>
        <w:t>Sections 6.01(h)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6.02(l)</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6.04(h)</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jc w:val="both"/>
        <w:ind w:left="-360" w:firstLine="745"/>
        <w:spacing w:after="0" w:line="266" w:lineRule="auto"/>
        <w:tabs>
          <w:tab w:leader="none" w:pos="820" w:val="left"/>
        </w:tabs>
        <w:numPr>
          <w:ilvl w:val="0"/>
          <w:numId w:val="5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Borrower has filed or caused to be filed all Tax returns that are required to be filed by it. The Borrower has paid or made adequate provisions for the payment of all Taxes imposed on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no claim is being asserted, with respect to any such Tax, fee or other charge.</w:t>
      </w:r>
    </w:p>
    <w:p>
      <w:pPr>
        <w:spacing w:after="0" w:line="154" w:lineRule="exact"/>
        <w:rPr>
          <w:rFonts w:ascii="Times New Roman" w:cs="Times New Roman" w:eastAsia="Times New Roman" w:hAnsi="Times New Roman"/>
          <w:sz w:val="20"/>
          <w:szCs w:val="20"/>
          <w:color w:val="auto"/>
        </w:rPr>
      </w:pPr>
    </w:p>
    <w:p>
      <w:pPr>
        <w:jc w:val="both"/>
        <w:ind w:left="-360" w:firstLine="745"/>
        <w:spacing w:after="0" w:line="236" w:lineRule="auto"/>
        <w:tabs>
          <w:tab w:leader="none" w:pos="861"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 Regulations T, U and X</w:t>
      </w:r>
      <w:r>
        <w:rPr>
          <w:rFonts w:ascii="Times New Roman" w:cs="Times New Roman" w:eastAsia="Times New Roman" w:hAnsi="Times New Roman"/>
          <w:sz w:val="22"/>
          <w:szCs w:val="22"/>
          <w:color w:val="auto"/>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the Loans will be used to carry or purchase, any “Margin Stock” within the meaning of Regulation U or to extend “Purchase Credit” within the meaning of Regulation U.</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673" w:name="page674"/>
    <w:bookmarkEnd w:id="673"/>
    <w:p>
      <w:pPr>
        <w:jc w:val="both"/>
        <w:ind w:left="-360" w:firstLine="745"/>
        <w:spacing w:after="0" w:line="234" w:lineRule="auto"/>
        <w:tabs>
          <w:tab w:leader="none" w:pos="820"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Quality of Title</w:t>
      </w:r>
      <w:r>
        <w:rPr>
          <w:rFonts w:ascii="Times New Roman" w:cs="Times New Roman" w:eastAsia="Times New Roman" w:hAnsi="Times New Roman"/>
          <w:sz w:val="22"/>
          <w:szCs w:val="22"/>
          <w:color w:val="auto"/>
        </w:rPr>
        <w:t>. Each Receivable, together with the Contract related thereto that is part of the Collateral,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spacing w:after="0" w:line="184" w:lineRule="exact"/>
        <w:rPr>
          <w:rFonts w:ascii="Times New Roman" w:cs="Times New Roman" w:eastAsia="Times New Roman" w:hAnsi="Times New Roman"/>
          <w:sz w:val="22"/>
          <w:szCs w:val="22"/>
          <w:color w:val="auto"/>
        </w:rPr>
      </w:pPr>
    </w:p>
    <w:p>
      <w:pPr>
        <w:jc w:val="both"/>
        <w:ind w:left="-360" w:firstLine="745"/>
        <w:spacing w:after="0" w:line="259" w:lineRule="auto"/>
        <w:tabs>
          <w:tab w:leader="none" w:pos="888" w:val="left"/>
        </w:tabs>
        <w:numPr>
          <w:ilvl w:val="0"/>
          <w:numId w:val="5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w:t>
      </w:r>
      <w:r>
        <w:rPr>
          <w:rFonts w:ascii="Times New Roman" w:cs="Times New Roman" w:eastAsia="Times New Roman" w:hAnsi="Times New Roman"/>
          <w:sz w:val="20"/>
          <w:szCs w:val="20"/>
          <w:color w:val="auto"/>
        </w:rPr>
        <w: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control, in the case of that portion of the Collateral which constitutes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 In the case of Electronic Contracts, the Custodian has “control” for the benefit of the Administrative Agent (within the meaning of Section 9-105 of the UCC) of the Electronic Contracts pursuant to the Electronic Collateral Control Agreement.</w:t>
      </w:r>
    </w:p>
    <w:p>
      <w:pPr>
        <w:spacing w:after="0" w:line="161" w:lineRule="exact"/>
        <w:rPr>
          <w:rFonts w:ascii="Times New Roman" w:cs="Times New Roman" w:eastAsia="Times New Roman" w:hAnsi="Times New Roman"/>
          <w:sz w:val="20"/>
          <w:szCs w:val="20"/>
          <w:color w:val="auto"/>
        </w:rPr>
      </w:pPr>
    </w:p>
    <w:p>
      <w:pPr>
        <w:jc w:val="both"/>
        <w:ind w:left="-360" w:firstLine="745"/>
        <w:spacing w:after="0" w:line="239" w:lineRule="auto"/>
        <w:tabs>
          <w:tab w:leader="none" w:pos="834"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Paying Agent and any Secured Party in connection with this Agreement are true, complete and correct in all material respects.</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820"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Location of Offices</w:t>
      </w:r>
      <w:r>
        <w:rPr>
          <w:rFonts w:ascii="Times New Roman" w:cs="Times New Roman" w:eastAsia="Times New Roman" w:hAnsi="Times New Roman"/>
          <w:sz w:val="22"/>
          <w:szCs w:val="22"/>
          <w:color w:val="auto"/>
        </w:rPr>
        <w:t xml:space="preserve">. The Borrower’s location (within the meaning of Article 9 of the UCC) is the State of Delaware. The principal place of business and chief executive office of the Borrower and the office where the Borrower keeps all the Records are located at the address of the Borrower referred to in </w:t>
      </w:r>
      <w:r>
        <w:rPr>
          <w:rFonts w:ascii="Times New Roman" w:cs="Times New Roman" w:eastAsia="Times New Roman" w:hAnsi="Times New Roman"/>
          <w:sz w:val="22"/>
          <w:szCs w:val="22"/>
          <w:u w:val="single" w:color="auto"/>
          <w:color w:val="auto"/>
        </w:rPr>
        <w:t>Section 14.02</w:t>
      </w:r>
      <w:r>
        <w:rPr>
          <w:rFonts w:ascii="Times New Roman" w:cs="Times New Roman" w:eastAsia="Times New Roman" w:hAnsi="Times New Roman"/>
          <w:sz w:val="22"/>
          <w:szCs w:val="22"/>
          <w:color w:val="auto"/>
        </w:rPr>
        <w:t xml:space="preserve"> and has been so for the last four months (or at such other locations as to which the notice and other requirements specified in </w:t>
      </w:r>
      <w:r>
        <w:rPr>
          <w:rFonts w:ascii="Times New Roman" w:cs="Times New Roman" w:eastAsia="Times New Roman" w:hAnsi="Times New Roman"/>
          <w:sz w:val="22"/>
          <w:szCs w:val="22"/>
          <w:u w:val="single" w:color="auto"/>
          <w:color w:val="auto"/>
        </w:rPr>
        <w:t>Section 6.02(f)</w:t>
      </w:r>
      <w:r>
        <w:rPr>
          <w:rFonts w:ascii="Times New Roman" w:cs="Times New Roman" w:eastAsia="Times New Roman" w:hAnsi="Times New Roman"/>
          <w:sz w:val="22"/>
          <w:szCs w:val="22"/>
          <w:color w:val="auto"/>
        </w:rPr>
        <w:t xml:space="preserve"> shall have been satisfied).</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61"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 Lockbox Account; Collection Account</w:t>
      </w:r>
      <w:r>
        <w:rPr>
          <w:rFonts w:ascii="Times New Roman" w:cs="Times New Roman" w:eastAsia="Times New Roman" w:hAnsi="Times New Roman"/>
          <w:sz w:val="22"/>
          <w:szCs w:val="22"/>
          <w:color w:val="auto"/>
        </w:rPr>
        <w:t>. The Borrower has not granted any Person dominion or control of (i) any Post Office Box or the Lockbox Account other than in accordance with the terms of the Intercreditor Agreement and the Intercreditor Party Supplement or (ii) the Collection Account other than the Administrative Agent. The Lockbox Account is a “deposit account” (under and as defined in the relevant UCC) and the Collection Account is a “securities account” (under and as defined in the relevant UCC). The Administrative Agent has a valid and perfected first priority security</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674" w:name="page675"/>
    <w:bookmarkEnd w:id="674"/>
    <w:p>
      <w:pPr>
        <w:jc w:val="both"/>
        <w:spacing w:after="0" w:line="239" w:lineRule="auto"/>
        <w:rPr>
          <w:sz w:val="20"/>
          <w:szCs w:val="20"/>
          <w:color w:val="auto"/>
        </w:rPr>
      </w:pPr>
      <w:r>
        <w:rPr>
          <w:rFonts w:ascii="Times New Roman" w:cs="Times New Roman" w:eastAsia="Times New Roman" w:hAnsi="Times New Roman"/>
          <w:sz w:val="22"/>
          <w:szCs w:val="22"/>
          <w:color w:val="auto"/>
        </w:rPr>
        <w:t>interest in the Collection Account. None of the Post Office Boxes, the Lockbox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79" w:lineRule="exact"/>
        <w:rPr>
          <w:sz w:val="20"/>
          <w:szCs w:val="20"/>
          <w:color w:val="auto"/>
        </w:rPr>
      </w:pPr>
    </w:p>
    <w:p>
      <w:pPr>
        <w:ind w:firstLine="745"/>
        <w:spacing w:after="0" w:line="258" w:lineRule="auto"/>
        <w:tabs>
          <w:tab w:leader="none" w:pos="1194"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Tradenames</w:t>
      </w:r>
      <w:r>
        <w:rPr>
          <w:rFonts w:ascii="Times New Roman" w:cs="Times New Roman" w:eastAsia="Times New Roman" w:hAnsi="Times New Roman"/>
          <w:sz w:val="22"/>
          <w:szCs w:val="22"/>
          <w:color w:val="auto"/>
        </w:rPr>
        <w:t>. The Borrower has no trade names, fictitious names, assumed names or “doing business as” names or other names under which it has done or is doing business.</w:t>
      </w:r>
    </w:p>
    <w:p>
      <w:pPr>
        <w:spacing w:after="0" w:line="157" w:lineRule="exact"/>
        <w:rPr>
          <w:rFonts w:ascii="Times New Roman" w:cs="Times New Roman" w:eastAsia="Times New Roman" w:hAnsi="Times New Roman"/>
          <w:sz w:val="22"/>
          <w:szCs w:val="22"/>
          <w:color w:val="auto"/>
        </w:rPr>
      </w:pPr>
    </w:p>
    <w:p>
      <w:pPr>
        <w:ind w:firstLine="745"/>
        <w:spacing w:after="0" w:line="258" w:lineRule="auto"/>
        <w:tabs>
          <w:tab w:leader="none" w:pos="1207"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The Purchase Agreement is the only agreement pursuant to which the Borrower purchases Receivables and the related Contracts.</w:t>
      </w:r>
    </w:p>
    <w:p>
      <w:pPr>
        <w:spacing w:after="0" w:line="157"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Given</w:t>
      </w:r>
      <w:r>
        <w:rPr>
          <w:rFonts w:ascii="Times New Roman" w:cs="Times New Roman" w:eastAsia="Times New Roman" w:hAnsi="Times New Roman"/>
          <w:sz w:val="22"/>
          <w:szCs w:val="22"/>
          <w:color w:val="auto"/>
        </w:rPr>
        <w:t>. The Borrower shall have given reasonably equivalent value to the Seller in consideration for the transfer to the Borrower of the Receivables and the related Collateral under the Purchase Agreement, no such transfer shall have been made for or on account of an antecedent debt owed by the Seller to the Borrower and no such transfer is or may be voidable or subject to avoidance under any section of the Bankruptcy Code.</w:t>
      </w:r>
    </w:p>
    <w:p>
      <w:pPr>
        <w:spacing w:after="0" w:line="178" w:lineRule="exact"/>
        <w:rPr>
          <w:rFonts w:ascii="Times New Roman" w:cs="Times New Roman" w:eastAsia="Times New Roman" w:hAnsi="Times New Roman"/>
          <w:sz w:val="22"/>
          <w:szCs w:val="22"/>
          <w:color w:val="auto"/>
        </w:rPr>
      </w:pPr>
    </w:p>
    <w:p>
      <w:pPr>
        <w:jc w:val="both"/>
        <w:ind w:firstLine="745"/>
        <w:spacing w:after="0" w:line="239" w:lineRule="auto"/>
        <w:tabs>
          <w:tab w:leader="none" w:pos="1207"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The Borrower accounts for the transfers to it from UACC of the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spacing w:after="0" w:line="178"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xml:space="preserve">. The Borrower is in compliance with </w:t>
      </w:r>
      <w:r>
        <w:rPr>
          <w:rFonts w:ascii="Times New Roman" w:cs="Times New Roman" w:eastAsia="Times New Roman" w:hAnsi="Times New Roman"/>
          <w:sz w:val="22"/>
          <w:szCs w:val="22"/>
          <w:u w:val="single" w:color="auto"/>
          <w:color w:val="auto"/>
        </w:rPr>
        <w:t>Section 6.02(n)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745"/>
        <w:spacing w:after="0" w:line="235" w:lineRule="auto"/>
        <w:tabs>
          <w:tab w:leader="none" w:pos="1180"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Filings</w:t>
      </w:r>
      <w:r>
        <w:rPr>
          <w:rFonts w:ascii="Times New Roman" w:cs="Times New Roman" w:eastAsia="Times New Roman" w:hAnsi="Times New Roman"/>
          <w:sz w:val="22"/>
          <w:szCs w:val="22"/>
          <w:color w:val="auto"/>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spacing w:after="0" w:line="180" w:lineRule="exact"/>
        <w:rPr>
          <w:rFonts w:ascii="Times New Roman" w:cs="Times New Roman" w:eastAsia="Times New Roman" w:hAnsi="Times New Roman"/>
          <w:sz w:val="22"/>
          <w:szCs w:val="22"/>
          <w:color w:val="auto"/>
        </w:rPr>
      </w:pPr>
    </w:p>
    <w:p>
      <w:pPr>
        <w:jc w:val="both"/>
        <w:ind w:firstLine="745"/>
        <w:spacing w:after="0" w:line="237" w:lineRule="auto"/>
        <w:tabs>
          <w:tab w:leader="none" w:pos="1207"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Borrower is not an “investment company” within the meaning of the Investment Company Act and is not required to register as an “investment company” under the Investment Company Act. In reaching this conclusion, the Borrower relied on the exemption from the definition of “investment company” contained in Section 3(c)(5)(A) of the Investment Company Act, although other exclusions or exemptions may apply. The Borrower is not a “covered fund” for purposes of the Volcker Rule.</w:t>
      </w: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675" w:name="page676"/>
    <w:bookmarkEnd w:id="675"/>
    <w:p>
      <w:pPr>
        <w:jc w:val="both"/>
        <w:ind w:left="-360" w:firstLine="745"/>
        <w:spacing w:after="0" w:line="244" w:lineRule="auto"/>
        <w:tabs>
          <w:tab w:leader="none" w:pos="820"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has no current or former employees. The Borrower is not a Benefit Plan Investor. Neither the Borrower nor any ERISA Affiliate sponsors, contributes to or is required to contribute to or has any liability with respect to any Pension Plan or any Multiemployer Plan.</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0"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Representations and Warranties</w:t>
      </w:r>
      <w:r>
        <w:rPr>
          <w:rFonts w:ascii="Times New Roman" w:cs="Times New Roman" w:eastAsia="Times New Roman" w:hAnsi="Times New Roman"/>
          <w:sz w:val="22"/>
          <w:szCs w:val="22"/>
          <w:color w:val="auto"/>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7" w:lineRule="auto"/>
        <w:tabs>
          <w:tab w:leader="none" w:pos="834"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in Purchase Agreement</w:t>
      </w:r>
      <w:r>
        <w:rPr>
          <w:rFonts w:ascii="Times New Roman" w:cs="Times New Roman" w:eastAsia="Times New Roman" w:hAnsi="Times New Roman"/>
          <w:sz w:val="22"/>
          <w:szCs w:val="22"/>
          <w:color w:val="auto"/>
        </w:rPr>
        <w:t>. The representations and warranties made by the Borrower to the Seller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spacing w:after="0" w:line="180" w:lineRule="exact"/>
        <w:rPr>
          <w:sz w:val="20"/>
          <w:szCs w:val="20"/>
          <w:color w:val="auto"/>
        </w:rPr>
      </w:pPr>
    </w:p>
    <w:p>
      <w:pPr>
        <w:jc w:val="both"/>
        <w:ind w:left="-360" w:firstLine="745"/>
        <w:spacing w:after="0" w:line="259" w:lineRule="auto"/>
        <w:tabs>
          <w:tab w:leader="none" w:pos="861" w:val="left"/>
        </w:tabs>
        <w:numPr>
          <w:ilvl w:val="0"/>
          <w:numId w:val="5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(i) The operations of the Borrower and its Subsidiaries and Affiliates are and have been conducted at all times in compliance with applicable Sanctions; (ii) none of the Borrower, its Affiliates or Subsidiaries, or any directors, officers, employees, agents or representatives thereof, or any Person or representative that will act in any capacity in connection with or benefit from the transactions described in the Basic Documents established hereby, is a Sanctioned Person or is in violation of Sanctions; (iii) none of the Borrower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Sanctions by any Person participating in the transactions contemplated by this Agreement.</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jc w:val="both"/>
        <w:ind w:left="-360" w:firstLine="745"/>
        <w:spacing w:after="0" w:line="233" w:lineRule="auto"/>
        <w:tabs>
          <w:tab w:leader="none" w:pos="820" w:val="left"/>
        </w:tabs>
        <w:numPr>
          <w:ilvl w:val="0"/>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(i) The operations of the Borrower and its Subsidiaries and Affiliates are and have been conducted at all times in compliance with applicable Anti-Corruption Laws; (ii) none of the Borrower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Borrower, its Subsidiaries or Affiliates will use, directly or indirectly, the Loans or the proceeds of any other transaction contemplated by this Agreement in</w:t>
      </w: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676" w:name="page677"/>
    <w:bookmarkEnd w:id="676"/>
    <w:p>
      <w:pPr>
        <w:spacing w:after="0" w:line="258" w:lineRule="auto"/>
        <w:rPr>
          <w:sz w:val="20"/>
          <w:szCs w:val="20"/>
          <w:color w:val="auto"/>
        </w:rPr>
      </w:pPr>
      <w:r>
        <w:rPr>
          <w:rFonts w:ascii="Times New Roman" w:cs="Times New Roman" w:eastAsia="Times New Roman" w:hAnsi="Times New Roman"/>
          <w:sz w:val="22"/>
          <w:szCs w:val="22"/>
          <w:color w:val="auto"/>
        </w:rPr>
        <w:t>furtherance of an offer, payment, promise to pay, or authorization of the payment or giving of money, or anything else of value, to any Person in violation of any applicable Anti-Corruption Laws.</w:t>
      </w:r>
    </w:p>
    <w:p>
      <w:pPr>
        <w:spacing w:after="0" w:line="157" w:lineRule="exact"/>
        <w:rPr>
          <w:sz w:val="20"/>
          <w:szCs w:val="20"/>
          <w:color w:val="auto"/>
        </w:rPr>
      </w:pPr>
    </w:p>
    <w:p>
      <w:pPr>
        <w:ind w:firstLine="745"/>
        <w:spacing w:after="0" w:line="258" w:lineRule="auto"/>
        <w:tabs>
          <w:tab w:leader="none" w:pos="1207" w:val="left"/>
        </w:tabs>
        <w:numPr>
          <w:ilvl w:val="0"/>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As of the Closing Date, the information included in the Beneficial Ownership Certification is true and correct in all material respects.</w:t>
      </w:r>
    </w:p>
    <w:p>
      <w:pPr>
        <w:spacing w:after="0" w:line="157" w:lineRule="exact"/>
        <w:rPr>
          <w:sz w:val="20"/>
          <w:szCs w:val="20"/>
          <w:color w:val="auto"/>
        </w:rPr>
      </w:pPr>
    </w:p>
    <w:p>
      <w:pPr>
        <w:ind w:right="840"/>
        <w:spacing w:after="0" w:line="478" w:lineRule="auto"/>
        <w:rPr>
          <w:sz w:val="20"/>
          <w:szCs w:val="20"/>
          <w:color w:val="auto"/>
        </w:rPr>
      </w:pPr>
      <w:r>
        <w:rPr>
          <w:rFonts w:ascii="Times New Roman" w:cs="Times New Roman" w:eastAsia="Times New Roman" w:hAnsi="Times New Roman"/>
          <w:sz w:val="20"/>
          <w:szCs w:val="20"/>
          <w:u w:val="single" w:color="auto"/>
          <w:color w:val="auto"/>
        </w:rPr>
        <w:t xml:space="preserve">Section 5.02. Representations and Warranties of the Borrower Relating to This Agreement and the Receivables </w:t>
      </w:r>
      <w:r>
        <w:rPr>
          <w:rFonts w:ascii="Times New Roman" w:cs="Times New Roman" w:eastAsia="Times New Roman" w:hAnsi="Times New Roman"/>
          <w:sz w:val="20"/>
          <w:szCs w:val="20"/>
          <w:color w:val="auto"/>
        </w:rPr>
        <w:t>The Borrower represents and warrants, as of the Closing Date and as of each Funding Date, as follows:</w:t>
      </w:r>
    </w:p>
    <w:p>
      <w:pPr>
        <w:spacing w:after="0" w:line="1" w:lineRule="exact"/>
        <w:rPr>
          <w:sz w:val="20"/>
          <w:szCs w:val="20"/>
          <w:color w:val="auto"/>
        </w:rPr>
      </w:pPr>
    </w:p>
    <w:p>
      <w:pPr>
        <w:jc w:val="both"/>
        <w:ind w:firstLine="745"/>
        <w:spacing w:after="0" w:line="239" w:lineRule="auto"/>
        <w:tabs>
          <w:tab w:leader="none" w:pos="1194"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spacing w:after="0" w:line="178" w:lineRule="exact"/>
        <w:rPr>
          <w:rFonts w:ascii="Times New Roman" w:cs="Times New Roman" w:eastAsia="Times New Roman" w:hAnsi="Times New Roman"/>
          <w:sz w:val="22"/>
          <w:szCs w:val="22"/>
          <w:color w:val="auto"/>
        </w:rPr>
      </w:pPr>
    </w:p>
    <w:p>
      <w:pPr>
        <w:jc w:val="both"/>
        <w:ind w:firstLine="745"/>
        <w:spacing w:after="0" w:line="235" w:lineRule="auto"/>
        <w:tabs>
          <w:tab w:leader="none" w:pos="1234"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w:t>
      </w:r>
      <w:r>
        <w:rPr>
          <w:rFonts w:ascii="Times New Roman" w:cs="Times New Roman" w:eastAsia="Times New Roman" w:hAnsi="Times New Roman"/>
          <w:sz w:val="22"/>
          <w:szCs w:val="22"/>
          <w:color w:val="auto"/>
        </w:rPr>
        <w:t xml:space="preserve">.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 Collateral and, if this Agreement constitutes the grant of a security interest in such property, except for the interest of the Borrower in such property. The representations and warranties contained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are true and correct in all material respects.</w:t>
      </w:r>
    </w:p>
    <w:p>
      <w:pPr>
        <w:spacing w:after="0" w:line="180"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Receivables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120"/>
        <w:spacing w:after="0" w:line="259" w:lineRule="auto"/>
        <w:tabs>
          <w:tab w:leader="none" w:pos="1555" w:val="left"/>
        </w:tabs>
        <w:numPr>
          <w:ilvl w:val="1"/>
          <w:numId w:val="5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of the Initial Loan, (A) Schedule C and the information contained in the Funding Request delivered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spacing w:after="0" w:line="200" w:lineRule="exact"/>
        <w:rPr>
          <w:sz w:val="20"/>
          <w:szCs w:val="20"/>
          <w:color w:val="auto"/>
        </w:rPr>
      </w:pPr>
    </w:p>
    <w:p>
      <w:pPr>
        <w:spacing w:after="0" w:line="2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677" w:name="page678"/>
    <w:bookmarkEnd w:id="677"/>
    <w:p>
      <w:pPr>
        <w:jc w:val="both"/>
        <w:ind w:firstLine="1120"/>
        <w:spacing w:after="0" w:line="232" w:lineRule="auto"/>
        <w:tabs>
          <w:tab w:leader="none" w:pos="1555" w:val="left"/>
        </w:tabs>
        <w:numPr>
          <w:ilvl w:val="1"/>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Funding Date other than the date of the Initial Loan, the Borrower shall be deemed to represent and warrant that (A)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to the Administrative Agent have been duly obtained, effected or given and are in full force and effect and (E) the representations and warranties set forth in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are true and correct with respect to each Subsequent Receivable pledged on such day as if made on such day.</w:t>
      </w:r>
    </w:p>
    <w:p>
      <w:pPr>
        <w:spacing w:after="0" w:line="190" w:lineRule="exact"/>
        <w:rPr>
          <w:rFonts w:ascii="Times New Roman" w:cs="Times New Roman" w:eastAsia="Times New Roman" w:hAnsi="Times New Roman"/>
          <w:sz w:val="22"/>
          <w:szCs w:val="22"/>
          <w:color w:val="auto"/>
        </w:rPr>
      </w:pPr>
    </w:p>
    <w:p>
      <w:pPr>
        <w:jc w:val="both"/>
        <w:ind w:firstLine="745"/>
        <w:spacing w:after="0" w:line="236" w:lineRule="auto"/>
        <w:tabs>
          <w:tab w:leader="none" w:pos="1194"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Contracts</w:t>
      </w:r>
      <w:r>
        <w:rPr>
          <w:rFonts w:ascii="Times New Roman" w:cs="Times New Roman" w:eastAsia="Times New Roman" w:hAnsi="Times New Roman"/>
          <w:sz w:val="22"/>
          <w:szCs w:val="22"/>
          <w:color w:val="auto"/>
        </w:rPr>
        <w:t>. Each E-Vault Access Agreement provides the Custodian a right to use the E-Vault System and exclusive access to the Warehouse Vault Partition (except to the extent otherwise expressly set forth herein or in the Electronic Collateral Control Agreement) and the terms thereof are sufficient to permit the Custodian to perform its duties and obligations hereunder and under each Electronic Collateral Control Agreement. Prior to the Facility Termination Date, the Borrower will not have any right of access to the Warehouse Vault Partition under the E-Vault Access Agreement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5.03. Representations and Warranties of the Servicer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Servicer represents and warrants, as of the Closing Date and as of each Funding Date, as follows:</w:t>
      </w:r>
    </w:p>
    <w:p>
      <w:pPr>
        <w:spacing w:after="0" w:line="205" w:lineRule="exact"/>
        <w:rPr>
          <w:sz w:val="20"/>
          <w:szCs w:val="20"/>
          <w:color w:val="auto"/>
        </w:rPr>
      </w:pPr>
    </w:p>
    <w:p>
      <w:pPr>
        <w:jc w:val="both"/>
        <w:ind w:firstLine="745"/>
        <w:spacing w:after="0" w:line="239" w:lineRule="auto"/>
        <w:tabs>
          <w:tab w:leader="none" w:pos="1221"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spacing w:after="0" w:line="178"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Qualification</w:t>
      </w:r>
      <w:r>
        <w:rPr>
          <w:rFonts w:ascii="Times New Roman" w:cs="Times New Roman" w:eastAsia="Times New Roman" w:hAnsi="Times New Roman"/>
          <w:sz w:val="22"/>
          <w:szCs w:val="22"/>
          <w:color w:val="auto"/>
        </w:rPr>
        <w:t>. The Servicer is duly qualified to do business and is in good standing as a corporation, and has obtained all necessary licenses and approvals in all jurisdictions in which the ownership or lease of its property and or the conduct of its business, including the servicing of the Receivables, requires such qualification, licenses or approvals.</w:t>
      </w:r>
    </w:p>
    <w:p>
      <w:pPr>
        <w:spacing w:after="0" w:line="178" w:lineRule="exact"/>
        <w:rPr>
          <w:rFonts w:ascii="Times New Roman" w:cs="Times New Roman" w:eastAsia="Times New Roman" w:hAnsi="Times New Roman"/>
          <w:sz w:val="22"/>
          <w:szCs w:val="22"/>
          <w:color w:val="auto"/>
        </w:rPr>
      </w:pPr>
    </w:p>
    <w:p>
      <w:pPr>
        <w:ind w:firstLine="745"/>
        <w:spacing w:after="0" w:line="258" w:lineRule="auto"/>
        <w:tabs>
          <w:tab w:leader="none" w:pos="1180"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and Authority; Due Authorization</w:t>
      </w:r>
      <w:r>
        <w:rPr>
          <w:rFonts w:ascii="Times New Roman" w:cs="Times New Roman" w:eastAsia="Times New Roman" w:hAnsi="Times New Roman"/>
          <w:sz w:val="22"/>
          <w:szCs w:val="22"/>
          <w:color w:val="auto"/>
        </w:rPr>
        <w:t>. The Servicer (i) has all necessary corporate power, authority and legal right to (A) execute and deliver the Servicer Basic</w:t>
      </w: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6" w:right="339" w:bottom="1440" w:gutter="0" w:footer="0" w:header="0"/>
        </w:sectPr>
      </w:pPr>
    </w:p>
    <w:bookmarkStart w:id="678" w:name="page679"/>
    <w:bookmarkEnd w:id="678"/>
    <w:p>
      <w:pPr>
        <w:ind w:left="3"/>
        <w:spacing w:after="0" w:line="258" w:lineRule="auto"/>
        <w:rPr>
          <w:sz w:val="20"/>
          <w:szCs w:val="20"/>
          <w:color w:val="auto"/>
        </w:rPr>
      </w:pPr>
      <w:r>
        <w:rPr>
          <w:rFonts w:ascii="Times New Roman" w:cs="Times New Roman" w:eastAsia="Times New Roman" w:hAnsi="Times New Roman"/>
          <w:sz w:val="22"/>
          <w:szCs w:val="22"/>
          <w:color w:val="auto"/>
        </w:rPr>
        <w:t>Documents and (B) carry out the terms of the Servicer Basic Documents and (ii) has duly authorized by all necessary corporate action the execution, delivery and performance of the Servicer Basic Documents.</w:t>
      </w:r>
    </w:p>
    <w:p>
      <w:pPr>
        <w:spacing w:after="0" w:line="157" w:lineRule="exact"/>
        <w:rPr>
          <w:sz w:val="20"/>
          <w:szCs w:val="20"/>
          <w:color w:val="auto"/>
        </w:rPr>
      </w:pPr>
    </w:p>
    <w:p>
      <w:pPr>
        <w:jc w:val="both"/>
        <w:ind w:left="3" w:firstLine="745"/>
        <w:spacing w:after="0" w:line="239" w:lineRule="auto"/>
        <w:tabs>
          <w:tab w:leader="none" w:pos="1184" w:val="left"/>
        </w:tabs>
        <w:numPr>
          <w:ilvl w:val="1"/>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Obligation</w:t>
      </w:r>
      <w:r>
        <w:rPr>
          <w:rFonts w:ascii="Times New Roman" w:cs="Times New Roman" w:eastAsia="Times New Roman" w:hAnsi="Times New Roman"/>
          <w:sz w:val="22"/>
          <w:szCs w:val="22"/>
          <w:color w:val="auto"/>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spacing w:after="0" w:line="178" w:lineRule="exact"/>
        <w:rPr>
          <w:rFonts w:ascii="Times New Roman" w:cs="Times New Roman" w:eastAsia="Times New Roman" w:hAnsi="Times New Roman"/>
          <w:sz w:val="22"/>
          <w:szCs w:val="22"/>
          <w:color w:val="auto"/>
        </w:rPr>
      </w:pPr>
    </w:p>
    <w:p>
      <w:pPr>
        <w:jc w:val="both"/>
        <w:ind w:left="3" w:firstLine="745"/>
        <w:spacing w:after="0" w:line="241" w:lineRule="auto"/>
        <w:tabs>
          <w:tab w:leader="none" w:pos="1211" w:val="left"/>
        </w:tabs>
        <w:numPr>
          <w:ilvl w:val="1"/>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and delivery of the Servicer Basic Documents, the consummation of the transactions contemplated by the Servicer Basic Documents and the fulfillment of the terms hereof and thereof will not</w:t>
      </w:r>
    </w:p>
    <w:p>
      <w:pPr>
        <w:spacing w:after="0" w:line="1" w:lineRule="exact"/>
        <w:rPr>
          <w:rFonts w:ascii="Times New Roman" w:cs="Times New Roman" w:eastAsia="Times New Roman" w:hAnsi="Times New Roman"/>
          <w:sz w:val="22"/>
          <w:szCs w:val="22"/>
          <w:color w:val="auto"/>
        </w:rPr>
      </w:pPr>
    </w:p>
    <w:p>
      <w:pPr>
        <w:jc w:val="both"/>
        <w:ind w:left="3" w:hanging="3"/>
        <w:spacing w:after="0" w:line="232" w:lineRule="auto"/>
        <w:tabs>
          <w:tab w:leader="none" w:pos="267"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37" w:lineRule="auto"/>
        <w:tabs>
          <w:tab w:leader="none" w:pos="1197" w:val="left"/>
        </w:tabs>
        <w:numPr>
          <w:ilvl w:val="1"/>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Proceedings</w:t>
      </w:r>
      <w:r>
        <w:rPr>
          <w:rFonts w:ascii="Times New Roman" w:cs="Times New Roman" w:eastAsia="Times New Roman" w:hAnsi="Times New Roman"/>
          <w:sz w:val="22"/>
          <w:szCs w:val="22"/>
          <w:color w:val="auto"/>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 (iii) challenging the enforceability of a material portion of the Receivables or (iv) seeking any determination or ruling that could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84" w:val="left"/>
        </w:tabs>
        <w:numPr>
          <w:ilvl w:val="1"/>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Consents Required</w:t>
      </w:r>
      <w:r>
        <w:rPr>
          <w:rFonts w:ascii="Times New Roman" w:cs="Times New Roman" w:eastAsia="Times New Roman" w:hAnsi="Times New Roman"/>
          <w:sz w:val="22"/>
          <w:szCs w:val="22"/>
          <w:color w:val="auto"/>
        </w:rPr>
        <w:t>. All approvals, authorizations, consents, orders or other actions of any Person or of any Governmental Authority (if any) required for the due execution, delivery and performance by the Servicer of the Servicer Basic Documents have been obtained.</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11" w:val="left"/>
        </w:tabs>
        <w:numPr>
          <w:ilvl w:val="1"/>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Accurate</w:t>
      </w:r>
      <w:r>
        <w:rPr>
          <w:rFonts w:ascii="Times New Roman" w:cs="Times New Roman" w:eastAsia="Times New Roman" w:hAnsi="Times New Roman"/>
          <w:sz w:val="22"/>
          <w:szCs w:val="22"/>
          <w:color w:val="auto"/>
        </w:rPr>
        <w:t>. All Monthly Reports, information, exhibits, financial statements, documents, books, records or reports furnished or to be furnished by the Servicer to the Paying Agent or any Secured Party in connection with the Servicer Basic Documents are accurate, true and correct in all material respects.</w:t>
      </w:r>
    </w:p>
    <w:p>
      <w:pPr>
        <w:spacing w:after="0" w:line="172" w:lineRule="exact"/>
        <w:rPr>
          <w:rFonts w:ascii="Times New Roman" w:cs="Times New Roman" w:eastAsia="Times New Roman" w:hAnsi="Times New Roman"/>
          <w:sz w:val="22"/>
          <w:szCs w:val="22"/>
          <w:color w:val="auto"/>
        </w:rPr>
      </w:pPr>
    </w:p>
    <w:p>
      <w:pPr>
        <w:ind w:left="3" w:firstLine="745"/>
        <w:spacing w:after="0" w:line="258" w:lineRule="auto"/>
        <w:tabs>
          <w:tab w:leader="none" w:pos="1197" w:val="left"/>
        </w:tabs>
        <w:numPr>
          <w:ilvl w:val="1"/>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Servicer’s Performance</w:t>
      </w:r>
      <w:r>
        <w:rPr>
          <w:rFonts w:ascii="Times New Roman" w:cs="Times New Roman" w:eastAsia="Times New Roman" w:hAnsi="Times New Roman"/>
          <w:sz w:val="22"/>
          <w:szCs w:val="22"/>
          <w:color w:val="auto"/>
        </w:rPr>
        <w:t>. The Servicer has the knowledge, the experience and the systems, financial and operational capacity available to timely perform each of its obligations hereunder.</w:t>
      </w:r>
    </w:p>
    <w:p>
      <w:pPr>
        <w:spacing w:after="0" w:line="157" w:lineRule="exact"/>
        <w:rPr>
          <w:rFonts w:ascii="Times New Roman" w:cs="Times New Roman" w:eastAsia="Times New Roman" w:hAnsi="Times New Roman"/>
          <w:sz w:val="22"/>
          <w:szCs w:val="22"/>
          <w:color w:val="auto"/>
        </w:rPr>
      </w:pPr>
    </w:p>
    <w:p>
      <w:pPr>
        <w:ind w:left="3" w:firstLine="745"/>
        <w:spacing w:after="0" w:line="258" w:lineRule="auto"/>
        <w:tabs>
          <w:tab w:leader="none" w:pos="1238" w:val="left"/>
        </w:tabs>
        <w:numPr>
          <w:ilvl w:val="1"/>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Credit and Collection Policy</w:t>
      </w:r>
      <w:r>
        <w:rPr>
          <w:rFonts w:ascii="Times New Roman" w:cs="Times New Roman" w:eastAsia="Times New Roman" w:hAnsi="Times New Roman"/>
          <w:sz w:val="22"/>
          <w:szCs w:val="22"/>
          <w:color w:val="auto"/>
        </w:rPr>
        <w:t>. The Servicer has, with respect to the Receivables, complied in all material respects with the Credit and Collection Policy.</w:t>
      </w:r>
    </w:p>
    <w:p>
      <w:pPr>
        <w:spacing w:after="0" w:line="200" w:lineRule="exact"/>
        <w:rPr>
          <w:sz w:val="20"/>
          <w:szCs w:val="20"/>
          <w:color w:val="auto"/>
        </w:rPr>
      </w:pPr>
    </w:p>
    <w:p>
      <w:pPr>
        <w:spacing w:after="0" w:line="21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679" w:name="page680"/>
    <w:bookmarkEnd w:id="679"/>
    <w:p>
      <w:pPr>
        <w:jc w:val="both"/>
        <w:ind w:left="-360" w:firstLine="745"/>
        <w:spacing w:after="0" w:line="234" w:lineRule="auto"/>
        <w:tabs>
          <w:tab w:leader="none" w:pos="861"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Lockbox Account; Collection Account</w:t>
      </w:r>
      <w:r>
        <w:rPr>
          <w:rFonts w:ascii="Times New Roman" w:cs="Times New Roman" w:eastAsia="Times New Roman" w:hAnsi="Times New Roman"/>
          <w:sz w:val="22"/>
          <w:szCs w:val="22"/>
          <w:color w:val="auto"/>
        </w:rPr>
        <w:t>. The Servicer has not granted any Person dominion or control of (i) any Post Office Box or the Lockbox Account other than in accordance with the terms of the Intercreditor Agreement and the Intercreditor Party Supplement or (ii) the Collection Account other than the Administrative Agent. The Lockbox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Lockbox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spacing w:after="0" w:line="180" w:lineRule="exact"/>
        <w:rPr>
          <w:rFonts w:ascii="Times New Roman" w:cs="Times New Roman" w:eastAsia="Times New Roman" w:hAnsi="Times New Roman"/>
          <w:sz w:val="22"/>
          <w:szCs w:val="22"/>
          <w:color w:val="auto"/>
        </w:rPr>
      </w:pPr>
    </w:p>
    <w:p>
      <w:pPr>
        <w:ind w:left="-360" w:firstLine="745"/>
        <w:spacing w:after="0" w:line="258" w:lineRule="auto"/>
        <w:tabs>
          <w:tab w:leader="none" w:pos="820"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The transactions contemplated by the Servicer Basic Documents do not and will not render the Servicer not Solvent.</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20"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has filed or caused to be filed all U.S. federal and State income and all other material Tax returns that are required to be filed by it. The Servicer has paid or made adequate provisions for the payment of all material Taxes imposed on it or any of its property (other than any amount of Tax the validity of which is currently being contested in good faith by appropriate proceedings and with respect to which reserves in accordance with GAAP have been provided on the books of the Servicer), and no Tax lien (other than a Permitted Lien) has been filed and no claim is being asserted, with respect to any such Tax, fee or other charge.</w:t>
      </w:r>
    </w:p>
    <w:p>
      <w:pPr>
        <w:spacing w:after="0" w:line="179" w:lineRule="exact"/>
        <w:rPr>
          <w:rFonts w:ascii="Times New Roman" w:cs="Times New Roman" w:eastAsia="Times New Roman" w:hAnsi="Times New Roman"/>
          <w:sz w:val="22"/>
          <w:szCs w:val="22"/>
          <w:color w:val="auto"/>
        </w:rPr>
      </w:pPr>
    </w:p>
    <w:p>
      <w:pPr>
        <w:jc w:val="both"/>
        <w:ind w:left="-360" w:firstLine="745"/>
        <w:spacing w:after="0" w:line="234" w:lineRule="auto"/>
        <w:tabs>
          <w:tab w:leader="none" w:pos="820"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(i) The operation of the Servicer and its Subsidiaries and Affiliates are and have been conducted at all times in compliance with applicable Sanctions; (ii) none of the Servicer, its Affiliates or Subsidiaries or any directors, officers, employees, agents or representatives thereof, or any Person or representative that will act in any capacity in connection with or benefit from the facility established hereby, is a Sanctioned Person or is in violation of any Sanctions; (iii) none of the Servicer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any Sanctions by any Person participating in the transactions contemplated by the Servicer Basic Documents.</w:t>
      </w:r>
    </w:p>
    <w:p>
      <w:pPr>
        <w:spacing w:after="0" w:line="176"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34"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(i) The operations of the Servicer and its Subsidiaries and Affiliates are and have been conducted at all times in compliance with applicable Anti-Corruption Laws; (ii) none of the Servicer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680" w:name="page681"/>
    <w:bookmarkEnd w:id="680"/>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Servicer, its Subsidiaries or Affiliates will use, directly or indirectly, the Loans or the proceeds of any other transaction contemplated by the Servicer Basic Documents in furtherance of an offer, payment, promise to pay, or authorization of the payment or giving of money, or anything else of value, to any person in violation of any applicable Anti-Corruption Laws.</w:t>
      </w:r>
    </w:p>
    <w:p>
      <w:pPr>
        <w:spacing w:after="0" w:line="181" w:lineRule="exact"/>
        <w:rPr>
          <w:sz w:val="20"/>
          <w:szCs w:val="20"/>
          <w:color w:val="auto"/>
        </w:rPr>
      </w:pPr>
    </w:p>
    <w:p>
      <w:pPr>
        <w:jc w:val="both"/>
        <w:ind w:left="760" w:firstLine="745"/>
        <w:spacing w:after="0" w:line="244" w:lineRule="auto"/>
        <w:tabs>
          <w:tab w:leader="none" w:pos="1954" w:val="left"/>
        </w:tabs>
        <w:numPr>
          <w:ilvl w:val="0"/>
          <w:numId w:val="6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Representations</w:t>
      </w:r>
      <w:r>
        <w:rPr>
          <w:rFonts w:ascii="Times New Roman" w:cs="Times New Roman" w:eastAsia="Times New Roman" w:hAnsi="Times New Roman"/>
          <w:sz w:val="22"/>
          <w:szCs w:val="22"/>
          <w:color w:val="auto"/>
        </w:rPr>
        <w:t>. The Servicer is not a Benefit Plan Investor. None of the Servicer or its ERISA Affiliates sponsors, contributes to, has any obligation to contribute to, or has any liability with respect to any Pension Plan or Multiemployer Plan.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5.04. Retransfer/Transfer of Certain Receivables</w:t>
      </w:r>
    </w:p>
    <w:p>
      <w:pPr>
        <w:spacing w:after="0" w:line="205" w:lineRule="exact"/>
        <w:rPr>
          <w:sz w:val="20"/>
          <w:szCs w:val="20"/>
          <w:color w:val="auto"/>
        </w:rPr>
      </w:pPr>
    </w:p>
    <w:p>
      <w:pPr>
        <w:jc w:val="both"/>
        <w:ind w:firstLine="757"/>
        <w:spacing w:after="0" w:line="233" w:lineRule="auto"/>
        <w:tabs>
          <w:tab w:leader="none" w:pos="1194"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Rights under Purchase Agreement</w:t>
      </w:r>
      <w:r>
        <w:rPr>
          <w:rFonts w:ascii="Times New Roman" w:cs="Times New Roman" w:eastAsia="Times New Roman" w:hAnsi="Times New Roman"/>
          <w:sz w:val="22"/>
          <w:szCs w:val="22"/>
          <w:color w:val="auto"/>
        </w:rPr>
        <w:t>. The Borrower shall exercise its rights under Section 6.01 of the Purchase Agreement to require the Seller to repurchase any Receivable as to which an event described in such Section has occurred in accordance with the terms of the Purchase Agreement. Upon receipt of the Release Price in either Account for any Receivable repurchased pursuant to Section 6.01 of the Purchase Agreement as provided therein, the Administrative Agent shall automatically and without further action be deemed to transfer, assign and set-over to the Borrower, without recourse, representation or warranty, all the right, title and interest of the Administrative Agent in, to and under such Receivable all future monies due or to become due with respect thereto, all proceeds of such Receivable relating thereto, all rights to security for any such Receivable, and all proceeds and products of the foregoing. The Administrative Agent shall, at the sole expense of the Servicer, execute such documents and instruments of release as may be prepared by the Servicer on behalf of the Borrower and take other such actions as shall reasonably be requested by the Borrower to effect the release of such Receivable pursuant to this subsection.</w:t>
      </w:r>
    </w:p>
    <w:p>
      <w:pPr>
        <w:spacing w:after="0" w:line="184" w:lineRule="exact"/>
        <w:rPr>
          <w:rFonts w:ascii="Times New Roman" w:cs="Times New Roman" w:eastAsia="Times New Roman" w:hAnsi="Times New Roman"/>
          <w:sz w:val="22"/>
          <w:szCs w:val="22"/>
          <w:color w:val="auto"/>
        </w:rPr>
      </w:pPr>
    </w:p>
    <w:p>
      <w:pPr>
        <w:jc w:val="both"/>
        <w:ind w:firstLine="757"/>
        <w:spacing w:after="0" w:line="264" w:lineRule="auto"/>
        <w:tabs>
          <w:tab w:leader="none" w:pos="1207" w:val="left"/>
        </w:tabs>
        <w:numPr>
          <w:ilvl w:val="0"/>
          <w:numId w:val="6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of Receivables for Breach of Servicing Covenant</w:t>
      </w:r>
      <w:r>
        <w:rPr>
          <w:rFonts w:ascii="Times New Roman" w:cs="Times New Roman" w:eastAsia="Times New Roman" w:hAnsi="Times New Roman"/>
          <w:sz w:val="20"/>
          <w:szCs w:val="20"/>
          <w:color w:val="auto"/>
        </w:rPr>
        <w:t xml:space="preserve">. In the event that the Servicer breaches a servicing covenant pursuant to </w:t>
      </w:r>
      <w:r>
        <w:rPr>
          <w:rFonts w:ascii="Times New Roman" w:cs="Times New Roman" w:eastAsia="Times New Roman" w:hAnsi="Times New Roman"/>
          <w:sz w:val="20"/>
          <w:szCs w:val="20"/>
          <w:u w:val="single" w:color="auto"/>
          <w:color w:val="auto"/>
        </w:rPr>
        <w:t>Section 7.03(c)(i),</w:t>
      </w:r>
      <w:r>
        <w:rPr>
          <w:rFonts w:ascii="Times New Roman" w:cs="Times New Roman" w:eastAsia="Times New Roman" w:hAnsi="Times New Roman"/>
          <w:sz w:val="20"/>
          <w:szCs w:val="20"/>
          <w:color w:val="auto"/>
        </w:rPr>
        <w:t xml:space="preserve"> no later than the earlier of (i) knowledge by the Servicer of such event or (ii) receipt by the Servicer from a Secured Party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either Account in immediately available funds, and the Borrower shall accept the release of such Receivable(s).</w:t>
      </w:r>
    </w:p>
    <w:p>
      <w:pPr>
        <w:spacing w:after="0" w:line="154" w:lineRule="exact"/>
        <w:rPr>
          <w:rFonts w:ascii="Times New Roman" w:cs="Times New Roman" w:eastAsia="Times New Roman" w:hAnsi="Times New Roman"/>
          <w:sz w:val="20"/>
          <w:szCs w:val="20"/>
          <w:color w:val="auto"/>
        </w:rPr>
      </w:pPr>
    </w:p>
    <w:p>
      <w:pPr>
        <w:jc w:val="both"/>
        <w:ind w:firstLine="757"/>
        <w:spacing w:after="0" w:line="237" w:lineRule="auto"/>
        <w:tabs>
          <w:tab w:leader="none" w:pos="1180"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Release</w:t>
      </w:r>
      <w:r>
        <w:rPr>
          <w:rFonts w:ascii="Times New Roman" w:cs="Times New Roman" w:eastAsia="Times New Roman" w:hAnsi="Times New Roman"/>
          <w:sz w:val="22"/>
          <w:szCs w:val="22"/>
          <w:color w:val="auto"/>
        </w:rPr>
        <w:t xml:space="preserve">. The Borrower or the Servicer, as applicable, shall provide written notice to the Secured Parties of any release of Receivables pursuant to </w:t>
      </w:r>
      <w:r>
        <w:rPr>
          <w:rFonts w:ascii="Times New Roman" w:cs="Times New Roman" w:eastAsia="Times New Roman" w:hAnsi="Times New Roman"/>
          <w:sz w:val="22"/>
          <w:szCs w:val="22"/>
          <w:u w:val="single" w:color="auto"/>
          <w:color w:val="auto"/>
        </w:rPr>
        <w:t>Sections 5.04(a) or (b)</w:t>
      </w:r>
      <w:r>
        <w:rPr>
          <w:rFonts w:ascii="Times New Roman" w:cs="Times New Roman" w:eastAsia="Times New Roman" w:hAnsi="Times New Roman"/>
          <w:sz w:val="22"/>
          <w:szCs w:val="22"/>
          <w:color w:val="auto"/>
        </w:rPr>
        <w:t xml:space="preserve"> prior to 12:01 p.m., New York, New York time, five Business Days prior to the related Release Date, and such notice shall include a calculation of the Borrowing Base after giving effect to such release, as well as representations and warranties by the Borrower that no Early Amortization Event, Termination Event, Unmatured Termination Event, Servicer Termination Event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681" w:name="page682"/>
    <w:bookmarkEnd w:id="681"/>
    <w:p>
      <w:pPr>
        <w:spacing w:after="0" w:line="258" w:lineRule="auto"/>
        <w:rPr>
          <w:sz w:val="20"/>
          <w:szCs w:val="20"/>
          <w:color w:val="auto"/>
        </w:rPr>
      </w:pPr>
      <w:r>
        <w:rPr>
          <w:rFonts w:ascii="Times New Roman" w:cs="Times New Roman" w:eastAsia="Times New Roman" w:hAnsi="Times New Roman"/>
          <w:sz w:val="22"/>
          <w:szCs w:val="22"/>
          <w:color w:val="auto"/>
        </w:rPr>
        <w:t>Unmatured Servicer Termination Event has occurred and that the Borrowing Base calculation included with such notice is accurate.</w:t>
      </w:r>
    </w:p>
    <w:p>
      <w:pPr>
        <w:spacing w:after="0" w:line="157" w:lineRule="exact"/>
        <w:rPr>
          <w:sz w:val="20"/>
          <w:szCs w:val="20"/>
          <w:color w:val="auto"/>
        </w:rPr>
      </w:pPr>
    </w:p>
    <w:p>
      <w:pPr>
        <w:jc w:val="both"/>
        <w:ind w:firstLine="757"/>
        <w:spacing w:after="0" w:line="237" w:lineRule="auto"/>
        <w:tabs>
          <w:tab w:leader="none" w:pos="1180"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Repurchases/Purchases and Retransfer/Transfer</w:t>
      </w:r>
      <w:r>
        <w:rPr>
          <w:rFonts w:ascii="Times New Roman" w:cs="Times New Roman" w:eastAsia="Times New Roman" w:hAnsi="Times New Roman"/>
          <w:sz w:val="22"/>
          <w:szCs w:val="22"/>
          <w:color w:val="auto"/>
        </w:rPr>
        <w:t>. Notwithstanding anything to the contrary set forth herein, neither the Borrower nor the Servicer shall repurchase/purchase or retransfer/transfer any Receivables, either individually or in a series of transactions, which is designed for the purpose of impacting the calculation of the “Annualized Default Ratio”, the “Annualized Net Loss Ratio”, the “Delinquency Ratio” or the “Extension Ratio” without the consent of the Administrative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SIX</w:t>
      </w:r>
    </w:p>
    <w:p>
      <w:pPr>
        <w:spacing w:after="0" w:line="2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COVENANTS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Affirmative Covenants of the Borrower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From the date hereof until the Facility Termination Date:</w:t>
      </w:r>
    </w:p>
    <w:p>
      <w:pPr>
        <w:spacing w:after="0" w:line="205" w:lineRule="exact"/>
        <w:rPr>
          <w:sz w:val="20"/>
          <w:szCs w:val="20"/>
          <w:color w:val="auto"/>
        </w:rPr>
      </w:pPr>
    </w:p>
    <w:p>
      <w:pPr>
        <w:ind w:left="760" w:right="20" w:firstLine="745"/>
        <w:spacing w:after="0" w:line="258" w:lineRule="auto"/>
        <w:tabs>
          <w:tab w:leader="none" w:pos="1967"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comply in all material respects with all Applicable Laws, including those with respect to the Receivables and related Financed Vehicles.</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54"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Existence</w:t>
      </w:r>
      <w:r>
        <w:rPr>
          <w:rFonts w:ascii="Times New Roman" w:cs="Times New Roman" w:eastAsia="Times New Roman" w:hAnsi="Times New Roman"/>
          <w:sz w:val="22"/>
          <w:szCs w:val="22"/>
          <w:color w:val="auto"/>
        </w:rPr>
        <w:t>. The Borrower will preserve and maintain its existence, rights, franchises and privileges as a statutory trust in the State of Delaware, and qualify and remain qualified in good standing as a foreign statutory trust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Contracts</w:t>
      </w:r>
      <w:r>
        <w:rPr>
          <w:rFonts w:ascii="Times New Roman" w:cs="Times New Roman" w:eastAsia="Times New Roman" w:hAnsi="Times New Roman"/>
          <w:sz w:val="22"/>
          <w:szCs w:val="22"/>
          <w:color w:val="auto"/>
        </w:rPr>
        <w:t>. The Borrower will, at its expense, timely and fully perform and comply in all material respects (or cause UACC to perform and comply pursuant to the Purchase Agreement) with all provisions, covenants and other promises required to be observed by it under the Contracts and all other agreements related to such Contracts.</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64" w:lineRule="auto"/>
        <w:tabs>
          <w:tab w:leader="none" w:pos="1940" w:val="left"/>
        </w:tabs>
        <w:numPr>
          <w:ilvl w:val="0"/>
          <w:numId w:val="6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Keeping of Records and Books of Account</w:t>
      </w:r>
      <w:r>
        <w:rPr>
          <w:rFonts w:ascii="Times New Roman" w:cs="Times New Roman" w:eastAsia="Times New Roman" w:hAnsi="Times New Roman"/>
          <w:sz w:val="20"/>
          <w:szCs w:val="20"/>
          <w:color w:val="auto"/>
        </w:rPr>
        <w:t>. To the extent not maintained and implemented by the Servicer, the Borrower will maintain and implement administrative and operating procedures (including an ability to recreate Records evidencing Receivables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w:t>
      </w:r>
    </w:p>
    <w:p>
      <w:pPr>
        <w:spacing w:after="0" w:line="154" w:lineRule="exact"/>
        <w:rPr>
          <w:rFonts w:ascii="Times New Roman" w:cs="Times New Roman" w:eastAsia="Times New Roman" w:hAnsi="Times New Roman"/>
          <w:sz w:val="20"/>
          <w:szCs w:val="20"/>
          <w:color w:val="auto"/>
        </w:rPr>
      </w:pPr>
    </w:p>
    <w:p>
      <w:pPr>
        <w:jc w:val="both"/>
        <w:ind w:left="760" w:right="20" w:firstLine="745"/>
        <w:spacing w:after="0" w:line="244" w:lineRule="auto"/>
        <w:tabs>
          <w:tab w:leader="none" w:pos="1940"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Borrower Assets</w:t>
      </w:r>
      <w:r>
        <w:rPr>
          <w:rFonts w:ascii="Times New Roman" w:cs="Times New Roman" w:eastAsia="Times New Roman" w:hAnsi="Times New Roman"/>
          <w:sz w:val="22"/>
          <w:szCs w:val="22"/>
          <w:color w:val="auto"/>
        </w:rPr>
        <w:t>.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82" w:name="page683"/>
    <w:bookmarkEnd w:id="682"/>
    <w:p>
      <w:pPr>
        <w:jc w:val="both"/>
        <w:ind w:left="3"/>
        <w:spacing w:after="0" w:line="236" w:lineRule="auto"/>
        <w:rPr>
          <w:sz w:val="20"/>
          <w:szCs w:val="20"/>
          <w:color w:val="auto"/>
        </w:rPr>
      </w:pPr>
      <w:r>
        <w:rPr>
          <w:rFonts w:ascii="Times New Roman" w:cs="Times New Roman" w:eastAsia="Times New Roman" w:hAnsi="Times New Roman"/>
          <w:sz w:val="22"/>
          <w:szCs w:val="22"/>
          <w:color w:val="auto"/>
        </w:rPr>
        <w:t>statements (Form UCC-1) listing UACC (as Seller),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w:t>
      </w:r>
    </w:p>
    <w:p>
      <w:pPr>
        <w:spacing w:after="0" w:line="179" w:lineRule="exact"/>
        <w:rPr>
          <w:sz w:val="20"/>
          <w:szCs w:val="20"/>
          <w:color w:val="auto"/>
        </w:rPr>
      </w:pPr>
    </w:p>
    <w:p>
      <w:pPr>
        <w:jc w:val="both"/>
        <w:ind w:left="3" w:firstLine="745"/>
        <w:spacing w:after="0" w:line="244" w:lineRule="auto"/>
        <w:tabs>
          <w:tab w:leader="none" w:pos="1184" w:val="left"/>
        </w:tabs>
        <w:numPr>
          <w:ilvl w:val="1"/>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Collections</w:t>
      </w:r>
      <w:r>
        <w:rPr>
          <w:rFonts w:ascii="Times New Roman" w:cs="Times New Roman" w:eastAsia="Times New Roman" w:hAnsi="Times New Roman"/>
          <w:sz w:val="22"/>
          <w:szCs w:val="22"/>
          <w:color w:val="auto"/>
        </w:rPr>
        <w:t>. The Borrower will deliver to the Servicer for further remittance to either Account promptly (but in no event later than one Business Day after receipt) all Collections received by Borrower in respect of the Receivables.</w:t>
      </w:r>
    </w:p>
    <w:p>
      <w:pPr>
        <w:spacing w:after="0" w:line="172" w:lineRule="exact"/>
        <w:rPr>
          <w:rFonts w:ascii="Times New Roman" w:cs="Times New Roman" w:eastAsia="Times New Roman" w:hAnsi="Times New Roman"/>
          <w:sz w:val="22"/>
          <w:szCs w:val="22"/>
          <w:color w:val="auto"/>
        </w:rPr>
      </w:pPr>
    </w:p>
    <w:p>
      <w:pPr>
        <w:ind w:left="3" w:firstLine="745"/>
        <w:spacing w:after="0" w:line="258" w:lineRule="auto"/>
        <w:tabs>
          <w:tab w:leader="none" w:pos="1224" w:val="left"/>
        </w:tabs>
        <w:numPr>
          <w:ilvl w:val="1"/>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Corporate Existence</w:t>
      </w:r>
      <w:r>
        <w:rPr>
          <w:rFonts w:ascii="Times New Roman" w:cs="Times New Roman" w:eastAsia="Times New Roman" w:hAnsi="Times New Roman"/>
          <w:sz w:val="22"/>
          <w:szCs w:val="22"/>
          <w:color w:val="auto"/>
        </w:rPr>
        <w:t xml:space="preserve">. The Borrower shall be in compliance with the special purpose entity requirements set forth in </w:t>
      </w:r>
      <w:r>
        <w:rPr>
          <w:rFonts w:ascii="Times New Roman" w:cs="Times New Roman" w:eastAsia="Times New Roman" w:hAnsi="Times New Roman"/>
          <w:sz w:val="22"/>
          <w:szCs w:val="22"/>
          <w:u w:val="single" w:color="auto"/>
          <w:color w:val="auto"/>
        </w:rPr>
        <w:t>Section 6.02(n)</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3" w:firstLine="745"/>
        <w:spacing w:after="0" w:line="256" w:lineRule="auto"/>
        <w:tabs>
          <w:tab w:leader="none" w:pos="1211" w:val="left"/>
        </w:tabs>
        <w:numPr>
          <w:ilvl w:val="1"/>
          <w:numId w:val="6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Early Amortization Events, Termination Events, and Servicer Termination Events.</w:t>
      </w:r>
      <w:r>
        <w:rPr>
          <w:rFonts w:ascii="Times New Roman" w:cs="Times New Roman" w:eastAsia="Times New Roman" w:hAnsi="Times New Roman"/>
          <w:sz w:val="20"/>
          <w:szCs w:val="20"/>
          <w:color w:val="auto"/>
        </w:rPr>
        <w:t xml:space="preserve"> The Borrower will provide the Secured Parties and the Paying Agent with written notice immediately following the earlier of (i) actual knowledge by the Borrower and (ii) receipt by the Borrower from the Servicer or any Secured Party of written notice (which notice the Servicer shall be required to give promptly upon knowledge) of the occurrence of each Early Amortization Event, Termination Event, and Servicer Termination Event and, no later than three Business Days following the actual knowledge thereof, the Borrower will provide to the Secured Parties an Officer’s Certificate setting forth the details of such event and the action that the Borrower proposes to take with respect thereto. Additionally, the Borrower will provide the Secured Parties and the Paying Agent with written notice immediately following the earlier of</w:t>
      </w:r>
    </w:p>
    <w:p>
      <w:pPr>
        <w:spacing w:after="0" w:line="3" w:lineRule="exact"/>
        <w:rPr>
          <w:rFonts w:ascii="Times New Roman" w:cs="Times New Roman" w:eastAsia="Times New Roman" w:hAnsi="Times New Roman"/>
          <w:sz w:val="20"/>
          <w:szCs w:val="20"/>
          <w:color w:val="auto"/>
        </w:rPr>
      </w:pPr>
    </w:p>
    <w:p>
      <w:pPr>
        <w:ind w:left="3" w:hanging="3"/>
        <w:spacing w:after="0" w:line="237" w:lineRule="auto"/>
        <w:tabs>
          <w:tab w:leader="none" w:pos="297"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knowledge by the Borrower and (ii) receipt by the Borrower of written notice of, the occurrence of each Unmatured Termination Event and Unmatured Servicer Termination Event.</w:t>
      </w:r>
    </w:p>
    <w:p>
      <w:pPr>
        <w:spacing w:after="0" w:line="177"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84" w:val="left"/>
        </w:tabs>
        <w:numPr>
          <w:ilvl w:val="1"/>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Borrower will file and pay any and all Taxes, including those required to meet the obligations of the Basic Documents that are due and payable, not being contested in good faith and fully reserved for in accordance with GAAP.</w:t>
      </w:r>
    </w:p>
    <w:p>
      <w:pPr>
        <w:spacing w:after="0" w:line="172" w:lineRule="exact"/>
        <w:rPr>
          <w:rFonts w:ascii="Times New Roman" w:cs="Times New Roman" w:eastAsia="Times New Roman" w:hAnsi="Times New Roman"/>
          <w:sz w:val="22"/>
          <w:szCs w:val="22"/>
          <w:color w:val="auto"/>
        </w:rPr>
      </w:pPr>
    </w:p>
    <w:p>
      <w:pPr>
        <w:ind w:left="3" w:firstLine="745"/>
        <w:spacing w:after="0" w:line="258" w:lineRule="auto"/>
        <w:tabs>
          <w:tab w:leader="none" w:pos="1184" w:val="left"/>
        </w:tabs>
        <w:numPr>
          <w:ilvl w:val="1"/>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Borrower will use the Principal Amounts only to acquire Receivables pursuant to the Purchase Agreement.</w:t>
      </w:r>
    </w:p>
    <w:p>
      <w:pPr>
        <w:spacing w:after="0" w:line="157"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211" w:val="left"/>
        </w:tabs>
        <w:numPr>
          <w:ilvl w:val="1"/>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ind w:left="1183" w:hanging="435"/>
        <w:spacing w:after="0"/>
        <w:tabs>
          <w:tab w:leader="none" w:pos="1183" w:val="left"/>
        </w:tabs>
        <w:numPr>
          <w:ilvl w:val="1"/>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The Borrower will furnish or cause to be furnished to the Secured Parties:</w:t>
      </w:r>
    </w:p>
    <w:p>
      <w:pPr>
        <w:spacing w:after="0" w:line="205" w:lineRule="exact"/>
        <w:rPr>
          <w:rFonts w:ascii="Times New Roman" w:cs="Times New Roman" w:eastAsia="Times New Roman" w:hAnsi="Times New Roman"/>
          <w:sz w:val="22"/>
          <w:szCs w:val="22"/>
          <w:color w:val="auto"/>
        </w:rPr>
      </w:pPr>
    </w:p>
    <w:p>
      <w:pPr>
        <w:ind w:left="1923" w:hanging="426"/>
        <w:spacing w:after="0"/>
        <w:tabs>
          <w:tab w:leader="none" w:pos="1923" w:val="left"/>
        </w:tabs>
        <w:numPr>
          <w:ilvl w:val="2"/>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683" w:name="page684"/>
    <w:bookmarkEnd w:id="683"/>
    <w:p>
      <w:pPr>
        <w:ind w:left="380" w:right="20" w:firstLine="754"/>
        <w:spacing w:after="0" w:line="258" w:lineRule="auto"/>
        <w:tabs>
          <w:tab w:leader="none" w:pos="1614"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Not later than each Reporting Date, a Monthly Report and such other information as reasonably requested by the Administrative Agent.</w:t>
      </w:r>
    </w:p>
    <w:p>
      <w:pPr>
        <w:spacing w:after="0" w:line="157" w:lineRule="exact"/>
        <w:rPr>
          <w:rFonts w:ascii="Times New Roman" w:cs="Times New Roman" w:eastAsia="Times New Roman" w:hAnsi="Times New Roman"/>
          <w:sz w:val="22"/>
          <w:szCs w:val="22"/>
          <w:color w:val="auto"/>
        </w:rPr>
      </w:pPr>
    </w:p>
    <w:p>
      <w:pPr>
        <w:jc w:val="both"/>
        <w:ind w:left="380" w:firstLine="754"/>
        <w:spacing w:after="0" w:line="266" w:lineRule="auto"/>
        <w:tabs>
          <w:tab w:leader="none" w:pos="1560" w:val="left"/>
        </w:tabs>
        <w:numPr>
          <w:ilvl w:val="0"/>
          <w:numId w:val="6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Income Tax Liability</w:t>
      </w:r>
      <w:r>
        <w:rPr>
          <w:rFonts w:ascii="Times New Roman" w:cs="Times New Roman" w:eastAsia="Times New Roman" w:hAnsi="Times New Roman"/>
          <w:sz w:val="20"/>
          <w:szCs w:val="20"/>
          <w:color w:val="auto"/>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 in the aggregate, in writing specifying the nature of the items giving rise to such adjustments and the amounts thereof.</w:t>
      </w:r>
    </w:p>
    <w:p>
      <w:pPr>
        <w:spacing w:after="0" w:line="154"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74"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 Upon demand by the Administrative Agent, copies of all Tax returns and reports filed by the Borrower, or in which the Borrower was included on a consolidated or combined basis (excluding sales, use and like Taxes).</w:t>
      </w:r>
    </w:p>
    <w:p>
      <w:pPr>
        <w:spacing w:after="0" w:line="172"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601"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xml:space="preserve">. Promptly upon receiving knowledge of same, the Borrower shall notify the Secured Parties if any representation or warranty set forth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in any material respect was incorrect at the time it was given or deemed to have been given and at the same time deliver to the Secured Parties a written notice setting forth in reasonable detail the nature of such facts and circumstances. In particular, but without limiting the foregoing, the Borrower shall notify the Secured Parties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spacing w:after="0" w:line="184" w:lineRule="exact"/>
        <w:rPr>
          <w:rFonts w:ascii="Times New Roman" w:cs="Times New Roman" w:eastAsia="Times New Roman" w:hAnsi="Times New Roman"/>
          <w:sz w:val="22"/>
          <w:szCs w:val="22"/>
          <w:color w:val="auto"/>
        </w:rPr>
      </w:pPr>
    </w:p>
    <w:p>
      <w:pPr>
        <w:jc w:val="both"/>
        <w:ind w:left="380" w:firstLine="754"/>
        <w:spacing w:after="0" w:line="237" w:lineRule="auto"/>
        <w:tabs>
          <w:tab w:leader="none" w:pos="1614"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Governmental Authority, affecting the Borrower.</w:t>
      </w:r>
    </w:p>
    <w:p>
      <w:pPr>
        <w:spacing w:after="0" w:line="180"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87"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Material Events</w:t>
      </w:r>
      <w:r>
        <w:rPr>
          <w:rFonts w:ascii="Times New Roman" w:cs="Times New Roman" w:eastAsia="Times New Roman" w:hAnsi="Times New Roman"/>
          <w:sz w:val="22"/>
          <w:szCs w:val="22"/>
          <w:color w:val="auto"/>
        </w:rPr>
        <w:t>. Promptly upon any Responsible Officer of the Borrower becoming aware thereof, notice of any other event or circumstances that, in the reasonable judgment of the Borrower, is likely to have a Material Adverse Effect.</w:t>
      </w:r>
    </w:p>
    <w:p>
      <w:pPr>
        <w:spacing w:after="0" w:line="172"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992"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Promptly after any auditors’ management letters are received by the Borrower or by its accountants, which refer in whole or in part to any inadequacy, defect, problem, qualification or other lack of fully satisfactory accounting controls utilized by the Borrower.</w:t>
      </w:r>
    </w:p>
    <w:p>
      <w:pPr>
        <w:spacing w:after="0" w:line="172" w:lineRule="exact"/>
        <w:rPr>
          <w:rFonts w:ascii="Times New Roman" w:cs="Times New Roman" w:eastAsia="Times New Roman" w:hAnsi="Times New Roman"/>
          <w:sz w:val="22"/>
          <w:szCs w:val="22"/>
          <w:color w:val="auto"/>
        </w:rPr>
      </w:pPr>
    </w:p>
    <w:p>
      <w:pPr>
        <w:ind w:left="380" w:firstLine="754"/>
        <w:spacing w:after="0" w:line="258" w:lineRule="auto"/>
        <w:tabs>
          <w:tab w:leader="none" w:pos="1587"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Borrower shall promptly notify the Administrative Agent and the Lenders in the event the Borrower becomes a Benefit Plan Investor.</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684" w:name="page685"/>
    <w:bookmarkEnd w:id="684"/>
    <w:p>
      <w:pPr>
        <w:ind w:firstLine="745"/>
        <w:spacing w:after="0" w:line="258" w:lineRule="auto"/>
        <w:tabs>
          <w:tab w:leader="none" w:pos="1234"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Borrower will promptly notify the Secured Parties of any change in the Borrower’s accounting policies that are not otherwise required by GAAP.</w:t>
      </w:r>
    </w:p>
    <w:p>
      <w:pPr>
        <w:spacing w:after="0" w:line="153"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r>
        <w:rPr>
          <w:rFonts w:ascii="Times New Roman" w:cs="Times New Roman" w:eastAsia="Times New Roman" w:hAnsi="Times New Roman"/>
          <w:sz w:val="22"/>
          <w:szCs w:val="22"/>
          <w:b w:val="1"/>
          <w:bCs w:val="1"/>
          <w:color w:val="auto"/>
        </w:rPr>
        <w:t>.</w:t>
      </w:r>
    </w:p>
    <w:p>
      <w:pPr>
        <w:spacing w:after="0" w:line="209" w:lineRule="exact"/>
        <w:rPr>
          <w:rFonts w:ascii="Times New Roman" w:cs="Times New Roman" w:eastAsia="Times New Roman" w:hAnsi="Times New Roman"/>
          <w:sz w:val="22"/>
          <w:szCs w:val="22"/>
          <w:color w:val="auto"/>
        </w:rPr>
      </w:pPr>
    </w:p>
    <w:p>
      <w:pPr>
        <w:jc w:val="both"/>
        <w:ind w:firstLine="745"/>
        <w:spacing w:after="0" w:line="239" w:lineRule="auto"/>
        <w:tabs>
          <w:tab w:leader="none" w:pos="1234"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Borrower will furnish to the Secured Parties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spacing w:after="0" w:line="178" w:lineRule="exact"/>
        <w:rPr>
          <w:rFonts w:ascii="Times New Roman" w:cs="Times New Roman" w:eastAsia="Times New Roman" w:hAnsi="Times New Roman"/>
          <w:sz w:val="22"/>
          <w:szCs w:val="22"/>
          <w:color w:val="auto"/>
        </w:rPr>
      </w:pPr>
    </w:p>
    <w:p>
      <w:pPr>
        <w:jc w:val="both"/>
        <w:ind w:firstLine="745"/>
        <w:spacing w:after="0" w:line="239" w:lineRule="auto"/>
        <w:tabs>
          <w:tab w:leader="none" w:pos="1221"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Regarding Collateral</w:t>
      </w:r>
      <w:r>
        <w:rPr>
          <w:rFonts w:ascii="Times New Roman" w:cs="Times New Roman" w:eastAsia="Times New Roman" w:hAnsi="Times New Roman"/>
          <w:sz w:val="22"/>
          <w:szCs w:val="22"/>
          <w:color w:val="auto"/>
        </w:rPr>
        <w:t>. The Borrower shall advise the Secured Parties in writing promptly, in reasonable detail of (i) any Lien (other than Permitted Liens) asserted or claim made against a material portion of the Collateral, (ii) the occurrence of a material breach by the Borrower of any of its representations and warranties or covenants contained herein and (iii) the occurrence of any other event which would have a Material Adverse Effect.</w:t>
      </w:r>
    </w:p>
    <w:p>
      <w:pPr>
        <w:spacing w:after="0" w:line="178" w:lineRule="exact"/>
        <w:rPr>
          <w:rFonts w:ascii="Times New Roman" w:cs="Times New Roman" w:eastAsia="Times New Roman" w:hAnsi="Times New Roman"/>
          <w:sz w:val="22"/>
          <w:szCs w:val="22"/>
          <w:color w:val="auto"/>
        </w:rPr>
      </w:pPr>
    </w:p>
    <w:p>
      <w:pPr>
        <w:jc w:val="both"/>
        <w:ind w:firstLine="745"/>
        <w:spacing w:after="0" w:line="244" w:lineRule="auto"/>
        <w:tabs>
          <w:tab w:leader="none" w:pos="1221"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Borrower will maintain in effect and enforce policies and procedures designed to ensure compliance by the Borrower and each of its Subsidiaries and Affiliates and their respective directors, officers, employees and agents with applicable Anti-Corruption Laws and Sanctions.</w:t>
      </w:r>
    </w:p>
    <w:p>
      <w:pPr>
        <w:spacing w:after="0" w:line="172" w:lineRule="exact"/>
        <w:rPr>
          <w:rFonts w:ascii="Times New Roman" w:cs="Times New Roman" w:eastAsia="Times New Roman" w:hAnsi="Times New Roman"/>
          <w:sz w:val="22"/>
          <w:szCs w:val="22"/>
          <w:color w:val="auto"/>
        </w:rPr>
      </w:pPr>
    </w:p>
    <w:p>
      <w:pPr>
        <w:jc w:val="both"/>
        <w:ind w:firstLine="745"/>
        <w:spacing w:after="0" w:line="239" w:lineRule="auto"/>
        <w:tabs>
          <w:tab w:leader="none" w:pos="1234"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Borrower will file or cause to be filed such financing and continuation statements (and amendments thereto) and any other documents that may be required by any law or regulation of any Governmental Authority to preserve and protect fully the security interest of the Administrative Agent in, to and under the Collateral.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6.02. Negative Covenants of the Borrower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the date hereof until the Facility Termination Date:</w:t>
      </w:r>
    </w:p>
    <w:p>
      <w:pPr>
        <w:spacing w:after="0" w:line="205" w:lineRule="exact"/>
        <w:rPr>
          <w:sz w:val="20"/>
          <w:szCs w:val="20"/>
          <w:color w:val="auto"/>
        </w:rPr>
      </w:pPr>
    </w:p>
    <w:p>
      <w:pPr>
        <w:jc w:val="both"/>
        <w:ind w:firstLine="745"/>
        <w:spacing w:after="0" w:line="244" w:lineRule="auto"/>
        <w:tabs>
          <w:tab w:leader="none" w:pos="1180" w:val="left"/>
        </w:tabs>
        <w:numPr>
          <w:ilvl w:val="0"/>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Business</w:t>
      </w:r>
      <w:r>
        <w:rPr>
          <w:rFonts w:ascii="Times New Roman" w:cs="Times New Roman" w:eastAsia="Times New Roman" w:hAnsi="Times New Roman"/>
          <w:sz w:val="22"/>
          <w:szCs w:val="22"/>
          <w:color w:val="auto"/>
        </w:rPr>
        <w:t>. The Borrower will not (i) engage in any business other than the transactions contemplated by the Basic Documents, (ii) incur any Indebtedness, obligation, liability or contingent obligation of any kind other than pursuant to this Agreement or (iii) form any Subsidiary or make any Investment in any other Person.</w:t>
      </w:r>
    </w:p>
    <w:p>
      <w:pPr>
        <w:spacing w:after="0" w:line="172" w:lineRule="exact"/>
        <w:rPr>
          <w:rFonts w:ascii="Times New Roman" w:cs="Times New Roman" w:eastAsia="Times New Roman" w:hAnsi="Times New Roman"/>
          <w:sz w:val="22"/>
          <w:szCs w:val="22"/>
          <w:color w:val="auto"/>
        </w:rPr>
      </w:pPr>
    </w:p>
    <w:p>
      <w:pPr>
        <w:jc w:val="both"/>
        <w:ind w:firstLine="745"/>
        <w:spacing w:after="0" w:line="244" w:lineRule="auto"/>
        <w:tabs>
          <w:tab w:leader="none" w:pos="1234" w:val="left"/>
        </w:tabs>
        <w:numPr>
          <w:ilvl w:val="0"/>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Receivables Not to be Evidenced by Instruments</w:t>
      </w:r>
      <w:r>
        <w:rPr>
          <w:rFonts w:ascii="Times New Roman" w:cs="Times New Roman" w:eastAsia="Times New Roman" w:hAnsi="Times New Roman"/>
          <w:sz w:val="22"/>
          <w:szCs w:val="22"/>
          <w:color w:val="auto"/>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spacing w:after="0" w:line="172" w:lineRule="exact"/>
        <w:rPr>
          <w:rFonts w:ascii="Times New Roman" w:cs="Times New Roman" w:eastAsia="Times New Roman" w:hAnsi="Times New Roman"/>
          <w:sz w:val="22"/>
          <w:szCs w:val="22"/>
          <w:color w:val="auto"/>
        </w:rPr>
      </w:pPr>
    </w:p>
    <w:p>
      <w:pPr>
        <w:jc w:val="both"/>
        <w:ind w:firstLine="745"/>
        <w:spacing w:after="0" w:line="244" w:lineRule="auto"/>
        <w:tabs>
          <w:tab w:leader="none" w:pos="1207" w:val="left"/>
        </w:tabs>
        <w:numPr>
          <w:ilvl w:val="0"/>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w:t>
      </w:r>
    </w:p>
    <w:p>
      <w:pPr>
        <w:spacing w:after="0" w:line="200" w:lineRule="exact"/>
        <w:rPr>
          <w:sz w:val="20"/>
          <w:szCs w:val="20"/>
          <w:color w:val="auto"/>
        </w:rPr>
      </w:pP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685" w:name="page686"/>
    <w:bookmarkEnd w:id="685"/>
    <w:p>
      <w:pPr>
        <w:jc w:val="both"/>
        <w:spacing w:after="0" w:line="237" w:lineRule="auto"/>
        <w:rPr>
          <w:sz w:val="20"/>
          <w:szCs w:val="20"/>
          <w:color w:val="auto"/>
        </w:rPr>
      </w:pPr>
      <w:r>
        <w:rPr>
          <w:rFonts w:ascii="Times New Roman" w:cs="Times New Roman" w:eastAsia="Times New Roman" w:hAnsi="Times New Roman"/>
          <w:sz w:val="22"/>
          <w:szCs w:val="22"/>
          <w:color w:val="auto"/>
        </w:rPr>
        <w:t>or suffer to exist any Lien (except Permitted Liens) on its interest, if any, hereunder. The Borrower will promptly notify the Secured Parties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spacing w:after="0" w:line="180" w:lineRule="exact"/>
        <w:rPr>
          <w:sz w:val="20"/>
          <w:szCs w:val="20"/>
          <w:color w:val="auto"/>
        </w:rPr>
      </w:pPr>
    </w:p>
    <w:p>
      <w:pPr>
        <w:jc w:val="both"/>
        <w:ind w:firstLine="745"/>
        <w:spacing w:after="0" w:line="237" w:lineRule="auto"/>
        <w:tabs>
          <w:tab w:leader="none" w:pos="1194"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Acquisitions, Sales, Etc</w:t>
      </w:r>
      <w:r>
        <w:rPr>
          <w:rFonts w:ascii="Times New Roman" w:cs="Times New Roman" w:eastAsia="Times New Roman" w:hAnsi="Times New Roman"/>
          <w:sz w:val="22"/>
          <w:szCs w:val="22"/>
          <w:color w:val="auto"/>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spacing w:after="0" w:line="180" w:lineRule="exact"/>
        <w:rPr>
          <w:rFonts w:ascii="Times New Roman" w:cs="Times New Roman" w:eastAsia="Times New Roman" w:hAnsi="Times New Roman"/>
          <w:sz w:val="22"/>
          <w:szCs w:val="22"/>
          <w:color w:val="auto"/>
        </w:rPr>
      </w:pPr>
    </w:p>
    <w:p>
      <w:pPr>
        <w:jc w:val="both"/>
        <w:ind w:firstLine="745"/>
        <w:spacing w:after="0" w:line="236" w:lineRule="auto"/>
        <w:tabs>
          <w:tab w:leader="none" w:pos="1180"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xml:space="preserve">.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pay cash distributions on the certificates issued pursuant to the Trust Agreement with funds distributed to the Borrower pursuant to </w:t>
      </w:r>
      <w:r>
        <w:rPr>
          <w:rFonts w:ascii="Times New Roman" w:cs="Times New Roman" w:eastAsia="Times New Roman" w:hAnsi="Times New Roman"/>
          <w:sz w:val="22"/>
          <w:szCs w:val="22"/>
          <w:u w:val="single" w:color="auto"/>
          <w:color w:val="auto"/>
        </w:rPr>
        <w:t>Section 2.08(a)(x)</w:t>
      </w:r>
      <w:r>
        <w:rPr>
          <w:rFonts w:ascii="Times New Roman" w:cs="Times New Roman" w:eastAsia="Times New Roman" w:hAnsi="Times New Roman"/>
          <w:sz w:val="22"/>
          <w:szCs w:val="22"/>
          <w:color w:val="auto"/>
        </w:rPr>
        <w:t>, subject to Applicable Law.</w:t>
      </w:r>
    </w:p>
    <w:p>
      <w:pPr>
        <w:spacing w:after="0" w:line="179" w:lineRule="exact"/>
        <w:rPr>
          <w:rFonts w:ascii="Times New Roman" w:cs="Times New Roman" w:eastAsia="Times New Roman" w:hAnsi="Times New Roman"/>
          <w:sz w:val="22"/>
          <w:szCs w:val="22"/>
          <w:color w:val="auto"/>
        </w:rPr>
      </w:pPr>
    </w:p>
    <w:p>
      <w:pPr>
        <w:jc w:val="both"/>
        <w:ind w:firstLine="745"/>
        <w:spacing w:after="0" w:line="234" w:lineRule="auto"/>
        <w:tabs>
          <w:tab w:leader="none" w:pos="1180"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Receivable Files</w:t>
      </w:r>
      <w:r>
        <w:rPr>
          <w:rFonts w:ascii="Times New Roman" w:cs="Times New Roman" w:eastAsia="Times New Roman" w:hAnsi="Times New Roman"/>
          <w:sz w:val="22"/>
          <w:szCs w:val="22"/>
          <w:color w:val="auto"/>
        </w:rPr>
        <w:t xml:space="preserve">. The Borrower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the majority of its books and Records are maintained as set forth in </w:t>
      </w:r>
      <w:r>
        <w:rPr>
          <w:rFonts w:ascii="Times New Roman" w:cs="Times New Roman" w:eastAsia="Times New Roman" w:hAnsi="Times New Roman"/>
          <w:sz w:val="22"/>
          <w:szCs w:val="22"/>
          <w:u w:val="single" w:color="auto"/>
          <w:color w:val="auto"/>
        </w:rPr>
        <w:t>Section 14.02</w:t>
      </w:r>
      <w:r>
        <w:rPr>
          <w:rFonts w:ascii="Times New Roman" w:cs="Times New Roman" w:eastAsia="Times New Roman" w:hAnsi="Times New Roman"/>
          <w:sz w:val="22"/>
          <w:szCs w:val="22"/>
          <w:color w:val="auto"/>
        </w:rPr>
        <w:t xml:space="preserve"> 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spacing w:after="0" w:line="180" w:lineRule="exact"/>
        <w:rPr>
          <w:rFonts w:ascii="Times New Roman" w:cs="Times New Roman" w:eastAsia="Times New Roman" w:hAnsi="Times New Roman"/>
          <w:sz w:val="22"/>
          <w:szCs w:val="22"/>
          <w:color w:val="auto"/>
        </w:rPr>
      </w:pPr>
    </w:p>
    <w:p>
      <w:pPr>
        <w:jc w:val="both"/>
        <w:ind w:firstLine="745"/>
        <w:spacing w:after="0" w:line="244" w:lineRule="auto"/>
        <w:tabs>
          <w:tab w:leader="none" w:pos="1207"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True Sale</w:t>
      </w:r>
      <w:r>
        <w:rPr>
          <w:rFonts w:ascii="Times New Roman" w:cs="Times New Roman" w:eastAsia="Times New Roman" w:hAnsi="Times New Roman"/>
          <w:sz w:val="22"/>
          <w:szCs w:val="22"/>
          <w:color w:val="auto"/>
        </w:rPr>
        <w:t>. Except for purposes of GAAP, the Borrower will not account for or treat the transactions contemplated by the Purchase Agreement in any manner other than as the sale, or absolute assignment, of the Receivables and other Collateral by the Seller to the Borrower.</w:t>
      </w:r>
    </w:p>
    <w:p>
      <w:pPr>
        <w:spacing w:after="0" w:line="172" w:lineRule="exact"/>
        <w:rPr>
          <w:rFonts w:ascii="Times New Roman" w:cs="Times New Roman" w:eastAsia="Times New Roman" w:hAnsi="Times New Roman"/>
          <w:sz w:val="22"/>
          <w:szCs w:val="22"/>
          <w:color w:val="auto"/>
        </w:rPr>
      </w:pPr>
    </w:p>
    <w:p>
      <w:pPr>
        <w:ind w:firstLine="745"/>
        <w:spacing w:after="0" w:line="258" w:lineRule="auto"/>
        <w:tabs>
          <w:tab w:leader="none" w:pos="1180"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None of the Borrower or its ERISA Affiliates shall sponsor, adopt, contribute to or have any obligation to contribute to or have any liability with respect to any Pension Plan or any Multiemployer Plan.</w:t>
      </w: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686" w:name="page687"/>
    <w:bookmarkEnd w:id="686"/>
    <w:p>
      <w:pPr>
        <w:jc w:val="both"/>
        <w:ind w:left="-360" w:firstLine="745"/>
        <w:spacing w:after="0" w:line="244" w:lineRule="auto"/>
        <w:tabs>
          <w:tab w:leader="none" w:pos="834"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Documents; Purchase Agreement</w:t>
      </w:r>
      <w:r>
        <w:rPr>
          <w:rFonts w:ascii="Times New Roman" w:cs="Times New Roman" w:eastAsia="Times New Roman" w:hAnsi="Times New Roman"/>
          <w:sz w:val="22"/>
          <w:szCs w:val="22"/>
          <w:color w:val="auto"/>
        </w:rPr>
        <w:t>. Without the prior consent of the Administrative Agent, the Borrower will not amend, modify, waive or terminate any provision of its Formation Documents or the Purchase Agreement (including any Transfer Agreement).</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66" w:lineRule="auto"/>
        <w:tabs>
          <w:tab w:leader="none" w:pos="820" w:val="left"/>
        </w:tabs>
        <w:numPr>
          <w:ilvl w:val="0"/>
          <w:numId w:val="6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Payment Instructions</w:t>
      </w:r>
      <w:r>
        <w:rPr>
          <w:rFonts w:ascii="Times New Roman" w:cs="Times New Roman" w:eastAsia="Times New Roman" w:hAnsi="Times New Roman"/>
          <w:sz w:val="20"/>
          <w:szCs w:val="20"/>
          <w:color w:val="auto"/>
        </w:rPr>
        <w:t>. The Borrower will not add or make any change, or permit the Servicer to make any change, in its instructions to Obligors regarding payments to be made to the Borrower or the Servicer, other than in accordance with the Credit and Collection Policy, or payments to be made to the Post Office Boxes or the Lockbox Account, other than in accordance with the terms of the Intercreditor Agreement and the Intercreditor Party Supplement and unless the Administrative Agent has received duly executed copies of all documentation related thereto.</w:t>
      </w:r>
    </w:p>
    <w:p>
      <w:pPr>
        <w:spacing w:after="0" w:line="154"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847"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w:t>
      </w:r>
      <w:r>
        <w:rPr>
          <w:rFonts w:ascii="Times New Roman" w:cs="Times New Roman" w:eastAsia="Times New Roman" w:hAnsi="Times New Roman"/>
          <w:sz w:val="22"/>
          <w:szCs w:val="22"/>
          <w:color w:val="auto"/>
        </w:rPr>
        <w:t xml:space="preserve">. The Borrower will not, except as otherwise permitted in </w:t>
      </w:r>
      <w:r>
        <w:rPr>
          <w:rFonts w:ascii="Times New Roman" w:cs="Times New Roman" w:eastAsia="Times New Roman" w:hAnsi="Times New Roman"/>
          <w:sz w:val="22"/>
          <w:szCs w:val="22"/>
          <w:u w:val="single" w:color="auto"/>
          <w:color w:val="auto"/>
        </w:rPr>
        <w:t>Section 7.03(c)(i)</w:t>
      </w:r>
      <w:r>
        <w:rPr>
          <w:rFonts w:ascii="Times New Roman" w:cs="Times New Roman" w:eastAsia="Times New Roman" w:hAnsi="Times New Roman"/>
          <w:sz w:val="22"/>
          <w:szCs w:val="22"/>
          <w:color w:val="auto"/>
        </w:rPr>
        <w:t>, extend, amend or otherwise modify, or permit the Servicer to extend, amend or otherwise modify, the terms of any Contract.</w:t>
      </w:r>
    </w:p>
    <w:p>
      <w:pPr>
        <w:spacing w:after="0" w:line="172"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47"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The Borrower will not assign or delegate, grant any interest in or permit any Lien (except Permitted Liens) to exist upon any of its rights, obligations or duties under this Agreement without the prior written consent of the Administrative Agent.</w:t>
      </w:r>
    </w:p>
    <w:p>
      <w:pPr>
        <w:spacing w:after="0" w:line="172" w:lineRule="exact"/>
        <w:rPr>
          <w:rFonts w:ascii="Times New Roman" w:cs="Times New Roman" w:eastAsia="Times New Roman" w:hAnsi="Times New Roman"/>
          <w:sz w:val="22"/>
          <w:szCs w:val="22"/>
          <w:color w:val="auto"/>
        </w:rPr>
      </w:pPr>
    </w:p>
    <w:p>
      <w:pPr>
        <w:ind w:left="820" w:hanging="435"/>
        <w:spacing w:after="0"/>
        <w:tabs>
          <w:tab w:leader="none" w:pos="820"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Purpose Entity</w:t>
      </w:r>
      <w:r>
        <w:rPr>
          <w:rFonts w:ascii="Times New Roman" w:cs="Times New Roman" w:eastAsia="Times New Roman" w:hAnsi="Times New Roman"/>
          <w:sz w:val="22"/>
          <w:szCs w:val="22"/>
          <w:color w:val="auto"/>
        </w:rPr>
        <w:t>. The Borrower shall not (nor has the Borrower taken any such action in the past):</w:t>
      </w:r>
    </w:p>
    <w:p>
      <w:pPr>
        <w:spacing w:after="0" w:line="205" w:lineRule="exact"/>
        <w:rPr>
          <w:rFonts w:ascii="Times New Roman" w:cs="Times New Roman" w:eastAsia="Times New Roman" w:hAnsi="Times New Roman"/>
          <w:sz w:val="22"/>
          <w:szCs w:val="22"/>
          <w:color w:val="auto"/>
        </w:rPr>
      </w:pPr>
    </w:p>
    <w:p>
      <w:pPr>
        <w:jc w:val="both"/>
        <w:ind w:left="380" w:right="20" w:firstLine="754"/>
        <w:spacing w:after="0" w:line="244" w:lineRule="auto"/>
        <w:tabs>
          <w:tab w:leader="none" w:pos="1560" w:val="left"/>
        </w:tabs>
        <w:numPr>
          <w:ilvl w:val="1"/>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business or activity other than the purchase and receipt of Receivables and related assets from the Seller under the Purchase Agreement, the pledge of Receivables and other Collateral under the Basic Documents and such other activities as are incidental thereto;</w:t>
      </w:r>
    </w:p>
    <w:p>
      <w:pPr>
        <w:spacing w:after="0" w:line="172"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0" w:val="left"/>
        </w:tabs>
        <w:numPr>
          <w:ilvl w:val="1"/>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own any material assets other than (A) the Receivables and related assets from the Seller under the Purchase Agreement and (B) incidental property as may be necessary for the operation of the Borrower;</w:t>
      </w:r>
    </w:p>
    <w:p>
      <w:pPr>
        <w:spacing w:after="0" w:line="172" w:lineRule="exact"/>
        <w:rPr>
          <w:rFonts w:ascii="Times New Roman" w:cs="Times New Roman" w:eastAsia="Times New Roman" w:hAnsi="Times New Roman"/>
          <w:sz w:val="22"/>
          <w:szCs w:val="22"/>
          <w:color w:val="auto"/>
        </w:rPr>
      </w:pPr>
    </w:p>
    <w:p>
      <w:pPr>
        <w:jc w:val="both"/>
        <w:ind w:left="380" w:right="20" w:firstLine="754"/>
        <w:spacing w:after="0" w:line="244" w:lineRule="auto"/>
        <w:tabs>
          <w:tab w:leader="none" w:pos="1560" w:val="left"/>
        </w:tabs>
        <w:numPr>
          <w:ilvl w:val="1"/>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spacing w:after="0" w:line="172"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0" w:val="left"/>
        </w:tabs>
        <w:numPr>
          <w:ilvl w:val="1"/>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spacing w:after="0" w:line="200" w:lineRule="exact"/>
        <w:rPr>
          <w:sz w:val="20"/>
          <w:szCs w:val="20"/>
          <w:color w:val="auto"/>
        </w:rPr>
      </w:pPr>
    </w:p>
    <w:p>
      <w:pPr>
        <w:spacing w:after="0" w:line="23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687" w:name="page688"/>
    <w:bookmarkEnd w:id="687"/>
    <w:p>
      <w:pPr>
        <w:ind w:left="380" w:right="80" w:firstLine="754"/>
        <w:spacing w:after="0" w:line="258" w:lineRule="auto"/>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 any Subsidiary or make any investment in any Person without the consent of the Administrative Agent;</w:t>
      </w:r>
    </w:p>
    <w:p>
      <w:pPr>
        <w:spacing w:after="0" w:line="157"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commingle its assets with the assets of any of its Affiliates, or of any other Person, except as contemplated hereunder or under the Intercreditor Agreement;</w:t>
      </w:r>
    </w:p>
    <w:p>
      <w:pPr>
        <w:spacing w:after="0" w:line="157"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spacing w:after="0" w:line="178"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not Solvent;</w:t>
      </w:r>
    </w:p>
    <w:p>
      <w:pPr>
        <w:spacing w:after="0" w:line="205"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its records, books of account and bank accounts separate and apart from those of any other Person, except as contemplated hereunder or under the Intercreditor Agreement;</w:t>
      </w:r>
    </w:p>
    <w:p>
      <w:pPr>
        <w:spacing w:after="0" w:line="157"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not including its Affiliates;</w:t>
      </w:r>
    </w:p>
    <w:p>
      <w:pPr>
        <w:spacing w:after="0" w:line="172"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its dissolution or winding up in whole or in part;</w:t>
      </w:r>
    </w:p>
    <w:p>
      <w:pPr>
        <w:spacing w:after="0" w:line="205" w:lineRule="exact"/>
        <w:rPr>
          <w:rFonts w:ascii="Times New Roman" w:cs="Times New Roman" w:eastAsia="Times New Roman" w:hAnsi="Times New Roman"/>
          <w:sz w:val="22"/>
          <w:szCs w:val="22"/>
          <w:color w:val="auto"/>
        </w:rPr>
      </w:pPr>
    </w:p>
    <w:p>
      <w:pPr>
        <w:ind w:left="380" w:right="60" w:firstLine="754"/>
        <w:spacing w:after="0" w:line="258" w:lineRule="auto"/>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correct any known misunderstandings regarding the separate identity of Borrower or UACC, as applicable, or any Principal or Affiliate thereof or any other Person;</w:t>
      </w:r>
    </w:p>
    <w:p>
      <w:pPr>
        <w:spacing w:after="0" w:line="157"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992"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 become obligated for, or hold itself out to be responsible for the Indebtedness of another Person, except as expressly provided in the Basic Documents;</w:t>
      </w:r>
    </w:p>
    <w:p>
      <w:pPr>
        <w:spacing w:after="0" w:line="157"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992"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 or advances to any third party, including any principal or Affiliate, or hold evidence of Indebtedness issued by any other Person (other than Permitted Investments);</w:t>
      </w:r>
    </w:p>
    <w:p>
      <w:pPr>
        <w:spacing w:after="0" w:line="157"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560"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either to hold itself out to the public as a legal entity separate and distinct from any other Person or to conduct its business solely in its own name in order not (A) to mislead others as to the identity with which such other Person is transacting business, or (B) to suggest that it is responsible for the Indebtedness of any other Person (including any of its Principals or Affiliates);</w:t>
      </w:r>
    </w:p>
    <w:p>
      <w:pPr>
        <w:spacing w:after="0" w:line="178" w:lineRule="exact"/>
        <w:rPr>
          <w:rFonts w:ascii="Times New Roman" w:cs="Times New Roman" w:eastAsia="Times New Roman" w:hAnsi="Times New Roman"/>
          <w:sz w:val="22"/>
          <w:szCs w:val="22"/>
          <w:color w:val="auto"/>
        </w:rPr>
      </w:pPr>
    </w:p>
    <w:p>
      <w:pPr>
        <w:ind w:left="380" w:right="60" w:firstLine="754"/>
        <w:spacing w:after="0" w:line="258" w:lineRule="auto"/>
        <w:tabs>
          <w:tab w:leader="none" w:pos="1992" w:val="left"/>
        </w:tabs>
        <w:numPr>
          <w:ilvl w:val="0"/>
          <w:numId w:val="6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adequate capital for the normal obligations reasonably foreseeable in a business of its size and character and in light of its contemplated business operations;</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688" w:name="page689"/>
    <w:bookmarkEnd w:id="688"/>
    <w:p>
      <w:pPr>
        <w:ind w:left="380" w:right="20" w:firstLine="754"/>
        <w:spacing w:after="0" w:line="258"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or consent to the filing of any petition, either voluntary or involuntary, to take advantage of any applicable Insolvency Laws, or make an assignment for the benefit of creditors;</w:t>
      </w:r>
    </w:p>
    <w:p>
      <w:pPr>
        <w:spacing w:after="0" w:line="157" w:lineRule="exact"/>
        <w:rPr>
          <w:rFonts w:ascii="Times New Roman" w:cs="Times New Roman" w:eastAsia="Times New Roman" w:hAnsi="Times New Roman"/>
          <w:sz w:val="22"/>
          <w:szCs w:val="22"/>
          <w:color w:val="auto"/>
        </w:rPr>
      </w:pPr>
    </w:p>
    <w:p>
      <w:pPr>
        <w:ind w:left="380" w:firstLine="754"/>
        <w:spacing w:after="0" w:line="258"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any common logo with or hold itself out as or be considered as a department or division of (A) any of its Principals or Affiliates, (B) any Affiliate of a Principal or (C) any other Person;</w:t>
      </w:r>
    </w:p>
    <w:p>
      <w:pPr>
        <w:spacing w:after="0" w:line="157"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transfer (whether in any one or more transactions) of a direct or indirect ownership interest in the Borrower, unless the Borrower delivers to the Secured Parties an acceptable non-consolidation opinion;</w:t>
      </w:r>
    </w:p>
    <w:p>
      <w:pPr>
        <w:spacing w:after="0" w:line="172"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pay its own liabilities and expenses only out of its own funds;</w:t>
      </w:r>
    </w:p>
    <w:p>
      <w:pPr>
        <w:spacing w:after="0" w:line="205"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the obligations or securities of its Affiliates or stockholders;</w:t>
      </w:r>
    </w:p>
    <w:p>
      <w:pPr>
        <w:spacing w:after="0" w:line="205"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allocate fairly and reasonably any overhead expenses that are shared with an Affiliate, including paying for office space and services performed by any employee of an Affiliate;</w:t>
      </w:r>
    </w:p>
    <w:p>
      <w:pPr>
        <w:spacing w:after="0" w:line="157" w:lineRule="exact"/>
        <w:rPr>
          <w:rFonts w:ascii="Times New Roman" w:cs="Times New Roman" w:eastAsia="Times New Roman" w:hAnsi="Times New Roman"/>
          <w:sz w:val="22"/>
          <w:szCs w:val="22"/>
          <w:color w:val="auto"/>
        </w:rPr>
      </w:pPr>
    </w:p>
    <w:p>
      <w:pPr>
        <w:ind w:left="2000" w:hanging="866"/>
        <w:spacing w:after="0"/>
        <w:tabs>
          <w:tab w:leader="none" w:pos="2000"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use separate invoices and checks bearing its own name;</w:t>
      </w:r>
    </w:p>
    <w:p>
      <w:pPr>
        <w:spacing w:after="0" w:line="205"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its assets for the benefit of any other Person, other than with respect to payment of Obligations hereunder;</w:t>
      </w:r>
    </w:p>
    <w:p>
      <w:pPr>
        <w:spacing w:after="0" w:line="157" w:lineRule="exact"/>
        <w:rPr>
          <w:rFonts w:ascii="Times New Roman" w:cs="Times New Roman" w:eastAsia="Times New Roman" w:hAnsi="Times New Roman"/>
          <w:sz w:val="22"/>
          <w:szCs w:val="22"/>
          <w:color w:val="auto"/>
        </w:rPr>
      </w:pPr>
    </w:p>
    <w:p>
      <w:pPr>
        <w:jc w:val="both"/>
        <w:ind w:left="380" w:firstLine="754"/>
        <w:spacing w:after="0" w:line="234"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include provisions in the Trust Agreement that require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spacing w:after="0" w:line="184" w:lineRule="exact"/>
        <w:rPr>
          <w:rFonts w:ascii="Times New Roman" w:cs="Times New Roman" w:eastAsia="Times New Roman" w:hAnsi="Times New Roman"/>
          <w:sz w:val="22"/>
          <w:szCs w:val="22"/>
          <w:color w:val="auto"/>
        </w:rPr>
      </w:pPr>
    </w:p>
    <w:p>
      <w:pPr>
        <w:ind w:left="380" w:firstLine="754"/>
        <w:spacing w:after="0" w:line="258"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its Formation Documents in any respect that would impair its ability to comply with the Basic Documents;</w:t>
      </w:r>
    </w:p>
    <w:p>
      <w:pPr>
        <w:spacing w:after="0" w:line="157"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take or refrain from taking, as applicable, each of the activities specified in the non-consolidation opinion of [***], dated the Closing Date;</w:t>
      </w:r>
    </w:p>
    <w:p>
      <w:pPr>
        <w:spacing w:after="0" w:line="157"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992"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 or otherwise permit the Borrower to be treated as an entity taxable as a corporation for U.S. federal income Tax purposes; and</w:t>
      </w: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689" w:name="page690"/>
    <w:bookmarkEnd w:id="689"/>
    <w:p>
      <w:pPr>
        <w:jc w:val="both"/>
        <w:ind w:left="740" w:firstLine="754"/>
        <w:spacing w:after="0" w:line="235" w:lineRule="auto"/>
        <w:tabs>
          <w:tab w:leader="none" w:pos="2352" w:val="left"/>
        </w:tabs>
        <w:numPr>
          <w:ilvl w:val="1"/>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maintain separate financial statements, showing its assets and liabilities separate and apart from those of any other Person, or have its assets listed on the financial statement of any other Person; provided, however, that the Borrower’s assets may be included in a consolidated financial statement of its Affiliates in accordance with GAAP, if (a) appropriate notation shall be made on such consolidated financial statements to indicate the separateness of the Borrower from such Affiliates and to indicate that the Borrower’s assets and credit are not available to satisfy the Indebtedness and obligations of such Affiliates or any other Person and (b) such assets shall also be listed on the Borrower’s own separate balance sheet.</w:t>
      </w:r>
    </w:p>
    <w:p>
      <w:pPr>
        <w:spacing w:after="0" w:line="180"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Lenders</w:t>
      </w:r>
      <w:r>
        <w:rPr>
          <w:rFonts w:ascii="Times New Roman" w:cs="Times New Roman" w:eastAsia="Times New Roman" w:hAnsi="Times New Roman"/>
          <w:sz w:val="22"/>
          <w:szCs w:val="22"/>
          <w:color w:val="auto"/>
        </w:rPr>
        <w:t>. The Borrower will not add any Lender to this Agreement without the prior written consent of the Administrative Agent.</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194"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create, or participate in the creation of, or permit to exist, any Liens (other than Permitted Liens) and will not enter into any control agreement with respect to the Post Office Boxes or the Lockbox Account other than pursuant to the Intercreditor Agreement.</w:t>
      </w:r>
    </w:p>
    <w:p>
      <w:pPr>
        <w:spacing w:after="0" w:line="172" w:lineRule="exact"/>
        <w:rPr>
          <w:rFonts w:ascii="Times New Roman" w:cs="Times New Roman" w:eastAsia="Times New Roman" w:hAnsi="Times New Roman"/>
          <w:sz w:val="22"/>
          <w:szCs w:val="22"/>
          <w:color w:val="auto"/>
        </w:rPr>
      </w:pPr>
    </w:p>
    <w:p>
      <w:pPr>
        <w:jc w:val="both"/>
        <w:ind w:firstLine="745"/>
        <w:spacing w:after="0" w:line="234" w:lineRule="auto"/>
        <w:tabs>
          <w:tab w:leader="none" w:pos="1194"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Borrower shall not, nor shall the Borrower’s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spacing w:after="0" w:line="180"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The Borrower will not consent to any amendment, consent or waiver to the Purchase Agreement that could reasonably be expected to be adverse to the interests of the Administrative Agent without the prior written consent of the Administrative Agent; provided that no consent shall be required in connection with any change mandated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6.04. Affirmative Covenants of the Servicer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otherwise provided herein, from the date hereof until the Facility Termination Date:</w:t>
      </w:r>
    </w:p>
    <w:p>
      <w:pPr>
        <w:spacing w:after="0" w:line="205" w:lineRule="exact"/>
        <w:rPr>
          <w:sz w:val="20"/>
          <w:szCs w:val="20"/>
          <w:color w:val="auto"/>
        </w:rPr>
      </w:pPr>
    </w:p>
    <w:p>
      <w:pPr>
        <w:jc w:val="both"/>
        <w:ind w:firstLine="745"/>
        <w:spacing w:after="0" w:line="244" w:lineRule="auto"/>
        <w:tabs>
          <w:tab w:leader="none" w:pos="1221"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The Servicer will comply in all material respects with all Applicable Laws, including those with respect to the Receivables, the related Contracts, Financed Vehicles and Receivable Files or any part thereof.</w:t>
      </w:r>
    </w:p>
    <w:p>
      <w:pPr>
        <w:spacing w:after="0" w:line="200" w:lineRule="exact"/>
        <w:rPr>
          <w:sz w:val="20"/>
          <w:szCs w:val="20"/>
          <w:color w:val="auto"/>
        </w:rPr>
      </w:pP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690" w:name="page691"/>
    <w:bookmarkEnd w:id="690"/>
    <w:p>
      <w:pPr>
        <w:jc w:val="both"/>
        <w:ind w:left="-360" w:firstLine="745"/>
        <w:spacing w:after="0" w:line="239" w:lineRule="auto"/>
        <w:tabs>
          <w:tab w:leader="none" w:pos="847"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w:t>
      </w:r>
      <w:r>
        <w:rPr>
          <w:rFonts w:ascii="Times New Roman" w:cs="Times New Roman" w:eastAsia="Times New Roman" w:hAnsi="Times New Roman"/>
          <w:sz w:val="22"/>
          <w:szCs w:val="22"/>
          <w:color w:val="auto"/>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0"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and Compliance with Receivables</w:t>
      </w:r>
      <w:r>
        <w:rPr>
          <w:rFonts w:ascii="Times New Roman" w:cs="Times New Roman" w:eastAsia="Times New Roman" w:hAnsi="Times New Roman"/>
          <w:sz w:val="22"/>
          <w:szCs w:val="22"/>
          <w:color w:val="auto"/>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0"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Servicer Basic Documents</w:t>
      </w:r>
      <w:r>
        <w:rPr>
          <w:rFonts w:ascii="Times New Roman" w:cs="Times New Roman" w:eastAsia="Times New Roman" w:hAnsi="Times New Roman"/>
          <w:sz w:val="22"/>
          <w:szCs w:val="22"/>
          <w:color w:val="auto"/>
        </w:rPr>
        <w:t>. The Servicer will timely and fully perform and comply in all material respects with all provisions, covenants and other promises required to be observed by it under the Servicer Basic Documents.</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6" w:lineRule="auto"/>
        <w:tabs>
          <w:tab w:leader="none" w:pos="820"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The Servicer will maintain and implement administrative and operating procedures (including an ability to recreate Records evidencing Receivables, including the Servicer Files,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 including the Servicer Files.</w:t>
      </w:r>
    </w:p>
    <w:p>
      <w:pPr>
        <w:spacing w:after="0" w:line="179" w:lineRule="exact"/>
        <w:rPr>
          <w:rFonts w:ascii="Times New Roman" w:cs="Times New Roman" w:eastAsia="Times New Roman" w:hAnsi="Times New Roman"/>
          <w:sz w:val="22"/>
          <w:szCs w:val="22"/>
          <w:color w:val="auto"/>
        </w:rPr>
      </w:pPr>
    </w:p>
    <w:p>
      <w:pPr>
        <w:ind w:left="-360" w:firstLine="745"/>
        <w:spacing w:after="0" w:line="258" w:lineRule="auto"/>
        <w:tabs>
          <w:tab w:leader="none" w:pos="820"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Servicer will file all material Tax returns required to be filed by it and pay any and all material Taxes, including those required to meet the obligations of the Basic Documents.</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861"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Security Interest</w:t>
      </w:r>
      <w:r>
        <w:rPr>
          <w:rFonts w:ascii="Times New Roman" w:cs="Times New Roman" w:eastAsia="Times New Roman" w:hAnsi="Times New Roman"/>
          <w:sz w:val="22"/>
          <w:szCs w:val="22"/>
          <w:color w:val="auto"/>
        </w:rPr>
        <w:t>. The Servicer will execute and file such financing and continuation statements (and amendments thereto) and any other documents that may be required by any Applicable Law of any Governmental Authority to preserve and protect fully the security interest of the Administrative Agent in, to and under the Collateral.</w:t>
      </w:r>
    </w:p>
    <w:p>
      <w:pPr>
        <w:spacing w:after="0" w:line="178" w:lineRule="exact"/>
        <w:rPr>
          <w:rFonts w:ascii="Times New Roman" w:cs="Times New Roman" w:eastAsia="Times New Roman" w:hAnsi="Times New Roman"/>
          <w:sz w:val="22"/>
          <w:szCs w:val="22"/>
          <w:color w:val="auto"/>
        </w:rPr>
      </w:pPr>
    </w:p>
    <w:p>
      <w:pPr>
        <w:ind w:left="-360" w:firstLine="745"/>
        <w:spacing w:after="0" w:line="258" w:lineRule="auto"/>
        <w:tabs>
          <w:tab w:leader="none" w:pos="834" w:val="left"/>
        </w:tabs>
        <w:numPr>
          <w:ilvl w:val="0"/>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The initial Servicer will (i) comply in all material respects with the Credit and Collection Policy in regard to each Receivable, [***].</w:t>
      </w:r>
    </w:p>
    <w:p>
      <w:pPr>
        <w:spacing w:after="0" w:line="157" w:lineRule="exact"/>
        <w:rPr>
          <w:rFonts w:ascii="Times New Roman" w:cs="Times New Roman" w:eastAsia="Times New Roman" w:hAnsi="Times New Roman"/>
          <w:sz w:val="22"/>
          <w:szCs w:val="22"/>
          <w:color w:val="auto"/>
        </w:rPr>
      </w:pPr>
    </w:p>
    <w:p>
      <w:pPr>
        <w:jc w:val="both"/>
        <w:ind w:left="-360" w:firstLine="745"/>
        <w:spacing w:after="0" w:line="264" w:lineRule="auto"/>
        <w:tabs>
          <w:tab w:leader="none" w:pos="861" w:val="left"/>
        </w:tabs>
        <w:numPr>
          <w:ilvl w:val="0"/>
          <w:numId w:val="6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Early Amortization Events, Termination Events, and Servicer Termination Events</w:t>
      </w:r>
      <w:r>
        <w:rPr>
          <w:rFonts w:ascii="Times New Roman" w:cs="Times New Roman" w:eastAsia="Times New Roman" w:hAnsi="Times New Roman"/>
          <w:sz w:val="20"/>
          <w:szCs w:val="20"/>
          <w:color w:val="auto"/>
        </w:rPr>
        <w:t>. The Servicer will furnish to the Secured Parties and the Paying Agent, as soon as possible and in any event within three Business Days after the earlier of (i) actual knowledge by the Servicer or (ii) receipt by the Servicer from the Borrower or any Secured Party of written notice thereof (which notice the Borrower shall be required to give promptly upon knowledge thereof) of the knowledge of each of an Early Amortization Event, Termination Event and Servicer Termination Event, a written statement of its chief financial officer or chief accounting officer setting forth the details of such event and the</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691" w:name="page692"/>
    <w:bookmarkEnd w:id="691"/>
    <w:p>
      <w:pPr>
        <w:jc w:val="both"/>
        <w:spacing w:after="0" w:line="239" w:lineRule="auto"/>
        <w:rPr>
          <w:sz w:val="20"/>
          <w:szCs w:val="20"/>
          <w:color w:val="auto"/>
        </w:rPr>
      </w:pPr>
      <w:r>
        <w:rPr>
          <w:rFonts w:ascii="Times New Roman" w:cs="Times New Roman" w:eastAsia="Times New Roman" w:hAnsi="Times New Roman"/>
          <w:sz w:val="22"/>
          <w:szCs w:val="22"/>
          <w:color w:val="auto"/>
        </w:rPr>
        <w:t>action that the Servicer purposes to take with respect thereto. Additionally, the Servicer will furnish to the Secured Parties and the Paying Agent, as soon as possible and in any event within three Business Days after the earlier of (i) actual knowledge by the Servicer or (ii) receipt by the Servicer of written notice of, each of an Unmatured Termination Event and Unmatured Servicer Termination Event.</w:t>
      </w:r>
    </w:p>
    <w:p>
      <w:pPr>
        <w:spacing w:after="0" w:line="179" w:lineRule="exact"/>
        <w:rPr>
          <w:sz w:val="20"/>
          <w:szCs w:val="20"/>
          <w:color w:val="auto"/>
        </w:rPr>
      </w:pPr>
    </w:p>
    <w:p>
      <w:pPr>
        <w:jc w:val="both"/>
        <w:ind w:firstLine="745"/>
        <w:spacing w:after="0" w:line="239" w:lineRule="auto"/>
        <w:tabs>
          <w:tab w:leader="none" w:pos="1234"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The Servicer will furnish to the Secured Parties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any Secured Party under or as contemplated by this Agreement.</w:t>
      </w:r>
    </w:p>
    <w:p>
      <w:pPr>
        <w:spacing w:after="0" w:line="178" w:lineRule="exact"/>
        <w:rPr>
          <w:rFonts w:ascii="Times New Roman" w:cs="Times New Roman" w:eastAsia="Times New Roman" w:hAnsi="Times New Roman"/>
          <w:sz w:val="22"/>
          <w:szCs w:val="22"/>
          <w:color w:val="auto"/>
        </w:rPr>
      </w:pPr>
    </w:p>
    <w:p>
      <w:pPr>
        <w:jc w:val="both"/>
        <w:ind w:firstLine="745"/>
        <w:spacing w:after="0" w:line="235" w:lineRule="auto"/>
        <w:tabs>
          <w:tab w:leader="none" w:pos="1207"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Losses, Etc</w:t>
      </w:r>
      <w:r>
        <w:rPr>
          <w:rFonts w:ascii="Times New Roman" w:cs="Times New Roman" w:eastAsia="Times New Roman" w:hAnsi="Times New Roman"/>
          <w:sz w:val="22"/>
          <w:szCs w:val="22"/>
          <w:color w:val="auto"/>
        </w:rPr>
        <w:t>. In any suit, proceeding or action brought by the Custodian, Paying Agent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debt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spacing w:after="0" w:line="180" w:lineRule="exact"/>
        <w:rPr>
          <w:rFonts w:ascii="Times New Roman" w:cs="Times New Roman" w:eastAsia="Times New Roman" w:hAnsi="Times New Roman"/>
          <w:sz w:val="22"/>
          <w:szCs w:val="22"/>
          <w:color w:val="auto"/>
        </w:rPr>
      </w:pPr>
    </w:p>
    <w:p>
      <w:pPr>
        <w:jc w:val="both"/>
        <w:ind w:firstLine="745"/>
        <w:spacing w:after="0" w:line="232" w:lineRule="auto"/>
        <w:tabs>
          <w:tab w:leader="none" w:pos="1221"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Regarding Collateral</w:t>
      </w:r>
      <w:r>
        <w:rPr>
          <w:rFonts w:ascii="Times New Roman" w:cs="Times New Roman" w:eastAsia="Times New Roman" w:hAnsi="Times New Roman"/>
          <w:sz w:val="22"/>
          <w:szCs w:val="22"/>
          <w:color w:val="auto"/>
        </w:rPr>
        <w:t>. The Servicer shall advise the Custodian, the Secured Parties in writing promptly following the earlier of (i) knowledge by the Servicer and (ii) receipt by the Servicer from the Borrower of written notice thereof (which notice the Borrower shall be required to give promptly upon knowledge thereof), in reasonable detail of (A) any Lien (other than Permitted Liens) asserted or claim made against any portion of the Collateral, (B) the occurrence of any material breach by the Servicer of any of its representations and warranties or covenants contained herein, (C) the occurrence of any event of default or material breach by any party of its obligations under, or the termination of, the E-Vault Access Agreement, the Electronic Collateral Control Agreement or the Title Administrator Agreement, (D) any changes to the E-Vault System, the Originator Vault Partition or the Warehouse Vault Partition made by the E-Vault Provider or the Custodian and (E)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 Promptly following the occurrence of a Custodian Termination Event, the Servicer shall use commercially reasonable efforts to enter into the Title Administration Agreement, in form and substance reasonable acceptable to the Administrative Agent. Promptly upon receipt thereof, the Servicer shall forward to the Administrative Agent and the Borrower copies of all notices (other than routine administrative notices) received under the E-Vault Access Agreement, the Electronic Collateral Control Agreement or the Title Administrator Agreement.</w:t>
      </w:r>
    </w:p>
    <w:p>
      <w:pPr>
        <w:spacing w:after="0" w:line="184" w:lineRule="exact"/>
        <w:rPr>
          <w:rFonts w:ascii="Times New Roman" w:cs="Times New Roman" w:eastAsia="Times New Roman" w:hAnsi="Times New Roman"/>
          <w:sz w:val="22"/>
          <w:szCs w:val="22"/>
          <w:color w:val="auto"/>
        </w:rPr>
      </w:pPr>
    </w:p>
    <w:p>
      <w:pPr>
        <w:ind w:firstLine="745"/>
        <w:spacing w:after="0" w:line="258" w:lineRule="auto"/>
        <w:tabs>
          <w:tab w:leader="none" w:pos="1207"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Receivables</w:t>
      </w:r>
      <w:r>
        <w:rPr>
          <w:rFonts w:ascii="Times New Roman" w:cs="Times New Roman" w:eastAsia="Times New Roman" w:hAnsi="Times New Roman"/>
          <w:sz w:val="22"/>
          <w:szCs w:val="22"/>
          <w:color w:val="auto"/>
        </w:rPr>
        <w:t>. In the event that the Servicer realizes upon any Receivable, the methods utilized by the Servicer to realize upon such Receivable or</w:t>
      </w: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692" w:name="page693"/>
    <w:bookmarkEnd w:id="692"/>
    <w:p>
      <w:pPr>
        <w:jc w:val="both"/>
        <w:spacing w:after="0" w:line="239" w:lineRule="auto"/>
        <w:rPr>
          <w:sz w:val="20"/>
          <w:szCs w:val="20"/>
          <w:color w:val="auto"/>
        </w:rPr>
      </w:pPr>
      <w:r>
        <w:rPr>
          <w:rFonts w:ascii="Times New Roman" w:cs="Times New Roman" w:eastAsia="Times New Roman" w:hAnsi="Times New Roman"/>
          <w:sz w:val="22"/>
          <w:szCs w:val="22"/>
          <w:color w:val="auto"/>
        </w:rPr>
        <w:t>otherwise enforce any provisions of such Receivable will not subject the Servicer, the Borrower, any Secured Party or the Custodian to liability under any federal, State or local law, and any such realization or enforcement by the Servicer will be conducted in accordance with the provisions of this Agreement, the Credit and Collection Policy and Applicable Law.</w:t>
      </w:r>
    </w:p>
    <w:p>
      <w:pPr>
        <w:spacing w:after="0" w:line="179" w:lineRule="exact"/>
        <w:rPr>
          <w:sz w:val="20"/>
          <w:szCs w:val="20"/>
          <w:color w:val="auto"/>
        </w:rPr>
      </w:pPr>
    </w:p>
    <w:p>
      <w:pPr>
        <w:jc w:val="both"/>
        <w:ind w:firstLine="745"/>
        <w:spacing w:after="0" w:line="244" w:lineRule="auto"/>
        <w:tabs>
          <w:tab w:leader="none" w:pos="1180"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of Title</w:t>
      </w:r>
      <w:r>
        <w:rPr>
          <w:rFonts w:ascii="Times New Roman" w:cs="Times New Roman" w:eastAsia="Times New Roman" w:hAnsi="Times New Roman"/>
          <w:sz w:val="22"/>
          <w:szCs w:val="22"/>
          <w:color w:val="auto"/>
        </w:rPr>
        <w:t>. Within 15 days following the end of each calendar quarter, the Custodian shall deliver to the Servicer (if not UACC) and the Administrative Agent a list of all Receivables for which it does not have in its possession or control the related Certificate of Title.</w:t>
      </w:r>
    </w:p>
    <w:p>
      <w:pPr>
        <w:spacing w:after="0" w:line="172"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0"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Interpayments.</w:t>
      </w:r>
      <w:r>
        <w:rPr>
          <w:rFonts w:ascii="Times New Roman" w:cs="Times New Roman" w:eastAsia="Times New Roman" w:hAnsi="Times New Roman"/>
          <w:sz w:val="22"/>
          <w:szCs w:val="22"/>
          <w:color w:val="auto"/>
        </w:rPr>
        <w:t xml:space="preserve"> To the extent that the Borrower makes an Interpayment pursuant to Section 2.06(e), on the related Payment Date, UACC shall deposit an amount equal to the Monthly Accrued Interest Payment Amount into the Collection Account.</w:t>
      </w:r>
    </w:p>
    <w:p>
      <w:pPr>
        <w:spacing w:after="0" w:line="172"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Auditors’ Management Letters</w:t>
      </w:r>
      <w:r>
        <w:rPr>
          <w:rFonts w:ascii="Times New Roman" w:cs="Times New Roman" w:eastAsia="Times New Roman" w:hAnsi="Times New Roman"/>
          <w:sz w:val="22"/>
          <w:szCs w:val="22"/>
          <w:color w:val="auto"/>
        </w:rPr>
        <w:t>. The Servicer will deliver to the Secured Parties, promptly after receipt by the Servicer from its accountants, a copy of any auditors’ management letters which refer in whole or in part to any inadequacy, defect, problem, qualification or other lack of fully satisfactory accounting controls utilized by the Servicer that resulted in a qualified audit opinion.</w:t>
      </w:r>
    </w:p>
    <w:p>
      <w:pPr>
        <w:spacing w:after="0" w:line="178"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Accounting Policy</w:t>
      </w:r>
      <w:r>
        <w:rPr>
          <w:rFonts w:ascii="Times New Roman" w:cs="Times New Roman" w:eastAsia="Times New Roman" w:hAnsi="Times New Roman"/>
          <w:sz w:val="22"/>
          <w:szCs w:val="22"/>
          <w:color w:val="auto"/>
        </w:rPr>
        <w:t>. The Servicer will promptly notify the Secured Parties of any material change in the Servicer’s accounting policies not otherwise required by GAAP.</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221"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Servicer will maintain in effect and enforce policies and procedures designed to ensure compliance by the Servicer and each of its Subsidiaries and Affiliates and their respective directors, officers, employees and agents with applicable Anti-Corruption Laws and Sanctions.</w:t>
      </w:r>
    </w:p>
    <w:p>
      <w:pPr>
        <w:spacing w:after="0" w:line="172" w:lineRule="exact"/>
        <w:rPr>
          <w:rFonts w:ascii="Times New Roman" w:cs="Times New Roman" w:eastAsia="Times New Roman" w:hAnsi="Times New Roman"/>
          <w:sz w:val="22"/>
          <w:szCs w:val="22"/>
          <w:color w:val="auto"/>
        </w:rPr>
      </w:pPr>
    </w:p>
    <w:p>
      <w:pPr>
        <w:ind w:right="20" w:firstLine="745"/>
        <w:spacing w:after="0" w:line="258" w:lineRule="auto"/>
        <w:tabs>
          <w:tab w:leader="none" w:pos="1207"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Servicer shall promptly notify the Secured Parties in the event the Servicer becomes a Benefit Plan Investor.</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194"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Information</w:t>
      </w:r>
      <w:r>
        <w:rPr>
          <w:rFonts w:ascii="Times New Roman" w:cs="Times New Roman" w:eastAsia="Times New Roman" w:hAnsi="Times New Roman"/>
          <w:sz w:val="22"/>
          <w:szCs w:val="22"/>
          <w:color w:val="auto"/>
        </w:rPr>
        <w:t>. The Servicer shall promptly respond to reasonable written directions or written requests for information that any other party hereto may reasonably request that the Servicer can obtain without unreasonable expense or effort with respect to the administration and servicing of the Receivables.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Negative Covenants of the Servicer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From the date hereof until the Facility Termination Date:</w:t>
      </w:r>
    </w:p>
    <w:p>
      <w:pPr>
        <w:spacing w:after="0" w:line="205" w:lineRule="exact"/>
        <w:rPr>
          <w:sz w:val="20"/>
          <w:szCs w:val="20"/>
          <w:color w:val="auto"/>
        </w:rPr>
      </w:pPr>
    </w:p>
    <w:p>
      <w:pPr>
        <w:jc w:val="both"/>
        <w:ind w:firstLine="745"/>
        <w:spacing w:after="0" w:line="244" w:lineRule="auto"/>
        <w:tabs>
          <w:tab w:leader="none" w:pos="1194" w:val="left"/>
        </w:tabs>
        <w:numPr>
          <w:ilvl w:val="0"/>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 Office Boxes; Lockbox Account</w:t>
      </w:r>
      <w:r>
        <w:rPr>
          <w:rFonts w:ascii="Times New Roman" w:cs="Times New Roman" w:eastAsia="Times New Roman" w:hAnsi="Times New Roman"/>
          <w:sz w:val="22"/>
          <w:szCs w:val="22"/>
          <w:color w:val="auto"/>
        </w:rPr>
        <w:t>. The Servicer shall not create or participate in the creation of, or permit to exist, any Liens with respect to the Collection Account (other than the Account Control Agreement), the Post Office Boxes or the Lockbox Account, except, with reference to the Post Office Boxes or the Lockbox Account</w:t>
      </w:r>
    </w:p>
    <w:p>
      <w:pPr>
        <w:spacing w:after="0" w:line="200" w:lineRule="exact"/>
        <w:rPr>
          <w:sz w:val="20"/>
          <w:szCs w:val="20"/>
          <w:color w:val="auto"/>
        </w:rPr>
      </w:pP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693" w:name="page694"/>
    <w:bookmarkEnd w:id="693"/>
    <w:p>
      <w:pPr>
        <w:jc w:val="both"/>
        <w:spacing w:after="0" w:line="237" w:lineRule="auto"/>
        <w:rPr>
          <w:sz w:val="20"/>
          <w:szCs w:val="20"/>
          <w:color w:val="auto"/>
        </w:rPr>
      </w:pPr>
      <w:r>
        <w:rPr>
          <w:rFonts w:ascii="Times New Roman" w:cs="Times New Roman" w:eastAsia="Times New Roman" w:hAnsi="Times New Roman"/>
          <w:sz w:val="22"/>
          <w:szCs w:val="22"/>
          <w:color w:val="auto"/>
        </w:rPr>
        <w:t>as permitted and pursuant to the Intercreditor Agreement and the Intercreditor Party Supplement. The Servicer shall not enter into any “control agreement” (as defined in the relevant UCC) with respect to the Collection Account, the Post Office Boxes or the Lockbox Account other than (i) with reference to the Collection Account, pursuant to the Account Control Agreement, and (ii) with reference to the Post Office Boxes or the Lockbox Account, pursuant to the Intercreditor Agreement.</w:t>
      </w:r>
    </w:p>
    <w:p>
      <w:pPr>
        <w:spacing w:after="0" w:line="180" w:lineRule="exact"/>
        <w:rPr>
          <w:sz w:val="20"/>
          <w:szCs w:val="20"/>
          <w:color w:val="auto"/>
        </w:rPr>
      </w:pPr>
    </w:p>
    <w:p>
      <w:pPr>
        <w:jc w:val="both"/>
        <w:ind w:firstLine="745"/>
        <w:spacing w:after="0" w:line="244" w:lineRule="auto"/>
        <w:tabs>
          <w:tab w:leader="none" w:pos="1180"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Acquisition, Sales, etc</w:t>
      </w:r>
      <w:r>
        <w:rPr>
          <w:rFonts w:ascii="Times New Roman" w:cs="Times New Roman" w:eastAsia="Times New Roman" w:hAnsi="Times New Roman"/>
          <w:sz w:val="22"/>
          <w:szCs w:val="22"/>
          <w:color w:val="auto"/>
        </w:rPr>
        <w:t>. The Servicer will not consolidate with or merge into any other Person or convey or transfer its properties and assets substantially as an entirety to any Person, other than contemplated in Section 7.16.</w:t>
      </w:r>
    </w:p>
    <w:p>
      <w:pPr>
        <w:spacing w:after="0" w:line="172" w:lineRule="exact"/>
        <w:rPr>
          <w:rFonts w:ascii="Times New Roman" w:cs="Times New Roman" w:eastAsia="Times New Roman" w:hAnsi="Times New Roman"/>
          <w:sz w:val="22"/>
          <w:szCs w:val="22"/>
          <w:color w:val="auto"/>
        </w:rPr>
      </w:pPr>
    </w:p>
    <w:p>
      <w:pPr>
        <w:jc w:val="both"/>
        <w:ind w:firstLine="745"/>
        <w:spacing w:after="0" w:line="234" w:lineRule="auto"/>
        <w:tabs>
          <w:tab w:leader="none" w:pos="1194"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or Location of Servicer Files or Receivable Files</w:t>
      </w:r>
      <w:r>
        <w:rPr>
          <w:rFonts w:ascii="Times New Roman" w:cs="Times New Roman" w:eastAsia="Times New Roman" w:hAnsi="Times New Roman"/>
          <w:sz w:val="22"/>
          <w:szCs w:val="22"/>
          <w:color w:val="auto"/>
        </w:rPr>
        <w:t>. The Servicer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has taken all actions required under the UCC of each relevant jurisdiction in order to continue the first priority perfected security interest of the Administrative Agent, as agent for the Secured Parties, in the Collateral.</w:t>
      </w:r>
    </w:p>
    <w:p>
      <w:pPr>
        <w:spacing w:after="0" w:line="176" w:lineRule="exact"/>
        <w:rPr>
          <w:rFonts w:ascii="Times New Roman" w:cs="Times New Roman" w:eastAsia="Times New Roman" w:hAnsi="Times New Roman"/>
          <w:sz w:val="22"/>
          <w:szCs w:val="22"/>
          <w:color w:val="auto"/>
        </w:rPr>
      </w:pPr>
    </w:p>
    <w:p>
      <w:pPr>
        <w:jc w:val="both"/>
        <w:ind w:firstLine="745"/>
        <w:spacing w:after="0" w:line="237" w:lineRule="auto"/>
        <w:tabs>
          <w:tab w:leader="none" w:pos="1180"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Payment Instructions to Obligors</w:t>
      </w:r>
      <w:r>
        <w:rPr>
          <w:rFonts w:ascii="Times New Roman" w:cs="Times New Roman" w:eastAsia="Times New Roman" w:hAnsi="Times New Roman"/>
          <w:sz w:val="22"/>
          <w:szCs w:val="22"/>
          <w:color w:val="auto"/>
        </w:rPr>
        <w:t>. The Servicer will not make any change in its instructions to the Obligors regarding payments to be made to the Borrower or the Servicer, other than in accordance with the Credit and Collection Policy, or payments to be made to the Post Office Boxes or Lockbox Account, other than in accordance with the terms of the Intercreditor Agreement and the Intercreditor Party Supplement and unless the Administrative Agent has received duly executed copies of all documentation related thereto and has consented to such change.</w:t>
      </w:r>
    </w:p>
    <w:p>
      <w:pPr>
        <w:spacing w:after="0" w:line="180" w:lineRule="exact"/>
        <w:rPr>
          <w:rFonts w:ascii="Times New Roman" w:cs="Times New Roman" w:eastAsia="Times New Roman" w:hAnsi="Times New Roman"/>
          <w:sz w:val="22"/>
          <w:szCs w:val="22"/>
          <w:color w:val="auto"/>
        </w:rPr>
      </w:pPr>
    </w:p>
    <w:p>
      <w:pPr>
        <w:ind w:firstLine="745"/>
        <w:spacing w:after="0" w:line="258" w:lineRule="auto"/>
        <w:tabs>
          <w:tab w:leader="none" w:pos="1194"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or Amendment of Contracts</w:t>
      </w:r>
      <w:r>
        <w:rPr>
          <w:rFonts w:ascii="Times New Roman" w:cs="Times New Roman" w:eastAsia="Times New Roman" w:hAnsi="Times New Roman"/>
          <w:sz w:val="22"/>
          <w:szCs w:val="22"/>
          <w:color w:val="auto"/>
        </w:rPr>
        <w:t>. The Servicer will not, except as otherwise permitted in Section 7.03(c)(i), extend, amend or otherwise modify the terms of any Contract.</w:t>
      </w:r>
    </w:p>
    <w:p>
      <w:pPr>
        <w:spacing w:after="0" w:line="157" w:lineRule="exact"/>
        <w:rPr>
          <w:rFonts w:ascii="Times New Roman" w:cs="Times New Roman" w:eastAsia="Times New Roman" w:hAnsi="Times New Roman"/>
          <w:sz w:val="22"/>
          <w:szCs w:val="22"/>
          <w:color w:val="auto"/>
        </w:rPr>
      </w:pPr>
    </w:p>
    <w:p>
      <w:pPr>
        <w:ind w:firstLine="745"/>
        <w:spacing w:after="0" w:line="258" w:lineRule="auto"/>
        <w:tabs>
          <w:tab w:leader="none" w:pos="1221"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Instruments</w:t>
      </w:r>
      <w:r>
        <w:rPr>
          <w:rFonts w:ascii="Times New Roman" w:cs="Times New Roman" w:eastAsia="Times New Roman" w:hAnsi="Times New Roman"/>
          <w:sz w:val="22"/>
          <w:szCs w:val="22"/>
          <w:color w:val="auto"/>
        </w:rPr>
        <w:t>. The Servicer shall take no action to cause any Receivable to be evidenced by any Instrument or “electronic chattel paper” (as defined in the UCC).</w:t>
      </w:r>
    </w:p>
    <w:p>
      <w:pPr>
        <w:spacing w:after="0" w:line="157" w:lineRule="exact"/>
        <w:rPr>
          <w:rFonts w:ascii="Times New Roman" w:cs="Times New Roman" w:eastAsia="Times New Roman" w:hAnsi="Times New Roman"/>
          <w:sz w:val="22"/>
          <w:szCs w:val="22"/>
          <w:color w:val="auto"/>
        </w:rPr>
      </w:pPr>
    </w:p>
    <w:p>
      <w:pPr>
        <w:jc w:val="both"/>
        <w:ind w:firstLine="745"/>
        <w:spacing w:after="0" w:line="237" w:lineRule="auto"/>
        <w:tabs>
          <w:tab w:leader="none" w:pos="1180"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Liens</w:t>
      </w:r>
      <w:r>
        <w:rPr>
          <w:rFonts w:ascii="Times New Roman" w:cs="Times New Roman" w:eastAsia="Times New Roman" w:hAnsi="Times New Roman"/>
          <w:sz w:val="22"/>
          <w:szCs w:val="22"/>
          <w:color w:val="auto"/>
        </w:rPr>
        <w:t>. The Servicer shall not sell, pledge, assign or transfer to any other Person, or grant, create, incur, assume or suffer to exist any Lien (other than any Permitted Lien) on the Collateral or any interest therein, the Servicer will notify the Custodian and the Secured Parties of the existence of any Lien (except Permitted Liens) on any portion of the Collateral immediately upon discovery thereof, and the Servicer shall defend the right, title and interest of the Administrative Agent on behalf of the Secured Parties in, to and</w:t>
      </w: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694" w:name="page695"/>
    <w:bookmarkEnd w:id="694"/>
    <w:p>
      <w:pPr>
        <w:ind w:left="3"/>
        <w:spacing w:after="0"/>
        <w:rPr>
          <w:sz w:val="20"/>
          <w:szCs w:val="20"/>
          <w:color w:val="auto"/>
        </w:rPr>
      </w:pPr>
      <w:r>
        <w:rPr>
          <w:rFonts w:ascii="Times New Roman" w:cs="Times New Roman" w:eastAsia="Times New Roman" w:hAnsi="Times New Roman"/>
          <w:sz w:val="22"/>
          <w:szCs w:val="22"/>
          <w:color w:val="auto"/>
        </w:rPr>
        <w:t>under the Collateral against all claims of third parties claiming through or under the Servicer.</w:t>
      </w:r>
    </w:p>
    <w:p>
      <w:pPr>
        <w:spacing w:after="0" w:line="205" w:lineRule="exact"/>
        <w:rPr>
          <w:sz w:val="20"/>
          <w:szCs w:val="20"/>
          <w:color w:val="auto"/>
        </w:rPr>
      </w:pPr>
    </w:p>
    <w:p>
      <w:pPr>
        <w:jc w:val="both"/>
        <w:ind w:left="3" w:firstLine="745"/>
        <w:spacing w:after="0" w:line="255" w:lineRule="auto"/>
        <w:tabs>
          <w:tab w:leader="none" w:pos="1211" w:val="left"/>
        </w:tabs>
        <w:numPr>
          <w:ilvl w:val="1"/>
          <w:numId w:val="6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Additional Covenants</w:t>
      </w:r>
      <w:r>
        <w:rPr>
          <w:rFonts w:ascii="Times New Roman" w:cs="Times New Roman" w:eastAsia="Times New Roman" w:hAnsi="Times New Roman"/>
          <w:sz w:val="20"/>
          <w:szCs w:val="20"/>
          <w:color w:val="auto"/>
        </w:rPr>
        <w:t>.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or Contract except as permitted herein or in the Credit and Collection Policy, (iv) prior to the payment in full of any Receivable, not sell, pledge, assign, or transfer to any other Person, or grant, create, incur, assume or suffer to exist any Lien (except for Permitted Liens) on such Receivable or any interest therein, (v) immediately notify the Borrower, the Secured Parties, and the Custodian of the existence of any Lien (except for Permitted Liens) on any portion of the Collateral if the Servicer has actual knowledge thereof, (vi) defend the right, title and interest of the Borrower, the Secured Parties, and the Custodian in, to and under the Collateral against all claims of third parties claiming through or under the Servicer,</w:t>
      </w:r>
    </w:p>
    <w:p>
      <w:pPr>
        <w:spacing w:after="0" w:line="4" w:lineRule="exact"/>
        <w:rPr>
          <w:rFonts w:ascii="Times New Roman" w:cs="Times New Roman" w:eastAsia="Times New Roman" w:hAnsi="Times New Roman"/>
          <w:sz w:val="20"/>
          <w:szCs w:val="20"/>
          <w:color w:val="auto"/>
        </w:rPr>
      </w:pPr>
    </w:p>
    <w:p>
      <w:pPr>
        <w:jc w:val="both"/>
        <w:ind w:left="3" w:hanging="3"/>
        <w:spacing w:after="0" w:line="254" w:lineRule="auto"/>
        <w:tabs>
          <w:tab w:leader="none" w:pos="431" w:val="left"/>
        </w:tabs>
        <w:numPr>
          <w:ilvl w:val="0"/>
          <w:numId w:val="6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to the Lockbox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Secured Parties, the Paying Agent, and the Custodian of the occurrence of any Servicer Termination Event or Unmatured Servicer Termination Event and any breach, in any material respect, by the Servicer of any of its covenants or representations and warranties contained herein, (x) promptly notify the Borrower, the Secured Parties, the Paying Agent and the Custodian of the occurrence of any event which, to the knowledge of the Servicer, would require that the Borrower make or cause to be 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any Funding Date, as the case may be, the current Schedule of Receivables, (xiii) with respect to any Receivable, deliver or cause to be delivered to the Custodian within one Business Day preceding the date of the Initial Loan or the date of such Subsequent Loan, as the case may be, the documents to be included in the Receivable Files with respect to those Receivables, as the case may be,</w:t>
      </w:r>
    </w:p>
    <w:p>
      <w:pPr>
        <w:spacing w:after="0" w:line="231" w:lineRule="exact"/>
        <w:rPr>
          <w:rFonts w:ascii="Times New Roman" w:cs="Times New Roman" w:eastAsia="Times New Roman" w:hAnsi="Times New Roman"/>
          <w:sz w:val="20"/>
          <w:szCs w:val="20"/>
          <w:color w:val="auto"/>
        </w:rPr>
      </w:pPr>
    </w:p>
    <w:p>
      <w:pPr>
        <w:jc w:val="both"/>
        <w:ind w:left="3" w:hanging="3"/>
        <w:spacing w:after="0" w:line="235" w:lineRule="auto"/>
        <w:tabs>
          <w:tab w:leader="none" w:pos="500" w:val="left"/>
        </w:tabs>
        <w:numPr>
          <w:ilvl w:val="0"/>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impair the rights of the Borrower or the Secured Parties in the Collateral or (xv) not sell, pledge, assign, or transfer to any other Person, or grant, create, incur, assume or suffer to exist any Lien (other than any Permitted Liens) on the Collateral or any interest therein. Notwithstanding any other provision of this</w:t>
      </w:r>
    </w:p>
    <w:p>
      <w:pPr>
        <w:spacing w:after="0" w:line="200" w:lineRule="exact"/>
        <w:rPr>
          <w:sz w:val="20"/>
          <w:szCs w:val="20"/>
          <w:color w:val="auto"/>
        </w:rPr>
      </w:pPr>
    </w:p>
    <w:p>
      <w:pPr>
        <w:spacing w:after="0" w:line="23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695" w:name="page696"/>
    <w:bookmarkEnd w:id="695"/>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Agreement, the Servicer may release any Financed Vehicle from the security interest created by the related Receivable when the Servicer deposits into either Account an amount equal to the related Release Price or the entire amount of Insurance Proceeds, Recoveries and other Collections it has received or expects to receive with respect to such Receivable and such Financed Vehicle.</w:t>
      </w:r>
    </w:p>
    <w:p>
      <w:pPr>
        <w:spacing w:after="0" w:line="179" w:lineRule="exact"/>
        <w:rPr>
          <w:sz w:val="20"/>
          <w:szCs w:val="20"/>
          <w:color w:val="auto"/>
        </w:rPr>
      </w:pPr>
    </w:p>
    <w:p>
      <w:pPr>
        <w:jc w:val="both"/>
        <w:ind w:left="760" w:firstLine="749"/>
        <w:spacing w:after="0" w:line="244" w:lineRule="auto"/>
        <w:rPr>
          <w:sz w:val="20"/>
          <w:szCs w:val="20"/>
          <w:color w:val="auto"/>
        </w:rPr>
      </w:pPr>
      <w:r>
        <w:rPr>
          <w:rFonts w:ascii="Times New Roman" w:cs="Times New Roman" w:eastAsia="Times New Roman" w:hAnsi="Times New Roman"/>
          <w:sz w:val="22"/>
          <w:szCs w:val="22"/>
          <w:color w:val="auto"/>
        </w:rPr>
        <w:t>The Servicer shall, within two Business Days of its receipt thereof, respond to reasonable written directions or written requests for information that the Borrower, any Secured Party or the Custodian might have with respect to the administration of the Receivables.</w:t>
      </w:r>
    </w:p>
    <w:p>
      <w:pPr>
        <w:spacing w:after="0" w:line="172" w:lineRule="exact"/>
        <w:rPr>
          <w:sz w:val="20"/>
          <w:szCs w:val="20"/>
          <w:color w:val="auto"/>
        </w:rPr>
      </w:pPr>
    </w:p>
    <w:p>
      <w:pPr>
        <w:jc w:val="both"/>
        <w:ind w:left="760" w:firstLine="745"/>
        <w:spacing w:after="0" w:line="234" w:lineRule="auto"/>
        <w:tabs>
          <w:tab w:leader="none" w:pos="1981"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Servicer shall not, nor shall the Servicer’s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54"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Matters</w:t>
      </w:r>
      <w:r>
        <w:rPr>
          <w:rFonts w:ascii="Times New Roman" w:cs="Times New Roman" w:eastAsia="Times New Roman" w:hAnsi="Times New Roman"/>
          <w:sz w:val="22"/>
          <w:szCs w:val="22"/>
          <w:color w:val="auto"/>
        </w:rPr>
        <w:t>. None of the Servicer or its ERISA Affiliates shall sponsor, adopt, contribute to or have any obligation to contribute to, or have any liability with respect to any Pension Plan or Multiemployer Plan.</w:t>
      </w:r>
    </w:p>
    <w:p>
      <w:pPr>
        <w:spacing w:after="0" w:line="157" w:lineRule="exact"/>
        <w:rPr>
          <w:rFonts w:ascii="Times New Roman" w:cs="Times New Roman" w:eastAsia="Times New Roman" w:hAnsi="Times New Roman"/>
          <w:sz w:val="22"/>
          <w:szCs w:val="22"/>
          <w:color w:val="auto"/>
        </w:rPr>
      </w:pPr>
    </w:p>
    <w:p>
      <w:pPr>
        <w:jc w:val="both"/>
        <w:ind w:left="760" w:firstLine="745"/>
        <w:spacing w:after="0" w:line="237" w:lineRule="auto"/>
        <w:tabs>
          <w:tab w:leader="none" w:pos="1954"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 After the delivery of a Servicer Termination Notice, the Servicer shall not declare or pay, directly or indirectly, any dividend or make any distribution (whether in cash or property) with respect to the profits, assets or capital of the Servicer or any Person’s interest therein, which would cause a breach of the Servicer’s financial covenants herein and other than cash distributions in respect of Taxes that are then due and payable and normal course of business distributions until the Successor Servicer has succeeded to be the Servicer.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SEVEN</w:t>
      </w:r>
    </w:p>
    <w:p>
      <w:pPr>
        <w:spacing w:after="0" w:line="232" w:lineRule="exact"/>
        <w:rPr>
          <w:sz w:val="20"/>
          <w:szCs w:val="20"/>
          <w:color w:val="auto"/>
        </w:rPr>
      </w:pPr>
    </w:p>
    <w:p>
      <w:pPr>
        <w:ind w:left="760" w:right="2920" w:firstLine="2181"/>
        <w:spacing w:after="0" w:line="434" w:lineRule="auto"/>
        <w:rPr>
          <w:sz w:val="20"/>
          <w:szCs w:val="20"/>
          <w:color w:val="auto"/>
        </w:rPr>
      </w:pPr>
      <w:r>
        <w:rPr>
          <w:rFonts w:ascii="Times New Roman" w:cs="Times New Roman" w:eastAsia="Times New Roman" w:hAnsi="Times New Roman"/>
          <w:sz w:val="22"/>
          <w:szCs w:val="22"/>
          <w:color w:val="auto"/>
        </w:rPr>
        <w:t xml:space="preserve">ADMINISTRATION AND SERVICING OF RECEIVABLES </w:t>
      </w:r>
      <w:r>
        <w:rPr>
          <w:rFonts w:ascii="Times New Roman" w:cs="Times New Roman" w:eastAsia="Times New Roman" w:hAnsi="Times New Roman"/>
          <w:sz w:val="22"/>
          <w:szCs w:val="22"/>
          <w:u w:val="single" w:color="auto"/>
          <w:color w:val="auto"/>
        </w:rPr>
        <w:t>Section 7.01. Designation of Servicing</w:t>
      </w:r>
    </w:p>
    <w:p>
      <w:pPr>
        <w:spacing w:after="0" w:line="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Administrative Agent and the Borrower, at the direction of and on behalf of the Secured Parties,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96" w:name="page697"/>
    <w:bookmarkEnd w:id="696"/>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7.02. Servicing Compensation</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As compensation for its servicing activities hereunder and reimbursement for its expenses, the Servicer shall be entitled to receive the Servicing Fee to the extent of funds available therefor pursuant to </w:t>
      </w:r>
      <w:r>
        <w:rPr>
          <w:rFonts w:ascii="Times New Roman" w:cs="Times New Roman" w:eastAsia="Times New Roman" w:hAnsi="Times New Roman"/>
          <w:sz w:val="22"/>
          <w:szCs w:val="22"/>
          <w:u w:val="single" w:color="auto"/>
          <w:color w:val="auto"/>
        </w:rPr>
        <w:t>Section 2.08(a)(i)</w:t>
      </w:r>
      <w:r>
        <w:rPr>
          <w:rFonts w:ascii="Times New Roman" w:cs="Times New Roman" w:eastAsia="Times New Roman" w:hAnsi="Times New Roman"/>
          <w:sz w:val="22"/>
          <w:szCs w:val="22"/>
          <w:color w:val="auto"/>
        </w:rPr>
        <w:t>. The Servicer shall further be entitled to retain as additional servicing compensation any and all ancillary fees and extension fees from Obligors, including late fees, administrative fees and similar charges allowed by Applicable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7.03. Duties of the Servicer</w:t>
      </w:r>
    </w:p>
    <w:p>
      <w:pPr>
        <w:spacing w:after="0" w:line="205" w:lineRule="exact"/>
        <w:rPr>
          <w:sz w:val="20"/>
          <w:szCs w:val="20"/>
          <w:color w:val="auto"/>
        </w:rPr>
      </w:pPr>
    </w:p>
    <w:p>
      <w:pPr>
        <w:jc w:val="both"/>
        <w:ind w:firstLine="757"/>
        <w:spacing w:after="0" w:line="239" w:lineRule="auto"/>
        <w:tabs>
          <w:tab w:leader="none" w:pos="1194"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w:t>
      </w:r>
      <w:r>
        <w:rPr>
          <w:rFonts w:ascii="Times New Roman" w:cs="Times New Roman" w:eastAsia="Times New Roman" w:hAnsi="Times New Roman"/>
          <w:sz w:val="22"/>
          <w:szCs w:val="22"/>
          <w:color w:val="auto"/>
        </w:rPr>
        <w:t>. The Servicer agrees that its servicing and collection of the Receivables shall be carried out in accordance with the Credit and Collection Policy,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Held in Trust</w:t>
      </w:r>
      <w:r>
        <w:rPr>
          <w:rFonts w:ascii="Times New Roman" w:cs="Times New Roman" w:eastAsia="Times New Roman" w:hAnsi="Times New Roman"/>
          <w:sz w:val="22"/>
          <w:szCs w:val="22"/>
          <w:color w:val="auto"/>
        </w:rPr>
        <w:t>. The Servicer shall hold in trust for the Borrower and the Secured Parties all Records which evidence or relate to all or any part of the Collateral. In the event that a Successor Servicer is appointed, the outgoing Servicer shall promptly deliver to the Successor Servicer and the Successor Servicer shall hold in trust for the Borrower and the Secured Parties all Records which evidence or relate to all or any part of the Collateral, other than the Receivable Files which shall be delivered to the successor Custodian.</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 Practices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left="760" w:firstLine="1120"/>
        <w:spacing w:after="0" w:line="257" w:lineRule="auto"/>
        <w:tabs>
          <w:tab w:leader="none" w:pos="2315" w:val="left"/>
        </w:tabs>
        <w:numPr>
          <w:ilvl w:val="1"/>
          <w:numId w:val="6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Borrower and the Secured Parties, and shall be deemed to be holding such funds in trust on behalf of and as agent for the Secured Parties; provided, however, that the Servicer shall not be empowered to, and shall not, (x) make or attempt to make any change to the Authoritative Copy of any Electronic Contract which constitutes or evidences a Receivable, (y) change or attempt to change the legend or watermark on any Electronic Contract which constitutes or evidences a Receivable or the “Owner of Record” of the Warehouse Vault Partition or (z) except (i) in connection with a Securitization permitted under the terms hereof, (ii) upon payment in full of a Receivable or (iii) as directed by the Borrower with the written consent of the Administrative Agent, cause any Electronic Contract which constitutes or evidences a Receivable to be Exported or otherwise removed from the Warehouse Vault Partition. The Servicer, consistent with the Credit and Collection Policy 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 or adjustments on a Contract as permitted by the Credit and Collection Policy then in effect, and amend or modify any Contract [***]. The Servicer may in its discretion waive any late payment charge or any other fees, not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97" w:name="page698"/>
    <w:bookmarkEnd w:id="697"/>
    <w:p>
      <w:pPr>
        <w:jc w:val="both"/>
        <w:ind w:left="760"/>
        <w:spacing w:after="0" w:line="237" w:lineRule="auto"/>
        <w:rPr>
          <w:sz w:val="20"/>
          <w:szCs w:val="20"/>
          <w:color w:val="auto"/>
        </w:rPr>
      </w:pPr>
      <w:r>
        <w:rPr>
          <w:rFonts w:ascii="Times New Roman" w:cs="Times New Roman" w:eastAsia="Times New Roman" w:hAnsi="Times New Roman"/>
          <w:sz w:val="22"/>
          <w:szCs w:val="22"/>
          <w:color w:val="auto"/>
        </w:rPr>
        <w:t xml:space="preserve">including interest on the Principal Balance of a Receivable, that may be collected in the ordinary course of servicing a Receivable. The Servicer shall also enforce all rights of the Borrower under the Purchase Agreement including the right to require the Seller to repurchase Receivables for breaches of representations and warranties made by the Seller in the Purchase Agreement. Receivables in respect of which the Servicer has breached the foregoing provisions shall be purchased by the Servicer pursuant to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760" w:firstLine="1120"/>
        <w:spacing w:after="0" w:line="235" w:lineRule="auto"/>
        <w:tabs>
          <w:tab w:leader="none" w:pos="2315" w:val="left"/>
        </w:tabs>
        <w:numPr>
          <w:ilvl w:val="1"/>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 or more of a Scheduled Payment due under a Receivable is not received by the end of the day on its due date, the Servicer will make reasonable and customary efforts to contact the related Obligor. The Servicer shall continue its efforts to obtain payment from such Obligor who has not paid [***]% or more of a Scheduled Payment until the related Financed Vehicle has been repossessed and sold or the Servicer has determined that all amounts collectable on the Receivable have been collected. The Servicer shall use its best efforts, consistent with the Credit and Collection Policy, to collect funds on a Defaulted Receivable and by the close of business on the second Business Day following receipt of such Collections, shall deposit such Collections into either Account.</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34" w:lineRule="auto"/>
        <w:tabs>
          <w:tab w:leader="none" w:pos="2315" w:val="left"/>
        </w:tabs>
        <w:numPr>
          <w:ilvl w:val="1"/>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Receivable becomes a Defaulted Receivable, the Servicer, itself or through the use of independent contractors or agents shall, consistent with the Credit and Collection Policy, 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the Credit and Collection Policy, the Recoveries would not be increased.</w:t>
      </w:r>
    </w:p>
    <w:p>
      <w:pPr>
        <w:spacing w:after="0" w:line="176"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1"/>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shall deposit or cause to be deposited by electronic funds transfer all Collections to the Collection Account as soon as possible but no later than two Business Days after deposit into the Lockbox Account.</w:t>
      </w:r>
    </w:p>
    <w:p>
      <w:pPr>
        <w:spacing w:after="0" w:line="157"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Recourse; Sales of Financed Vehicles</w:t>
      </w:r>
      <w:r>
        <w:rPr>
          <w:rFonts w:ascii="Times New Roman" w:cs="Times New Roman" w:eastAsia="Times New Roman" w:hAnsi="Times New Roman"/>
          <w:sz w:val="22"/>
          <w:szCs w:val="22"/>
          <w:color w:val="auto"/>
        </w:rPr>
        <w:t>. The Servicer, itself or through the use of independent contractors or agents, shall follow practices consistent with the Credit and Collection Policy, in its servicing of the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Credit and Collection Policy, maximize the sales proceeds for each repossessed Financed Vehicle. 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98" w:name="page699"/>
    <w:bookmarkEnd w:id="698"/>
    <w:p>
      <w:pPr>
        <w:jc w:val="both"/>
        <w:ind w:firstLine="757"/>
        <w:spacing w:after="0" w:line="239" w:lineRule="auto"/>
        <w:tabs>
          <w:tab w:leader="none" w:pos="1180"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Subservicers</w:t>
      </w:r>
      <w:r>
        <w:rPr>
          <w:rFonts w:ascii="Times New Roman" w:cs="Times New Roman" w:eastAsia="Times New Roman" w:hAnsi="Times New Roman"/>
          <w:sz w:val="22"/>
          <w:szCs w:val="22"/>
          <w:color w:val="auto"/>
        </w:rPr>
        <w:t>. The Servicer may delegate in the ordinary course of business any or all of its duties and obligations hereunder to one or more Subservicers; provided, however, that the Servicer shall at all times remain responsible for the performance of such duties and obligations. The Servicer will notify the Administrative Agent of any material delegation of duties and obligations (for avoidance of doubt, adding/replacing vendors is not material).</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Servicer shall:</w:t>
      </w:r>
    </w:p>
    <w:p>
      <w:pPr>
        <w:spacing w:after="0" w:line="205" w:lineRule="exact"/>
        <w:rPr>
          <w:rFonts w:ascii="Times New Roman" w:cs="Times New Roman" w:eastAsia="Times New Roman" w:hAnsi="Times New Roman"/>
          <w:sz w:val="22"/>
          <w:szCs w:val="22"/>
          <w:color w:val="auto"/>
        </w:rPr>
      </w:pPr>
    </w:p>
    <w:p>
      <w:pPr>
        <w:ind w:left="760" w:right="40" w:firstLine="1120"/>
        <w:spacing w:after="0" w:line="258" w:lineRule="auto"/>
        <w:tabs>
          <w:tab w:leader="none" w:pos="2315" w:val="left"/>
        </w:tabs>
        <w:numPr>
          <w:ilvl w:val="1"/>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behalf of the Borrower, administer and enforce all rights and responsibilities of the Borrower, as owner of the Receivables, provided for in the Insurance Policies relating to the Receivables;</w:t>
      </w:r>
    </w:p>
    <w:p>
      <w:pPr>
        <w:spacing w:after="0" w:line="157"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1"/>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customary servicing procedures and the Credit and Collection Policy, require that each Obligor shall have obtained physical damage insurance covering the Financed Vehicle in amounts satisfying any Applicable Law as of the date of execution of the related Contract;</w:t>
      </w:r>
    </w:p>
    <w:p>
      <w:pPr>
        <w:spacing w:after="0" w:line="172"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5" w:lineRule="exact"/>
        <w:rPr>
          <w:rFonts w:ascii="Times New Roman" w:cs="Times New Roman" w:eastAsia="Times New Roman" w:hAnsi="Times New Roman"/>
          <w:sz w:val="22"/>
          <w:szCs w:val="22"/>
          <w:color w:val="auto"/>
        </w:rPr>
      </w:pPr>
    </w:p>
    <w:p>
      <w:pPr>
        <w:jc w:val="both"/>
        <w:ind w:left="760" w:firstLine="1120"/>
        <w:spacing w:after="0" w:line="239" w:lineRule="auto"/>
        <w:tabs>
          <w:tab w:leader="none" w:pos="2315" w:val="left"/>
        </w:tabs>
        <w:numPr>
          <w:ilvl w:val="1"/>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 the filings of claims under the Insurance Policies by filing the appropriate notices related to claims, including initial notices of loss, as well as claims with the respective carriers or their authorized agents all in accordance with the terms of the Insurance Policies; and use reasonable efforts to file such claims on a timely basis after obtaining knowledge of the events giving rise to such claims; and</w:t>
      </w:r>
    </w:p>
    <w:p>
      <w:pPr>
        <w:spacing w:after="0" w:line="178"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 such notices, claim forms and claim procedures as are required by the respective insurance</w:t>
      </w:r>
    </w:p>
    <w:p>
      <w:pPr>
        <w:spacing w:after="0" w:line="1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the case of any inconsistency between this Agreement and the terms of any Insurance Policy, the Servicer shall comply with the latter.</w:t>
      </w:r>
    </w:p>
    <w:p>
      <w:pPr>
        <w:spacing w:after="0" w:line="157" w:lineRule="exact"/>
        <w:rPr>
          <w:sz w:val="20"/>
          <w:szCs w:val="20"/>
          <w:color w:val="auto"/>
        </w:rPr>
      </w:pPr>
    </w:p>
    <w:p>
      <w:pPr>
        <w:jc w:val="both"/>
        <w:ind w:firstLine="757"/>
        <w:spacing w:after="0" w:line="266" w:lineRule="auto"/>
        <w:tabs>
          <w:tab w:leader="none" w:pos="1194" w:val="left"/>
        </w:tabs>
        <w:numPr>
          <w:ilvl w:val="0"/>
          <w:numId w:val="6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Restore</w:t>
      </w:r>
      <w:r>
        <w:rPr>
          <w:rFonts w:ascii="Times New Roman" w:cs="Times New Roman" w:eastAsia="Times New Roman" w:hAnsi="Times New Roman"/>
          <w:sz w:val="20"/>
          <w:szCs w:val="20"/>
          <w:color w:val="auto"/>
        </w:rPr>
        <w:t>. In the event of any physical loss or damage to a Financed Vehicle related to a Receivable from any cause, whether through accidental means or otherwise, the Servicer shall not expend funds for the repair or the repossession of such Financed Vehicle unless the Servicer shall determine in its discretion that such repair or repossession would increase the Recoveries in an amount greater than the cost of repairs. However, the Servicer shall comply with the provisions of any Insurance Policy or policies directly or indirectly related to any physical loss or damage to a Financed Vehicle.</w:t>
      </w:r>
    </w:p>
    <w:p>
      <w:pPr>
        <w:spacing w:after="0" w:line="154" w:lineRule="exact"/>
        <w:rPr>
          <w:rFonts w:ascii="Times New Roman" w:cs="Times New Roman" w:eastAsia="Times New Roman" w:hAnsi="Times New Roman"/>
          <w:sz w:val="20"/>
          <w:szCs w:val="20"/>
          <w:color w:val="auto"/>
        </w:rPr>
      </w:pPr>
    </w:p>
    <w:p>
      <w:pPr>
        <w:jc w:val="both"/>
        <w:ind w:firstLine="757"/>
        <w:spacing w:after="0" w:line="236" w:lineRule="auto"/>
        <w:tabs>
          <w:tab w:leader="none" w:pos="1221" w:val="left"/>
        </w:tabs>
        <w:numPr>
          <w:ilvl w:val="0"/>
          <w:numId w:val="6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Interests</w:t>
      </w:r>
      <w:r>
        <w:rPr>
          <w:rFonts w:ascii="Times New Roman" w:cs="Times New Roman" w:eastAsia="Times New Roman" w:hAnsi="Times New Roman"/>
          <w:sz w:val="22"/>
          <w:szCs w:val="22"/>
          <w:color w:val="auto"/>
        </w:rPr>
        <w:t>. The Borrower hereby directs the Servicer to take or cause to be taken such steps as are necessary, to maintain perfection of the security interest created by each such Receivable in the related Financed Vehicle and the security interests created hereunder and pursuant to the Purchase Agreement. The Servicer shall, at the direction of the Borrower, the Administrative Agent or the Custodian, take any action necessary to preserve and protect the security interests of the Borrower, the Secured Parties and the Custodian in the Receivables, including any action specified in any Opinion of Counsel delivered to the Servicer.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99" w:name="page700"/>
    <w:bookmarkEnd w:id="699"/>
    <w:p>
      <w:pPr>
        <w:jc w:val="both"/>
        <w:ind w:firstLine="757"/>
        <w:spacing w:after="0" w:line="237" w:lineRule="auto"/>
        <w:tabs>
          <w:tab w:leader="none" w:pos="1221"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Realization on Financed Vehicles</w:t>
      </w:r>
      <w:r>
        <w:rPr>
          <w:rFonts w:ascii="Times New Roman" w:cs="Times New Roman" w:eastAsia="Times New Roman" w:hAnsi="Times New Roman"/>
          <w:sz w:val="22"/>
          <w:szCs w:val="22"/>
          <w:color w:val="auto"/>
        </w:rPr>
        <w:t>.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Secured Parties, the Paying Agent or the Custodian to liability under any federal, State or local law, and that such enforcement by the Servicer will be conducted in accordance with the provisions of this Agreement, the Credit and Collection Policy and Applicable Law.</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Recordkeeping</w:t>
      </w:r>
      <w:r>
        <w:rPr>
          <w:rFonts w:ascii="Times New Roman" w:cs="Times New Roman" w:eastAsia="Times New Roman" w:hAnsi="Times New Roman"/>
          <w:sz w:val="22"/>
          <w:szCs w:val="22"/>
          <w:color w:val="auto"/>
        </w:rPr>
        <w:t>. The Servicer shall:</w:t>
      </w:r>
    </w:p>
    <w:p>
      <w:pPr>
        <w:spacing w:after="0" w:line="205" w:lineRule="exact"/>
        <w:rPr>
          <w:rFonts w:ascii="Times New Roman" w:cs="Times New Roman" w:eastAsia="Times New Roman" w:hAnsi="Times New Roman"/>
          <w:sz w:val="22"/>
          <w:szCs w:val="22"/>
          <w:color w:val="auto"/>
        </w:rPr>
      </w:pPr>
    </w:p>
    <w:p>
      <w:pPr>
        <w:ind w:left="760" w:right="20" w:firstLine="1120"/>
        <w:spacing w:after="0" w:line="307" w:lineRule="auto"/>
        <w:tabs>
          <w:tab w:leader="none" w:pos="2315" w:val="left"/>
        </w:tabs>
        <w:numPr>
          <w:ilvl w:val="1"/>
          <w:numId w:val="6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legible copies (in electronic or hard-copy form, in the discretion of the Servicer) or originals of all documents in its Servicer File with respect to each Receivable and the Financed Vehicle related thereto; and</w:t>
      </w:r>
    </w:p>
    <w:p>
      <w:pPr>
        <w:spacing w:after="0" w:line="112" w:lineRule="exact"/>
        <w:rPr>
          <w:rFonts w:ascii="Times New Roman" w:cs="Times New Roman" w:eastAsia="Times New Roman" w:hAnsi="Times New Roman"/>
          <w:sz w:val="20"/>
          <w:szCs w:val="20"/>
          <w:color w:val="auto"/>
        </w:rPr>
      </w:pPr>
    </w:p>
    <w:p>
      <w:pPr>
        <w:jc w:val="both"/>
        <w:ind w:left="760" w:firstLine="1120"/>
        <w:spacing w:after="0" w:line="234" w:lineRule="auto"/>
        <w:tabs>
          <w:tab w:leader="none" w:pos="2315" w:val="left"/>
        </w:tabs>
        <w:numPr>
          <w:ilvl w:val="1"/>
          <w:numId w:val="6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7.04. Collection of Payments</w:t>
      </w:r>
    </w:p>
    <w:p>
      <w:pPr>
        <w:spacing w:after="0" w:line="205" w:lineRule="exact"/>
        <w:rPr>
          <w:sz w:val="20"/>
          <w:szCs w:val="20"/>
          <w:color w:val="auto"/>
        </w:rPr>
      </w:pPr>
    </w:p>
    <w:p>
      <w:pPr>
        <w:jc w:val="both"/>
        <w:ind w:firstLine="757"/>
        <w:spacing w:after="0" w:line="237" w:lineRule="auto"/>
        <w:tabs>
          <w:tab w:leader="none" w:pos="118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the Post Office Boxes</w:t>
      </w:r>
      <w:r>
        <w:rPr>
          <w:rFonts w:ascii="Times New Roman" w:cs="Times New Roman" w:eastAsia="Times New Roman" w:hAnsi="Times New Roman"/>
          <w:sz w:val="22"/>
          <w:szCs w:val="22"/>
          <w:color w:val="auto"/>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or Lockbox Account, and all such payments will be deposited into the Collection Account pursuant to Section 2.11(a) and in no event later than two Business Days of receipt.</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the Collection Account and the Lockbox Account</w:t>
      </w:r>
      <w:r>
        <w:rPr>
          <w:rFonts w:ascii="Times New Roman" w:cs="Times New Roman" w:eastAsia="Times New Roman" w:hAnsi="Times New Roman"/>
          <w:sz w:val="22"/>
          <w:szCs w:val="22"/>
          <w:color w:val="auto"/>
        </w:rPr>
        <w:t>. The Servicer shall cause the Paying Agent to establish, on or before the Closing Date, and maintain in the name of the Borrower, for the benefit of the Secured Parties, with a Qualified Institution which shall initially be the Account Bank, the Collection Account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Qualified Institution in connection with the maintenance of the Collection Account for its own account and shall not be entitled to any payment therefor. The Servicer shall maintain in its name for the benefit of the Secured Parties the Lockbox Account which shall be under the dominion and control of the Lockbox Bank under, and shall be subject to, the Intercreditor Agreement and the Intercreditor Party Supplement.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00" w:name="page701"/>
    <w:bookmarkEnd w:id="700"/>
    <w:p>
      <w:pPr>
        <w:jc w:val="both"/>
        <w:ind w:firstLine="757"/>
        <w:spacing w:after="0" w:line="236" w:lineRule="auto"/>
        <w:tabs>
          <w:tab w:leader="none" w:pos="1221"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If the Servicer (i) makes a deposit into the Collection Account in respect of a Collection of a Receivable and such Collection was received by the Servicer that is not honored for any reason, (ii) makes a mistake with respect to the amount of any collection and deposits an amount that is less than or more than the actual amount of such collection or (iii) is entitled to reimbursement of any ancillary fees in accordance with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the Servicer shall appropriately adjust the amount subsequently deposited into the Collection Account to reflect such mistake or reimbursement. Any Collection which is dishonored shall be deemed not to have been paid.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7.05. Payment of Certain Expenses by Servicer</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Except for such amounts and expenses the Servicer is entitled to reimbursement as provided for herein, the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Servicer will be required to pay all reasonable fees and expenses owing to any Qualified Institution in connection with the maintenance of the Collection Account. The Servicer shall be required to pay such expenses for its own account and shall not be entitled to any payment therefor other than the Servicing Fee.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7.06. Reports</w:t>
      </w:r>
    </w:p>
    <w:p>
      <w:pPr>
        <w:spacing w:after="0" w:line="205" w:lineRule="exact"/>
        <w:rPr>
          <w:sz w:val="20"/>
          <w:szCs w:val="20"/>
          <w:color w:val="auto"/>
        </w:rPr>
      </w:pPr>
    </w:p>
    <w:p>
      <w:pPr>
        <w:ind w:right="20" w:firstLine="757"/>
        <w:spacing w:after="0" w:line="258" w:lineRule="auto"/>
        <w:tabs>
          <w:tab w:leader="none" w:pos="1180" w:val="left"/>
        </w:tabs>
        <w:numPr>
          <w:ilvl w:val="0"/>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Monthly Reports</w:t>
      </w:r>
      <w:r>
        <w:rPr>
          <w:rFonts w:ascii="Times New Roman" w:cs="Times New Roman" w:eastAsia="Times New Roman" w:hAnsi="Times New Roman"/>
          <w:sz w:val="22"/>
          <w:szCs w:val="22"/>
          <w:color w:val="auto"/>
        </w:rPr>
        <w:t>. On each Reporting Date, the Servicer will provide to the Borrower, the Secured Parties and the Paying Agent, a Monthly Report.</w:t>
      </w:r>
    </w:p>
    <w:p>
      <w:pPr>
        <w:spacing w:after="0" w:line="15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Receivable Data</w:t>
      </w:r>
      <w:r>
        <w:rPr>
          <w:rFonts w:ascii="Times New Roman" w:cs="Times New Roman" w:eastAsia="Times New Roman" w:hAnsi="Times New Roman"/>
          <w:sz w:val="22"/>
          <w:szCs w:val="22"/>
          <w:color w:val="auto"/>
        </w:rPr>
        <w:t>. The Servicer will provide the Receivable Data to the Secured Parties, within ten Business Days of receiving a request from the Administrative Agent for such report, which request may be made semi-annually, but not more frequently unless required by regulators or to comply with Applicable Law (including Basel II and Basel III).</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7.07. Due Diligence</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Up to one (1) time each calendar year, at such times during normal business hours as are reasonably convenient to the Borrower, the Servicer or the Custodian, as the case may be, at the sole cost and expense of the Servicer (provided that such costs and expenses shall be limited to $[***] per annum unless an Early Amortization Event, a Termination Event, Unmatured Termination Event, Unmatured Servicer Termination Event or Servicer Termination Event shall have occurred) and upon reasonable request of the Secured Parties and prior written notice to the Borrower, the Servicer or the Custodian, as the case may be, the Borrower, the Servicer or the Custodian, as the case may be, shall permit such Person or Persons as the Secured Parties may designate to conduct, on behalf of all of them, audits or to visit and inspect any of the properties of the Borrower, the Servicer (including any Subservicer) or the Custodian where the Receivable Files are located, as the case may be, to examine the Receivable Files, internal controls and procedures maintained by the Borrower, the Servicer or the Custodian, as the case may be, and take copies and extracts therefrom, and to discuss the affairs of the Borrower, the Servicer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1" w:name="page702"/>
    <w:bookmarkEnd w:id="701"/>
    <w:p>
      <w:pPr>
        <w:jc w:val="both"/>
        <w:spacing w:after="0" w:line="232" w:lineRule="auto"/>
        <w:rPr>
          <w:sz w:val="20"/>
          <w:szCs w:val="20"/>
          <w:color w:val="auto"/>
        </w:rPr>
      </w:pPr>
      <w:r>
        <w:rPr>
          <w:rFonts w:ascii="Times New Roman" w:cs="Times New Roman" w:eastAsia="Times New Roman" w:hAnsi="Times New Roman"/>
          <w:sz w:val="22"/>
          <w:szCs w:val="22"/>
          <w:color w:val="auto"/>
        </w:rPr>
        <w:t>(including any Subservicer) or the Custodian with their respective officers and employees (which employees, except after the occurrence of an Early Amortization Event, a Termination Event, Unmatured Termination Event, Unmatured Servicer Termination Event or Servicer Termination Event, shall be designated by the Borrower, the Servicer or the Custodian, as the case may be) and, upon written notice to the Borrower, the Servicer or the Custodian, as the case may be, independent accountants; provided, further, that after the occurrence of a Termination Event, Unmatured Termination Event, Unmatured Servicer Termination Event or Servicer Termination Event, the Secured Parties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Secured Parties and its representatives shall make reasonable efforts to coordinate, and provide 30 days’ prior written notice of, such audits, visits and inspections. The Borrower, the Servicer or the Custodian, as the case may be, hereby authorizes such officers, employees and independent accountants (and the Servicer shall cause each Subservicer to authorize such officers, employees and independent accountants) to discuss with the Secured Parties and its representatives, the affairs of the Borrower, the Servicer or the Custodian, as the case may be. The Servicer shall reimburse the Secured Parties for all reasonable fees, costs and expenses incurred by or on behalf of the Secured Parties in connection with the foregoing actions promptly upon receipt of a written invoice therefor. Any audit provided for herein shall be conducted in accordance with the rules of the Borrower, Servicer and Custodian respecting safety and security on its premises and without materially disrupting operations. Nothing in this subsection shall affect the obligation of the Servicer or Custodian to observe any Applicable Law prohibiting the disclosure of information regarding the Obligors, and the failure of the Servicer or Custodian to provide access to information as a result of such obligation shall not constitute a breach of this subsection.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7.08. Annual Statement as to Compliance</w:t>
      </w:r>
    </w:p>
    <w:p>
      <w:pPr>
        <w:spacing w:after="0" w:line="219" w:lineRule="exact"/>
        <w:rPr>
          <w:sz w:val="20"/>
          <w:szCs w:val="20"/>
          <w:color w:val="auto"/>
        </w:rPr>
      </w:pPr>
    </w:p>
    <w:p>
      <w:pPr>
        <w:jc w:val="both"/>
        <w:ind w:firstLine="749"/>
        <w:spacing w:after="0" w:line="223" w:lineRule="auto"/>
        <w:rPr>
          <w:sz w:val="20"/>
          <w:szCs w:val="20"/>
          <w:color w:val="auto"/>
        </w:rPr>
      </w:pPr>
      <w:r>
        <w:rPr>
          <w:rFonts w:ascii="Times New Roman" w:cs="Times New Roman" w:eastAsia="Times New Roman" w:hAnsi="Times New Roman"/>
          <w:sz w:val="22"/>
          <w:szCs w:val="22"/>
          <w:color w:val="auto"/>
        </w:rPr>
        <w:t>The Servicer shall deliver to the Secured Parties, on or before April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each year, beginning in 2024, an Officer’s Certificate, dated as of the preceding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stating that (i) a review of the activities of the Servicer during the preceding 12-month period (or since the Closing Date in the case of the first such Officer’s Certificate) and of its performance under this 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02" w:name="page703"/>
    <w:bookmarkEnd w:id="702"/>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7.09. Annual Independent Public Accountant’s Reports</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color w:val="auto"/>
        </w:rPr>
        <w:t>To the extent prepared on behalf of the Servicer in connection with the public or private offering of securities backed by or relating to automobile receivables, the Servicer will deliver to the Administrative Agent and the Lenders, on or before April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each year beginning in 2024, a copy of a report prepared by a firm of independent certified public accountants, who may also render other services to the Servicer or any of its Affiliates, addressed to the Board of Directors of the Servicer or any of its Affiliates, the Secured Parties and dated during the current year, to the effect that such firm has examined the Servicer’s Credit and Collection Policy 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shorter period in the case of the first such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or private offerings of automobile receivable-backed securities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Secured Parties shall be deemed to satisfy the provisions of this Section.</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event such independent certified public accountants require the Custodian or the Paying Agent to agree to the procedures to be performed by such firm in any of the reports required to be prepared pursuant to this Section, the Servicer shall direct the Custodian or the Paying Agent in writing to so agree; it being understood and agreed that the Custodian or the Paying Agent will deliver such letter of agreement in conclusive reliance upon the direction of the Servicer, and the Custodian and the Paying Agent have not made any independent inquiry or investigation as to, and shall have no obligation or liability in respect of, the sufficiency, validity or correctness of such procedures.</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Such report shall also indicate that the firm is “Independent” of the Servicer and its Affiliates within the meaning of the Code of Professional Ethics of the American Institute of Certified Public Accountants.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7.10. [Reserved]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3" w:name="page704"/>
    <w:bookmarkEnd w:id="703"/>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7.11. Rights After Designation of Successor Servicer; Liability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At any time following the designation of a Successor Servicer pursuant to </w:t>
      </w: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 xml:space="preserve"> as a result of the occurrence of 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Servicer Termination Event:</w:t>
      </w:r>
    </w:p>
    <w:p>
      <w:pPr>
        <w:spacing w:after="0" w:line="181" w:lineRule="exact"/>
        <w:rPr>
          <w:sz w:val="20"/>
          <w:szCs w:val="20"/>
          <w:color w:val="auto"/>
        </w:rPr>
      </w:pPr>
    </w:p>
    <w:p>
      <w:pPr>
        <w:jc w:val="both"/>
        <w:ind w:left="760" w:firstLine="745"/>
        <w:spacing w:after="0" w:line="234" w:lineRule="auto"/>
        <w:tabs>
          <w:tab w:leader="none" w:pos="1940"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outgoing Servicer, on behalf of the Borrower, shall, at the Administrative Agent’s request, (i) assemble all of the Records relating to the Collateral, including all Receivable Files, and shall make the same available to the Administrative Agent, the Successor Servicer at a place selected by the Administrative Agent or, with the Administrative Agent’s prior written consent, by the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spacing w:after="0" w:line="184"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7.12. Limitation on Liability of the Servicer and Others</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misconduct, bad faith or negligence in the performance of duties.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7.13. The Servicer Not to Resign</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(except as modified in the Servicing Agreement between the Borrower, the successor Servicer and the Administrative Agent) and the Receivable Files shall have been delivered to a successor Custodian.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7.14. Servicer Termination Events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occurrence and continuance of any one of the following events shall constitute a “Servicer Termination Event” hereunder:</w:t>
      </w:r>
    </w:p>
    <w:p>
      <w:pPr>
        <w:spacing w:after="0" w:line="157"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4" w:name="page705"/>
    <w:bookmarkEnd w:id="704"/>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Upon the occurrence of any of the foregoing events,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the Custodian) (each, a “Servicer Termination Notice”), may (i) terminate all of the rights and obligations of the Servicer as Servicer under this Agreement and (ii) direct the Servicer to cause Collections to be deposited into an account other than the Lockbox Account, the Post Office Boxes and the Collection Account; provided, that such other account must be established by the Successor Servicer or the Paying Agent at the Account Bank or another Qualified Institution and (iii) direct the Servicer to delegate any or all of its duties and obligations hereunder to one or more Subservicers and (iv) direct the Servicer to deliver, or cause to be delivered, the Receivable Files and the related accounts and records maintained by the Servicer to the Administrative Agent, or its agent or designee, at such place as the Administrative Agent may reasonably designate with written notice to the Lenders.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7.15. Appointment of Successor Servicer or Subservicer</w:t>
      </w:r>
    </w:p>
    <w:p>
      <w:pPr>
        <w:spacing w:after="0" w:line="205" w:lineRule="exact"/>
        <w:rPr>
          <w:sz w:val="20"/>
          <w:szCs w:val="20"/>
          <w:color w:val="auto"/>
        </w:rPr>
      </w:pPr>
    </w:p>
    <w:p>
      <w:pPr>
        <w:jc w:val="both"/>
        <w:ind w:firstLine="757"/>
        <w:spacing w:after="0" w:line="265" w:lineRule="auto"/>
        <w:tabs>
          <w:tab w:leader="none" w:pos="1180" w:val="left"/>
        </w:tabs>
        <w:numPr>
          <w:ilvl w:val="1"/>
          <w:numId w:val="6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resignation of the Servicer pursuant to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 xml:space="preserve"> or on and after the receipt by the Servicer of a Servicer Termination Notice, the outgoing Servicer shall continue to perform all servicing functions under this Agreement until the later of</w:t>
      </w:r>
    </w:p>
    <w:p>
      <w:pPr>
        <w:spacing w:after="0" w:line="1" w:lineRule="exact"/>
        <w:rPr>
          <w:rFonts w:ascii="Times New Roman" w:cs="Times New Roman" w:eastAsia="Times New Roman" w:hAnsi="Times New Roman"/>
          <w:sz w:val="20"/>
          <w:szCs w:val="20"/>
          <w:color w:val="auto"/>
        </w:rPr>
      </w:pPr>
    </w:p>
    <w:p>
      <w:pPr>
        <w:jc w:val="both"/>
        <w:ind w:firstLine="8"/>
        <w:spacing w:after="0" w:line="231" w:lineRule="auto"/>
        <w:tabs>
          <w:tab w:leader="none" w:pos="358" w:val="left"/>
        </w:tabs>
        <w:numPr>
          <w:ilvl w:val="0"/>
          <w:numId w:val="6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and the Administrative Agent and (B) the date on which the Successor Servicer has accepted its appointment as Servicer hereunder; p</w:t>
      </w:r>
      <w:r>
        <w:rPr>
          <w:rFonts w:ascii="Times New Roman" w:cs="Times New Roman" w:eastAsia="Times New Roman" w:hAnsi="Times New Roman"/>
          <w:sz w:val="22"/>
          <w:szCs w:val="22"/>
          <w:u w:val="single" w:color="auto"/>
          <w:color w:val="auto"/>
        </w:rPr>
        <w:t>rovided that</w:t>
      </w:r>
      <w:r>
        <w:rPr>
          <w:rFonts w:ascii="Times New Roman" w:cs="Times New Roman" w:eastAsia="Times New Roman" w:hAnsi="Times New Roman"/>
          <w:sz w:val="22"/>
          <w:szCs w:val="22"/>
          <w:color w:val="auto"/>
        </w:rPr>
        <w:t>, if no Successor Servicer shall have been so appointed and have accepted appointment within 60 calendar days after the giving of such notice of resignation or receipt of such Servicer Termination Notice, the resigning Servicer may petition any court of competent jurisdiction for the appointment of a successor Servicer. The Administrative Agent may, in its discretion, at the time described in the immediately preceding sentence, appoint a successor servicer (the “</w:t>
      </w:r>
      <w:r>
        <w:rPr>
          <w:rFonts w:ascii="Times New Roman" w:cs="Times New Roman" w:eastAsia="Times New Roman" w:hAnsi="Times New Roman"/>
          <w:sz w:val="22"/>
          <w:szCs w:val="22"/>
          <w:u w:val="single" w:color="auto"/>
          <w:color w:val="auto"/>
        </w:rPr>
        <w:t>Successor Servicer</w:t>
      </w:r>
      <w:r>
        <w:rPr>
          <w:rFonts w:ascii="Times New Roman" w:cs="Times New Roman" w:eastAsia="Times New Roman" w:hAnsi="Times New Roman"/>
          <w:sz w:val="22"/>
          <w:szCs w:val="22"/>
          <w:color w:val="auto"/>
        </w:rPr>
        <w:t>”), and such Successor Servicer shall accept its appointment by a written assumption in a form acceptable to the Administrative Agent. In the event that a Successor Servicer has not accepted its appointment at the time when the Servicer ceases to act as Servicer, the Administrative Agent shall petition a court of competent jurisdiction to appoint any established financial institution and whose regular business includes the servicing of automobile receivables as the Successor Servicer hereunder.</w:t>
      </w:r>
    </w:p>
    <w:p>
      <w:pPr>
        <w:spacing w:after="0" w:line="182"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1"/>
          <w:numId w:val="6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resignation or termination and removal of the Servicer, the predecessor Servicer shall cooperate with the Successor Servicer in effecting the termination of the rights and responsibilities of the predecessor Servicer under this Agreement, including the transfer to the Successor Servicer for administration by it of all cash amounts that shall at the time be held by the predecessor Servicer for deposit, or shall thereafter be received, with respect to a Receivable, and the related accounts and records maintained by the Servicer. In the case that the Successor Servicer or Subservicer shall not agree to perform any duties or obligations of the Servicer hereunder, such duties or obligations may be performed or delegated by the Administrative Agent. The Servicer, if other than UACC, shall as soon as practicable upon demand, deliver to the Borrower all records in its possession which evidence or relate to debt of an Obligor which is not a Receivable.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05" w:name="page706"/>
    <w:bookmarkEnd w:id="705"/>
    <w:p>
      <w:pPr>
        <w:jc w:val="both"/>
        <w:ind w:firstLine="757"/>
        <w:spacing w:after="0" w:line="244" w:lineRule="auto"/>
        <w:tabs>
          <w:tab w:leader="none" w:pos="1180"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the same rights of removal and termination as contracted with respect to the Successor Servicer as with respect to UACC as the Servicer or as specified in the successor Servicing Agreement between the successor Servicer, the Borrower and the Administrative Agent.</w:t>
      </w:r>
    </w:p>
    <w:p>
      <w:pPr>
        <w:spacing w:after="0" w:line="172"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reasonable out-of-pocket costs and expenses (including attorneys’ fees and disbursements) incurred in connection with the transferring of Receivables from the Servicer to the Successor Servicer, converting the Servicer’s data to the computer system of the Successor Servicer, and amending this Agreement to reflect such succession as Servicer pursuant to this Section shall be paid by the predecessor Servicer upon presentation of reasonable transition expenses not exceeding $[***] (the “Transition Expenses”); provided,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if the Servicer breaches the obligations of Sections 7.03(a) or 7.15(b) hereof Transition Expenses shall be limited to any out of pocket expenses of the Lenders allocated to the servicing transition. If the predecessor Servicer fails to pay the Transition Expenses, the Transition Expenses shall be payable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appointment and acceptance, the Successor Servicer shall, except as otherwise set forth in this Agreement,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Successor Servicer (unless the Successor Servicer, with the consent of the Administrative Agent, enters into a separate agreement with respect to the servicing duties hereunder, in which case the terms and provisions of such successor servicing agreement shall prevail); provided, however, that any Successor Servicer shall have (i) no liability with respect to any obligation which was required to be performed by the predecessor Servicer prior to the date that the successor becomes the Successor Servicer or any claim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to this Agreement and (v) no liability or obligation with respect to any Servicer indemnification obligations of any prior Servicer, including UACC.</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Receivables.</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Successor Servicer shall act as Servicer hereunder and shall, subject to the availability of sufficient funds in the Collection Account pursuant to </w:t>
      </w:r>
      <w:r>
        <w:rPr>
          <w:rFonts w:ascii="Times New Roman" w:cs="Times New Roman" w:eastAsia="Times New Roman" w:hAnsi="Times New Roman"/>
          <w:sz w:val="22"/>
          <w:szCs w:val="22"/>
          <w:u w:val="single" w:color="auto"/>
          <w:color w:val="auto"/>
        </w:rPr>
        <w:t>Section 2.08(a)(i)</w:t>
      </w:r>
      <w:r>
        <w:rPr>
          <w:rFonts w:ascii="Times New Roman" w:cs="Times New Roman" w:eastAsia="Times New Roman" w:hAnsi="Times New Roman"/>
          <w:sz w:val="22"/>
          <w:szCs w:val="22"/>
          <w:color w:val="auto"/>
        </w:rPr>
        <w:t xml:space="preserve"> (up to the Servicing Fee), receive as compensation therefor the Servicing Fee pursuant to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6" w:name="page707"/>
    <w:bookmarkEnd w:id="706"/>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7.16. Merger or Consolidation, Assumption of Obligations or Resignation of the Servicer</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acceptable to the Administrative Agent to perform every obligation of the Servicer hereunder, shall, with the prior written consent of the Administrative Agent (which consent shall not be unreasonably withheld), be the successor to the Servicer under this Agreement without further act on the part of any of the parties to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w:t>
      </w:r>
    </w:p>
    <w:p>
      <w:pPr>
        <w:spacing w:after="0" w:line="181" w:lineRule="exact"/>
        <w:rPr>
          <w:sz w:val="20"/>
          <w:szCs w:val="20"/>
          <w:color w:val="auto"/>
        </w:rPr>
      </w:pPr>
    </w:p>
    <w:p>
      <w:pPr>
        <w:ind w:left="760" w:right="20" w:firstLine="1120"/>
        <w:spacing w:after="0" w:line="258" w:lineRule="auto"/>
        <w:tabs>
          <w:tab w:leader="none" w:pos="2315"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written notice of such consolidation, merger, succession or resignation shall be delivered by the Servicer to the Secured Parties and the Custodian;</w:t>
      </w:r>
    </w:p>
    <w:p>
      <w:pPr>
        <w:spacing w:after="0" w:line="157"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consolidation, merger, succession or resignation, no Servicer Termination Event or Unmatured Servicer Termination Event shall have occurred and be continuing;</w:t>
      </w:r>
    </w:p>
    <w:p>
      <w:pPr>
        <w:spacing w:after="0" w:line="157"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315"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Termination Event or Unmatured Termination Event would occur as result of such consolidation, merger, succession or resignation;</w:t>
      </w:r>
    </w:p>
    <w:p>
      <w:pPr>
        <w:spacing w:after="0" w:line="157" w:lineRule="exact"/>
        <w:rPr>
          <w:rFonts w:ascii="Times New Roman" w:cs="Times New Roman" w:eastAsia="Times New Roman" w:hAnsi="Times New Roman"/>
          <w:sz w:val="22"/>
          <w:szCs w:val="22"/>
          <w:color w:val="auto"/>
        </w:rPr>
      </w:pPr>
    </w:p>
    <w:p>
      <w:pPr>
        <w:jc w:val="both"/>
        <w:ind w:left="760" w:firstLine="1120"/>
        <w:spacing w:after="0" w:line="237" w:lineRule="auto"/>
        <w:tabs>
          <w:tab w:leader="none" w:pos="2315"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Secured Parties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36" w:lineRule="auto"/>
        <w:tabs>
          <w:tab w:leader="none" w:pos="2315"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UACC is the Servicer, the Servicer shall have delivered to the Borrower, the Secured Parties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7.17. Responsibilities of the Borrower</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w:t>
      </w:r>
      <w:r>
        <w:rPr>
          <w:rFonts w:ascii="Times New Roman" w:cs="Times New Roman" w:eastAsia="Times New Roman" w:hAnsi="Times New Roman"/>
          <w:sz w:val="22"/>
          <w:szCs w:val="22"/>
          <w:u w:val="single" w:color="auto"/>
          <w:color w:val="auto"/>
        </w:rPr>
        <w:t>Section 2.08(a)(x)</w:t>
      </w:r>
      <w:r>
        <w:rPr>
          <w:rFonts w:ascii="Times New Roman" w:cs="Times New Roman" w:eastAsia="Times New Roman" w:hAnsi="Times New Roman"/>
          <w:sz w:val="22"/>
          <w:szCs w:val="22"/>
          <w:color w:val="auto"/>
        </w:rPr>
        <w:t>, any Taxes, including any sales Taxes payable in connection with the Receivables and their creation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7" w:name="page708"/>
    <w:bookmarkEnd w:id="707"/>
    <w:p>
      <w:pPr>
        <w:spacing w:after="0" w:line="258" w:lineRule="auto"/>
        <w:rPr>
          <w:sz w:val="20"/>
          <w:szCs w:val="20"/>
          <w:color w:val="auto"/>
        </w:rPr>
      </w:pPr>
      <w:r>
        <w:rPr>
          <w:rFonts w:ascii="Times New Roman" w:cs="Times New Roman" w:eastAsia="Times New Roman" w:hAnsi="Times New Roman"/>
          <w:sz w:val="22"/>
          <w:szCs w:val="22"/>
          <w:color w:val="auto"/>
        </w:rPr>
        <w:t>satisfaction. No Secured Party shall have any obligation or liability with respect to any Receivable, nor shall any of them be obligated to perform any of the obligations of the Borrower thereunder.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7.18. </w:t>
      </w:r>
      <w:r>
        <w:rPr>
          <w:rFonts w:ascii="Times New Roman" w:cs="Times New Roman" w:eastAsia="Times New Roman" w:hAnsi="Times New Roman"/>
          <w:sz w:val="22"/>
          <w:szCs w:val="22"/>
          <w:u w:val="single" w:color="auto"/>
          <w:color w:val="auto"/>
        </w:rPr>
        <w:t>Custody of Receivable Files</w:t>
      </w:r>
    </w:p>
    <w:p>
      <w:pPr>
        <w:spacing w:after="0" w:line="205" w:lineRule="exact"/>
        <w:rPr>
          <w:sz w:val="20"/>
          <w:szCs w:val="20"/>
          <w:color w:val="auto"/>
        </w:rPr>
      </w:pPr>
    </w:p>
    <w:p>
      <w:pPr>
        <w:jc w:val="both"/>
        <w:ind w:firstLine="757"/>
        <w:spacing w:after="0" w:line="233" w:lineRule="auto"/>
        <w:tabs>
          <w:tab w:leader="none" w:pos="1180"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assure uniform quality in servicing the Receivables and to reduce administrative costs, the Administrative Agent, on behalf of the Secured Parties, hereby revocably appoints UACC as its agent, and UACC hereby accepts such appointment, to act as Custodian, on behalf of the Secured Parties, of the Receivables and the Receivable Files. The Custodian shall hold and maintain physical possession of all Tangible Contracts and other items of Receivable Files (other than Electronic Contracts) delivered to the Custodian and “control” (within the meaning of Section 9-105 of the UCC) of all Electronic Contracts relating to the Receivables included in the Collateral pursuant to this Agreement or the Basic Documents for the benefit of the Administrative Agent under the terms of this Agreement, as agent for the Secured Parties for purposes of perfecting and maintaining the priority of the Administrative Agent’s security interest in the Receivables. Except for actions expressly authorized by this Agreement, the Custodian shall take no action which would or would be likely to impair the security interests of any Person created or existing in, to or under any Receivable or Financed Vehicle or to impair the value of any Receivable or Financed Vehicle. The Custodian hereby agrees not to assert (in its individual capacity or otherwise) any Liens or claims of any kind with respect to the Receivable Files held or controlled by it or the related Receivables or any other Collateral and hereby releases and waives any such Liens and claims.</w:t>
      </w:r>
    </w:p>
    <w:p>
      <w:pPr>
        <w:spacing w:after="0" w:line="17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7.19. Duties of Custodian</w:t>
      </w:r>
    </w:p>
    <w:p>
      <w:pPr>
        <w:spacing w:after="0" w:line="205" w:lineRule="exact"/>
        <w:rPr>
          <w:sz w:val="20"/>
          <w:szCs w:val="20"/>
          <w:color w:val="auto"/>
        </w:rPr>
      </w:pPr>
    </w:p>
    <w:p>
      <w:pPr>
        <w:jc w:val="both"/>
        <w:ind w:firstLine="757"/>
        <w:spacing w:after="0" w:line="233" w:lineRule="auto"/>
        <w:tabs>
          <w:tab w:leader="none" w:pos="1180"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Safekeeping</w:t>
      </w:r>
      <w:r>
        <w:rPr>
          <w:rFonts w:ascii="Times New Roman" w:cs="Times New Roman" w:eastAsia="Times New Roman" w:hAnsi="Times New Roman"/>
          <w:sz w:val="22"/>
          <w:szCs w:val="22"/>
          <w:color w:val="auto"/>
        </w:rPr>
        <w:t xml:space="preserve">. The Custodian shall hold the Receivable Files for the exclusive use and benefit of the Secured Parties and shall act as agent and bailee (as used in Section 9-312 of the UCC) of the Secured Parties, make dispositions thereof only in accordance with the terms of this Agreement or with the written instructions furnished by the Administrative Agent and maintain such accurate and complete accounts, Records and computer systems pertaining to each Receivable File;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UACC may convert a Receivable that is “tangible chattel paper” to “electronic chattel paper.” The Custodian shall maintain continuous custody of the Receivables Files and such other documents received by it in secure, fire resistant facilities. In performing its duties, the Custodian shall act with reasonable care, using that degree of skill and 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Custodian’s custody of the Receivables Files. The Custodian shall promptly report to the Administrative Agent any failure on its part to hold the Receivable Files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08" w:name="page709"/>
    <w:bookmarkEnd w:id="708"/>
    <w:p>
      <w:pPr>
        <w:jc w:val="both"/>
        <w:spacing w:after="0" w:line="280" w:lineRule="auto"/>
        <w:rPr>
          <w:sz w:val="20"/>
          <w:szCs w:val="20"/>
          <w:color w:val="auto"/>
        </w:rPr>
      </w:pPr>
      <w:r>
        <w:rPr>
          <w:rFonts w:ascii="Times New Roman" w:cs="Times New Roman" w:eastAsia="Times New Roman" w:hAnsi="Times New Roman"/>
          <w:sz w:val="20"/>
          <w:szCs w:val="20"/>
          <w:color w:val="auto"/>
        </w:rPr>
        <w:t>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Custodian hereunder.</w:t>
      </w:r>
    </w:p>
    <w:p>
      <w:pPr>
        <w:spacing w:after="0" w:line="139" w:lineRule="exact"/>
        <w:rPr>
          <w:sz w:val="20"/>
          <w:szCs w:val="20"/>
          <w:color w:val="auto"/>
        </w:rPr>
      </w:pPr>
    </w:p>
    <w:p>
      <w:pPr>
        <w:jc w:val="both"/>
        <w:ind w:firstLine="757"/>
        <w:spacing w:after="0" w:line="234" w:lineRule="auto"/>
        <w:tabs>
          <w:tab w:leader="none" w:pos="1180" w:val="left"/>
        </w:tabs>
        <w:numPr>
          <w:ilvl w:val="1"/>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and Access to Records</w:t>
      </w:r>
      <w:r>
        <w:rPr>
          <w:rFonts w:ascii="Times New Roman" w:cs="Times New Roman" w:eastAsia="Times New Roman" w:hAnsi="Times New Roman"/>
          <w:sz w:val="22"/>
          <w:szCs w:val="22"/>
          <w:color w:val="auto"/>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allow the Servicer to conduct collection and other servicing activities in accordance with its customary practices and procedures. The Custodian shall in accordance with Section 7.07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Servicer Termination Event, Unmatured Servicer Termination Event, Termination Event or Unmatured Termination Event shall have occurred and is continuing, the Custodian shall make such information available at any time as requested by any Secured Party.</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180" w:val="left"/>
        </w:tabs>
        <w:numPr>
          <w:ilvl w:val="1"/>
          <w:numId w:val="6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Electronic Contracts</w:t>
      </w:r>
      <w:r>
        <w:rPr>
          <w:rFonts w:ascii="Times New Roman" w:cs="Times New Roman" w:eastAsia="Times New Roman" w:hAnsi="Times New Roman"/>
          <w:sz w:val="20"/>
          <w:szCs w:val="20"/>
          <w:color w:val="auto"/>
        </w:rPr>
        <w:t>. The parties agree that an Electronic Contract shall be “communicated” to the Custodian upon the transfer of the Authoritative Copy of such Electronic Contract from the Originator Vault Partition to the Warehouse Vault Partition, acceptance by the Custodian of such Authoritative Copy into the Warehouse Vault Partition and confirmation of such transfer by the Originator, and the Custodian shall thereafter maintain such Electronic Contract in the Warehouse Vault Partition on behalf of the Administrative Agent for the purpose of establishing control within the meaning of Section 9-105(3) of the UCC over the Contracts which are Electronic Contracts pursuant to the terms of this Agreement. Pursuant to the Electronic Collateral Control Agreement, watermarks and legends shall be applied to the Electronic Contracts by the E-Vault Provider upon transfer to the Warehouse Vault Partition, such that (i) a watermark on any perceivable rendering of the Authoritative Copy thereof shall read “Copy of Original,” (ii) a watermark on any copy of such Electronic Contract that is not a copy of the Authoritative Copy thereof shall read “Retention Copy”, “Review Copy” or “Copy Retention of Copy Original,” and</w:t>
      </w:r>
    </w:p>
    <w:p>
      <w:pPr>
        <w:spacing w:after="0" w:line="7" w:lineRule="exact"/>
        <w:rPr>
          <w:rFonts w:ascii="Times New Roman" w:cs="Times New Roman" w:eastAsia="Times New Roman" w:hAnsi="Times New Roman"/>
          <w:sz w:val="20"/>
          <w:szCs w:val="20"/>
          <w:color w:val="auto"/>
        </w:rPr>
      </w:pPr>
    </w:p>
    <w:p>
      <w:pPr>
        <w:jc w:val="both"/>
        <w:ind w:firstLine="8"/>
        <w:spacing w:after="0" w:line="233" w:lineRule="auto"/>
        <w:tabs>
          <w:tab w:leader="none" w:pos="379" w:val="left"/>
        </w:tabs>
        <w:numPr>
          <w:ilvl w:val="0"/>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Legend is placed on each perceivable rendering thereof. The Custodian shall maintain each Electronic Contract constituting or evidencing a Receivable in the Warehouse Vault Partition to reflect the name of the Borrower. The Custodian shall not Transfer or Export any Electronic Contract that constitutes or evidences a Receivable except in accordance with the terms hereof and the Electronic Collateral Control Agreement and shall not destroy any Electronic Contract that constitutes or evidences a Receivable.</w:t>
      </w:r>
    </w:p>
    <w:p>
      <w:pPr>
        <w:spacing w:after="0" w:line="177"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1"/>
          <w:numId w:val="6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Possession and Control of Contracts</w:t>
      </w:r>
      <w:r>
        <w:rPr>
          <w:rFonts w:ascii="Times New Roman" w:cs="Times New Roman" w:eastAsia="Times New Roman" w:hAnsi="Times New Roman"/>
          <w:sz w:val="22"/>
          <w:szCs w:val="22"/>
          <w:color w:val="auto"/>
        </w:rPr>
        <w:t xml:space="preserve">. The Custodian shall carry out such policies and procedures in accordance with its customary actions with respect to the handling, custody and “control” (within the meaning of Section 9-105 of the UCC) of the Contracts so that the integrity and, in the case of the Tangible Contracts, physical possession of such Tangible Contracts, will be maintained;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this shall not apply to a Receivable that has been converted from “tangible chattel paper” to “electronic chattel paper.” The Custodian shall maintain the Tangible Contracts segregated on its inventory system and shall not commingle the Tangible Contracts with any other files of any other customer of the Custodian.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09" w:name="page710"/>
    <w:bookmarkEnd w:id="709"/>
    <w:p>
      <w:pPr>
        <w:jc w:val="both"/>
        <w:ind w:firstLine="757"/>
        <w:spacing w:after="0" w:line="241" w:lineRule="auto"/>
        <w:tabs>
          <w:tab w:leader="none" w:pos="1180" w:val="left"/>
        </w:tabs>
        <w:numPr>
          <w:ilvl w:val="1"/>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Care; Indemnification for Losses</w:t>
      </w:r>
      <w:r>
        <w:rPr>
          <w:rFonts w:ascii="Times New Roman" w:cs="Times New Roman" w:eastAsia="Times New Roman" w:hAnsi="Times New Roman"/>
          <w:sz w:val="22"/>
          <w:szCs w:val="22"/>
          <w:color w:val="auto"/>
        </w:rPr>
        <w:t>. Each Receivable shall be identified on the books and records of the Custodian in a manner that (i) is consistent with the practices of a comparable custodian with respect to similar receivables, and</w:t>
      </w:r>
    </w:p>
    <w:p>
      <w:pPr>
        <w:spacing w:after="0" w:line="1" w:lineRule="exact"/>
        <w:rPr>
          <w:rFonts w:ascii="Times New Roman" w:cs="Times New Roman" w:eastAsia="Times New Roman" w:hAnsi="Times New Roman"/>
          <w:sz w:val="22"/>
          <w:szCs w:val="22"/>
          <w:color w:val="auto"/>
        </w:rPr>
      </w:pPr>
    </w:p>
    <w:p>
      <w:pPr>
        <w:jc w:val="both"/>
        <w:ind w:firstLine="8"/>
        <w:spacing w:after="0" w:line="255" w:lineRule="auto"/>
        <w:tabs>
          <w:tab w:leader="none" w:pos="380" w:val="left"/>
        </w:tabs>
        <w:numPr>
          <w:ilvl w:val="0"/>
          <w:numId w:val="6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that the Receivables that are the subject of such records are owned by the Borrower and pledged to the Administrative Agent for the benefit of the Secured Parties. The Custodian hereby waives any and all rights of offset with respect to any and all Contracts in the Custodian’s possession or “control” (within the meaning of Section 9-105 of the UCC), whether such right of offset arises by contract, operation of law or otherwise. The Custodian shall hold the Receivable Files (other than Contracts which are Electronic Contracts) in its secure and fire resistant facilities under its exclusive custody and control in accordance with customary standards for such custody. If any of the Secured Parties suffers or incurs costs, expenses, losses or damages as a result of the destruction or loss of any of the Receivable Files while in the possession of the Custodian, the Custodian shall, (i) at the request of the Administrative Agent, make any appropriate claim under any bond or insurance, and (ii) to the extent of such Secured Party’s costs, expenses, losses or damages, promptly pay the proceeds thereof to such Secured Party unless the Custodian has replaced the lost or destroyed items or has otherwise reimbursed such Secured Party for such losses or damages. The Custodian shall indemnify the Administrative Agent and its officers, directors, employees and agents from and against, any and all loss, liability or expense incurred (including the reasonable fees and expenses of counsel) as a result of the gross negligence, bad faith, or willful misconduct of the Custodian in the performance of its duties hereunder; provided, however, that the Custodian shall not be liable for any portion of any such loss, liability or expense due to the willful misconduct, bad faith or gross negligence of the Administrative Agent or its officers, directors, employees or agents.</w:t>
      </w:r>
    </w:p>
    <w:p>
      <w:pPr>
        <w:spacing w:after="0" w:line="200" w:lineRule="exact"/>
        <w:rPr>
          <w:rFonts w:ascii="Times New Roman" w:cs="Times New Roman" w:eastAsia="Times New Roman" w:hAnsi="Times New Roman"/>
          <w:sz w:val="20"/>
          <w:szCs w:val="20"/>
          <w:color w:val="auto"/>
        </w:rPr>
      </w:pPr>
    </w:p>
    <w:p>
      <w:pPr>
        <w:spacing w:after="0" w:line="211" w:lineRule="exact"/>
        <w:rPr>
          <w:rFonts w:ascii="Times New Roman" w:cs="Times New Roman" w:eastAsia="Times New Roman" w:hAnsi="Times New Roman"/>
          <w:sz w:val="20"/>
          <w:szCs w:val="20"/>
          <w:color w:val="auto"/>
        </w:rPr>
      </w:pPr>
    </w:p>
    <w:p>
      <w:pPr>
        <w:jc w:val="both"/>
        <w:ind w:firstLine="757"/>
        <w:spacing w:after="0" w:line="239" w:lineRule="auto"/>
        <w:tabs>
          <w:tab w:leader="none" w:pos="1180" w:val="left"/>
        </w:tabs>
        <w:numPr>
          <w:ilvl w:val="1"/>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Documents</w:t>
      </w:r>
      <w:r>
        <w:rPr>
          <w:rFonts w:ascii="Times New Roman" w:cs="Times New Roman" w:eastAsia="Times New Roman" w:hAnsi="Times New Roman"/>
          <w:sz w:val="22"/>
          <w:szCs w:val="22"/>
          <w:color w:val="auto"/>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spacing w:after="0" w:line="178"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1"/>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Receivables</w:t>
      </w:r>
      <w:r>
        <w:rPr>
          <w:rFonts w:ascii="Times New Roman" w:cs="Times New Roman" w:eastAsia="Times New Roman" w:hAnsi="Times New Roman"/>
          <w:sz w:val="22"/>
          <w:szCs w:val="22"/>
          <w:color w:val="auto"/>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0" w:val="left"/>
        </w:tabs>
        <w:numPr>
          <w:ilvl w:val="1"/>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Instructions; Authority to Act</w:t>
      </w:r>
      <w:r>
        <w:rPr>
          <w:rFonts w:ascii="Times New Roman" w:cs="Times New Roman" w:eastAsia="Times New Roman" w:hAnsi="Times New Roman"/>
          <w:sz w:val="22"/>
          <w:szCs w:val="22"/>
          <w:color w:val="auto"/>
        </w:rPr>
        <w:t>. The Custodian shall be deemed to have received proper instructions with respect to the Receivable Files upon its receipt of written instructions signed by a Responsible Officer of the Administrative Agent.</w:t>
      </w:r>
    </w:p>
    <w:p>
      <w:pPr>
        <w:spacing w:after="0" w:line="157" w:lineRule="exact"/>
        <w:rPr>
          <w:rFonts w:ascii="Times New Roman" w:cs="Times New Roman" w:eastAsia="Times New Roman" w:hAnsi="Times New Roman"/>
          <w:sz w:val="22"/>
          <w:szCs w:val="22"/>
          <w:color w:val="auto"/>
        </w:rPr>
      </w:pPr>
    </w:p>
    <w:p>
      <w:pPr>
        <w:jc w:val="both"/>
        <w:ind w:firstLine="757"/>
        <w:spacing w:after="0" w:line="237" w:lineRule="auto"/>
        <w:tabs>
          <w:tab w:leader="none" w:pos="1207" w:val="left"/>
        </w:tabs>
        <w:numPr>
          <w:ilvl w:val="1"/>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Custodian</w:t>
      </w:r>
      <w:r>
        <w:rPr>
          <w:rFonts w:ascii="Times New Roman" w:cs="Times New Roman" w:eastAsia="Times New Roman" w:hAnsi="Times New Roman"/>
          <w:sz w:val="22"/>
          <w:szCs w:val="22"/>
          <w:color w:val="auto"/>
        </w:rPr>
        <w:t>. The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Custodian; provided, however, that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0" w:name="page711"/>
    <w:bookmarkEnd w:id="710"/>
    <w:p>
      <w:pPr>
        <w:spacing w:after="0" w:line="258" w:lineRule="auto"/>
        <w:rPr>
          <w:sz w:val="20"/>
          <w:szCs w:val="20"/>
          <w:color w:val="auto"/>
        </w:rPr>
      </w:pPr>
      <w:r>
        <w:rPr>
          <w:rFonts w:ascii="Times New Roman" w:cs="Times New Roman" w:eastAsia="Times New Roman" w:hAnsi="Times New Roman"/>
          <w:sz w:val="22"/>
          <w:szCs w:val="22"/>
          <w:color w:val="auto"/>
        </w:rPr>
        <w:t>Custodian shall not be liable for any portion of any such loss, liability or expense resulting from the willful misconduct, bad faith or gross negligence of any Secured Party.</w:t>
      </w:r>
    </w:p>
    <w:p>
      <w:pPr>
        <w:spacing w:after="0" w:line="157" w:lineRule="exact"/>
        <w:rPr>
          <w:sz w:val="20"/>
          <w:szCs w:val="20"/>
          <w:color w:val="auto"/>
        </w:rPr>
      </w:pPr>
    </w:p>
    <w:p>
      <w:pPr>
        <w:jc w:val="both"/>
        <w:ind w:firstLine="757"/>
        <w:spacing w:after="0" w:line="234" w:lineRule="auto"/>
        <w:tabs>
          <w:tab w:leader="none" w:pos="1180" w:val="left"/>
        </w:tabs>
        <w:numPr>
          <w:ilvl w:val="0"/>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Period and Termination</w:t>
      </w:r>
      <w:r>
        <w:rPr>
          <w:rFonts w:ascii="Times New Roman" w:cs="Times New Roman" w:eastAsia="Times New Roman" w:hAnsi="Times New Roman"/>
          <w:sz w:val="22"/>
          <w:szCs w:val="22"/>
          <w:color w:val="auto"/>
        </w:rPr>
        <w:t>. UACC’s appointment as Custodian shall become effective as of the Closing Date and shall continue in full force and effect until the occurrence of a Custodian Termination Event. If a Custodian Termination Event occurs, the appointment of the Custodian hereunder may be terminated by the Administrative Agent. As soon as practicable after any such Custodian Termination Event, the Administrative Agent shall appoint an entity selected by the Administrative Agent as successor Custodian (which for such purpose will enter into the Custodial Agreement, in form and substance satisfactory to the Administrative Agent) and the Custodian shall (i) at its sole cost and expense, deliver, or cause to be delivered, possession and/or “control” (within the meaning of Section 9-105 of the UCC) of the Receivable Files and the related accounts and Records maintained by the Custodian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Inspection</w:t>
      </w:r>
      <w:r>
        <w:rPr>
          <w:rFonts w:ascii="Times New Roman" w:cs="Times New Roman" w:eastAsia="Times New Roman" w:hAnsi="Times New Roman"/>
          <w:sz w:val="22"/>
          <w:szCs w:val="22"/>
          <w:color w:val="auto"/>
        </w:rPr>
        <w:t>. The Custodian shall permit the Secured Parties, and their respective representatives and agents, upon reasonable prior notice, in the context of the audits, visits and inspections conducted pursuant to Section 7.07 and subject to the expense provisions and other restrictions contained therein, to conduct an audit of the Receivables and Receivable Files.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7.20. Certain Duties for Electronic Contracts</w:t>
      </w:r>
    </w:p>
    <w:p>
      <w:pPr>
        <w:spacing w:after="0" w:line="205" w:lineRule="exact"/>
        <w:rPr>
          <w:sz w:val="20"/>
          <w:szCs w:val="20"/>
          <w:color w:val="auto"/>
        </w:rPr>
      </w:pPr>
    </w:p>
    <w:p>
      <w:pPr>
        <w:jc w:val="both"/>
        <w:ind w:firstLine="757"/>
        <w:spacing w:after="0" w:line="232" w:lineRule="auto"/>
        <w:tabs>
          <w:tab w:leader="none" w:pos="1180" w:val="left"/>
        </w:tabs>
        <w:numPr>
          <w:ilvl w:val="0"/>
          <w:numId w:val="6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shall notify the Secured Parties and the Borrower in writing as soon as reasonably practicable and in any event within two (2) Business Days after any Responsible Officer of the Custodian receives notice or obtains actual knowledge of: (i) the intent or threat (expressed in writing) of the E-Vault Provider to terminate, or the termination of, an E-Vault Access Agreement, (ii) receipt of written notice from the E-Vault Provider of any actual or suspected theft of, accidental disclosure of, loss of, or inability to account for, any nonpublic or confidential information (including, but not limited to, the access codes of the Custodian) of the Custodian which is maintained in the Warehouse Vault Partition or the Originator Vault Partition and/or any unauthorized intrusions into the E-Vault Provider’s or any of its subcontractor’s facilities or secure systems on or in which any nonpublic or confidential information of the Custodian is maintained, (iii) receipt of written notification from the E-Vault Provider of any changes to the System Description, (iv) any Integrity Check failure with respect to or any other attempted unauthorized access to an Electronic Contract which constitutes or evidences a Receivable, (v) any claim in writing of any Person (other than the Administrative Agent) of an interest in an Electronic Contract which constitutes or evidences a Receivable, and (vi) the receipt of written notice of the commencement or the threat in writing of any actions, suits, investigations or proceedings against the E-Vault Provider or the Custodian or otherwise expressly relating to or affecting the Warehouse Vault Partition or the Originator Vault Partition or any Electronic Contract which constitutes or evidences a Receivable, in any court, or before any arbitrator of any kind, or before or by any Governmental Authority.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1" w:name="page712"/>
    <w:bookmarkEnd w:id="711"/>
    <w:p>
      <w:pPr>
        <w:jc w:val="both"/>
        <w:ind w:firstLine="757"/>
        <w:spacing w:after="0" w:line="237" w:lineRule="auto"/>
        <w:tabs>
          <w:tab w:leader="none" w:pos="1180"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Custodian ceases to have access to the E-Vault System, the Warehouse Vault Partition or any of the Electronic Contracts maintained therein (other than during routine maintenance or upgrades by the E-Vault Provider) for a period of more than one (1) Business Day, the Custodian shall promptly notify the Secured Parties and the Borrower of such event if such event prevents the Custodian from performing its duties hereunder and use commercially reasonable efforts to reestablish access, including contacting the E-Vault Provider for trouble-shooting.</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0"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Custodian shall appoint only its own personnel (or personnel of its subcontractors) as “Command Center Workspace Users” in respect of the Warehouse Vault Partition and the Electronic Contracts contained therein and shall not otherwise permit any Person to have access to thereto (other than (x) in connection with audits under clause (d) of this Section 7.20 or similar audits provided for under agreements with other parties to an Electronic Collateral Control Agreement and (y) from and after the delivery of a Notice of Exclusive Control under (and as defined in) an Electronic Collateral Control Agreement, the Administrative Agent and any Person appointed by the Administrative Agent as a “Command Center Workspace User”). Except as contemplated in an Electronic Collateral Control Agreement or herein, the Custodian shall not provide any other Person (including any Lender having an interest in Electronic Contracts maintained by it as custodian) any right to control the actions of the Custodian with respect to the Electronic Contracts maintained in the Warehouse Vault Partition or permit any Person to direct the Custodian (in any capacity) to take or refrain from taking any action in respect to the Electronic Contracts which constitute or evidence any Receivables. The parties hereto acknowledge that the Custodian has no liability under an E-Vault Access Agreement and has only the duties and obligations of the Custodian specified hereunder or expressly set forth in the Electronic Collateral Control Agreement.</w:t>
      </w:r>
    </w:p>
    <w:p>
      <w:pPr>
        <w:spacing w:after="0" w:line="17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7.07, the Custodian shall permit the Administrative Agent and each Lender and their respective agents or representatives: (i) to conduct periodic reviews of the Electronic Contracts which constitute or evidence Receivables and the related Records of the Custodian, which shall consist of setting all such Electronic Contracts to “audit” status and providing the Administrative Agent and agents or representatives with credentials to view such Electronic Contracts; (ii) to examine and obtain copies of and prepare summaries and reports relating to the Records in its possession or control relating to the Electronic Contracts which constitute or evidence Receivables; (iii) to visit the offices and properties of the Custodian for the purpose of examining the materials described in clause (ii) above; and (iv) to discuss matters relating to the Electronic Contracts which constitute or evidence Receivables or the Custodian’s performance hereunder with any of the officers or employees of the Custodian having knowledge of such matters. The cost of any such examination shall be reimbursed by the Servicer or the Borrower in accordance with Section 2.08 of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 the occurrence of a Termination Event or a Servicer Termination Event, (x) a breach by the Custodian of its obligations hereunder or a breach by any Person of its obligations under the E-Vault Access Agreement or the Electronic Collateral Control Agreement, (y) the termination of the E-Vault Access Agreement or the Electronic Collateral Control Agreement or the delivery of any notice of termination thereunder or (z) a determination by the Administrative Agent, in its reasonable discretion, that the functionality, security, integrity or reliability of the E-Vault System, the Originator Vault Partition or the Warehouse Vault Partition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2" w:name="page713"/>
    <w:bookmarkEnd w:id="712"/>
    <w:p>
      <w:pPr>
        <w:jc w:val="both"/>
        <w:spacing w:after="0" w:line="234" w:lineRule="auto"/>
        <w:rPr>
          <w:sz w:val="20"/>
          <w:szCs w:val="20"/>
          <w:color w:val="auto"/>
        </w:rPr>
      </w:pPr>
      <w:r>
        <w:rPr>
          <w:rFonts w:ascii="Times New Roman" w:cs="Times New Roman" w:eastAsia="Times New Roman" w:hAnsi="Times New Roman"/>
          <w:sz w:val="22"/>
          <w:szCs w:val="22"/>
          <w:color w:val="auto"/>
        </w:rPr>
        <w:t>is impaired or the Receivables are otherwise adversely affected by any event (including any change in configuration, technology or law) or circumstance with respect to the E-Vault Provider, the Custodian, the E-Vault System, the Warehouse Vault Partition, the Originator Vault Partition, the Electronic Collateral Control Agreement or Electronic Contracts generally, including, without limitation, adverse claims being asserted therein by the E-Vault Provider or other lenders, (a) the Custodian shall, notwithstanding any contrary instruction received from the Borrower, promptly take such action with respect to the Electronic Contracts which constitute or evidence the Receivables and with respect to the Warehouse Vault Partition, as the Administrative Agent may direct in writing, including Exporting the Electronic Contracts maintained within the E-Vault System which constitute or evidence the Receivables and (b) the Administrative Agent, as “Secured Party” under the Electronic Collateral Control Agreement in respect of the Warehouse Vault Partition, may deliver a Notice of Exclusive Control under (and as defined in) an Electronic Collateral Control Agreement.</w:t>
      </w:r>
    </w:p>
    <w:p>
      <w:pPr>
        <w:spacing w:after="0" w:line="176" w:lineRule="exact"/>
        <w:rPr>
          <w:sz w:val="20"/>
          <w:szCs w:val="20"/>
          <w:color w:val="auto"/>
        </w:rPr>
      </w:pPr>
    </w:p>
    <w:p>
      <w:pPr>
        <w:jc w:val="both"/>
        <w:ind w:firstLine="757"/>
        <w:spacing w:after="0" w:line="237" w:lineRule="auto"/>
        <w:tabs>
          <w:tab w:leader="none" w:pos="1180"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exercise of any foreclosure or similar rights and remedies by the Administrative Agent in respect of the Electronic Contracts which constitute or evidence Receivables, the Custodian shall, as directed by the Administrative Agent in writing, (i) direct the E-Vault Provider to update the Required Legend to read as directed in writing by the Administrative Agent and (ii) otherwise take such reasonable action in respect thereof as the Administrative Agent shall reasonably request.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EIGHT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[RESERVED]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NINE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TERMINATION EVENTS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9.01. Termination Events</w:t>
      </w:r>
    </w:p>
    <w:p>
      <w:pPr>
        <w:spacing w:after="0" w:line="205" w:lineRule="exact"/>
        <w:rPr>
          <w:sz w:val="20"/>
          <w:szCs w:val="20"/>
          <w:color w:val="auto"/>
        </w:rPr>
      </w:pPr>
    </w:p>
    <w:p>
      <w:pPr>
        <w:ind w:left="1180" w:hanging="423"/>
        <w:spacing w:after="0"/>
        <w:tabs>
          <w:tab w:leader="none" w:pos="1180"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events shall constitute a “Termination Event”:</w:t>
      </w:r>
    </w:p>
    <w:p>
      <w:pPr>
        <w:spacing w:after="0" w:line="205"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1"/>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demand, protest or any notice of any kind, all of which are hereby expressly waived by the Borrower, (i) in the event that a Termination Event described in </w:t>
      </w:r>
      <w:r>
        <w:rPr>
          <w:rFonts w:ascii="Times New Roman" w:cs="Times New Roman" w:eastAsia="Times New Roman" w:hAnsi="Times New Roman"/>
          <w:sz w:val="22"/>
          <w:szCs w:val="22"/>
          <w:u w:val="single" w:color="auto"/>
          <w:color w:val="auto"/>
        </w:rPr>
        <w:t>Section 9.01(a)(vi), or (xvii)</w:t>
      </w:r>
      <w:r>
        <w:rPr>
          <w:rFonts w:ascii="Times New Roman" w:cs="Times New Roman" w:eastAsia="Times New Roman" w:hAnsi="Times New Roman"/>
          <w:sz w:val="22"/>
          <w:szCs w:val="22"/>
          <w:color w:val="auto"/>
        </w:rPr>
        <w:t xml:space="preserve"> has occurred, the Termination Date shall automatically occur and (ii) upon the occurrence of any other Termination Event, the Administrative Agent shall, at the written request, or may with the written consent, of the Required Lenders, by notice to the Borrower, declare the Termination Date to have occurred and all Loans Outstanding and all other amounts owing by the Borrower under this Agreement shall be accelerated and become immediately due and payable.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9.02. Actions Upon Occurrence of the Termination Date</w:t>
      </w:r>
    </w:p>
    <w:p>
      <w:pPr>
        <w:spacing w:after="0" w:line="205" w:lineRule="exact"/>
        <w:rPr>
          <w:sz w:val="20"/>
          <w:szCs w:val="20"/>
          <w:color w:val="auto"/>
        </w:rPr>
      </w:pPr>
    </w:p>
    <w:p>
      <w:pPr>
        <w:ind w:right="20" w:firstLine="757"/>
        <w:spacing w:after="0" w:line="258" w:lineRule="auto"/>
        <w:tabs>
          <w:tab w:leader="none" w:pos="1180"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automatic occurrence, or the declaration of the occurrence, of the Termination Date in accordance with </w:t>
      </w:r>
      <w:r>
        <w:rPr>
          <w:rFonts w:ascii="Times New Roman" w:cs="Times New Roman" w:eastAsia="Times New Roman" w:hAnsi="Times New Roman"/>
          <w:sz w:val="22"/>
          <w:szCs w:val="22"/>
          <w:u w:val="single" w:color="auto"/>
          <w:color w:val="auto"/>
        </w:rPr>
        <w:t>Section 9.01(b)</w:t>
      </w:r>
      <w:r>
        <w:rPr>
          <w:rFonts w:ascii="Times New Roman" w:cs="Times New Roman" w:eastAsia="Times New Roman" w:hAnsi="Times New Roman"/>
          <w:sz w:val="22"/>
          <w:szCs w:val="22"/>
          <w:color w:val="auto"/>
        </w:rPr>
        <w:t>, the following shall immediately occur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3" w:name="page714"/>
    <w:bookmarkEnd w:id="713"/>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without further action: (i) the Revolving Period shall terminate and no further Loans will be made and (ii) all Available Funds after </w:t>
      </w:r>
      <w:r>
        <w:rPr>
          <w:rFonts w:ascii="Times New Roman" w:cs="Times New Roman" w:eastAsia="Times New Roman" w:hAnsi="Times New Roman"/>
          <w:sz w:val="22"/>
          <w:szCs w:val="22"/>
          <w:u w:val="single" w:color="auto"/>
          <w:color w:val="auto"/>
        </w:rPr>
        <w:t>item (iv)</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2.08(a)</w:t>
      </w:r>
      <w:r>
        <w:rPr>
          <w:rFonts w:ascii="Times New Roman" w:cs="Times New Roman" w:eastAsia="Times New Roman" w:hAnsi="Times New Roman"/>
          <w:sz w:val="22"/>
          <w:szCs w:val="22"/>
          <w:color w:val="auto"/>
        </w:rPr>
        <w:t xml:space="preserve"> will be used to reduce the Loans Outstanding and (iii) Interest on all Loans Outstanding shall increase to the Default Rate.</w:t>
      </w:r>
    </w:p>
    <w:p>
      <w:pPr>
        <w:spacing w:after="0" w:line="172" w:lineRule="exact"/>
        <w:rPr>
          <w:sz w:val="20"/>
          <w:szCs w:val="20"/>
          <w:color w:val="auto"/>
        </w:rPr>
      </w:pPr>
    </w:p>
    <w:p>
      <w:pPr>
        <w:jc w:val="both"/>
        <w:ind w:firstLine="757"/>
        <w:spacing w:after="0" w:line="237" w:lineRule="auto"/>
        <w:tabs>
          <w:tab w:leader="none" w:pos="1180"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automatic occurrence of, or the declaration of the occurrence of, the Termination Date arising from a Termination Event, the Administrative Agent may, or at the direction of the Required Lenders,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the following remedial actions:</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37" w:lineRule="auto"/>
        <w:tabs>
          <w:tab w:leader="none" w:pos="2315" w:val="left"/>
        </w:tabs>
        <w:numPr>
          <w:ilvl w:val="1"/>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Collection Account or any part of such accounts in accordance with the priorities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2.08</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left="760" w:right="60" w:firstLine="1120"/>
        <w:spacing w:after="0" w:line="258" w:lineRule="auto"/>
        <w:tabs>
          <w:tab w:leader="none" w:pos="2315" w:val="left"/>
        </w:tabs>
        <w:numPr>
          <w:ilvl w:val="1"/>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take any action permitted under the Basic Documents, including exercising any rights available to it under the Intercreditor Agreement.</w:t>
      </w:r>
    </w:p>
    <w:p>
      <w:pPr>
        <w:spacing w:after="0" w:line="157" w:lineRule="exact"/>
        <w:rPr>
          <w:rFonts w:ascii="Times New Roman" w:cs="Times New Roman" w:eastAsia="Times New Roman" w:hAnsi="Times New Roman"/>
          <w:sz w:val="22"/>
          <w:szCs w:val="22"/>
          <w:color w:val="auto"/>
        </w:rPr>
      </w:pPr>
    </w:p>
    <w:p>
      <w:pPr>
        <w:jc w:val="both"/>
        <w:ind w:left="760" w:firstLine="1120"/>
        <w:spacing w:after="0" w:line="266" w:lineRule="auto"/>
        <w:tabs>
          <w:tab w:leader="none" w:pos="2315" w:val="left"/>
        </w:tabs>
        <w:numPr>
          <w:ilvl w:val="1"/>
          <w:numId w:val="6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(x) direct the Custodian in writing to exercise any rights and remedies available to it under the E-Vault Access Agreement in respect of the Warehouse Vault Partition and the Electronic Contracts therein which constitute or evidence the Receivables, including directing the transfer of such Electronic Contracts to another provider of e-vaulting services or causing such Electronic Contracts to be Exported, and (y) exercise any rights or remedies of the Administrative Agent under the Electronic Collateral Control Agreement.</w:t>
      </w:r>
    </w:p>
    <w:p>
      <w:pPr>
        <w:spacing w:after="0" w:line="154" w:lineRule="exact"/>
        <w:rPr>
          <w:rFonts w:ascii="Times New Roman" w:cs="Times New Roman" w:eastAsia="Times New Roman" w:hAnsi="Times New Roman"/>
          <w:sz w:val="20"/>
          <w:szCs w:val="20"/>
          <w:color w:val="auto"/>
        </w:rPr>
      </w:pPr>
    </w:p>
    <w:p>
      <w:pPr>
        <w:jc w:val="both"/>
        <w:ind w:left="760" w:firstLine="1120"/>
        <w:spacing w:after="0" w:line="233" w:lineRule="auto"/>
        <w:tabs>
          <w:tab w:leader="none" w:pos="2315" w:val="left"/>
        </w:tabs>
        <w:numPr>
          <w:ilvl w:val="1"/>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the rights and remedies of a secured party under the UCC (and except as otherwise required by the UCC), the Administrative Agent may, on behalf of the Secured Parties and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 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4" w:name="page715"/>
    <w:bookmarkEnd w:id="714"/>
    <w:p>
      <w:pPr>
        <w:ind w:left="760"/>
        <w:spacing w:after="0" w:line="258" w:lineRule="auto"/>
        <w:rPr>
          <w:sz w:val="20"/>
          <w:szCs w:val="20"/>
          <w:color w:val="auto"/>
        </w:rPr>
      </w:pPr>
      <w:r>
        <w:rPr>
          <w:rFonts w:ascii="Times New Roman" w:cs="Times New Roman" w:eastAsia="Times New Roman" w:hAnsi="Times New Roman"/>
          <w:sz w:val="22"/>
          <w:szCs w:val="22"/>
          <w:color w:val="auto"/>
        </w:rPr>
        <w:t>be a perpetual bar, both at law and in equity, against the Borrower or any Person claiming the Collateral sold through the Borrower and its successors or assigns.</w:t>
      </w:r>
    </w:p>
    <w:p>
      <w:pPr>
        <w:spacing w:after="0" w:line="157" w:lineRule="exact"/>
        <w:rPr>
          <w:sz w:val="20"/>
          <w:szCs w:val="20"/>
          <w:color w:val="auto"/>
        </w:rPr>
      </w:pPr>
    </w:p>
    <w:p>
      <w:pPr>
        <w:jc w:val="both"/>
        <w:ind w:left="760" w:firstLine="1120"/>
        <w:spacing w:after="0" w:line="235" w:lineRule="auto"/>
        <w:tabs>
          <w:tab w:leader="none" w:pos="2315"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completion of any sale under Section 9.02(b)(iv),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37" w:lineRule="auto"/>
        <w:tabs>
          <w:tab w:leader="none" w:pos="2315"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sale under Section 9.02(b)(iv), UACC or any Secured Party may bid for and purchase the property offered for sale and, upon compliance with the terms of sale, may hold, retain and dispose of such property without further accountability therefor. Any Secured Party purchasing property at a sale under Section 9.02(b)(iv) may set off the purchase price of such property against amounts owing to such Secured Party in full payment of such purchase price.</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9.03. Exercise of Remedies</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 failure or delay on the part of the Administrative Agent to exercise any right, power or privilege under this Agreement and no course of dealing between the Borrower or the Secured Parties, on the one hand, and the Administrative Agent,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9.04. Waiver of Certain Laws</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5" w:name="page716"/>
    <w:bookmarkEnd w:id="715"/>
    <w:p>
      <w:pPr>
        <w:jc w:val="both"/>
        <w:spacing w:after="0" w:line="237" w:lineRule="auto"/>
        <w:rPr>
          <w:sz w:val="20"/>
          <w:szCs w:val="20"/>
          <w:color w:val="auto"/>
        </w:rPr>
      </w:pPr>
      <w:r>
        <w:rPr>
          <w:rFonts w:ascii="Times New Roman" w:cs="Times New Roman" w:eastAsia="Times New Roman" w:hAnsi="Times New Roman"/>
          <w:sz w:val="22"/>
          <w:szCs w:val="22"/>
          <w:color w:val="auto"/>
        </w:rPr>
        <w:t>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9.05. Power of Attorney</w:t>
      </w:r>
    </w:p>
    <w:p>
      <w:pPr>
        <w:spacing w:after="0" w:line="20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Borrower hereby irrevocably appoints the Administrative Agent its true and lawful attorney (with full power of substitution) in its name, place and stead and at its expense, in connection with the enforcement of the rights and remedies provided for in this Article, including: (i) exercise all rights and privileges of the Borrower under the Purchase Agreement (including each Transfer Agreement); (ii) pay or discharge any Taxes, Liens or other encumbrances levied or placed on or threatened against the Borrower or the Borrower’s property; (iii) defend any suit, action or proceeding brought against the Borrower if the Borrower does not defend such suit, action or proceeding or if the Administrative Agent believes that it is not pursuing such defense in a manner that will maximize the recovery to the Administrative Agent, and settle, compromise or adjust any suit, action or proceeding described above and, in connection therewith, give such discharges or releases as the Administrative Agent may deem appropriate; (iv) file or prosecute any claim, litigation, suit or proceeding in any court of competent jurisdiction or before any arbitrator, or take any other action otherwise deemed appropriate by the Administrative Agent for the purpose of collecting any and all such moneys due to the Borrower whenever payable and to enforce any other right in respect of the Borrower’s property; (v) sell, transfer, pledge, make any agreement with respect to or otherwise deal with, any of the Borrower’s property, and execute, in connection with such sale or action, any endorsements, assignments or other instruments of conveyance or transfer in connection therewith; and (vi) cause the certified public accountants then engaged by the Borrower to prepare and deliver to the Administrative Agent at any time and from time to time, promptly upon the Administrative Agent’s request, any reports required to be prepared by or on behalf of the Borrower under this Agreement or any other Basic Document, all as though the Administrative Agent were the absolute owner of its property for all purposes, and to do, at the Administrative Agent’s option and the Borrower’s expense, at any time or from time to time, all acts and other things that the Administrative Agent reasonably deems necessary to perfect, preserve, or realize upon its property or assets and the Liens of the Administrative Agent, as agent for the Secured Parties thereon, all as fully and effectively as it might do.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TEN</w:t>
      </w:r>
    </w:p>
    <w:p>
      <w:pPr>
        <w:spacing w:after="0" w:line="23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INDEMNIFICATION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10.01. Indemnities by the Borrower and Servicer</w:t>
      </w:r>
    </w:p>
    <w:p>
      <w:pPr>
        <w:spacing w:after="0" w:line="205" w:lineRule="exact"/>
        <w:rPr>
          <w:sz w:val="20"/>
          <w:szCs w:val="20"/>
          <w:color w:val="auto"/>
        </w:rPr>
      </w:pPr>
    </w:p>
    <w:p>
      <w:pPr>
        <w:ind w:left="2320" w:hanging="440"/>
        <w:spacing w:after="0"/>
        <w:tabs>
          <w:tab w:leader="none" w:pos="2320"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the foregoing, in no event shall any Indemnified Party (i) be indemnified against any Indemnified Amounts to the extent such Indemnified Amounts are or result from Taxes asserted with respect to Taxes on, or measured by, the net income of the applicable Indemnified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6" w:name="page717"/>
    <w:bookmarkEnd w:id="716"/>
    <w:p>
      <w:pPr>
        <w:jc w:val="both"/>
        <w:spacing w:after="0" w:line="258" w:lineRule="auto"/>
        <w:rPr>
          <w:sz w:val="20"/>
          <w:szCs w:val="20"/>
          <w:color w:val="auto"/>
        </w:rPr>
      </w:pPr>
      <w:r>
        <w:rPr>
          <w:rFonts w:ascii="Times New Roman" w:cs="Times New Roman" w:eastAsia="Times New Roman" w:hAnsi="Times New Roman"/>
          <w:sz w:val="22"/>
          <w:szCs w:val="22"/>
          <w:color w:val="auto"/>
        </w:rPr>
        <w:t>Party or (ii) indemnified twice for the same Servicer Indemnified Amount by reason of application of the indemnity provided under Section 5.07 of the Purchase Agreement.</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amounts subject to the indemnification provisions of this Section and payable by (1) the Borrower shall be paid by the Borrower solely pursuant to the provisions of Section 2.08 in the order and priority set forth therein or (2) UACC, shall be paid directly by UACC.</w:t>
      </w:r>
    </w:p>
    <w:p>
      <w:pPr>
        <w:spacing w:after="0" w:line="172" w:lineRule="exact"/>
        <w:rPr>
          <w:sz w:val="20"/>
          <w:szCs w:val="20"/>
          <w:color w:val="auto"/>
        </w:rPr>
      </w:pPr>
    </w:p>
    <w:p>
      <w:pPr>
        <w:jc w:val="both"/>
        <w:ind w:firstLine="757"/>
        <w:spacing w:after="0" w:line="244" w:lineRule="auto"/>
        <w:tabs>
          <w:tab w:leader="none" w:pos="1180"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obligations in this Section 10.01 shall be cumulative and in addition to any obligation that the Borrower and UACC may otherwise have and shall survive the resignation or removal of any Indemnified Party and the termination or assignment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ELEVEN</w:t>
      </w:r>
    </w:p>
    <w:p>
      <w:pPr>
        <w:spacing w:after="0" w:line="2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11.01. Authorization and Action</w:t>
      </w:r>
    </w:p>
    <w:p>
      <w:pPr>
        <w:spacing w:after="0" w:line="205" w:lineRule="exact"/>
        <w:rPr>
          <w:sz w:val="20"/>
          <w:szCs w:val="20"/>
          <w:color w:val="auto"/>
        </w:rPr>
      </w:pPr>
    </w:p>
    <w:p>
      <w:pPr>
        <w:jc w:val="both"/>
        <w:ind w:firstLine="757"/>
        <w:spacing w:after="0" w:line="234" w:lineRule="auto"/>
        <w:tabs>
          <w:tab w:leader="none" w:pos="1180"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Secured Party hereby designates and appoints Fifth Third Bank, National Association (and Fifth Third Bank, National Association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Facility Termination Date.</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6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to the contrary elsewhere in this Agreement, the Administrative Agent shall not have any duties or responsibilities, except those expressly set forth herein, or any fiduciary relationship with any other Secured Party, and no implied covenants, functions, responsibilities, duties, obligations or liabilities shall be read into this Agreement or otherwise exist against the Administrative Agent.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11.02. Delegation of Duties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Administrative Agent may execute any of its duties under any of the Basic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11.03. Exculpatory Provisions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Neither the Administrative Agent nor any of its directors, officers, agents or employees shall be (i) liable for any action lawfully taken or omitted to be taken by it or them under or 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7" w:name="page718"/>
    <w:bookmarkEnd w:id="717"/>
    <w:p>
      <w:pPr>
        <w:jc w:val="both"/>
        <w:spacing w:after="0" w:line="259" w:lineRule="auto"/>
        <w:rPr>
          <w:sz w:val="20"/>
          <w:szCs w:val="20"/>
          <w:color w:val="auto"/>
        </w:rPr>
      </w:pPr>
      <w:r>
        <w:rPr>
          <w:rFonts w:ascii="Times New Roman" w:cs="Times New Roman" w:eastAsia="Times New Roman" w:hAnsi="Times New Roman"/>
          <w:sz w:val="20"/>
          <w:szCs w:val="20"/>
          <w:color w:val="auto"/>
        </w:rPr>
        <w:t>connection with this Agreement (except for its, their or such Person’s own bad faith, gross negligence or willful misconduct or, in the case of the Administrative Agent, the breach of its obligations expressly set forth in this Agreement) or (ii) responsible in any manner to any other Secured Parties for any recitals, statements, representations or warranties made by the Borrower, the Servicer, the Seller, the Paying Agent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The Administrative Agent shall not be under any obligation to any other Secured Party to ascertain or to inquire as to the observance or performance of any of the agreements or covenants contained in, or conditions of, this Agreement, or to inspect the properties, books or records of the Borrower.</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11.04. Reliance</w:t>
      </w:r>
    </w:p>
    <w:p>
      <w:pPr>
        <w:spacing w:after="0" w:line="205" w:lineRule="exact"/>
        <w:rPr>
          <w:sz w:val="20"/>
          <w:szCs w:val="20"/>
          <w:color w:val="auto"/>
        </w:rPr>
      </w:pPr>
    </w:p>
    <w:p>
      <w:pPr>
        <w:jc w:val="both"/>
        <w:ind w:firstLine="757"/>
        <w:spacing w:after="0" w:line="237" w:lineRule="auto"/>
        <w:tabs>
          <w:tab w:leader="none" w:pos="1180"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Administrative Agent), independent accountants and other experts selected by the Administrative Agent.</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be fully justified in failing or refusing to take any action under any of the Basic Documents unless it shall first receive such advice or concurrence of the Required Lenders as it deems appropriate or it shall first be indemnified to its satisfaction by, the other Secured Parties, against any and all liability and expense which may be incurred by it by reason of taking or continuing to take any such action.</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in all cases be fully protected in acting, or in refraining from acting, under any of the Basic Documents in accordance with a request of the Required Lenders, and such request and any action taken or failure to act pursuant thereto shall be binding upon all present and future Lenders.</w:t>
      </w:r>
    </w:p>
    <w:p>
      <w:pPr>
        <w:spacing w:after="0" w:line="172"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6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deemed to have knowledge or notice of the occurrence of any breach of this Agreement or the occurrence of any Early Amortization Event, Unmatured Termination Event, Termination Event, Servicer Termination Event or Unmatured Servicer Termination Event unless it has received notice from the Borrower, the Servicer, or other Secured Party, referring to this Agreement and describing such event. The Administrative Agent shall take such action with respect to such event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event as it shall deem advisable in the best interests of the other Secured Parties.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8" w:name="page719"/>
    <w:bookmarkEnd w:id="718"/>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11.05. Non-Reliance on Administrative Agent and Other Lenders</w:t>
      </w:r>
    </w:p>
    <w:p>
      <w:pPr>
        <w:spacing w:after="0" w:line="20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Each other Secured Party expressly acknowledges that neither the Administrative Agent nor any of its officers, directors, employees, agents, attorneys-in-fact or Affiliates has made any representations or warranties to it and that no act by the Administrative Agent hereafter taken, including any review of the affairs of the Borrower, the Performance Guarantor, the Seller, the Servicer, the Paying Agent and the Custodian shall be deemed to constitute any representation or warranty by the Administrative Agent to any other Secured Party. Each other Secured Party represents to the Administrative Agent that it has, independently and without reliance upon the Administrative Agent or any other Secured Party, and based on such documents and information as it has deemed appropriate, made its own appraisal of and investigation into the business, operations, property, financial and other condition and creditworthiness of the Borrower, the Performance Guarantor, the Servicer, the Seller, the Paying Agent or the Custodian and the Receivables and made its own decision to purchase its interest in the Notes hereunder and enter into this Agreement. Each other Secured Party also represents that it will, independently and without reliance upon the Administrative Agent or any other Secured Party,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Performance Guarantor, the Servicer, the Seller, the Paying Agent or the Custodian and the Receivables. The Administrative Agent shall have no duty or responsibility to provide any other Secured Party with any credit or other information concerning the business, operations, property, condition (financial or otherwise), prospects or creditworthiness of the Borrower, the Performance Guarantor, the Servicer, the Seller, the Paying Agent or the Custodian or the Receivables which may come into the possession of the Administrative Agent or any of its officers, directors, employees, agents, attorneys-in-fact or Affiliates.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11.06. Indemnification</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Lenders agree to indemnify the Administrative Agent in its capacity as such (without limiting the obligation (if any) of the Borrower or the Servicer to reimburse the Administrative Agent for any such amounts), ratably according to their Lenders’ Percentages from and against any and all liabilities, obligations, losses, damages, penalties, actions, judgments, suits, costs, expenses or disbursements of any kind whatsoever which may at any time (including at any time following the Facility Termination Date)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The provisions of this Section shall survive the payment of the Obligations under this Agreement, including the Loans Outstanding, the termination of this Agreement, and any resignation or removal of the Administrative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11.07. Administrative Agent in its Individual Capacity</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Administrative Agent and its Affiliates may offer Bank Products and generally engage in any kind of business with the Borrower and any other party to a Basic Document as though 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19" w:name="page720"/>
    <w:bookmarkEnd w:id="719"/>
    <w:p>
      <w:pPr>
        <w:jc w:val="both"/>
        <w:spacing w:after="0" w:line="264" w:lineRule="auto"/>
        <w:rPr>
          <w:sz w:val="20"/>
          <w:szCs w:val="20"/>
          <w:color w:val="auto"/>
        </w:rPr>
      </w:pPr>
      <w:r>
        <w:rPr>
          <w:rFonts w:ascii="Times New Roman" w:cs="Times New Roman" w:eastAsia="Times New Roman" w:hAnsi="Times New Roman"/>
          <w:sz w:val="20"/>
          <w:szCs w:val="20"/>
          <w:color w:val="auto"/>
        </w:rPr>
        <w:t>were not the Administrative Agent hereunder. Any such Person shall not, by virtue of its acting in any such other capacities, be deemed to have duties or responsibilities hereunder or be held to a standard of care in connection with the performance of its duties as Administrative Agent other than as expressly provided in this Agreement.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11.08. Successor Agents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The Administrative Agent may freely assign its rights and obligations hereunder upon ten days’ notice to the other Secured Parties and the Borrower. The Administrative Agent may resign as Administrative Agent upon ten days’ notice to the other Secured Parties and the Borrower with such resignation becoming effective upon a successor agent succeeding to the rights, powers and duties of the Administrative Agent pursuant to this Section. If the Administrative Agent shall resign as Administrative Agent under this Agreement, then the Required Lenders shall appoint a successor administrative agent. Any successor administrative agent shall succeed to the rights, powers and duties of resigning Administrative Agent under this Agreement and the Basic Documents, and the term “Administrative Agent” shall mean such successor administrative agent effective upon its appointment, and the former Administrative Agent’s rights, powers and duties as Administrative Agent shall be terminated, without any other or further act or deed on the part of such former Administrative Agent or any of the parties to this Agreement. After the retiring Administrative Agent’s resignation as Administrative Agent, the provisions of this Article shall inure to its benefit as to any actions taken or omitted to be taken by it while it was Administrative Agent under this Agreement.</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11.09. Acknowledgments Regarding Erroneous Payments</w:t>
      </w:r>
    </w:p>
    <w:p>
      <w:pPr>
        <w:spacing w:after="0" w:line="205" w:lineRule="exact"/>
        <w:rPr>
          <w:sz w:val="20"/>
          <w:szCs w:val="20"/>
          <w:color w:val="auto"/>
        </w:rPr>
      </w:pPr>
    </w:p>
    <w:p>
      <w:pPr>
        <w:jc w:val="both"/>
        <w:ind w:firstLine="757"/>
        <w:spacing w:after="0" w:line="232" w:lineRule="auto"/>
        <w:tabs>
          <w:tab w:leader="none" w:pos="1180" w:val="left"/>
        </w:tabs>
        <w:numPr>
          <w:ilvl w:val="0"/>
          <w:numId w:val="6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hereby agrees that (x) if Administrative Agent notifies such Lender that the Administrative Agent has determined in its sole discretion that any funds received by such Lender from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Administrative Agent the amount of any such Payment (or portion thereof) as to which such a demand was made in same day funds (in the currency so received), together with interest thereon in respect of each day from and including the date such Payment (or portion thereof) was received by such Lender to the date such amount is repaid to Administrative Agent at the greater of the Federal Funds Rate and a rate determined by Administrative Agent in accordance with banking industry rules on interbank compensation from time to time in effect, and (y) to the extent permitted by Applicable Law, such Lender shall not assert, and hereby waives, as to Administrative Agent, any claim, counterclaim, defense or right of set-off or recoupment with respect to any demand, claim or counterclaim by Administrative Agent for the return of any Payments received, including without limitation any defense based on “discharge for value” or any similar doctrine. A notice of Administrative Agent to any Lender under this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xml:space="preserve"> shall be conclusive, absent manifest error.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0" w:name="page721"/>
    <w:bookmarkEnd w:id="720"/>
    <w:p>
      <w:pPr>
        <w:ind w:left="1180" w:hanging="423"/>
        <w:spacing w:after="0"/>
        <w:tabs>
          <w:tab w:leader="none" w:pos="1180" w:val="left"/>
        </w:tabs>
        <w:numPr>
          <w:ilvl w:val="1"/>
          <w:numId w:val="6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further agrees that if it receives a Payment from Administrative Agent or any of its Affiliates</w:t>
      </w:r>
    </w:p>
    <w:p>
      <w:pPr>
        <w:spacing w:after="0" w:line="13" w:lineRule="exact"/>
        <w:rPr>
          <w:rFonts w:ascii="Times New Roman" w:cs="Times New Roman" w:eastAsia="Times New Roman" w:hAnsi="Times New Roman"/>
          <w:sz w:val="22"/>
          <w:szCs w:val="22"/>
          <w:color w:val="auto"/>
        </w:rPr>
      </w:pPr>
    </w:p>
    <w:p>
      <w:pPr>
        <w:jc w:val="both"/>
        <w:ind w:firstLine="8"/>
        <w:spacing w:after="0" w:line="256" w:lineRule="auto"/>
        <w:tabs>
          <w:tab w:leader="none" w:pos="326" w:val="left"/>
        </w:tabs>
        <w:numPr>
          <w:ilvl w:val="0"/>
          <w:numId w:val="6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in a different amount than, or on a different date from, that specified in a notice of payment sent by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Administrative Agent of such occurrence and, upon demand from Administrative Agent, it shall promptly, but in no event later than one Business Day thereafter, return to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Administrative Agent at the greater of the Federal Funds Rate and a rate determined by Administrative Agent in accordance with banking industry rules on interbank compensation from time to time in effect.</w:t>
      </w:r>
    </w:p>
    <w:p>
      <w:pPr>
        <w:spacing w:after="0" w:line="165" w:lineRule="exact"/>
        <w:rPr>
          <w:rFonts w:ascii="Times New Roman" w:cs="Times New Roman" w:eastAsia="Times New Roman" w:hAnsi="Times New Roman"/>
          <w:sz w:val="20"/>
          <w:szCs w:val="20"/>
          <w:color w:val="auto"/>
        </w:rPr>
      </w:pPr>
    </w:p>
    <w:p>
      <w:pPr>
        <w:jc w:val="both"/>
        <w:ind w:firstLine="757"/>
        <w:spacing w:after="0" w:line="236" w:lineRule="auto"/>
        <w:tabs>
          <w:tab w:leader="none" w:pos="1180" w:val="left"/>
        </w:tabs>
        <w:numPr>
          <w:ilvl w:val="1"/>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hereby agrees that (x) in the event an erroneous Payment (or portion thereof) is not recovered from any Lender that has received such Payment (or portion thereof) for any reason, Administrative Agent shall be subrogated to all the rights of such Lender with respect to such amount and (y) an erroneous Payment shall not pay, prepay, repay, discharge or otherwise satisfy any Obligations owed by the Borrower. For the avoidance of doubt, any such payment made by the Borrower to the Administrative Agent pursuant to this </w:t>
      </w:r>
      <w:r>
        <w:rPr>
          <w:rFonts w:ascii="Times New Roman" w:cs="Times New Roman" w:eastAsia="Times New Roman" w:hAnsi="Times New Roman"/>
          <w:sz w:val="22"/>
          <w:szCs w:val="22"/>
          <w:u w:val="single" w:color="auto"/>
          <w:color w:val="auto"/>
        </w:rPr>
        <w:t>Section 11.09(c)</w:t>
      </w:r>
      <w:r>
        <w:rPr>
          <w:rFonts w:ascii="Times New Roman" w:cs="Times New Roman" w:eastAsia="Times New Roman" w:hAnsi="Times New Roman"/>
          <w:sz w:val="22"/>
          <w:szCs w:val="22"/>
          <w:color w:val="auto"/>
        </w:rPr>
        <w:t xml:space="preserve"> shall not constitute an Unmatured Termination Event or Termination Event.</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1"/>
          <w:numId w:val="6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11.09</w:t>
      </w:r>
      <w:r>
        <w:rPr>
          <w:rFonts w:ascii="Times New Roman" w:cs="Times New Roman" w:eastAsia="Times New Roman" w:hAnsi="Times New Roman"/>
          <w:sz w:val="22"/>
          <w:szCs w:val="22"/>
          <w:color w:val="auto"/>
        </w:rPr>
        <w:t xml:space="preserve"> shall survive the resignation or replacement of Administrative Agent or any transfer of rights or obligations by, or the replacement of, a Lender, the termination of the Commitments or the repayment, satisfaction or discharge of all Obligations under any Basic Document.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TWELVE</w:t>
      </w:r>
    </w:p>
    <w:p>
      <w:pPr>
        <w:spacing w:after="0" w:line="232" w:lineRule="exact"/>
        <w:rPr>
          <w:sz w:val="20"/>
          <w:szCs w:val="20"/>
          <w:color w:val="auto"/>
        </w:rPr>
      </w:pPr>
    </w:p>
    <w:p>
      <w:pPr>
        <w:ind w:left="760" w:right="3960" w:firstLine="3218"/>
        <w:spacing w:after="0" w:line="434" w:lineRule="auto"/>
        <w:rPr>
          <w:sz w:val="20"/>
          <w:szCs w:val="20"/>
          <w:color w:val="auto"/>
        </w:rPr>
      </w:pPr>
      <w:r>
        <w:rPr>
          <w:rFonts w:ascii="Times New Roman" w:cs="Times New Roman" w:eastAsia="Times New Roman" w:hAnsi="Times New Roman"/>
          <w:sz w:val="22"/>
          <w:szCs w:val="22"/>
          <w:color w:val="auto"/>
        </w:rPr>
        <w:t xml:space="preserve">ASSIGNMENTS; PARTICIPATIONS </w:t>
      </w:r>
      <w:r>
        <w:rPr>
          <w:rFonts w:ascii="Times New Roman" w:cs="Times New Roman" w:eastAsia="Times New Roman" w:hAnsi="Times New Roman"/>
          <w:sz w:val="22"/>
          <w:szCs w:val="22"/>
          <w:u w:val="single" w:color="auto"/>
          <w:color w:val="auto"/>
        </w:rPr>
        <w:t>Section 12.01. Assignments and Participations</w:t>
      </w:r>
    </w:p>
    <w:p>
      <w:pPr>
        <w:spacing w:after="0" w:line="2" w:lineRule="exact"/>
        <w:rPr>
          <w:sz w:val="20"/>
          <w:szCs w:val="20"/>
          <w:color w:val="auto"/>
        </w:rPr>
      </w:pPr>
    </w:p>
    <w:p>
      <w:pPr>
        <w:jc w:val="both"/>
        <w:ind w:firstLine="757"/>
        <w:spacing w:after="0" w:line="264" w:lineRule="auto"/>
        <w:tabs>
          <w:tab w:leader="none" w:pos="1180" w:val="left"/>
        </w:tabs>
        <w:numPr>
          <w:ilvl w:val="0"/>
          <w:numId w:val="6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the Loans (and the related Notes) or interest therein owned by such Lender pursuant to this Agreement will be acquired for investment only and not with a view to any public distribution thereof, and that such Lender will not offer to sell or otherwise dispose of the Loans (and the related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Loans (and the related Notes), such Lender has not engaged and will not engage in a general solicitation or general advertising.</w:t>
      </w:r>
    </w:p>
    <w:p>
      <w:pPr>
        <w:spacing w:after="0" w:line="154" w:lineRule="exact"/>
        <w:rPr>
          <w:rFonts w:ascii="Times New Roman" w:cs="Times New Roman" w:eastAsia="Times New Roman" w:hAnsi="Times New Roman"/>
          <w:sz w:val="20"/>
          <w:szCs w:val="20"/>
          <w:color w:val="auto"/>
        </w:rPr>
      </w:pPr>
    </w:p>
    <w:p>
      <w:pPr>
        <w:jc w:val="both"/>
        <w:ind w:firstLine="757"/>
        <w:spacing w:after="0" w:line="280" w:lineRule="auto"/>
        <w:tabs>
          <w:tab w:leader="none" w:pos="1180" w:val="left"/>
        </w:tabs>
        <w:numPr>
          <w:ilvl w:val="0"/>
          <w:numId w:val="6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may upon at least 30 days’ notice to the Borrower and the Administrative Agent, assign to one or more banks or other entities all or a portion of its rights and obligations under this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 each such assignment shall be of a constant, and not a varying percentage of all of the assigning Lender’s rights and obligations under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1" w:name="page722"/>
    <w:bookmarkEnd w:id="721"/>
    <w:p>
      <w:pPr>
        <w:jc w:val="both"/>
        <w:spacing w:after="0" w:line="255" w:lineRule="auto"/>
        <w:rPr>
          <w:sz w:val="20"/>
          <w:szCs w:val="20"/>
          <w:color w:val="auto"/>
        </w:rPr>
      </w:pPr>
      <w:r>
        <w:rPr>
          <w:rFonts w:ascii="Times New Roman" w:cs="Times New Roman" w:eastAsia="Times New Roman" w:hAnsi="Times New Roman"/>
          <w:sz w:val="20"/>
          <w:szCs w:val="20"/>
          <w:color w:val="auto"/>
        </w:rPr>
        <w:t>this Agreement, (ii) the amount of the Commitment of the assigning Lender being assigned pursuant to each such assignment (determined as of the date of the Assignment and Acceptance with respect to such assignment) shall in no event be less than the lesser of (A) $[***] or an integral multiple of $[***] 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 or such lesser amount as shall be approved by the Administrative Agent, (v) the parties to each such assignment shall have agreed to reimburse the Administrative Agent for all reasonable fees, costs and expenses (including the reasonable fees and out-of-pocket expenses of counsel for the Administrative Agent) incurred by the Administrative Agent in connection with such assignment, (vi) each Person that becomes a Lender under an Assignment and Acceptance shall agree to be bound by the confidentiality provisions of Article Thirteen and</w:t>
      </w:r>
    </w:p>
    <w:p>
      <w:pPr>
        <w:spacing w:after="0" w:line="8" w:lineRule="exact"/>
        <w:rPr>
          <w:sz w:val="20"/>
          <w:szCs w:val="20"/>
          <w:color w:val="auto"/>
        </w:rPr>
      </w:pPr>
    </w:p>
    <w:p>
      <w:pPr>
        <w:jc w:val="both"/>
        <w:ind w:firstLine="8"/>
        <w:spacing w:after="0" w:line="256" w:lineRule="auto"/>
        <w:tabs>
          <w:tab w:leader="none" w:pos="432" w:val="left"/>
        </w:tabs>
        <w:numPr>
          <w:ilvl w:val="0"/>
          <w:numId w:val="6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increased costs, expenses or Taxes incurred by the Administrative Agent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168" w:lineRule="exact"/>
        <w:rPr>
          <w:rFonts w:ascii="Times New Roman" w:cs="Times New Roman" w:eastAsia="Times New Roman" w:hAnsi="Times New Roman"/>
          <w:sz w:val="20"/>
          <w:szCs w:val="20"/>
          <w:color w:val="auto"/>
        </w:rPr>
      </w:pPr>
    </w:p>
    <w:p>
      <w:pPr>
        <w:jc w:val="both"/>
        <w:ind w:firstLine="757"/>
        <w:spacing w:after="0" w:line="232" w:lineRule="auto"/>
        <w:tabs>
          <w:tab w:leader="none" w:pos="1180" w:val="left"/>
        </w:tabs>
        <w:numPr>
          <w:ilvl w:val="1"/>
          <w:numId w:val="6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such assigning Lender or any other Secured Party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 in accordance with their terms all of the obligations which by the terms of this Agreement are required to be performed by it as a Lender.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2" w:name="page723"/>
    <w:bookmarkEnd w:id="722"/>
    <w:p>
      <w:pPr>
        <w:jc w:val="both"/>
        <w:ind w:firstLine="757"/>
        <w:spacing w:after="0" w:line="235" w:lineRule="auto"/>
        <w:tabs>
          <w:tab w:leader="none" w:pos="1180"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maintain at its address referred to herein a copy of each Assignment and Acceptance delivered to and accepted by it and a register for the recordation of the names, addresses and Commitment of each Lender and the Principal Amount and stated interest of each Loan made by each Lender from time to time (the “Lender Register”). The entries in the Lender Register shall be conclusive and binding for all purposes, absent manifest error, and the Borrower and the Lenders shall treat each Person whose name is recorded in the Lender Register as a Lender hereunder for all purposes of this Agreement. The Lender Register shall be available for inspection by the Administrative Agent and any Lender at any reasonable time and from time to time upon reasonable prior notice.</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0"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provisions of </w:t>
      </w:r>
      <w:r>
        <w:rPr>
          <w:rFonts w:ascii="Times New Roman" w:cs="Times New Roman" w:eastAsia="Times New Roman" w:hAnsi="Times New Roman"/>
          <w:sz w:val="22"/>
          <w:szCs w:val="22"/>
          <w:u w:val="single" w:color="auto"/>
          <w:color w:val="auto"/>
        </w:rPr>
        <w:t>Sections 12.01(a)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12.01(b)</w:t>
      </w:r>
      <w:r>
        <w:rPr>
          <w:rFonts w:ascii="Times New Roman" w:cs="Times New Roman" w:eastAsia="Times New Roman" w:hAnsi="Times New Roman"/>
          <w:sz w:val="22"/>
          <w:szCs w:val="22"/>
          <w:color w:val="auto"/>
        </w:rPr>
        <w:t>,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spacing w:after="0" w:line="178" w:lineRule="exact"/>
        <w:rPr>
          <w:rFonts w:ascii="Times New Roman" w:cs="Times New Roman" w:eastAsia="Times New Roman" w:hAnsi="Times New Roman"/>
          <w:sz w:val="22"/>
          <w:szCs w:val="22"/>
          <w:color w:val="auto"/>
        </w:rPr>
      </w:pPr>
    </w:p>
    <w:p>
      <w:pPr>
        <w:jc w:val="both"/>
        <w:ind w:firstLine="757"/>
        <w:spacing w:after="0" w:line="231" w:lineRule="auto"/>
        <w:tabs>
          <w:tab w:leader="none" w:pos="1180" w:val="left"/>
        </w:tabs>
        <w:numPr>
          <w:ilvl w:val="0"/>
          <w:numId w:val="6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may sell participations to one or more banks or other entities in or to all or a portion of its rights and obligations under this Agreement (including all or a portion of its Commitment and each Loan owned by it);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 such Lender’s obligations under this Agreement (including its Commitment hereunder) shall remain unchanged, (ii) such Lender shall remain solely responsible to the other parties hereto for the performance of such obligations and (iii) the other Secured Parties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w:t>
      </w:r>
      <w:r>
        <w:rPr>
          <w:rFonts w:ascii="Times New Roman" w:cs="Times New Roman" w:eastAsia="Times New Roman" w:hAnsi="Times New Roman"/>
          <w:sz w:val="22"/>
          <w:szCs w:val="22"/>
          <w:u w:val="single" w:color="auto"/>
          <w:color w:val="auto"/>
        </w:rPr>
        <w:t>Sections 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w:t>
      </w: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 or other obligations under the Basic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Basic Document) to any Person except to the extent that such disclosure is necessary to establish that such commitment, loan, letter of credit or other obligation is in registered form under Section 5f.103-1(c) of the United States Treasury Regulations. The entries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3" w:name="page724"/>
    <w:bookmarkEnd w:id="723"/>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spacing w:after="0" w:line="179" w:lineRule="exact"/>
        <w:rPr>
          <w:sz w:val="20"/>
          <w:szCs w:val="20"/>
          <w:color w:val="auto"/>
        </w:rPr>
      </w:pPr>
    </w:p>
    <w:p>
      <w:pPr>
        <w:jc w:val="both"/>
        <w:ind w:right="20" w:firstLine="757"/>
        <w:spacing w:after="0" w:line="244" w:lineRule="auto"/>
        <w:tabs>
          <w:tab w:leader="none" w:pos="1180"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spacing w:after="0" w:line="172"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0" w:val="left"/>
        </w:tabs>
        <w:numPr>
          <w:ilvl w:val="0"/>
          <w:numId w:val="6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herein shall prohibit any Lender from at any time pledging or assigning as collateral any of its rights under this Agreement to (A) any Federal Reserve Bank or any other Governmental Authority in accordance with Applicable Law or (B) other Secured Party or any of their respective Affiliates, or any other bank or other entity in connection with any financing or repurchase agreement entered into by such Lender. Each such pledge or collateral assignment may be made without compliance with </w:t>
      </w:r>
      <w:r>
        <w:rPr>
          <w:rFonts w:ascii="Times New Roman" w:cs="Times New Roman" w:eastAsia="Times New Roman" w:hAnsi="Times New Roman"/>
          <w:sz w:val="22"/>
          <w:szCs w:val="22"/>
          <w:u w:val="single" w:color="auto"/>
          <w:color w:val="auto"/>
        </w:rPr>
        <w:t>Section 12.01(a)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12.01(b)</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clause (vii)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12.01(b)</w:t>
      </w:r>
      <w:r>
        <w:rPr>
          <w:rFonts w:ascii="Times New Roman" w:cs="Times New Roman" w:eastAsia="Times New Roman" w:hAnsi="Times New Roman"/>
          <w:sz w:val="22"/>
          <w:szCs w:val="22"/>
          <w:color w:val="auto"/>
        </w:rPr>
        <w:t>, and without notice to or consent of the Borrower, Servicer or any other Lender; provided, that no such pledge or collateral assignment shall release a Lender from any of its obligations hereunder, or substitute any such pledgee or grantee for such Lender as a party 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THIRTEEN</w:t>
      </w:r>
    </w:p>
    <w:p>
      <w:pPr>
        <w:spacing w:after="0" w:line="2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MUTUAL COVENANTS REGARDING CONFIDENTIALITY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13.01. Covenants of the Borrower, the Servicer, the Paying Agent and the Custodian</w:t>
      </w:r>
    </w:p>
    <w:p>
      <w:pPr>
        <w:spacing w:after="0" w:line="20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Each of the Borrower, the Servicer, the Paying Agent and the Custodian severally and with respect to itself only, covenants and agrees to hold in confidence, and not disclose to any Person, the terms of this Agreement (including any fees payable in connection with this Agreement or the identity of any Secured Party under this Agreement), except as any Secured Party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Paying Agent or the Custodian, (iii) to any Secured Party or their respective Affiliates or (iv) to the extent it is</w:t>
      </w:r>
    </w:p>
    <w:p>
      <w:pPr>
        <w:spacing w:after="0" w:line="6" w:lineRule="exact"/>
        <w:rPr>
          <w:sz w:val="20"/>
          <w:szCs w:val="20"/>
          <w:color w:val="auto"/>
        </w:rPr>
      </w:pPr>
    </w:p>
    <w:p>
      <w:pPr>
        <w:jc w:val="both"/>
        <w:ind w:firstLine="8"/>
        <w:spacing w:after="0" w:line="232" w:lineRule="auto"/>
        <w:tabs>
          <w:tab w:leader="none" w:pos="312" w:val="left"/>
        </w:tabs>
        <w:numPr>
          <w:ilvl w:val="0"/>
          <w:numId w:val="6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Paying Agent and the Custodian, as applicable, will use all reasonable efforts to maintain confidentiality and will (unless otherwise prohibited by Applicable Law) notify the Lender of its intention to make any such disclosure prior to making such disclosure.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4" w:name="page725"/>
    <w:bookmarkEnd w:id="724"/>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13.02. Covenants of the Administrative Agent and the Lenders</w:t>
      </w:r>
    </w:p>
    <w:p>
      <w:pPr>
        <w:spacing w:after="0" w:line="205" w:lineRule="exact"/>
        <w:rPr>
          <w:sz w:val="20"/>
          <w:szCs w:val="20"/>
          <w:color w:val="auto"/>
        </w:rPr>
      </w:pPr>
    </w:p>
    <w:p>
      <w:pPr>
        <w:jc w:val="both"/>
        <w:ind w:firstLine="757"/>
        <w:spacing w:after="0" w:line="234" w:lineRule="auto"/>
        <w:tabs>
          <w:tab w:leader="none" w:pos="1180" w:val="left"/>
        </w:tabs>
        <w:numPr>
          <w:ilvl w:val="0"/>
          <w:numId w:val="6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Secured Party covenants and agrees that it will not disclose any of the Confidential Information now or hereafter received or obtained by it without the Borrower’s prior written consent; provided, however, that it may disclose any such Confidential Information (i) in connection with participations and assignments pursuant to Section 12.01(b) (upon the prior written consent of the Borrower), (ii) to those of its employees or Affiliates directly involved in the transactions contemplated by the Basic Documents, (iii) to the Rating Agencies pursuant to Section 2.13(g), and (iv) to its Advisors who need to know such information for the purpose of assisting it in connection with the transactions contemplated by the Basic Documents. Each Secured Party agrees to be responsible for any breach of this Agreement by its Affiliates and Advisors, and it agrees that its Affiliates and Advisors will be advised by it of the confidential nature of such information and that it shall cause its Affiliates and Advisors to be bound by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6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Secured Parties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6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Secured Party acknowledges and agrees that any Confidential Information provided to it, in whatever form, is the sole property of the Borrower or the Servicer. Neither such Person nor its Affiliates or Advisors shall use any of the Confidential Information now or hereafter received or obtained from or through the Borrower, the Servicer or any of their respective Affiliates for any purpose other than for purposes of engaging in, or as otherwise contemplated by, the transactions contemplated by the Basic Documents. Each Secured Party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0" w:val="left"/>
        </w:tabs>
        <w:numPr>
          <w:ilvl w:val="0"/>
          <w:numId w:val="6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Secured Parties acknowledges that all Confidential Information is considered to be proprietary and of competitive value, and in many instances trade secrets. Each of the Secured Parties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Secured Parties acknowledges and agrees that the Borrower, UACC and their respective Affiliates shall be entitled, without the requirement of posting a bond or other security, to equitable relief, including injunctive relief and specific performance, as a remedy for any such breach. Such relief shall be in addition to, and not in lieu of, all other remedies available to the Borrower, UACC and their respective Affiliates whether at law or in equity.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5" w:name="page726"/>
    <w:bookmarkEnd w:id="725"/>
    <w:p>
      <w:pPr>
        <w:jc w:val="both"/>
        <w:ind w:firstLine="757"/>
        <w:spacing w:after="0" w:line="258" w:lineRule="auto"/>
        <w:tabs>
          <w:tab w:leader="none" w:pos="1180" w:val="left"/>
        </w:tabs>
        <w:numPr>
          <w:ilvl w:val="0"/>
          <w:numId w:val="6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Secured Party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the Servicer in writing (unless it has been advised by an Opinion of Counsel that such notification is prohibited by Applicable Law or regulation) of such requirement so that the Borrower and/or the Servicer, at their sole cost and expense, may seek a protective order or other appropriate remedy and/or waive compliance with the provisions hereof. Each Secured Party agrees to use its reasonable efforts, upon the written request of the Borrower or the Servicer,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 that it is legally compelled to disclose; provided that it agrees to use reasonable efforts to obtain assurance that confidential treatment will be afforded such Confidential Information by the person or persons to whom it was disclosed.</w:t>
      </w:r>
    </w:p>
    <w:p>
      <w:pPr>
        <w:spacing w:after="0" w:line="161" w:lineRule="exact"/>
        <w:rPr>
          <w:rFonts w:ascii="Times New Roman" w:cs="Times New Roman" w:eastAsia="Times New Roman" w:hAnsi="Times New Roman"/>
          <w:sz w:val="20"/>
          <w:szCs w:val="20"/>
          <w:color w:val="auto"/>
        </w:rPr>
      </w:pPr>
    </w:p>
    <w:p>
      <w:pPr>
        <w:jc w:val="both"/>
        <w:ind w:firstLine="757"/>
        <w:spacing w:after="0" w:line="234" w:lineRule="auto"/>
        <w:tabs>
          <w:tab w:leader="none" w:pos="1180" w:val="left"/>
        </w:tabs>
        <w:numPr>
          <w:ilvl w:val="0"/>
          <w:numId w:val="6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it is understood that any Secured Party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any Secured Party. Under such circumstances, the related entity agrees to provide notice to the Borrower and the Servicer, to the extent that it is not otherwise prohibited from doing so, as soon as practicable in connection with (and, if possible, before) releasing the Confidential Information to the bank examiner or other regulatory authority pursuant to such request or examination.</w:t>
      </w:r>
    </w:p>
    <w:p>
      <w:pPr>
        <w:spacing w:after="0" w:line="184" w:lineRule="exact"/>
        <w:rPr>
          <w:rFonts w:ascii="Times New Roman" w:cs="Times New Roman" w:eastAsia="Times New Roman" w:hAnsi="Times New Roman"/>
          <w:sz w:val="22"/>
          <w:szCs w:val="22"/>
          <w:color w:val="auto"/>
        </w:rPr>
      </w:pPr>
    </w:p>
    <w:p>
      <w:pPr>
        <w:jc w:val="both"/>
        <w:ind w:firstLine="757"/>
        <w:spacing w:after="0" w:line="280" w:lineRule="auto"/>
        <w:tabs>
          <w:tab w:leader="none" w:pos="1180" w:val="left"/>
        </w:tabs>
        <w:numPr>
          <w:ilvl w:val="0"/>
          <w:numId w:val="6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understood and agreed that no failure or delay by the Borrower, the Servicer, the Paying Agent, the Custodian, or any Secured Party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13.03. Non-Confidentiality of Tax Treatment and Tax Structure</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the Tax structure and Tax treatment of the transactions, and all materials of any kind (including opinions or other Tax analyses) that are provided to each such party related to such Tax structure and Tax treatment. In this regard, each party hereto acknowledges and agrees that this disclosure of the Tax structure or Tax treatment of the transactions is not limited in any way by an express or implied understanding or agreement, oral or written (whether or not such understanding or agreement is legally binding).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6" w:name="page727"/>
    <w:bookmarkEnd w:id="726"/>
    <w:p>
      <w:pPr>
        <w:jc w:val="center"/>
        <w:spacing w:after="0"/>
        <w:rPr>
          <w:sz w:val="20"/>
          <w:szCs w:val="20"/>
          <w:color w:val="auto"/>
        </w:rPr>
      </w:pPr>
      <w:r>
        <w:rPr>
          <w:rFonts w:ascii="Times New Roman" w:cs="Times New Roman" w:eastAsia="Times New Roman" w:hAnsi="Times New Roman"/>
          <w:sz w:val="22"/>
          <w:szCs w:val="22"/>
          <w:color w:val="auto"/>
        </w:rPr>
        <w:t>ARTICLE FOURTEEN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MISCELLANEOUS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14.01. Amendments and Waivers</w:t>
      </w:r>
    </w:p>
    <w:p>
      <w:pPr>
        <w:spacing w:after="0" w:line="205" w:lineRule="exact"/>
        <w:rPr>
          <w:sz w:val="20"/>
          <w:szCs w:val="20"/>
          <w:color w:val="auto"/>
        </w:rPr>
      </w:pPr>
    </w:p>
    <w:p>
      <w:pPr>
        <w:jc w:val="both"/>
        <w:ind w:firstLine="757"/>
        <w:spacing w:after="0" w:line="233" w:lineRule="auto"/>
        <w:tabs>
          <w:tab w:leader="none" w:pos="1180"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any Secured Party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any Secured Party hereunder are cumulative and are not exclusive of any rights or remedies that they would otherwise have. No waiver of any provision of this Agreement or consent to any departure by the Borrower therefrom shall in any event be effective unless the same shall be permitted by Section 14.01(c), and then such waiver or consent shall be effective only in the specific instance and for the purpose for which given. Without limiting the generality of the foregoing, the making of a Loan shall not be construed as a waiver of any Early Amortization Event, Servicer Termination Event, Unmatured Servicer Termination Event, Termination Event or Unmatured Termination Event, regardless of whether any Secured Party may have had notice or knowledge of such Early Amortization Event, Termination Event or Unmatured Termination Event, Servicer Termination Event, Unmatured Servicer Termination Event at the time.</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0" w:val="left"/>
        </w:tabs>
        <w:numPr>
          <w:ilvl w:val="0"/>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amended or modified except pursuant to an agreement or agreements in writing entered into by the Borrower and the Administrative Agent; provided, that no such agreement shall, without the written consent of:</w:t>
      </w:r>
    </w:p>
    <w:p>
      <w:pPr>
        <w:spacing w:after="0" w:line="172"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315" w:val="left"/>
        </w:tabs>
        <w:numPr>
          <w:ilvl w:val="1"/>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Required Lenders, (1) amend any provision of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(2) amend any provision of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(3) reduce the principal or the rate of Interest on any Loans Outstanding or any fees or other amounts payable hereunder or under any other Basic Documents, and</w:t>
      </w:r>
    </w:p>
    <w:p>
      <w:pPr>
        <w:spacing w:after="0" w:line="172" w:lineRule="exact"/>
        <w:rPr>
          <w:rFonts w:ascii="Times New Roman" w:cs="Times New Roman" w:eastAsia="Times New Roman" w:hAnsi="Times New Roman"/>
          <w:sz w:val="22"/>
          <w:szCs w:val="22"/>
          <w:color w:val="auto"/>
        </w:rPr>
      </w:pPr>
    </w:p>
    <w:p>
      <w:pPr>
        <w:jc w:val="both"/>
        <w:ind w:left="760" w:firstLine="1120"/>
        <w:spacing w:after="0" w:line="234" w:lineRule="auto"/>
        <w:tabs>
          <w:tab w:leader="none" w:pos="2315" w:val="left"/>
        </w:tabs>
        <w:numPr>
          <w:ilvl w:val="1"/>
          <w:numId w:val="6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Lenders, (1) change any provision of this Section or the definition of “Commitment Termination Date”, “Early Amortization Event”, “Required Lenders”, “Termination Event” or “Servicer Termination Event” or any other provision hereof specifying the number or percentage of Lenders required to amend, waive, or otherwise modify any rights hereunder or make any determination or grant any consent hereunder, or (2) amend or change the definition of “Advance Rate”, “Advance Rate Reduction Events”, “Annualized Default Ratio”, “Annualized Net Loss Ratio”, “Borrowing Base”, “Commitment”, “Excess Spread Percentage”, “Default Rate”, “Borrowing Base Deficiency”, “Concentration Limits”, “Delinquency Ratio”, “Extension Ratio”, “Interest”, “Base Line Excess Spread Percentage”, “Monthly Principal Payment Amount”, “Final Maturity Date”, or any provision of this Agreement that uses any of the foregoing terms;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provided, further, that no such agreement shall amend, modify or otherwise affect the rights, protections or duties of the Servicer, the Custodian, the Owner Trustee or the Paying Agent hereunder without the prior written consent of the Servicer, the Custodian, the Owner Trustee or the Paying Agent, as the case may be. Notwithstanding the foregoing, if the Administrative Agent determines that it is necessary to establish an alternate rate of interest pursuant to and in accordance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7" w:name="page728"/>
    <w:bookmarkEnd w:id="727"/>
    <w:p>
      <w:pPr>
        <w:jc w:val="both"/>
        <w:spacing w:after="0" w:line="244" w:lineRule="auto"/>
        <w:rPr>
          <w:sz w:val="20"/>
          <w:szCs w:val="20"/>
          <w:color w:val="auto"/>
        </w:rPr>
      </w:pPr>
      <w:r>
        <w:rPr>
          <w:rFonts w:ascii="Times New Roman" w:cs="Times New Roman" w:eastAsia="Times New Roman" w:hAnsi="Times New Roman"/>
          <w:sz w:val="22"/>
          <w:szCs w:val="22"/>
          <w:color w:val="auto"/>
        </w:rPr>
        <w:t>with Section 2.18, the Secured Parties and the Borrower, to the extent necessary, shall enter into an amendment to this Agreement to reflect such alternate rate of interest and such other related changes to this Agreement as may be applicable, and the Administrative Agent may make Conforming Changes in accordance with Section 2.18(b).</w:t>
      </w:r>
    </w:p>
    <w:p>
      <w:pPr>
        <w:spacing w:after="0" w:line="172" w:lineRule="exact"/>
        <w:rPr>
          <w:sz w:val="20"/>
          <w:szCs w:val="20"/>
          <w:color w:val="auto"/>
        </w:rPr>
      </w:pPr>
    </w:p>
    <w:p>
      <w:pPr>
        <w:jc w:val="both"/>
        <w:ind w:firstLine="757"/>
        <w:spacing w:after="0" w:line="237" w:lineRule="auto"/>
        <w:tabs>
          <w:tab w:leader="none" w:pos="1180" w:val="left"/>
        </w:tabs>
        <w:numPr>
          <w:ilvl w:val="0"/>
          <w:numId w:val="6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provision hereof may be waived except pursuant to an agreement or agreements in writing entered into by the Administrative Agent; provided, that no such agreement shall, without the written consent of (i) the Required Lenders, waive any condition set forth in Section 4.02, or any Early Amortization Event, Servicer Termination Event or Termination Event, or (ii) the Servicer, the Custodian, the Owner Trustee or the Paying Agent, waive its respective rights, protections or duties hereunder.</w:t>
      </w:r>
    </w:p>
    <w:p>
      <w:pPr>
        <w:spacing w:after="0" w:line="180"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6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execution of any amendment, modification or waiver to this Agreement or any other Basic Document, the Borrower shall deliver an Opinion of Counsel or an Officer’s Certificate to the Administrative Agent stating that such amendment, modification or waiver without the prior written consent of the Servicer, the Custodian or the Paying Agent will not affect the rights, protections or duties of each such party. The Borrower shall provide a copy of each executed amendment, waiver or other modification to the Servicer, the Custodian and the Paying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14.02. Notices, Etc.</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All notices and other communications provided for hereunder shall, unless otherwise stated herein, be in writing (including e-mail communication and communication by facsimile copy) and e-mailed, mailed, transmitted or delivered, as to each party hereto, at its address set forth in Schedule E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facsimile copy, when verbal communication of receipt is obtained or (iii) e-mail, when receipt is confirmed by telephone or by reply e-mail from the recipient, except that notices and communications pursuant to Article Two shall not be effective until received with respect to any notice sent by mail.</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14.03. No Waiver, Rights and Remedies</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 failure on the part of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14.04. Binding Effect</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This Agreement shall be binding upon and inure to the benefit of the Borrower, the Servicer, the Owner Trustee, the Paying Agent, the Custodian, the Secured Parties and their respective successors and permitted assigns.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28" w:name="page729"/>
    <w:bookmarkEnd w:id="728"/>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14.05. Term of this Agreement</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 xml:space="preserve">Section 14.06. </w:t>
      </w:r>
      <w:r>
        <w:rPr>
          <w:rFonts w:ascii="Times New Roman" w:cs="Times New Roman" w:eastAsia="Times New Roman" w:hAnsi="Times New Roman"/>
          <w:sz w:val="22"/>
          <w:szCs w:val="22"/>
          <w:b w:val="1"/>
          <w:bCs w:val="1"/>
          <w:u w:val="single" w:color="auto"/>
          <w:color w:val="auto"/>
        </w:rPr>
        <w:t>GOVERNING LAW; CONSENT TO JURISDICTION; WAIVER OF OBJECTION TO VENUE</w:t>
      </w:r>
    </w:p>
    <w:p>
      <w:pPr>
        <w:spacing w:after="0" w:line="205"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2"/>
          <w:szCs w:val="22"/>
          <w:b w:val="1"/>
          <w:bCs w:val="1"/>
          <w:color w:val="auto"/>
        </w:rPr>
        <w:t>THIS AGREEMENT SHALL BE GOVERNED BY, AND CONSTRUED IN ACCORDANCE WITH, THE LAWS OF THE STATE OF NEW YORK WITHOUT REFERENCE TO ITS CONFLICTS OF LAW PROVISIONS (OTHER THAN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1401 AND § 5</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1402 OF THE NEW YORK GENERAL OBLIGATIONS LAW). EACH OF THE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PARTIES HERETO HEREBY AGREES TO THE NON-EXCLUSIVE JURISDICTION OF ANY FEDERAL COURT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 xml:space="preserve">Section 14.07. </w:t>
      </w:r>
      <w:r>
        <w:rPr>
          <w:rFonts w:ascii="Times New Roman" w:cs="Times New Roman" w:eastAsia="Times New Roman" w:hAnsi="Times New Roman"/>
          <w:sz w:val="22"/>
          <w:szCs w:val="22"/>
          <w:b w:val="1"/>
          <w:bCs w:val="1"/>
          <w:u w:val="single" w:color="auto"/>
          <w:color w:val="auto"/>
        </w:rPr>
        <w:t>WAIVER OF JURY TRIAL</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14.08. </w:t>
      </w:r>
      <w:r>
        <w:rPr>
          <w:rFonts w:ascii="Times New Roman" w:cs="Times New Roman" w:eastAsia="Times New Roman" w:hAnsi="Times New Roman"/>
          <w:sz w:val="22"/>
          <w:szCs w:val="22"/>
          <w:u w:val="single" w:color="auto"/>
          <w:color w:val="auto"/>
        </w:rPr>
        <w:t>Costs and Expenses</w:t>
      </w:r>
    </w:p>
    <w:p>
      <w:pPr>
        <w:spacing w:after="0" w:line="205" w:lineRule="exact"/>
        <w:rPr>
          <w:sz w:val="20"/>
          <w:szCs w:val="20"/>
          <w:color w:val="auto"/>
        </w:rPr>
      </w:pPr>
    </w:p>
    <w:p>
      <w:pPr>
        <w:jc w:val="both"/>
        <w:ind w:firstLine="757"/>
        <w:spacing w:after="0" w:line="234" w:lineRule="auto"/>
        <w:tabs>
          <w:tab w:leader="none" w:pos="1180" w:val="left"/>
        </w:tabs>
        <w:numPr>
          <w:ilvl w:val="0"/>
          <w:numId w:val="6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rights of indemnification granted to the Paying Agent, the Secured Parties and its or their Affiliates and officers, directors, employees and agents thereof under Article Ten, the Borrower agrees to pay on demand all reasonable costs and expenses of the Paying Agent and the Secured Parties incurred in connection with the administration (including periodic auditing), amendment or modification of, or any waiver or consent issued in connection with, this Agreement and the other documents to be delivered hereunder or in connection herewith, including, subject to any agreed upon cap between the Borrower and the Administrative Agent, the reasonable fees and out-of-pocket expenses of counsel for the Paying Agent and the Secured Parties with respect thereto and with respect to advising such entities as to their respective rights and remedies under this Agreement and the other documents to be delivered hereunder or 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9" w:name="page730"/>
    <w:bookmarkEnd w:id="729"/>
    <w:p>
      <w:pPr>
        <w:jc w:val="both"/>
        <w:spacing w:after="0" w:line="239" w:lineRule="auto"/>
        <w:rPr>
          <w:sz w:val="20"/>
          <w:szCs w:val="20"/>
          <w:color w:val="auto"/>
        </w:rPr>
      </w:pPr>
      <w:r>
        <w:rPr>
          <w:rFonts w:ascii="Times New Roman" w:cs="Times New Roman" w:eastAsia="Times New Roman" w:hAnsi="Times New Roman"/>
          <w:sz w:val="22"/>
          <w:szCs w:val="22"/>
          <w:color w:val="auto"/>
        </w:rPr>
        <w:t>connection herewith, and all costs and expenses, if any (including reasonable counsel fees and expenses), incurred by such entities in connection with the enforcement of this Agreement and the other documents to be delivered hereunder or in connection herewith. This Section 14.08 shall not apply with respect to Taxes other than any Taxes that represent losses, claims, damages, etc., arising from any non-Tax claim.</w:t>
      </w:r>
    </w:p>
    <w:p>
      <w:pPr>
        <w:spacing w:after="0" w:line="179" w:lineRule="exact"/>
        <w:rPr>
          <w:sz w:val="20"/>
          <w:szCs w:val="20"/>
          <w:color w:val="auto"/>
        </w:rPr>
      </w:pPr>
    </w:p>
    <w:p>
      <w:pPr>
        <w:jc w:val="both"/>
        <w:ind w:firstLine="757"/>
        <w:spacing w:after="0" w:line="271" w:lineRule="auto"/>
        <w:tabs>
          <w:tab w:leader="none" w:pos="1180" w:val="left"/>
        </w:tabs>
        <w:numPr>
          <w:ilvl w:val="0"/>
          <w:numId w:val="6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promptly on demand any stamp, sales, excise and other Taxes and fees payable or determined to be payable in connection with the execution, delivery, filing and recording of this Agreement, the other documents to be delivered hereunder or herewith and any agreement or other document providing liquidity support, credit enhancement or other similar support to a Secured Party in connection with this Agreement or the funding or maintenance of Loans hereunder.</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14.09. No Insolvency Proceedings</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any prior termination of this Agreement, no party to this Agreement shall, prior to the date which is one year and one day after the Facility Termination Date,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14.10. Recourse Against Certain Parties</w:t>
      </w:r>
    </w:p>
    <w:p>
      <w:pPr>
        <w:spacing w:after="0" w:line="205" w:lineRule="exact"/>
        <w:rPr>
          <w:sz w:val="20"/>
          <w:szCs w:val="20"/>
          <w:color w:val="auto"/>
        </w:rPr>
      </w:pPr>
    </w:p>
    <w:p>
      <w:pPr>
        <w:jc w:val="both"/>
        <w:ind w:firstLine="757"/>
        <w:spacing w:after="0" w:line="232" w:lineRule="auto"/>
        <w:tabs>
          <w:tab w:leader="none" w:pos="1180" w:val="left"/>
        </w:tabs>
        <w:numPr>
          <w:ilvl w:val="0"/>
          <w:numId w:val="6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recourse under or with respect to any obligation, covenant or agreement (including the payment of any fees or any other obligations) of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 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0" w:name="page731"/>
    <w:bookmarkEnd w:id="730"/>
    <w:p>
      <w:pPr>
        <w:jc w:val="both"/>
        <w:ind w:left="760" w:right="3280" w:hanging="3"/>
        <w:spacing w:after="0" w:line="478" w:lineRule="auto"/>
        <w:tabs>
          <w:tab w:leader="none" w:pos="1192" w:val="left"/>
        </w:tabs>
        <w:numPr>
          <w:ilvl w:val="0"/>
          <w:numId w:val="6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survive the termination of this Agreement. </w:t>
      </w:r>
      <w:r>
        <w:rPr>
          <w:rFonts w:ascii="Times New Roman" w:cs="Times New Roman" w:eastAsia="Times New Roman" w:hAnsi="Times New Roman"/>
          <w:sz w:val="20"/>
          <w:szCs w:val="20"/>
          <w:u w:val="single" w:color="auto"/>
          <w:color w:val="auto"/>
        </w:rPr>
        <w:t>Section 14.11. Limitations on Consequential, Indirect and Certain Other Damages</w:t>
      </w:r>
    </w:p>
    <w:p>
      <w:pPr>
        <w:spacing w:after="0" w:line="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 claim can be made by the Borrower, the Servicer or any of their respective Affiliates against any Secured Party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the Servicer, to the extent permitted by Applicable Law, hereby waives, releases and agrees not to bring any such claim for any such damages, whether or not accrued and whether or not known or suspected to exist in its favor.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14.12. Patriot Act Compliance</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of the Administrative Agent and the Paying Agent hereby notifies the Borrower that pursuant to the requirements of the Patriot Act, it, and each other Secured Party, may be required to obtain, verify and record information that identifies each person or legal entity that establishes a relationship or opens an account with a Secured Party or the Paying Agent (including the Borrower), which information includes the name and address of such Person, organizational documentation, director and shareholder information, and other information that will allow the Paying Agent and each Secured Party to identify such Person in accordance with the Patriot Act. This notice is given in accordance with the requirements of the Patriot Act and is effective for each Secured Party and the Paying Agent.</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“AML Law”), the Paying Agent is required to obtain, verify, and record information relating to individuals and entities that establish a business relationship or open an account with the Paying Agent. Each party hereby agrees that it shall provide the Paying Agent with such identifying information and documentation as the Paying Agent may request from time to time in order to enable the Paying Agent to comply with all applicable requirements of AML Law.</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14.13. Execution in Counterparts; Severability; Integration</w:t>
      </w:r>
    </w:p>
    <w:p>
      <w:pPr>
        <w:spacing w:after="0" w:line="20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and by different parties hereto in separate counterparts, each of which when so executed shall be deemed to be an original and all of which when taken together shall constitute one and the same agreement.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1" w:name="page732"/>
    <w:bookmarkEnd w:id="731"/>
    <w:p>
      <w:pPr>
        <w:jc w:val="both"/>
        <w:spacing w:after="0" w:line="234" w:lineRule="auto"/>
        <w:rPr>
          <w:sz w:val="20"/>
          <w:szCs w:val="20"/>
          <w:color w:val="auto"/>
        </w:rPr>
      </w:pPr>
      <w:r>
        <w:rPr>
          <w:rFonts w:ascii="Times New Roman" w:cs="Times New Roman" w:eastAsia="Times New Roman" w:hAnsi="Times New Roman"/>
          <w:sz w:val="22"/>
          <w:szCs w:val="22"/>
          <w:color w:val="auto"/>
        </w:rPr>
        <w:t>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securities when required under any Signature Law due to the character or intended character of the writings.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Section 14.14. Limitation of Liability of Owner Trustee</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It is expressly understood and agreed by the parties hereto that (i) this Agreement is executed and delivered by [***],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 covenants, undertakings and agreements by [***], but is made and intended for the purpose for binding only the Borrower, (iii) nothing herein contained shall be construed as creating any liability on[***], individually or personally, to perform any covenant either expressed or implied contained herein, all such liability, if any, being expressly waived by the parties hereto and by any Person claiming by, through or under the parties hereto, (iv) [***], has made no investigation as to the accuracy or completeness of any representations and warranties made by the Borrower in this Agreement, and (v) under no circumstances shall [***], be personally liable for the payment of any indebtedness or expenses of the Borrower or be liable for the breach or failure of any obligation, duty (including fiduciary duty, if any), representation, warranty or covenant made or undertaken by the Borrower under this Agreement or any other Basic Document.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32" w:name="page733"/>
    <w:bookmarkEnd w:id="732"/>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their respective officers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tabs>
          <w:tab w:leader="none" w:pos="4860" w:val="left"/>
        </w:tabs>
        <w:rPr>
          <w:sz w:val="20"/>
          <w:szCs w:val="20"/>
          <w:color w:val="auto"/>
        </w:rPr>
      </w:pPr>
      <w:r>
        <w:rPr>
          <w:rFonts w:ascii="Times New Roman" w:cs="Times New Roman" w:eastAsia="Times New Roman" w:hAnsi="Times New Roman"/>
          <w:sz w:val="22"/>
          <w:szCs w:val="22"/>
          <w:color w:val="auto"/>
        </w:rPr>
        <w:t>THE BORROWER:</w:t>
      </w:r>
      <w:r>
        <w:rPr>
          <w:sz w:val="20"/>
          <w:szCs w:val="20"/>
          <w:color w:val="auto"/>
        </w:rPr>
        <w:tab/>
      </w:r>
      <w:r>
        <w:rPr>
          <w:rFonts w:ascii="Times New Roman" w:cs="Times New Roman" w:eastAsia="Times New Roman" w:hAnsi="Times New Roman"/>
          <w:sz w:val="20"/>
          <w:szCs w:val="20"/>
          <w:color w:val="auto"/>
        </w:rPr>
        <w:t>VFS NEAR PRIME TRUST I</w:t>
      </w: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w:t>
      </w:r>
    </w:p>
    <w:p>
      <w:pPr>
        <w:spacing w:after="0" w:line="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 [***]</w:t>
      </w:r>
    </w:p>
    <w:p>
      <w:pPr>
        <w:ind w:left="5320"/>
        <w:spacing w:after="0"/>
        <w:rPr>
          <w:sz w:val="20"/>
          <w:szCs w:val="20"/>
          <w:color w:val="auto"/>
        </w:rPr>
      </w:pPr>
      <w:r>
        <w:rPr>
          <w:rFonts w:ascii="Times New Roman" w:cs="Times New Roman" w:eastAsia="Times New Roman" w:hAnsi="Times New Roman"/>
          <w:sz w:val="22"/>
          <w:szCs w:val="22"/>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2337435</wp:posOffset>
            </wp:positionV>
            <wp:extent cx="7157720" cy="4254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33" w:name="page734"/>
    <w:bookmarkEnd w:id="733"/>
    <w:tbl>
      <w:tblPr>
        <w:tblLayout w:type="fixed"/>
        <w:tblInd w:w="0" w:type="dxa"/>
        <w:tblCellMar>
          <w:top w:w="0" w:type="dxa"/>
          <w:left w:w="0" w:type="dxa"/>
          <w:bottom w:w="0" w:type="dxa"/>
          <w:right w:w="0" w:type="dxa"/>
        </w:tblCellMar>
      </w:tblPr>
      <w:tr>
        <w:trPr>
          <w:trHeight w:val="253"/>
        </w:trPr>
        <w:tc>
          <w:tcPr>
            <w:tcW w:w="3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SERVICER</w:t>
            </w:r>
          </w:p>
        </w:tc>
        <w:tc>
          <w:tcPr>
            <w:tcW w:w="78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UNITED AUTO CREDIT CORPORATION</w:t>
            </w:r>
          </w:p>
        </w:tc>
      </w:tr>
      <w:tr>
        <w:trPr>
          <w:trHeight w:val="282"/>
        </w:trPr>
        <w:tc>
          <w:tcPr>
            <w:tcW w:w="3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 CUSTODIAN:</w:t>
            </w:r>
          </w:p>
        </w:tc>
        <w:tc>
          <w:tcPr>
            <w:tcW w:w="7840" w:type="dxa"/>
            <w:vAlign w:val="bottom"/>
          </w:tcPr>
          <w:p>
            <w:pPr>
              <w:spacing w:after="0"/>
              <w:rPr>
                <w:sz w:val="24"/>
                <w:szCs w:val="24"/>
                <w:color w:val="auto"/>
              </w:rPr>
            </w:pPr>
          </w:p>
        </w:tc>
      </w:tr>
      <w:tr>
        <w:trPr>
          <w:trHeight w:val="608"/>
        </w:trPr>
        <w:tc>
          <w:tcPr>
            <w:tcW w:w="3400" w:type="dxa"/>
            <w:vAlign w:val="bottom"/>
          </w:tcPr>
          <w:p>
            <w:pPr>
              <w:spacing w:after="0"/>
              <w:rPr>
                <w:sz w:val="24"/>
                <w:szCs w:val="24"/>
                <w:color w:val="auto"/>
              </w:rPr>
            </w:pPr>
          </w:p>
        </w:tc>
        <w:tc>
          <w:tcPr>
            <w:tcW w:w="78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By: /s/ Karen Alvarez</w:t>
            </w:r>
          </w:p>
        </w:tc>
      </w:tr>
      <w:tr>
        <w:trPr>
          <w:trHeight w:val="243"/>
        </w:trPr>
        <w:tc>
          <w:tcPr>
            <w:tcW w:w="3400" w:type="dxa"/>
            <w:vAlign w:val="bottom"/>
          </w:tcPr>
          <w:p>
            <w:pPr>
              <w:spacing w:after="0"/>
              <w:rPr>
                <w:sz w:val="21"/>
                <w:szCs w:val="21"/>
                <w:color w:val="auto"/>
              </w:rPr>
            </w:pPr>
          </w:p>
        </w:tc>
        <w:tc>
          <w:tcPr>
            <w:tcW w:w="7840" w:type="dxa"/>
            <w:vAlign w:val="bottom"/>
          </w:tcPr>
          <w:p>
            <w:pPr>
              <w:ind w:left="1920"/>
              <w:spacing w:after="0" w:line="243" w:lineRule="exact"/>
              <w:rPr>
                <w:sz w:val="20"/>
                <w:szCs w:val="20"/>
                <w:color w:val="auto"/>
              </w:rPr>
            </w:pPr>
            <w:r>
              <w:rPr>
                <w:rFonts w:ascii="Times New Roman" w:cs="Times New Roman" w:eastAsia="Times New Roman" w:hAnsi="Times New Roman"/>
                <w:sz w:val="22"/>
                <w:szCs w:val="22"/>
                <w:color w:val="auto"/>
              </w:rPr>
              <w:t>Name: Karen Alvarez</w:t>
            </w:r>
          </w:p>
        </w:tc>
      </w:tr>
      <w:tr>
        <w:trPr>
          <w:trHeight w:val="282"/>
        </w:trPr>
        <w:tc>
          <w:tcPr>
            <w:tcW w:w="3400" w:type="dxa"/>
            <w:vAlign w:val="bottom"/>
          </w:tcPr>
          <w:p>
            <w:pPr>
              <w:spacing w:after="0"/>
              <w:rPr>
                <w:sz w:val="24"/>
                <w:szCs w:val="24"/>
                <w:color w:val="auto"/>
              </w:rPr>
            </w:pPr>
          </w:p>
        </w:tc>
        <w:tc>
          <w:tcPr>
            <w:tcW w:w="784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Title: Treasury Manager</w:t>
            </w:r>
          </w:p>
        </w:tc>
      </w:tr>
      <w:tr>
        <w:trPr>
          <w:trHeight w:val="2516"/>
        </w:trPr>
        <w:tc>
          <w:tcPr>
            <w:tcW w:w="340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34" w:name="page735"/>
    <w:bookmarkEnd w:id="734"/>
    <w:p>
      <w:pPr>
        <w:spacing w:after="0"/>
        <w:tabs>
          <w:tab w:leader="none" w:pos="4760" w:val="left"/>
        </w:tabs>
        <w:rPr>
          <w:sz w:val="20"/>
          <w:szCs w:val="20"/>
          <w:color w:val="auto"/>
        </w:rPr>
      </w:pPr>
      <w:r>
        <w:rPr>
          <w:rFonts w:ascii="Times New Roman" w:cs="Times New Roman" w:eastAsia="Times New Roman" w:hAnsi="Times New Roman"/>
          <w:sz w:val="22"/>
          <w:szCs w:val="22"/>
          <w:color w:val="auto"/>
        </w:rPr>
        <w:t>THE PAYING AGENT:</w:t>
      </w:r>
      <w:r>
        <w:rPr>
          <w:sz w:val="20"/>
          <w:szCs w:val="20"/>
          <w:color w:val="auto"/>
        </w:rPr>
        <w:tab/>
      </w:r>
      <w:r>
        <w:rPr>
          <w:rFonts w:ascii="Times New Roman" w:cs="Times New Roman" w:eastAsia="Times New Roman" w:hAnsi="Times New Roman"/>
          <w:sz w:val="20"/>
          <w:szCs w:val="20"/>
          <w:color w:val="auto"/>
        </w:rPr>
        <w:t>[***], as Paying Agent</w:t>
      </w:r>
    </w:p>
    <w:p>
      <w:pPr>
        <w:sectPr>
          <w:pgSz w:w="11900" w:h="16838" w:orient="portrait"/>
          <w:cols w:equalWidth="0" w:num="1">
            <w:col w:w="10039"/>
          </w:cols>
          <w:pgMar w:left="420" w:top="14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w:t>
      </w:r>
    </w:p>
    <w:p>
      <w:pPr>
        <w:spacing w:after="0" w:line="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Name: [***]</w:t>
      </w:r>
    </w:p>
    <w:p>
      <w:pPr>
        <w:spacing w:after="0" w:line="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1310005</wp:posOffset>
            </wp:positionV>
            <wp:extent cx="7157720" cy="4254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20" w:right="1440" w:bottom="1440" w:gutter="0" w:footer="0" w:header="0"/>
          <w:type w:val="continuous"/>
        </w:sectPr>
      </w:pPr>
    </w:p>
    <w:bookmarkStart w:id="735" w:name="page736"/>
    <w:bookmarkEnd w:id="735"/>
    <w:tbl>
      <w:tblPr>
        <w:tblLayout w:type="fixed"/>
        <w:tblInd w:w="0" w:type="dxa"/>
        <w:tblCellMar>
          <w:top w:w="0" w:type="dxa"/>
          <w:left w:w="0" w:type="dxa"/>
          <w:bottom w:w="0" w:type="dxa"/>
          <w:right w:w="0" w:type="dxa"/>
        </w:tblCellMar>
      </w:tblPr>
      <w:tr>
        <w:trPr>
          <w:trHeight w:val="253"/>
        </w:trPr>
        <w:tc>
          <w:tcPr>
            <w:tcW w:w="4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ADMINISTRATIVE AGENT:</w:t>
            </w:r>
          </w:p>
        </w:tc>
        <w:tc>
          <w:tcPr>
            <w:tcW w:w="72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FIFTH THIRD BANK, NATIONAL ASSOCIATION, as</w:t>
            </w:r>
          </w:p>
        </w:tc>
      </w:tr>
      <w:tr>
        <w:trPr>
          <w:trHeight w:val="282"/>
        </w:trPr>
        <w:tc>
          <w:tcPr>
            <w:tcW w:w="4040" w:type="dxa"/>
            <w:vAlign w:val="bottom"/>
          </w:tcPr>
          <w:p>
            <w:pPr>
              <w:spacing w:after="0"/>
              <w:rPr>
                <w:sz w:val="24"/>
                <w:szCs w:val="24"/>
                <w:color w:val="auto"/>
              </w:rPr>
            </w:pPr>
          </w:p>
        </w:tc>
        <w:tc>
          <w:tcPr>
            <w:tcW w:w="72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Administrative Agent</w:t>
            </w:r>
          </w:p>
        </w:tc>
      </w:tr>
      <w:tr>
        <w:trPr>
          <w:trHeight w:val="850"/>
        </w:trPr>
        <w:tc>
          <w:tcPr>
            <w:tcW w:w="4040" w:type="dxa"/>
            <w:vAlign w:val="bottom"/>
          </w:tcPr>
          <w:p>
            <w:pPr>
              <w:spacing w:after="0"/>
              <w:rPr>
                <w:sz w:val="24"/>
                <w:szCs w:val="24"/>
                <w:color w:val="auto"/>
              </w:rPr>
            </w:pPr>
          </w:p>
        </w:tc>
        <w:tc>
          <w:tcPr>
            <w:tcW w:w="720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By: /s/ Steven J. Ellis</w:t>
            </w:r>
          </w:p>
        </w:tc>
      </w:tr>
      <w:tr>
        <w:trPr>
          <w:trHeight w:val="243"/>
        </w:trPr>
        <w:tc>
          <w:tcPr>
            <w:tcW w:w="4040" w:type="dxa"/>
            <w:vAlign w:val="bottom"/>
          </w:tcPr>
          <w:p>
            <w:pPr>
              <w:spacing w:after="0"/>
              <w:rPr>
                <w:sz w:val="21"/>
                <w:szCs w:val="21"/>
                <w:color w:val="auto"/>
              </w:rPr>
            </w:pPr>
          </w:p>
        </w:tc>
        <w:tc>
          <w:tcPr>
            <w:tcW w:w="720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Name: Steven J. Ellis</w:t>
            </w:r>
          </w:p>
        </w:tc>
      </w:tr>
      <w:tr>
        <w:trPr>
          <w:trHeight w:val="282"/>
        </w:trPr>
        <w:tc>
          <w:tcPr>
            <w:tcW w:w="4040" w:type="dxa"/>
            <w:vAlign w:val="bottom"/>
          </w:tcPr>
          <w:p>
            <w:pPr>
              <w:spacing w:after="0"/>
              <w:rPr>
                <w:sz w:val="24"/>
                <w:szCs w:val="24"/>
                <w:color w:val="auto"/>
              </w:rPr>
            </w:pPr>
          </w:p>
        </w:tc>
        <w:tc>
          <w:tcPr>
            <w:tcW w:w="720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Title: Managing Director</w:t>
            </w:r>
          </w:p>
        </w:tc>
      </w:tr>
      <w:tr>
        <w:trPr>
          <w:trHeight w:val="3029"/>
        </w:trPr>
        <w:tc>
          <w:tcPr>
            <w:tcW w:w="404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36" w:name="page737"/>
    <w:bookmarkEnd w:id="736"/>
    <w:p>
      <w:pPr>
        <w:spacing w:after="0"/>
        <w:tabs>
          <w:tab w:leader="none" w:pos="4760" w:val="left"/>
        </w:tabs>
        <w:rPr>
          <w:sz w:val="20"/>
          <w:szCs w:val="20"/>
          <w:color w:val="auto"/>
        </w:rPr>
      </w:pPr>
      <w:r>
        <w:rPr>
          <w:rFonts w:ascii="Times New Roman" w:cs="Times New Roman" w:eastAsia="Times New Roman" w:hAnsi="Times New Roman"/>
          <w:sz w:val="20"/>
          <w:szCs w:val="20"/>
          <w:color w:val="auto"/>
        </w:rPr>
        <w:t>LENDERS:</w:t>
      </w:r>
      <w:r>
        <w:rPr>
          <w:sz w:val="20"/>
          <w:szCs w:val="20"/>
          <w:color w:val="auto"/>
        </w:rPr>
        <w:tab/>
      </w:r>
      <w:r>
        <w:rPr>
          <w:rFonts w:ascii="Times New Roman" w:cs="Times New Roman" w:eastAsia="Times New Roman" w:hAnsi="Times New Roman"/>
          <w:sz w:val="20"/>
          <w:szCs w:val="20"/>
          <w:color w:val="auto"/>
        </w:rPr>
        <w:t>FIFTH THIRD BANK, NATIONAL ASSOCIATION</w:t>
      </w:r>
    </w:p>
    <w:p>
      <w:pPr>
        <w:sectPr>
          <w:pgSz w:w="11900" w:h="16838" w:orient="portrait"/>
          <w:cols w:equalWidth="0" w:num="1">
            <w:col w:w="10039"/>
          </w:cols>
          <w:pgMar w:left="420" w:top="14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By: /s/ Steven J. Ellis</w:t>
      </w:r>
    </w:p>
    <w:p>
      <w:pPr>
        <w:spacing w:after="0" w:line="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 Steven J. Ellis</w:t>
      </w:r>
    </w:p>
    <w:p>
      <w:pPr>
        <w:ind w:left="52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Commitment: $225,000,000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1787525</wp:posOffset>
            </wp:positionV>
            <wp:extent cx="7157720" cy="4254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21" w:right="1440" w:bottom="1440" w:gutter="0" w:footer="0" w:header="0"/>
          <w:type w:val="continuous"/>
        </w:sectPr>
      </w:pPr>
    </w:p>
    <w:bookmarkStart w:id="737" w:name="page738"/>
    <w:bookmarkEnd w:id="737"/>
    <w:p>
      <w:pPr>
        <w:jc w:val="right"/>
        <w:spacing w:after="0"/>
        <w:rPr>
          <w:sz w:val="20"/>
          <w:szCs w:val="20"/>
          <w:color w:val="auto"/>
        </w:rPr>
      </w:pPr>
      <w:r>
        <w:rPr>
          <w:rFonts w:ascii="Times New Roman" w:cs="Times New Roman" w:eastAsia="Times New Roman" w:hAnsi="Times New Roman"/>
          <w:sz w:val="22"/>
          <w:szCs w:val="22"/>
          <w:color w:val="auto"/>
        </w:rPr>
        <w:t>SCHEDULE A</w:t>
      </w: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REPRESENTATIONS AND WARRANTIES REGARDING SECURITY INTEREST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Borrower represents and warrants, as of the Closing Date and as of each Funding Date:</w:t>
      </w:r>
    </w:p>
    <w:p>
      <w:pPr>
        <w:spacing w:after="0" w:line="205" w:lineRule="exact"/>
        <w:rPr>
          <w:sz w:val="20"/>
          <w:szCs w:val="20"/>
          <w:color w:val="auto"/>
        </w:rPr>
      </w:pPr>
    </w:p>
    <w:p>
      <w:pPr>
        <w:jc w:val="both"/>
        <w:ind w:firstLine="745"/>
        <w:spacing w:after="0" w:line="244" w:lineRule="auto"/>
        <w:tabs>
          <w:tab w:leader="none" w:pos="1180"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creates a valid and continuing security interest (as defined in the applicable UCC) in all Receivables in favor of the Administrative Agent, which security interest is prior to all other Liens (except Permitted Liens), and is enforceable as such against creditors of and purchasers from the Borrower;</w:t>
      </w:r>
    </w:p>
    <w:p>
      <w:pPr>
        <w:spacing w:after="0" w:line="172" w:lineRule="exact"/>
        <w:rPr>
          <w:rFonts w:ascii="Times New Roman" w:cs="Times New Roman" w:eastAsia="Times New Roman" w:hAnsi="Times New Roman"/>
          <w:sz w:val="22"/>
          <w:szCs w:val="22"/>
          <w:color w:val="auto"/>
        </w:rPr>
      </w:pPr>
    </w:p>
    <w:p>
      <w:pPr>
        <w:ind w:right="40" w:firstLine="745"/>
        <w:spacing w:after="0" w:line="258" w:lineRule="auto"/>
        <w:tabs>
          <w:tab w:leader="none" w:pos="1180"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taken all steps necessary to perfect its security interest against the Obligor in the property securing the Receivables;</w:t>
      </w:r>
    </w:p>
    <w:p>
      <w:pPr>
        <w:spacing w:after="0" w:line="157" w:lineRule="exact"/>
        <w:rPr>
          <w:rFonts w:ascii="Times New Roman" w:cs="Times New Roman" w:eastAsia="Times New Roman" w:hAnsi="Times New Roman"/>
          <w:sz w:val="22"/>
          <w:szCs w:val="22"/>
          <w:color w:val="auto"/>
        </w:rPr>
      </w:pPr>
    </w:p>
    <w:p>
      <w:pPr>
        <w:ind w:right="20" w:firstLine="745"/>
        <w:spacing w:after="0" w:line="258" w:lineRule="auto"/>
        <w:tabs>
          <w:tab w:leader="none" w:pos="1180"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constitute “tangible chattel paper” or “electronic chattel paper” within the meaning of the applicable UCC;</w:t>
      </w:r>
    </w:p>
    <w:p>
      <w:pPr>
        <w:spacing w:after="0" w:line="157" w:lineRule="exact"/>
        <w:rPr>
          <w:rFonts w:ascii="Times New Roman" w:cs="Times New Roman" w:eastAsia="Times New Roman" w:hAnsi="Times New Roman"/>
          <w:sz w:val="22"/>
          <w:szCs w:val="22"/>
          <w:color w:val="auto"/>
        </w:rPr>
      </w:pPr>
    </w:p>
    <w:p>
      <w:pPr>
        <w:ind w:firstLine="745"/>
        <w:spacing w:after="0" w:line="258" w:lineRule="auto"/>
        <w:tabs>
          <w:tab w:leader="none" w:pos="1180"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owns and has good and marketable title to the Receivables free and clear of any Lien (other than Permitted Liens), claim, or encumbrance of any Person;</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180"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caused or will have caused, within ten days after the Closing Date, the filing of all appropriate financing statements in the proper filing office in the appropriate jurisdictions under Applicable Law in order to perfect the security interest in the Collateral granted to the Administrative Agent hereunder;</w:t>
      </w:r>
    </w:p>
    <w:p>
      <w:pPr>
        <w:spacing w:after="0" w:line="172" w:lineRule="exact"/>
        <w:rPr>
          <w:rFonts w:ascii="Times New Roman" w:cs="Times New Roman" w:eastAsia="Times New Roman" w:hAnsi="Times New Roman"/>
          <w:sz w:val="22"/>
          <w:szCs w:val="22"/>
          <w:color w:val="auto"/>
        </w:rPr>
      </w:pPr>
    </w:p>
    <w:p>
      <w:pPr>
        <w:jc w:val="both"/>
        <w:ind w:firstLine="745"/>
        <w:spacing w:after="0" w:line="236" w:lineRule="auto"/>
        <w:tabs>
          <w:tab w:leader="none" w:pos="1180" w:val="left"/>
        </w:tabs>
        <w:numPr>
          <w:ilvl w:val="0"/>
          <w:numId w:val="6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security interest granted to the Administrative Agent pursuant to this Agreement, the Borrower has not pledged, assigned, sold, granted a security interest in, or otherwise conveyed any of the Receivables. The Borrower has not authorized the filing of and is not aware of any financing statements against the Borrower that include a description of collateral covering the Receivables other than any financing statement relating to the security interest granted to the Administrative Agent hereunder or that has been terminated. The Borrower is not aware of any judgment or Tax Lien filings against the Borrower; and</w:t>
      </w:r>
    </w:p>
    <w:p>
      <w:pPr>
        <w:spacing w:after="0" w:line="179" w:lineRule="exact"/>
        <w:rPr>
          <w:rFonts w:ascii="Times New Roman" w:cs="Times New Roman" w:eastAsia="Times New Roman" w:hAnsi="Times New Roman"/>
          <w:sz w:val="22"/>
          <w:szCs w:val="22"/>
          <w:color w:val="auto"/>
        </w:rPr>
      </w:pPr>
    </w:p>
    <w:p>
      <w:pPr>
        <w:jc w:val="both"/>
        <w:ind w:firstLine="745"/>
        <w:spacing w:after="0" w:line="261" w:lineRule="auto"/>
        <w:tabs>
          <w:tab w:leader="none" w:pos="1180" w:val="left"/>
        </w:tabs>
        <w:numPr>
          <w:ilvl w:val="0"/>
          <w:numId w:val="6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Custodian has (x) in the case of Tangible Contract, in its possession or (y) in the case of an Electronic Contract, under its “control” for the benefit of the Administrative Agent (within the meaning of Section 9-105 of the UCC) all of the Contracts that constitute or evidence the Receivables. The Borrower has not communicated an Authoritative Copy of any Electronic Contract that constitutes or evidences any Receivable to any Person other than the Custodian on behalf of the Administrative Agent. The Tangible Contracts that constitute or evidence the Receivables do not have any marks or notations indicating that they have been pledged, assigned, or otherwise conveyed to any Person. The Electronic Contracts which constitute or evidence the Receivables contain the Required Legend. All financing statements filed or to be filed against the Borrower in favor of the Administrative Agent in connection herewith</w:t>
      </w:r>
    </w:p>
    <w:p>
      <w:pPr>
        <w:spacing w:after="0" w:line="200" w:lineRule="exact"/>
        <w:rPr>
          <w:sz w:val="20"/>
          <w:szCs w:val="20"/>
          <w:color w:val="auto"/>
        </w:rPr>
      </w:pPr>
    </w:p>
    <w:p>
      <w:pPr>
        <w:spacing w:after="0" w:line="2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38" w:name="page739"/>
    <w:bookmarkEnd w:id="738"/>
    <w:p>
      <w:pPr>
        <w:spacing w:after="0" w:line="258" w:lineRule="auto"/>
        <w:rPr>
          <w:sz w:val="20"/>
          <w:szCs w:val="20"/>
          <w:color w:val="auto"/>
        </w:rPr>
      </w:pPr>
      <w:r>
        <w:rPr>
          <w:rFonts w:ascii="Times New Roman" w:cs="Times New Roman" w:eastAsia="Times New Roman" w:hAnsi="Times New Roman"/>
          <w:sz w:val="22"/>
          <w:szCs w:val="22"/>
          <w:color w:val="auto"/>
        </w:rPr>
        <w:t>describing the Receivables will contain a statement to the following effect: “A purchase of or security interest in any collateral described in this financing statement will violate the rights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39" w:name="page740"/>
    <w:bookmarkEnd w:id="7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586740</wp:posOffset>
            </wp:positionV>
            <wp:extent cx="7157720" cy="4254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0" w:name="page741"/>
    <w:bookmarkEnd w:id="740"/>
    <w:p>
      <w:pPr>
        <w:ind w:left="9160"/>
        <w:spacing w:after="0"/>
        <w:rPr>
          <w:sz w:val="20"/>
          <w:szCs w:val="20"/>
          <w:color w:val="auto"/>
        </w:rPr>
      </w:pPr>
      <w:r>
        <w:rPr>
          <w:rFonts w:ascii="Times New Roman" w:cs="Times New Roman" w:eastAsia="Times New Roman" w:hAnsi="Times New Roman"/>
          <w:sz w:val="20"/>
          <w:szCs w:val="20"/>
          <w:color w:val="auto"/>
        </w:rPr>
        <w:t>SCHEDULE B</w:t>
      </w:r>
    </w:p>
    <w:p>
      <w:pPr>
        <w:spacing w:after="0" w:line="200" w:lineRule="exact"/>
        <w:rPr>
          <w:sz w:val="20"/>
          <w:szCs w:val="20"/>
          <w:color w:val="auto"/>
        </w:rPr>
      </w:pPr>
    </w:p>
    <w:p>
      <w:pPr>
        <w:spacing w:after="0" w:line="2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ELIGIBLE RECEIVABLE CRITERIA</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“Eligible Receivable” means a Receivable as to which all of the following conditions are satisfied:</w:t>
      </w:r>
    </w:p>
    <w:p>
      <w:pPr>
        <w:spacing w:after="0" w:line="205" w:lineRule="exact"/>
        <w:rPr>
          <w:sz w:val="20"/>
          <w:szCs w:val="20"/>
          <w:color w:val="auto"/>
        </w:rPr>
      </w:pPr>
    </w:p>
    <w:p>
      <w:pPr>
        <w:jc w:val="both"/>
        <w:ind w:right="20" w:firstLine="745"/>
        <w:spacing w:after="0" w:line="307" w:lineRule="auto"/>
        <w:tabs>
          <w:tab w:leader="none" w:pos="1180" w:val="left"/>
        </w:tabs>
        <w:numPr>
          <w:ilvl w:val="0"/>
          <w:numId w:val="6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payable in Dollars in the United States and with respect to which, at the time of origination, the related Obligor provided as its most recent billing address an address located in the United States or one of its territories;</w:t>
      </w:r>
    </w:p>
    <w:p>
      <w:pPr>
        <w:spacing w:after="0" w:line="112" w:lineRule="exact"/>
        <w:rPr>
          <w:rFonts w:ascii="Times New Roman" w:cs="Times New Roman" w:eastAsia="Times New Roman" w:hAnsi="Times New Roman"/>
          <w:sz w:val="20"/>
          <w:szCs w:val="20"/>
          <w:color w:val="auto"/>
        </w:rPr>
      </w:pPr>
    </w:p>
    <w:p>
      <w:pPr>
        <w:jc w:val="both"/>
        <w:ind w:firstLine="745"/>
        <w:spacing w:after="0" w:line="307" w:lineRule="auto"/>
        <w:tabs>
          <w:tab w:leader="none" w:pos="1180" w:val="left"/>
        </w:tabs>
        <w:numPr>
          <w:ilvl w:val="0"/>
          <w:numId w:val="6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the related Obligor is not an Affiliate of the Originator, the U.S. government or any State or any agency, department or instrumentality of the U.S. government or any State or other Governmental Authority;</w:t>
      </w:r>
    </w:p>
    <w:p>
      <w:pPr>
        <w:spacing w:after="0" w:line="112" w:lineRule="exact"/>
        <w:rPr>
          <w:rFonts w:ascii="Times New Roman" w:cs="Times New Roman" w:eastAsia="Times New Roman" w:hAnsi="Times New Roman"/>
          <w:sz w:val="20"/>
          <w:szCs w:val="20"/>
          <w:color w:val="auto"/>
        </w:rPr>
      </w:pPr>
    </w:p>
    <w:p>
      <w:pPr>
        <w:ind w:left="1180" w:hanging="435"/>
        <w:spacing w:after="0"/>
        <w:tabs>
          <w:tab w:leader="none" w:pos="1180"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either a Prime Receivable or a Non-Prime Receivable;</w:t>
      </w:r>
    </w:p>
    <w:p>
      <w:pPr>
        <w:spacing w:after="0" w:line="205" w:lineRule="exact"/>
        <w:rPr>
          <w:rFonts w:ascii="Times New Roman" w:cs="Times New Roman" w:eastAsia="Times New Roman" w:hAnsi="Times New Roman"/>
          <w:sz w:val="22"/>
          <w:szCs w:val="22"/>
          <w:color w:val="auto"/>
        </w:rPr>
      </w:pPr>
    </w:p>
    <w:p>
      <w:pPr>
        <w:ind w:right="40" w:firstLine="745"/>
        <w:spacing w:after="0" w:line="258" w:lineRule="auto"/>
        <w:tabs>
          <w:tab w:leader="none" w:pos="1180"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related Obligor is required to make payments to the Post Office Boxes or the Lockbox Account under the control of the Servicer and subject to the Intercreditor Agreement;</w:t>
      </w:r>
    </w:p>
    <w:p>
      <w:pPr>
        <w:spacing w:after="0" w:line="157"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had a first Scheduled Payment due no more than [***] 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spacing w:after="0" w:line="178"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 Defaulted Receivable as of its related Cutoff Date;</w:t>
      </w:r>
    </w:p>
    <w:p>
      <w:pPr>
        <w:spacing w:after="0" w:line="205" w:lineRule="exact"/>
        <w:rPr>
          <w:rFonts w:ascii="Times New Roman" w:cs="Times New Roman" w:eastAsia="Times New Roman" w:hAnsi="Times New Roman"/>
          <w:sz w:val="22"/>
          <w:szCs w:val="22"/>
          <w:color w:val="auto"/>
        </w:rPr>
      </w:pPr>
    </w:p>
    <w:p>
      <w:pPr>
        <w:ind w:left="1180" w:hanging="435"/>
        <w:spacing w:after="0"/>
        <w:tabs>
          <w:tab w:leader="none" w:pos="1180"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 Delinquent Receivable as of its related Cutoff Date;</w:t>
      </w:r>
    </w:p>
    <w:p>
      <w:pPr>
        <w:spacing w:after="0" w:line="205" w:lineRule="exact"/>
        <w:rPr>
          <w:rFonts w:ascii="Times New Roman" w:cs="Times New Roman" w:eastAsia="Times New Roman" w:hAnsi="Times New Roman"/>
          <w:sz w:val="22"/>
          <w:szCs w:val="22"/>
          <w:color w:val="auto"/>
        </w:rPr>
      </w:pPr>
    </w:p>
    <w:p>
      <w:pPr>
        <w:jc w:val="both"/>
        <w:ind w:firstLine="745"/>
        <w:spacing w:after="0" w:line="237" w:lineRule="auto"/>
        <w:tabs>
          <w:tab w:leader="none" w:pos="1612"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originated in the United States by the Originator or a Dealer pursuant to a Dealer Agreement and then sold to the Originator in the ordinary course of the Originator’s business pursuant to a transaction constituting a bona fide sale, which was created as a result of an advance by such Dealer or Originator, as applicable, in the ordinary course of its business, directly to or for the benefit of an Obligor for the purchase of the Financed Vehicle and which, to the best of the Borrower’s knowledge, was originated without fraud or misrepresentation;</w:t>
      </w:r>
    </w:p>
    <w:p>
      <w:pPr>
        <w:spacing w:after="0" w:line="180" w:lineRule="exact"/>
        <w:rPr>
          <w:rFonts w:ascii="Times New Roman" w:cs="Times New Roman" w:eastAsia="Times New Roman" w:hAnsi="Times New Roman"/>
          <w:sz w:val="22"/>
          <w:szCs w:val="22"/>
          <w:color w:val="auto"/>
        </w:rPr>
      </w:pPr>
    </w:p>
    <w:p>
      <w:pPr>
        <w:jc w:val="both"/>
        <w:ind w:firstLine="745"/>
        <w:spacing w:after="0" w:line="239" w:lineRule="auto"/>
        <w:tabs>
          <w:tab w:leader="none" w:pos="1180" w:val="left"/>
        </w:tabs>
        <w:numPr>
          <w:ilvl w:val="0"/>
          <w:numId w:val="6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satisfies in all material respects the requirements of the Credit and Collection Policy as in effect as of the related Cutoff Date and as of the related Funding Date, was underwritten by the Originator in accordance with the Credit and Collection Policy, which shall have complied with, at the time of its origination, and shall remain in compliance with, all Requirements of Law, including all consumer protection laws;</w:t>
      </w: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41" w:name="page742"/>
    <w:bookmarkEnd w:id="741"/>
    <w:p>
      <w:pPr>
        <w:jc w:val="both"/>
        <w:ind w:left="-360" w:firstLine="745"/>
        <w:spacing w:after="0" w:line="239" w:lineRule="auto"/>
        <w:tabs>
          <w:tab w:leader="none" w:pos="820"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Borrower has good and marketable title thereto and as to which there is no Lien (other than Permitted Liens) against the related Financed Vehicle, and as to which at any time, the Administrative Agent, for the benefit of the Secured Parties, shall have a valid and perfected first priority security interest, free and clear of all Liens (other than Permitted Liens) and rights of others;</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0"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820"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for, in the event that such Receivable is prepaid by the Obligor, a prepayment that fully pays the Principal Balance of such Receivable and any interest accrued at the related APR through the date of prepayment;</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5" w:lineRule="auto"/>
        <w:tabs>
          <w:tab w:leader="none" w:pos="1252"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has either (A) it has been originated by a Dealer approved by the Originator in the United States in the ordinary course of such Dealer’s business to finance the retail sale by such Dealer of the related Finance Vehicle and has been purchased by the Originator in the ordinary course of its respective business pursuant to a Dealer Agreement or (B) has been originated in the United States by the Originator in accordance with its customary practices, and sold to the Borrower by the Originator pursuant to the Purchase Agreement; provided that, in the case of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at the time of such origination the Dealer or the Originator, as applicable, had all necessary licenses and permits to originate such Receivable in the State where such Dealer or the Originator, as the case may be, was located;</w:t>
      </w:r>
    </w:p>
    <w:p>
      <w:pPr>
        <w:spacing w:after="0" w:line="180" w:lineRule="exact"/>
        <w:rPr>
          <w:rFonts w:ascii="Times New Roman" w:cs="Times New Roman" w:eastAsia="Times New Roman" w:hAnsi="Times New Roman"/>
          <w:sz w:val="22"/>
          <w:szCs w:val="22"/>
          <w:color w:val="auto"/>
        </w:rPr>
      </w:pPr>
    </w:p>
    <w:p>
      <w:pPr>
        <w:jc w:val="both"/>
        <w:ind w:left="-360" w:firstLine="745"/>
        <w:spacing w:after="0" w:line="271" w:lineRule="auto"/>
        <w:tabs>
          <w:tab w:leader="none" w:pos="1252" w:val="left"/>
        </w:tabs>
        <w:numPr>
          <w:ilvl w:val="0"/>
          <w:numId w:val="6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a commercial vehicle weighing over two tons, designated for racing, modified for use as a public delivery vehicle or any other commercial use.</w:t>
      </w:r>
    </w:p>
    <w:p>
      <w:pPr>
        <w:spacing w:after="0" w:line="147"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820"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spacing w:after="0" w:line="172" w:lineRule="exact"/>
        <w:rPr>
          <w:rFonts w:ascii="Times New Roman" w:cs="Times New Roman" w:eastAsia="Times New Roman" w:hAnsi="Times New Roman"/>
          <w:sz w:val="22"/>
          <w:szCs w:val="22"/>
          <w:color w:val="auto"/>
        </w:rPr>
      </w:pPr>
    </w:p>
    <w:p>
      <w:pPr>
        <w:jc w:val="both"/>
        <w:ind w:left="-360" w:firstLine="745"/>
        <w:spacing w:after="0" w:line="239" w:lineRule="auto"/>
        <w:tabs>
          <w:tab w:leader="none" w:pos="1252"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spacing w:after="0" w:line="178"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1252" w:val="left"/>
        </w:tabs>
        <w:numPr>
          <w:ilvl w:val="0"/>
          <w:numId w:val="6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w:t>
      </w:r>
    </w:p>
    <w:p>
      <w:pPr>
        <w:spacing w:after="0" w:line="200" w:lineRule="exact"/>
        <w:rPr>
          <w:sz w:val="20"/>
          <w:szCs w:val="20"/>
          <w:color w:val="auto"/>
        </w:rPr>
      </w:pP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742" w:name="page743"/>
    <w:bookmarkEnd w:id="742"/>
    <w:p>
      <w:pPr>
        <w:ind w:right="20"/>
        <w:spacing w:after="0" w:line="258" w:lineRule="auto"/>
        <w:rPr>
          <w:sz w:val="20"/>
          <w:szCs w:val="20"/>
          <w:color w:val="auto"/>
        </w:rPr>
      </w:pPr>
      <w:r>
        <w:rPr>
          <w:rFonts w:ascii="Times New Roman" w:cs="Times New Roman" w:eastAsia="Times New Roman" w:hAnsi="Times New Roman"/>
          <w:sz w:val="22"/>
          <w:szCs w:val="22"/>
          <w:color w:val="auto"/>
        </w:rPr>
        <w:t>thereunder and, at the time such Receivable first became part of the Collateral, neither the Originator or the Borrower had done anything to impair the rights of the Secured Parties therein;</w:t>
      </w:r>
    </w:p>
    <w:p>
      <w:pPr>
        <w:spacing w:after="0" w:line="157" w:lineRule="exact"/>
        <w:rPr>
          <w:sz w:val="20"/>
          <w:szCs w:val="20"/>
          <w:color w:val="auto"/>
        </w:rPr>
      </w:pPr>
    </w:p>
    <w:p>
      <w:pPr>
        <w:jc w:val="both"/>
        <w:ind w:firstLine="745"/>
        <w:spacing w:after="0" w:line="237" w:lineRule="auto"/>
        <w:tabs>
          <w:tab w:leader="none" w:pos="1612"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spacing w:after="0" w:line="180" w:lineRule="exact"/>
        <w:rPr>
          <w:rFonts w:ascii="Times New Roman" w:cs="Times New Roman" w:eastAsia="Times New Roman" w:hAnsi="Times New Roman"/>
          <w:sz w:val="22"/>
          <w:szCs w:val="22"/>
          <w:color w:val="auto"/>
        </w:rPr>
      </w:pPr>
    </w:p>
    <w:p>
      <w:pPr>
        <w:jc w:val="both"/>
        <w:ind w:right="20" w:firstLine="745"/>
        <w:spacing w:after="0" w:line="239" w:lineRule="auto"/>
        <w:tabs>
          <w:tab w:leader="none" w:pos="1612"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spacing w:after="0" w:line="178" w:lineRule="exact"/>
        <w:rPr>
          <w:rFonts w:ascii="Times New Roman" w:cs="Times New Roman" w:eastAsia="Times New Roman" w:hAnsi="Times New Roman"/>
          <w:sz w:val="22"/>
          <w:szCs w:val="22"/>
          <w:color w:val="auto"/>
        </w:rPr>
      </w:pPr>
    </w:p>
    <w:p>
      <w:pPr>
        <w:jc w:val="both"/>
        <w:ind w:firstLine="745"/>
        <w:spacing w:after="0" w:line="235" w:lineRule="auto"/>
        <w:tabs>
          <w:tab w:leader="none" w:pos="1180"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subject to criteria (xxiv) below,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except in accordance with the Credit and Collection Policy;</w:t>
      </w:r>
    </w:p>
    <w:p>
      <w:pPr>
        <w:spacing w:after="0" w:line="180" w:lineRule="exact"/>
        <w:rPr>
          <w:rFonts w:ascii="Times New Roman" w:cs="Times New Roman" w:eastAsia="Times New Roman" w:hAnsi="Times New Roman"/>
          <w:sz w:val="22"/>
          <w:szCs w:val="22"/>
          <w:color w:val="auto"/>
        </w:rPr>
      </w:pPr>
    </w:p>
    <w:p>
      <w:pPr>
        <w:jc w:val="both"/>
        <w:ind w:firstLine="745"/>
        <w:spacing w:after="0" w:line="236" w:lineRule="auto"/>
        <w:tabs>
          <w:tab w:leader="none" w:pos="1612"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is required by the terms of the related Contract to be covered by an individual physical damage insurance policy in at least the minimum amount required by applicable State law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spacing w:after="0" w:line="179" w:lineRule="exact"/>
        <w:rPr>
          <w:rFonts w:ascii="Times New Roman" w:cs="Times New Roman" w:eastAsia="Times New Roman" w:hAnsi="Times New Roman"/>
          <w:sz w:val="22"/>
          <w:szCs w:val="22"/>
          <w:color w:val="auto"/>
        </w:rPr>
      </w:pPr>
    </w:p>
    <w:p>
      <w:pPr>
        <w:ind w:firstLine="745"/>
        <w:spacing w:after="0" w:line="258" w:lineRule="auto"/>
        <w:tabs>
          <w:tab w:leader="none" w:pos="1612"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constitutes “tangible chattel paper” or “electronic chattel paper” under and as defined in Article 9 of the UCC as then in effect in the UCC;</w:t>
      </w:r>
    </w:p>
    <w:p>
      <w:pPr>
        <w:spacing w:after="0" w:line="157"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2"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(x) in the case of a Tangible Contract, there is only one original executed copy, and (y) in the case of an Electronic Contract, there is only one Authoritative Copy and any perceivable rendering of such Authoritative Copy bears the Required Legend;</w:t>
      </w:r>
    </w:p>
    <w:p>
      <w:pPr>
        <w:spacing w:after="0" w:line="172" w:lineRule="exact"/>
        <w:rPr>
          <w:rFonts w:ascii="Times New Roman" w:cs="Times New Roman" w:eastAsia="Times New Roman" w:hAnsi="Times New Roman"/>
          <w:sz w:val="22"/>
          <w:szCs w:val="22"/>
          <w:color w:val="auto"/>
        </w:rPr>
      </w:pPr>
    </w:p>
    <w:p>
      <w:pPr>
        <w:jc w:val="both"/>
        <w:ind w:right="20" w:firstLine="745"/>
        <w:spacing w:after="0" w:line="244" w:lineRule="auto"/>
        <w:tabs>
          <w:tab w:leader="none" w:pos="1612" w:val="left"/>
        </w:tabs>
        <w:numPr>
          <w:ilvl w:val="0"/>
          <w:numId w:val="6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(x) in the case of a Tangible Contract, has been manually or electronically signed by the Obligor in the appropriate spaces, (y) in the case of an Electronic Contract, has been electronically signed through the DocuSign System or [***] by the Obligor in the appropriate spaces and (z) in the case of a Contract which has been</w:t>
      </w:r>
    </w:p>
    <w:p>
      <w:pPr>
        <w:spacing w:after="0" w:line="200" w:lineRule="exact"/>
        <w:rPr>
          <w:sz w:val="20"/>
          <w:szCs w:val="20"/>
          <w:color w:val="auto"/>
        </w:rPr>
      </w:pPr>
    </w:p>
    <w:p>
      <w:pPr>
        <w:spacing w:after="0" w:line="2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43" w:name="page744"/>
    <w:bookmarkEnd w:id="743"/>
    <w:p>
      <w:pPr>
        <w:jc w:val="both"/>
        <w:spacing w:after="0" w:line="244" w:lineRule="auto"/>
        <w:rPr>
          <w:sz w:val="20"/>
          <w:szCs w:val="20"/>
          <w:color w:val="auto"/>
        </w:rPr>
      </w:pPr>
      <w:r>
        <w:rPr>
          <w:rFonts w:ascii="Times New Roman" w:cs="Times New Roman" w:eastAsia="Times New Roman" w:hAnsi="Times New Roman"/>
          <w:sz w:val="22"/>
          <w:szCs w:val="22"/>
          <w:color w:val="auto"/>
        </w:rPr>
        <w:t>Exported, contains a representation of the electronic signature of the Obligor in the appropriate spaces and the document history includes the date and time such signatures were obtained; and, in each case, all blanks that are required to be filled in have been properly filled in;</w:t>
      </w:r>
    </w:p>
    <w:p>
      <w:pPr>
        <w:spacing w:after="0" w:line="172" w:lineRule="exact"/>
        <w:rPr>
          <w:sz w:val="20"/>
          <w:szCs w:val="20"/>
          <w:color w:val="auto"/>
        </w:rPr>
      </w:pPr>
    </w:p>
    <w:p>
      <w:pPr>
        <w:jc w:val="both"/>
        <w:ind w:firstLine="745"/>
        <w:spacing w:after="0" w:line="239" w:lineRule="auto"/>
        <w:tabs>
          <w:tab w:leader="none" w:pos="1612"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which the Custodian or the Title Administrator within [***] days following the date of origination of the Contract has possession of, for the benefit of the Secured Parties, the original Certificate of Title, evidence of the electronic Certificate of Title or the application for a Certificate of Title (which the Custodian or the Title Administrator will obtain within [***] days of the related Cutoff Date);</w:t>
      </w:r>
    </w:p>
    <w:p>
      <w:pPr>
        <w:spacing w:after="0" w:line="178" w:lineRule="exact"/>
        <w:rPr>
          <w:rFonts w:ascii="Times New Roman" w:cs="Times New Roman" w:eastAsia="Times New Roman" w:hAnsi="Times New Roman"/>
          <w:sz w:val="22"/>
          <w:szCs w:val="22"/>
          <w:color w:val="auto"/>
        </w:rPr>
      </w:pPr>
    </w:p>
    <w:p>
      <w:pPr>
        <w:jc w:val="both"/>
        <w:ind w:firstLine="745"/>
        <w:spacing w:after="0" w:line="244" w:lineRule="auto"/>
        <w:tabs>
          <w:tab w:leader="none" w:pos="1612"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Contract evidencing such Receivable, including the description of the motor vehicle and/or services contained therein, is in all respects complete, accurate and represents the entire agreement between the Originator and the Obligor;</w:t>
      </w:r>
    </w:p>
    <w:p>
      <w:pPr>
        <w:spacing w:after="0" w:line="172" w:lineRule="exact"/>
        <w:rPr>
          <w:rFonts w:ascii="Times New Roman" w:cs="Times New Roman" w:eastAsia="Times New Roman" w:hAnsi="Times New Roman"/>
          <w:sz w:val="22"/>
          <w:szCs w:val="22"/>
          <w:color w:val="auto"/>
        </w:rPr>
      </w:pPr>
    </w:p>
    <w:p>
      <w:pPr>
        <w:jc w:val="both"/>
        <w:ind w:firstLine="745"/>
        <w:spacing w:after="0" w:line="239" w:lineRule="auto"/>
        <w:tabs>
          <w:tab w:leader="none" w:pos="1612" w:val="left"/>
        </w:tabs>
        <w:numPr>
          <w:ilvl w:val="0"/>
          <w:numId w:val="6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Receivable File is in the possession or “control” (within the meaning of Section 9-105 of the UCC) of the Custodian, and the Custodian has issued a Receivable Receipt to the Administrative Agent acknowledging that such Receivable File is in the Custodian’s possession or “control” (within the meaning of Section 9-105 of the UCC); and</w:t>
      </w:r>
    </w:p>
    <w:p>
      <w:pPr>
        <w:spacing w:after="0" w:line="178" w:lineRule="exact"/>
        <w:rPr>
          <w:rFonts w:ascii="Times New Roman" w:cs="Times New Roman" w:eastAsia="Times New Roman" w:hAnsi="Times New Roman"/>
          <w:sz w:val="22"/>
          <w:szCs w:val="22"/>
          <w:color w:val="auto"/>
        </w:rPr>
      </w:pPr>
    </w:p>
    <w:p>
      <w:pPr>
        <w:jc w:val="both"/>
        <w:ind w:firstLine="745"/>
        <w:spacing w:after="0" w:line="256" w:lineRule="auto"/>
        <w:tabs>
          <w:tab w:leader="none" w:pos="1686" w:val="left"/>
        </w:tabs>
        <w:numPr>
          <w:ilvl w:val="0"/>
          <w:numId w:val="6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with respect to each Electronic Contract other than a Paper-In Contract, (a) such Contract was originally originated as an Electronic Contract and has not at any time been a Tangible Contract, (b) the E-Vault System (including the back-up system) is fully operational and is being maintained in accordance with the System Description, and the Custodian has access to the Warehouse Vault Partition (other than during routine maintenance or upgrades by the E-Vault Provider), (c) such Contract was created within the DocuSign System or [***] by the Originator and, at all times after creation and prior to the transfer thereof to the Borrower, was maintained within the E-Vault System, (d) such Contract was transferred from the Originator Vault Partition to the Warehouse Vault Partition and such transfer has been accepted by the Custodian and confirmed by the Originator within the E-Vault System, (e) during the period from and after the origination thereof to the transfer thereof to the Borrower, the E-Vault Access Agreement was in full force and effect and there was no event of default or material breach by any party thereunder, (f) each of the E-Vault Access Agreement and the Electronic Collateral Control Agreement is in full force and effect and is no event of default or material breach by any party thereunder and (g) in respect of which all onboarding fees that are due and payable have been paid to DocuSign, [***] and the E-Vault Provider and no fees will be payable to DocuSign, [***] or the E-Vault Provider in respect thereof under the E-Vault Access Agreement or the Electronic Collateral Control Agreement (other than in respect of Exporting) or any other applicable agreement and (B) with respect to each Paper-In Contract, (a) prior to the conversion of such Paper-In Contract from a Tangible Contract to an Electronic Contract, UACC or its agents had sole possession of such Tangible Contract; (b) upon conversion or within 30 days after such conversion, each such Tangible Contract was destroyed; (c) the destruction of such Tangible Contract was conducted by UACC or a third party on behalf of UACC; (d) the destruction of such Tangible Contract is evidenced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sectPr>
      </w:pPr>
    </w:p>
    <w:bookmarkStart w:id="744" w:name="page745"/>
    <w:bookmarkEnd w:id="744"/>
    <w:p>
      <w:pPr>
        <w:ind w:left="3"/>
        <w:spacing w:after="0" w:line="241" w:lineRule="auto"/>
        <w:rPr>
          <w:sz w:val="20"/>
          <w:szCs w:val="20"/>
          <w:color w:val="auto"/>
        </w:rPr>
      </w:pPr>
      <w:r>
        <w:rPr>
          <w:rFonts w:ascii="Times New Roman" w:cs="Times New Roman" w:eastAsia="Times New Roman" w:hAnsi="Times New Roman"/>
          <w:sz w:val="22"/>
          <w:szCs w:val="22"/>
          <w:color w:val="auto"/>
        </w:rPr>
        <w:t>in a manner that is satisfactory to the Administrative Agent, whether by visual recording or certification of such third party or by any other means, and that such evidence is delivered to or made available to the Administrative Agent; and</w:t>
      </w:r>
    </w:p>
    <w:p>
      <w:pPr>
        <w:spacing w:after="0" w:line="1" w:lineRule="exact"/>
        <w:rPr>
          <w:sz w:val="20"/>
          <w:szCs w:val="20"/>
          <w:color w:val="auto"/>
        </w:rPr>
      </w:pPr>
    </w:p>
    <w:p>
      <w:pPr>
        <w:ind w:left="3" w:hanging="3"/>
        <w:spacing w:after="0" w:line="237" w:lineRule="auto"/>
        <w:tabs>
          <w:tab w:leader="none" w:pos="305" w:val="left"/>
        </w:tabs>
        <w:numPr>
          <w:ilvl w:val="0"/>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or before such destruction of the Tangible Contract, the applicable electronic chattel paper satisfied all of the requirements of paragraph (xxviii) above;</w:t>
      </w:r>
    </w:p>
    <w:p>
      <w:pPr>
        <w:spacing w:after="0" w:line="177" w:lineRule="exact"/>
        <w:rPr>
          <w:rFonts w:ascii="Times New Roman" w:cs="Times New Roman" w:eastAsia="Times New Roman" w:hAnsi="Times New Roman"/>
          <w:sz w:val="22"/>
          <w:szCs w:val="22"/>
          <w:color w:val="auto"/>
        </w:rPr>
      </w:pPr>
    </w:p>
    <w:p>
      <w:pPr>
        <w:ind w:left="1603" w:hanging="855"/>
        <w:spacing w:after="0"/>
        <w:tabs>
          <w:tab w:leader="none" w:pos="1603"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an “eligible asset” as defined in Rule 3a-7 under the Investment Company Act;</w:t>
      </w:r>
    </w:p>
    <w:p>
      <w:pPr>
        <w:spacing w:after="0" w:line="205"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615"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which any compromise, extension, rebate, adjustment, amendment or modification (including by the extension of time for payment or the granting of any discounts, allowances or credits) was made as permitted by the Credit and Collection Policy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37" w:lineRule="auto"/>
        <w:tabs>
          <w:tab w:leader="none" w:pos="1615"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spacing w:after="0" w:line="180" w:lineRule="exact"/>
        <w:rPr>
          <w:rFonts w:ascii="Times New Roman" w:cs="Times New Roman" w:eastAsia="Times New Roman" w:hAnsi="Times New Roman"/>
          <w:sz w:val="22"/>
          <w:szCs w:val="22"/>
          <w:color w:val="auto"/>
        </w:rPr>
      </w:pPr>
    </w:p>
    <w:p>
      <w:pPr>
        <w:ind w:left="3" w:right="60" w:firstLine="745"/>
        <w:spacing w:after="0" w:line="258" w:lineRule="auto"/>
        <w:tabs>
          <w:tab w:leader="none" w:pos="1615"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Financed Vehicle has not been repossessed or assigned for repossession from the Obligor at the time such Receivable first became part of the Collateral;</w:t>
      </w:r>
    </w:p>
    <w:p>
      <w:pPr>
        <w:spacing w:after="0" w:line="157"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615"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spacing w:after="0" w:line="172" w:lineRule="exact"/>
        <w:rPr>
          <w:rFonts w:ascii="Times New Roman" w:cs="Times New Roman" w:eastAsia="Times New Roman" w:hAnsi="Times New Roman"/>
          <w:sz w:val="22"/>
          <w:szCs w:val="22"/>
          <w:color w:val="auto"/>
        </w:rPr>
      </w:pPr>
    </w:p>
    <w:p>
      <w:pPr>
        <w:jc w:val="both"/>
        <w:ind w:left="3" w:right="20" w:firstLine="745"/>
        <w:spacing w:after="0" w:line="244" w:lineRule="auto"/>
        <w:tabs>
          <w:tab w:leader="none" w:pos="1615"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all proceeds on the related Contract were fully disbursed and there is no requirement for future advances thereunder and all fees and expenses in connection with the origination of the Receivable have been paid;</w:t>
      </w:r>
    </w:p>
    <w:p>
      <w:pPr>
        <w:spacing w:after="0" w:line="172" w:lineRule="exact"/>
        <w:rPr>
          <w:rFonts w:ascii="Times New Roman" w:cs="Times New Roman" w:eastAsia="Times New Roman" w:hAnsi="Times New Roman"/>
          <w:sz w:val="22"/>
          <w:szCs w:val="22"/>
          <w:color w:val="auto"/>
        </w:rPr>
      </w:pPr>
    </w:p>
    <w:p>
      <w:pPr>
        <w:jc w:val="both"/>
        <w:ind w:left="3" w:right="20" w:firstLine="745"/>
        <w:spacing w:after="0" w:line="244" w:lineRule="auto"/>
        <w:tabs>
          <w:tab w:leader="none" w:pos="1615"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provide for the substitution, exchange or addition of any Financed Vehicle to such Receivable and with respect to which the related Financed Vehicle was properly delivered to the related Obligor in good repair, without defects and in satisfactory order;</w:t>
      </w:r>
    </w:p>
    <w:p>
      <w:pPr>
        <w:spacing w:after="0" w:line="172"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615" w:val="left"/>
        </w:tabs>
        <w:numPr>
          <w:ilvl w:val="1"/>
          <w:numId w:val="6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Dealer (a) was selected by the Originator based on the Credit and Collection Policy,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spacing w:after="0" w:line="200" w:lineRule="exact"/>
        <w:rPr>
          <w:sz w:val="20"/>
          <w:szCs w:val="20"/>
          <w:color w:val="auto"/>
        </w:rPr>
      </w:pPr>
    </w:p>
    <w:p>
      <w:pPr>
        <w:spacing w:after="0" w:line="235" w:lineRule="exact"/>
        <w:rPr>
          <w:sz w:val="20"/>
          <w:szCs w:val="20"/>
          <w:color w:val="auto"/>
        </w:rPr>
      </w:pPr>
    </w:p>
    <w:p>
      <w:pPr>
        <w:ind w:left="4643"/>
        <w:spacing w:after="0"/>
        <w:rPr>
          <w:sz w:val="20"/>
          <w:szCs w:val="20"/>
          <w:color w:val="auto"/>
        </w:rPr>
      </w:pPr>
      <w:r>
        <w:rPr>
          <w:rFonts w:ascii="Times New Roman" w:cs="Times New Roman" w:eastAsia="Times New Roman" w:hAnsi="Times New Roman"/>
          <w:sz w:val="22"/>
          <w:szCs w:val="22"/>
          <w:color w:val="auto"/>
        </w:rPr>
        <w:t>SB-5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572135</wp:posOffset>
            </wp:positionV>
            <wp:extent cx="7157720" cy="4254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7" w:right="339" w:bottom="1440" w:gutter="0" w:footer="0" w:header="0"/>
        </w:sectPr>
      </w:pPr>
    </w:p>
    <w:bookmarkStart w:id="745" w:name="page746"/>
    <w:bookmarkEnd w:id="745"/>
    <w:p>
      <w:pPr>
        <w:jc w:val="both"/>
        <w:ind w:firstLine="745"/>
        <w:spacing w:after="0" w:line="233" w:lineRule="auto"/>
        <w:tabs>
          <w:tab w:leader="none" w:pos="1612" w:val="left"/>
        </w:tabs>
        <w:numPr>
          <w:ilvl w:val="0"/>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at the time of origination of the related Contract, (a) the related Dealer that sold the related Contract to the Originator has entered into a Dealer Agreement and such Dealer Agreement constitutes the entire agreement 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spacing w:after="0" w:line="178" w:lineRule="exact"/>
        <w:rPr>
          <w:rFonts w:ascii="Times New Roman" w:cs="Times New Roman" w:eastAsia="Times New Roman" w:hAnsi="Times New Roman"/>
          <w:sz w:val="22"/>
          <w:szCs w:val="22"/>
          <w:color w:val="auto"/>
        </w:rPr>
      </w:pPr>
    </w:p>
    <w:p>
      <w:pPr>
        <w:ind w:firstLine="745"/>
        <w:spacing w:after="0" w:line="258" w:lineRule="auto"/>
        <w:tabs>
          <w:tab w:leader="none" w:pos="1612" w:val="left"/>
        </w:tabs>
        <w:numPr>
          <w:ilvl w:val="0"/>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if the related Financed Vehicle is titled in the State of Texas, such Financed Vehicle is a “motor vehicle” as defined in Section 501.002 of the Texas Transportation Code;</w:t>
      </w:r>
    </w:p>
    <w:p>
      <w:pPr>
        <w:spacing w:after="0" w:line="157" w:lineRule="exact"/>
        <w:rPr>
          <w:rFonts w:ascii="Times New Roman" w:cs="Times New Roman" w:eastAsia="Times New Roman" w:hAnsi="Times New Roman"/>
          <w:sz w:val="22"/>
          <w:szCs w:val="22"/>
          <w:color w:val="auto"/>
        </w:rPr>
      </w:pPr>
    </w:p>
    <w:p>
      <w:pPr>
        <w:ind w:right="20" w:firstLine="745"/>
        <w:spacing w:after="0" w:line="258" w:lineRule="auto"/>
        <w:tabs>
          <w:tab w:leader="none" w:pos="1612" w:val="left"/>
        </w:tabs>
        <w:numPr>
          <w:ilvl w:val="0"/>
          <w:numId w:val="6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related Contract has not been stamped or otherwise marked to show any interest of any other Person or any such stamp or other mark has been cancelled;</w:t>
      </w:r>
    </w:p>
    <w:p>
      <w:pPr>
        <w:spacing w:after="0" w:line="15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(xl) 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(xli) [Reserved];</w:t>
      </w:r>
    </w:p>
    <w:p>
      <w:pPr>
        <w:spacing w:after="0" w:line="20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(xlii) all requirements of applicable federal, state and local laws, and regulations thereunder (including, without limitation, usury laws, the Federal Truth-in-Lending Act, the Equal Credit Opportunity Act, the Fair Credit Billing Act, the Fair Credit Reporting Act, the Fair Debt Collection Practices Act, the Federal Trade Commission Act, the Moss-Magnuson Warranty Act, the Federal Reserve Board’s Regulations “B” and “Z” (including amendments to the Federal Reserve’s Official Staff Commentary to Regulation Z, effective October 1, 1998, concerning negative equity loans), the Servicemembers Civil Relief Act, the Electronic Signatures in Global and National Commerce Act (E-SIGN), the Uniform Electronic Transactions Act and other state adaptations thereof, each applicable state Motor Vehicle Retail Installment Sales Act, and state adaptations of the National Consumer Act</w:t>
      </w:r>
    </w:p>
    <w:p>
      <w:pPr>
        <w:spacing w:after="0" w:line="200" w:lineRule="exact"/>
        <w:rPr>
          <w:sz w:val="20"/>
          <w:szCs w:val="20"/>
          <w:color w:val="auto"/>
        </w:rPr>
      </w:pPr>
    </w:p>
    <w:p>
      <w:pPr>
        <w:spacing w:after="0" w:line="24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746" w:name="page747"/>
    <w:bookmarkEnd w:id="746"/>
    <w:p>
      <w:pPr>
        <w:jc w:val="both"/>
        <w:spacing w:after="0" w:line="239" w:lineRule="auto"/>
        <w:rPr>
          <w:sz w:val="20"/>
          <w:szCs w:val="20"/>
          <w:color w:val="auto"/>
        </w:rPr>
      </w:pPr>
      <w:r>
        <w:rPr>
          <w:rFonts w:ascii="Times New Roman" w:cs="Times New Roman" w:eastAsia="Times New Roman" w:hAnsi="Times New Roman"/>
          <w:sz w:val="22"/>
          <w:szCs w:val="22"/>
          <w:color w:val="auto"/>
        </w:rPr>
        <w:t>and of the Uniform Consumer Credit Code and other consumer credit laws and equal credit opportunity and disclosure laws) in respect of such Receivable and the Financed Vehicles, have been complied with in all material respects, and such Receivable and the sale of the Financed Vehicle evidenced by such Receivable complied at the time it was originated or made and now complies in all material respects with all applicable legal requirements;</w:t>
      </w:r>
    </w:p>
    <w:p>
      <w:pPr>
        <w:spacing w:after="0" w:line="17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(xliii) as to which, on the applicable Funding Date, the related Obligor has not been identified on the records of the Servicer as being the subject of a current bankruptcy proceeding;</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(xliv) which is (a) assignable without the consent of the related Obligor and (b) has not been originated in, or is subject to the laws of, any jurisdiction under which the sale, transfer and assignment of such Receivable under this Agreement or pursuant to a transfer of the Contract shall be unlawful or void;</w:t>
      </w:r>
    </w:p>
    <w:p>
      <w:pPr>
        <w:sectPr>
          <w:pgSz w:w="11900" w:h="16838" w:orient="portrait"/>
          <w:cols w:equalWidth="0" w:num="1">
            <w:col w:w="10480"/>
          </w:cols>
          <w:pgMar w:left="1080" w:top="1407" w:right="339" w:bottom="1440" w:gutter="0" w:footer="0" w:header="0"/>
        </w:sectPr>
      </w:pP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(xlv)</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ectPr>
          <w:pgSz w:w="11900" w:h="16838" w:orient="portrait"/>
          <w:cols w:equalWidth="0" w:num="2">
            <w:col w:w="1160" w:space="440"/>
            <w:col w:w="8880"/>
          </w:cols>
          <w:pgMar w:left="1080" w:top="1407" w:right="339" w:bottom="1440" w:gutter="0" w:footer="0" w:header="0"/>
          <w:type w:val="continuous"/>
        </w:sectPr>
      </w:pPr>
    </w:p>
    <w:p>
      <w:pPr>
        <w:spacing w:after="0" w:line="2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(xlvi) which has not been satisfied, subordinated or rescinded, nor has the related Financed Vehicle been released from the Lien granted by the related Receivable in whole or in part;</w:t>
      </w:r>
    </w:p>
    <w:p>
      <w:pPr>
        <w:sectPr>
          <w:pgSz w:w="11900" w:h="16838" w:orient="portrait"/>
          <w:cols w:equalWidth="0" w:num="1">
            <w:col w:w="10480"/>
          </w:cols>
          <w:pgMar w:left="1080" w:top="1407" w:right="339" w:bottom="1440" w:gutter="0" w:footer="0" w:header="0"/>
          <w:type w:val="continuous"/>
        </w:sectPr>
      </w:pP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(xlvii)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Borrower; and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which prohibits the sale or transfer of the related Financed Vehicle without the consent of UACC or</w:t>
      </w:r>
    </w:p>
    <w:p>
      <w:pPr>
        <w:spacing w:after="0" w:line="443" w:lineRule="exact"/>
        <w:rPr>
          <w:sz w:val="20"/>
          <w:szCs w:val="20"/>
          <w:color w:val="auto"/>
        </w:rPr>
      </w:pPr>
    </w:p>
    <w:p>
      <w:pPr>
        <w:sectPr>
          <w:pgSz w:w="11900" w:h="16838" w:orient="portrait"/>
          <w:cols w:equalWidth="0" w:num="2">
            <w:col w:w="1560" w:space="40"/>
            <w:col w:w="8880"/>
          </w:cols>
          <w:pgMar w:left="1080" w:top="1407" w:right="339" w:bottom="1440" w:gutter="0" w:footer="0" w:header="0"/>
          <w:type w:val="continuous"/>
        </w:sectPr>
      </w:pPr>
    </w:p>
    <w:p>
      <w:pPr>
        <w:spacing w:after="0" w:line="4" w:lineRule="exact"/>
        <w:rPr>
          <w:sz w:val="20"/>
          <w:szCs w:val="20"/>
          <w:color w:val="auto"/>
        </w:rPr>
      </w:pPr>
    </w:p>
    <w:p>
      <w:pPr>
        <w:ind w:left="740"/>
        <w:spacing w:after="0"/>
        <w:tabs>
          <w:tab w:leader="none" w:pos="1580" w:val="left"/>
          <w:tab w:leader="none" w:pos="2380" w:val="left"/>
        </w:tabs>
        <w:rPr>
          <w:sz w:val="20"/>
          <w:szCs w:val="20"/>
          <w:color w:val="auto"/>
        </w:rPr>
      </w:pPr>
      <w:r>
        <w:rPr>
          <w:rFonts w:ascii="Times New Roman" w:cs="Times New Roman" w:eastAsia="Times New Roman" w:hAnsi="Times New Roman"/>
          <w:sz w:val="22"/>
          <w:szCs w:val="22"/>
          <w:color w:val="auto"/>
        </w:rPr>
        <w:t>(xlviii)</w:t>
        <w:tab/>
        <w:t>which,</w:t>
      </w:r>
      <w:r>
        <w:rPr>
          <w:rFonts w:ascii="Times New Roman" w:cs="Times New Roman" w:eastAsia="Times New Roman" w:hAnsi="Times New Roman"/>
          <w:sz w:val="22"/>
          <w:szCs w:val="22"/>
          <w:color w:val="010101"/>
        </w:rPr>
        <w:tab/>
        <w:t xml:space="preserve">if </w:t>
      </w:r>
      <w:r>
        <w:rPr>
          <w:rFonts w:ascii="Times New Roman" w:cs="Times New Roman" w:eastAsia="Times New Roman" w:hAnsi="Times New Roman"/>
          <w:sz w:val="22"/>
          <w:szCs w:val="22"/>
          <w:color w:val="000000"/>
        </w:rPr>
        <w:t>such Receivable is a Portfolio Purchase Receivable, meets all Eligible Receivable</w:t>
      </w:r>
    </w:p>
    <w:p>
      <w:pPr>
        <w:sectPr>
          <w:pgSz w:w="11900" w:h="16838" w:orient="portrait"/>
          <w:cols w:equalWidth="0" w:num="1">
            <w:col w:w="10480"/>
          </w:cols>
          <w:pgMar w:left="1080" w:top="1407" w:right="339" w:bottom="1440" w:gutter="0" w:footer="0" w:header="0"/>
          <w:type w:val="continuous"/>
        </w:sectPr>
      </w:pPr>
    </w:p>
    <w:p>
      <w:pPr>
        <w:spacing w:after="0" w:line="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requirements except clause (ix) above, notwithstanding, with regards to such Receivable, UACC has no knowledge of, and no Person has asserted and continues to assert, any failure to comply with all Requirements of Law, including all consumer protection laws.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572135</wp:posOffset>
            </wp:positionV>
            <wp:extent cx="7157720" cy="4254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7" w:right="339" w:bottom="1440" w:gutter="0" w:footer="0" w:header="0"/>
          <w:type w:val="continuous"/>
        </w:sectPr>
      </w:pPr>
    </w:p>
    <w:bookmarkStart w:id="747" w:name="page748"/>
    <w:bookmarkEnd w:id="747"/>
    <w:p>
      <w:pPr>
        <w:jc w:val="right"/>
        <w:spacing w:after="0"/>
        <w:rPr>
          <w:sz w:val="20"/>
          <w:szCs w:val="20"/>
          <w:color w:val="auto"/>
        </w:rPr>
      </w:pPr>
      <w:r>
        <w:rPr>
          <w:rFonts w:ascii="Times New Roman" w:cs="Times New Roman" w:eastAsia="Times New Roman" w:hAnsi="Times New Roman"/>
          <w:sz w:val="22"/>
          <w:szCs w:val="22"/>
          <w:color w:val="auto"/>
        </w:rPr>
        <w:t>SCHEDULE C</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OF RECEIVABLES</w:t>
      </w:r>
    </w:p>
    <w:p>
      <w:pPr>
        <w:spacing w:after="0" w:line="3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(Original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748" w:name="page749"/>
    <w:bookmarkEnd w:id="748"/>
    <w:p>
      <w:pPr>
        <w:jc w:val="right"/>
        <w:spacing w:after="0"/>
        <w:rPr>
          <w:sz w:val="20"/>
          <w:szCs w:val="20"/>
          <w:color w:val="auto"/>
        </w:rPr>
      </w:pPr>
      <w:r>
        <w:rPr>
          <w:rFonts w:ascii="Times New Roman" w:cs="Times New Roman" w:eastAsia="Times New Roman" w:hAnsi="Times New Roman"/>
          <w:sz w:val="22"/>
          <w:szCs w:val="22"/>
          <w:color w:val="auto"/>
        </w:rPr>
        <w:t>SCHEDULE C-1</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SCHEDULE OF SCHEDULE C-1 RECEIVABLES</w:t>
      </w:r>
    </w:p>
    <w:p>
      <w:pPr>
        <w:spacing w:after="0" w:line="3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SC-1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749" w:name="page750"/>
    <w:bookmarkEnd w:id="749"/>
    <w:p>
      <w:pPr>
        <w:jc w:val="right"/>
        <w:spacing w:after="0"/>
        <w:rPr>
          <w:sz w:val="20"/>
          <w:szCs w:val="20"/>
          <w:color w:val="auto"/>
        </w:rPr>
      </w:pPr>
      <w:r>
        <w:rPr>
          <w:rFonts w:ascii="Times New Roman" w:cs="Times New Roman" w:eastAsia="Times New Roman" w:hAnsi="Times New Roman"/>
          <w:sz w:val="22"/>
          <w:szCs w:val="22"/>
          <w:color w:val="auto"/>
        </w:rPr>
        <w:t>SCHEDULE 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LOCATION OF RECEIVABLE FILES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1071 Camelback Street</w:t>
      </w:r>
    </w:p>
    <w:p>
      <w:pPr>
        <w:spacing w:after="0"/>
        <w:rPr>
          <w:sz w:val="20"/>
          <w:szCs w:val="20"/>
          <w:color w:val="auto"/>
        </w:rPr>
      </w:pPr>
      <w:r>
        <w:rPr>
          <w:rFonts w:ascii="Times New Roman" w:cs="Times New Roman" w:eastAsia="Times New Roman" w:hAnsi="Times New Roman"/>
          <w:sz w:val="22"/>
          <w:szCs w:val="22"/>
          <w:color w:val="auto"/>
        </w:rPr>
        <w:t>Newport Beach, California 92660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SD-1</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DOCPROPERTY "CUS_DocIDChunk0"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50" w:name="page751"/>
    <w:bookmarkEnd w:id="750"/>
    <w:p>
      <w:pPr>
        <w:jc w:val="right"/>
        <w:spacing w:after="0"/>
        <w:rPr>
          <w:sz w:val="20"/>
          <w:szCs w:val="20"/>
          <w:color w:val="auto"/>
        </w:rPr>
      </w:pPr>
      <w:r>
        <w:rPr>
          <w:rFonts w:ascii="Times New Roman" w:cs="Times New Roman" w:eastAsia="Times New Roman" w:hAnsi="Times New Roman"/>
          <w:sz w:val="22"/>
          <w:szCs w:val="22"/>
          <w:color w:val="auto"/>
        </w:rPr>
        <w:t>SCHEDULE 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NOTICE ADDRESSES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Borrower: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VFS NEAR PRIME TRUST 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With a copy to: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United Auto Credit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1071 Camelback</w:t>
      </w:r>
    </w:p>
    <w:p>
      <w:pPr>
        <w:spacing w:after="0" w:line="230" w:lineRule="auto"/>
        <w:rPr>
          <w:sz w:val="20"/>
          <w:szCs w:val="20"/>
          <w:color w:val="auto"/>
        </w:rPr>
      </w:pPr>
      <w:r>
        <w:rPr>
          <w:rFonts w:ascii="Times New Roman" w:cs="Times New Roman" w:eastAsia="Times New Roman" w:hAnsi="Times New Roman"/>
          <w:sz w:val="22"/>
          <w:szCs w:val="22"/>
          <w:color w:val="212121"/>
        </w:rPr>
        <w:t>New Port Beach, CA 92660</w:t>
      </w:r>
    </w:p>
    <w:p>
      <w:pPr>
        <w:spacing w:after="0" w:line="230" w:lineRule="auto"/>
        <w:rPr>
          <w:sz w:val="20"/>
          <w:szCs w:val="20"/>
          <w:color w:val="auto"/>
        </w:rPr>
      </w:pPr>
      <w:r>
        <w:rPr>
          <w:rFonts w:ascii="Times New Roman" w:cs="Times New Roman" w:eastAsia="Times New Roman" w:hAnsi="Times New Roman"/>
          <w:sz w:val="22"/>
          <w:szCs w:val="22"/>
          <w:color w:val="212121"/>
        </w:rPr>
        <w:t>Attention: Ravi Gandhi</w:t>
      </w:r>
    </w:p>
    <w:p>
      <w:pPr>
        <w:spacing w:after="0" w:line="230" w:lineRule="auto"/>
        <w:rPr>
          <w:sz w:val="20"/>
          <w:szCs w:val="20"/>
          <w:color w:val="auto"/>
        </w:rPr>
      </w:pPr>
      <w:r>
        <w:rPr>
          <w:rFonts w:ascii="Times New Roman" w:cs="Times New Roman" w:eastAsia="Times New Roman" w:hAnsi="Times New Roman"/>
          <w:sz w:val="22"/>
          <w:szCs w:val="22"/>
          <w:color w:val="212121"/>
        </w:rPr>
        <w:t>Telephone: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Email: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Servicer and Originator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AUTO CREDIT CORPORATION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Camelback Street</w:t>
      </w:r>
    </w:p>
    <w:p>
      <w:pPr>
        <w:spacing w:after="0" w:line="230" w:lineRule="auto"/>
        <w:rPr>
          <w:sz w:val="20"/>
          <w:szCs w:val="20"/>
          <w:color w:val="auto"/>
        </w:rPr>
      </w:pPr>
      <w:r>
        <w:rPr>
          <w:rFonts w:ascii="Times New Roman" w:cs="Times New Roman" w:eastAsia="Times New Roman" w:hAnsi="Times New Roman"/>
          <w:sz w:val="22"/>
          <w:szCs w:val="22"/>
          <w:color w:val="auto"/>
        </w:rPr>
        <w:t>Newport Beach, California 92660</w:t>
      </w:r>
    </w:p>
    <w:p>
      <w:pPr>
        <w:spacing w:after="0" w:line="230" w:lineRule="auto"/>
        <w:rPr>
          <w:sz w:val="20"/>
          <w:szCs w:val="20"/>
          <w:color w:val="auto"/>
        </w:rPr>
      </w:pPr>
      <w:r>
        <w:rPr>
          <w:rFonts w:ascii="Times New Roman" w:cs="Times New Roman" w:eastAsia="Times New Roman" w:hAnsi="Times New Roman"/>
          <w:sz w:val="22"/>
          <w:szCs w:val="22"/>
          <w:color w:val="auto"/>
        </w:rPr>
        <w:t>Attention: Ravi Gandhi</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color w:val="212121"/>
        </w:rPr>
        <w:t>[***]</w:t>
      </w:r>
    </w:p>
    <w:p>
      <w:pPr>
        <w:spacing w:after="0" w:line="231" w:lineRule="auto"/>
        <w:rPr>
          <w:sz w:val="20"/>
          <w:szCs w:val="20"/>
          <w:color w:val="auto"/>
        </w:rPr>
      </w:pPr>
      <w:r>
        <w:rPr>
          <w:rFonts w:ascii="Times New Roman" w:cs="Times New Roman" w:eastAsia="Times New Roman" w:hAnsi="Times New Roman"/>
          <w:sz w:val="22"/>
          <w:szCs w:val="22"/>
          <w:color w:val="212121"/>
        </w:rPr>
        <w:t>Telephone: [***]</w:t>
      </w:r>
    </w:p>
    <w:p>
      <w:pPr>
        <w:spacing w:after="0"/>
        <w:rPr>
          <w:sz w:val="20"/>
          <w:szCs w:val="20"/>
          <w:color w:val="auto"/>
        </w:rPr>
      </w:pPr>
      <w:r>
        <w:rPr>
          <w:rFonts w:ascii="Times New Roman" w:cs="Times New Roman" w:eastAsia="Times New Roman" w:hAnsi="Times New Roman"/>
          <w:sz w:val="22"/>
          <w:szCs w:val="22"/>
          <w:i w:val="1"/>
          <w:iCs w:val="1"/>
          <w:color w:val="auto"/>
        </w:rPr>
        <w:t>Paying Agent</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FIFTH THIRD BANK, NATIONAL ASSOCIATION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38 Fountain Square Plaza</w:t>
      </w:r>
    </w:p>
    <w:p>
      <w:pPr>
        <w:spacing w:after="0" w:line="230" w:lineRule="auto"/>
        <w:rPr>
          <w:sz w:val="20"/>
          <w:szCs w:val="20"/>
          <w:color w:val="auto"/>
        </w:rPr>
      </w:pPr>
      <w:r>
        <w:rPr>
          <w:rFonts w:ascii="Times New Roman" w:cs="Times New Roman" w:eastAsia="Times New Roman" w:hAnsi="Times New Roman"/>
          <w:sz w:val="22"/>
          <w:szCs w:val="22"/>
          <w:color w:val="212121"/>
        </w:rPr>
        <w:t>MD 1090TC</w:t>
      </w:r>
    </w:p>
    <w:p>
      <w:pPr>
        <w:spacing w:after="0" w:line="230" w:lineRule="auto"/>
        <w:rPr>
          <w:sz w:val="20"/>
          <w:szCs w:val="20"/>
          <w:color w:val="auto"/>
        </w:rPr>
      </w:pPr>
      <w:r>
        <w:rPr>
          <w:rFonts w:ascii="Times New Roman" w:cs="Times New Roman" w:eastAsia="Times New Roman" w:hAnsi="Times New Roman"/>
          <w:sz w:val="22"/>
          <w:szCs w:val="22"/>
          <w:color w:val="212121"/>
        </w:rPr>
        <w:t>Cincinnati, OH 45202</w:t>
      </w:r>
    </w:p>
    <w:p>
      <w:pPr>
        <w:spacing w:after="0" w:line="230" w:lineRule="auto"/>
        <w:rPr>
          <w:sz w:val="20"/>
          <w:szCs w:val="20"/>
          <w:color w:val="auto"/>
        </w:rPr>
      </w:pPr>
      <w:r>
        <w:rPr>
          <w:rFonts w:ascii="Times New Roman" w:cs="Times New Roman" w:eastAsia="Times New Roman" w:hAnsi="Times New Roman"/>
          <w:sz w:val="22"/>
          <w:szCs w:val="22"/>
          <w:color w:val="212121"/>
        </w:rPr>
        <w:t>Attention: Joy Rutan; Steven Ellis</w:t>
      </w:r>
    </w:p>
    <w:p>
      <w:pPr>
        <w:spacing w:after="0" w:line="231" w:lineRule="auto"/>
        <w:rPr>
          <w:sz w:val="20"/>
          <w:szCs w:val="20"/>
          <w:color w:val="auto"/>
        </w:rPr>
      </w:pPr>
      <w:r>
        <w:rPr>
          <w:rFonts w:ascii="Times New Roman" w:cs="Times New Roman" w:eastAsia="Times New Roman" w:hAnsi="Times New Roman"/>
          <w:sz w:val="22"/>
          <w:szCs w:val="22"/>
          <w:color w:val="212121"/>
        </w:rPr>
        <w:t>E-mail: [***]</w:t>
      </w:r>
    </w:p>
    <w:p>
      <w:pPr>
        <w:spacing w:after="0"/>
        <w:rPr>
          <w:sz w:val="20"/>
          <w:szCs w:val="20"/>
          <w:color w:val="auto"/>
        </w:rPr>
      </w:pPr>
      <w:r>
        <w:rPr>
          <w:rFonts w:ascii="Times New Roman" w:cs="Times New Roman" w:eastAsia="Times New Roman" w:hAnsi="Times New Roman"/>
          <w:sz w:val="22"/>
          <w:szCs w:val="22"/>
          <w:color w:val="212121"/>
        </w:rPr>
        <w:t>Telephone No.: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FIFTH THIRD BANK, NATIONAL ASSOCIATION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38 Fountain Square Plaza</w:t>
      </w:r>
    </w:p>
    <w:p>
      <w:pPr>
        <w:spacing w:after="0" w:line="230" w:lineRule="auto"/>
        <w:rPr>
          <w:sz w:val="20"/>
          <w:szCs w:val="20"/>
          <w:color w:val="auto"/>
        </w:rPr>
      </w:pPr>
      <w:r>
        <w:rPr>
          <w:rFonts w:ascii="Times New Roman" w:cs="Times New Roman" w:eastAsia="Times New Roman" w:hAnsi="Times New Roman"/>
          <w:sz w:val="22"/>
          <w:szCs w:val="22"/>
          <w:color w:val="212121"/>
        </w:rPr>
        <w:t>MD 1090TC</w:t>
      </w:r>
    </w:p>
    <w:p>
      <w:pPr>
        <w:spacing w:after="0" w:line="230" w:lineRule="auto"/>
        <w:rPr>
          <w:sz w:val="20"/>
          <w:szCs w:val="20"/>
          <w:color w:val="auto"/>
        </w:rPr>
      </w:pPr>
      <w:r>
        <w:rPr>
          <w:rFonts w:ascii="Times New Roman" w:cs="Times New Roman" w:eastAsia="Times New Roman" w:hAnsi="Times New Roman"/>
          <w:sz w:val="22"/>
          <w:szCs w:val="22"/>
          <w:color w:val="212121"/>
        </w:rPr>
        <w:t>Cincinnati, OH 45202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Attention: Asset Securitization Group – Joy Rutan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51" w:name="page752"/>
    <w:bookmarkEnd w:id="751"/>
    <w:p>
      <w:pPr>
        <w:spacing w:after="0"/>
        <w:rPr>
          <w:sz w:val="20"/>
          <w:szCs w:val="20"/>
          <w:color w:val="auto"/>
        </w:rPr>
      </w:pPr>
      <w:r>
        <w:rPr>
          <w:rFonts w:ascii="Times New Roman" w:cs="Times New Roman" w:eastAsia="Times New Roman" w:hAnsi="Times New Roman"/>
          <w:sz w:val="22"/>
          <w:szCs w:val="22"/>
          <w:color w:val="212121"/>
        </w:rPr>
        <w:t>E-mail: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Facsimile No.: [***]</w:t>
      </w:r>
    </w:p>
    <w:p>
      <w:pPr>
        <w:spacing w:after="0"/>
        <w:rPr>
          <w:sz w:val="20"/>
          <w:szCs w:val="20"/>
          <w:color w:val="auto"/>
        </w:rPr>
      </w:pPr>
      <w:r>
        <w:rPr>
          <w:rFonts w:ascii="Times New Roman" w:cs="Times New Roman" w:eastAsia="Times New Roman" w:hAnsi="Times New Roman"/>
          <w:sz w:val="22"/>
          <w:szCs w:val="22"/>
          <w:color w:val="212121"/>
        </w:rPr>
        <w:t>Telephone: [***]</w:t>
      </w:r>
    </w:p>
    <w:p>
      <w:pPr>
        <w:spacing w:after="0" w:line="200" w:lineRule="exact"/>
        <w:rPr>
          <w:sz w:val="20"/>
          <w:szCs w:val="20"/>
          <w:color w:val="auto"/>
        </w:rPr>
      </w:pPr>
    </w:p>
    <w:p>
      <w:pPr>
        <w:spacing w:after="0" w:line="238" w:lineRule="exact"/>
        <w:rPr>
          <w:sz w:val="20"/>
          <w:szCs w:val="20"/>
          <w:color w:val="auto"/>
        </w:rPr>
      </w:pPr>
    </w:p>
    <w:p>
      <w:pPr>
        <w:jc w:val="right"/>
        <w:ind w:right="4299"/>
        <w:spacing w:after="0"/>
        <w:rPr>
          <w:sz w:val="20"/>
          <w:szCs w:val="20"/>
          <w:color w:val="auto"/>
        </w:rPr>
      </w:pPr>
      <w:r>
        <w:rPr>
          <w:rFonts w:ascii="Times New Roman" w:cs="Times New Roman" w:eastAsia="Times New Roman" w:hAnsi="Times New Roman"/>
          <w:sz w:val="22"/>
          <w:szCs w:val="22"/>
          <w:color w:val="auto"/>
        </w:rPr>
        <w:t>SE-2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752" w:name="page753"/>
    <w:bookmarkEnd w:id="752"/>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FUNDING REQUEST</w:t>
      </w:r>
    </w:p>
    <w:p>
      <w:pPr>
        <w:spacing w:after="0" w:line="3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0"/>
          <w:szCs w:val="20"/>
          <w:color w:val="auto"/>
        </w:rPr>
        <w:t>____________, 202_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230" w:lineRule="auto"/>
        <w:rPr>
          <w:sz w:val="20"/>
          <w:szCs w:val="20"/>
          <w:color w:val="auto"/>
        </w:rPr>
      </w:pPr>
      <w:r>
        <w:rPr>
          <w:rFonts w:ascii="Times New Roman" w:cs="Times New Roman" w:eastAsia="Times New Roman" w:hAnsi="Times New Roman"/>
          <w:sz w:val="22"/>
          <w:szCs w:val="22"/>
          <w:color w:val="212121"/>
        </w:rPr>
        <w:t>38 Fountain Square Plaza</w:t>
      </w:r>
    </w:p>
    <w:p>
      <w:pPr>
        <w:spacing w:after="0" w:line="230" w:lineRule="auto"/>
        <w:rPr>
          <w:sz w:val="20"/>
          <w:szCs w:val="20"/>
          <w:color w:val="auto"/>
        </w:rPr>
      </w:pPr>
      <w:r>
        <w:rPr>
          <w:rFonts w:ascii="Times New Roman" w:cs="Times New Roman" w:eastAsia="Times New Roman" w:hAnsi="Times New Roman"/>
          <w:sz w:val="22"/>
          <w:szCs w:val="22"/>
          <w:color w:val="212121"/>
        </w:rPr>
        <w:t>MD 1090TC</w:t>
      </w:r>
    </w:p>
    <w:p>
      <w:pPr>
        <w:spacing w:after="0" w:line="230" w:lineRule="auto"/>
        <w:rPr>
          <w:sz w:val="20"/>
          <w:szCs w:val="20"/>
          <w:color w:val="auto"/>
        </w:rPr>
      </w:pPr>
      <w:r>
        <w:rPr>
          <w:rFonts w:ascii="Times New Roman" w:cs="Times New Roman" w:eastAsia="Times New Roman" w:hAnsi="Times New Roman"/>
          <w:sz w:val="22"/>
          <w:szCs w:val="22"/>
          <w:color w:val="212121"/>
        </w:rPr>
        <w:t>Cincinnati, OH 45202</w:t>
      </w:r>
    </w:p>
    <w:p>
      <w:pPr>
        <w:spacing w:after="0" w:line="231" w:lineRule="auto"/>
        <w:rPr>
          <w:sz w:val="20"/>
          <w:szCs w:val="20"/>
          <w:color w:val="auto"/>
        </w:rPr>
      </w:pPr>
      <w:r>
        <w:rPr>
          <w:rFonts w:ascii="Times New Roman" w:cs="Times New Roman" w:eastAsia="Times New Roman" w:hAnsi="Times New Roman"/>
          <w:sz w:val="22"/>
          <w:szCs w:val="22"/>
          <w:color w:val="212121"/>
        </w:rPr>
        <w:t>Attention: Joy Rutan; Steven Ellis</w:t>
      </w:r>
    </w:p>
    <w:p>
      <w:pPr>
        <w:spacing w:after="0" w:line="230" w:lineRule="auto"/>
        <w:rPr>
          <w:sz w:val="20"/>
          <w:szCs w:val="20"/>
          <w:color w:val="auto"/>
        </w:rPr>
      </w:pPr>
      <w:r>
        <w:rPr>
          <w:rFonts w:ascii="Times New Roman" w:cs="Times New Roman" w:eastAsia="Times New Roman" w:hAnsi="Times New Roman"/>
          <w:sz w:val="22"/>
          <w:szCs w:val="22"/>
          <w:color w:val="212121"/>
        </w:rPr>
        <w:t>E-mail: [***]</w:t>
      </w:r>
    </w:p>
    <w:p>
      <w:pPr>
        <w:spacing w:after="0"/>
        <w:rPr>
          <w:sz w:val="20"/>
          <w:szCs w:val="20"/>
          <w:color w:val="auto"/>
        </w:rPr>
      </w:pPr>
      <w:r>
        <w:rPr>
          <w:rFonts w:ascii="Times New Roman" w:cs="Times New Roman" w:eastAsia="Times New Roman" w:hAnsi="Times New Roman"/>
          <w:sz w:val="22"/>
          <w:szCs w:val="22"/>
          <w:color w:val="212121"/>
        </w:rPr>
        <w:t>Telephone No.: [***]</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 VFS Near Prime Trust I [Address]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VFS Near </w:t>
      </w:r>
      <w:r>
        <w:rPr>
          <w:rFonts w:ascii="Times New Roman" w:cs="Times New Roman" w:eastAsia="Times New Roman" w:hAnsi="Times New Roman"/>
          <w:sz w:val="22"/>
          <w:szCs w:val="22"/>
          <w:u w:val="single" w:color="auto"/>
          <w:color w:val="auto"/>
        </w:rPr>
        <w:t>Prime Trust I Warehouse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undersigned is a Responsible Officer of VFS Near Prime Trust I (the “Borrower”) and is authorized to execute and deliver this Funding Request on behalf of the Borrower pursuant to the Warehouse Agreement, dated as of November 18, 2022 (as amended, restated, supplemented or otherwise modified from time to time, the “Warehouse Agreement”), among the Borrower, United Auto Credit Corporation, as servicer and as custodian, [***], Paying Agent, the Lenders from time to time party thereto, and Fifth Third Bank, National Association, as administrative agent. Capitalized terms not otherwise defined herein have the meanings ascribed thereto in the Warehouse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Borrower hereby requests that a Loan be made under the Warehouse Agreement on __________, ____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of $__________.</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connection with the foregoing, the undersigned hereby certifies, on behalf of the Borrower, as follows:</w:t>
      </w:r>
    </w:p>
    <w:p>
      <w:pPr>
        <w:spacing w:after="0" w:line="205" w:lineRule="exact"/>
        <w:rPr>
          <w:sz w:val="20"/>
          <w:szCs w:val="20"/>
          <w:color w:val="auto"/>
        </w:rPr>
      </w:pPr>
    </w:p>
    <w:p>
      <w:pPr>
        <w:jc w:val="both"/>
        <w:ind w:left="940" w:firstLine="753"/>
        <w:spacing w:after="0" w:line="239" w:lineRule="auto"/>
        <w:tabs>
          <w:tab w:leader="none" w:pos="2120" w:val="left"/>
        </w:tabs>
        <w:numPr>
          <w:ilvl w:val="0"/>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Borrowing Base (calculated as of the previous Determination Date or, with respect to Receivables added to the Collateral following such Determination Date, but prior to or on such date of determination, the related Cutoff Date) is __________. Attached to this Funding Request is a true, complete and correct calculation of the Borrowing Base and all components thereof.</w:t>
      </w:r>
    </w:p>
    <w:p>
      <w:pPr>
        <w:spacing w:after="0" w:line="178" w:lineRule="exact"/>
        <w:rPr>
          <w:rFonts w:ascii="Times New Roman" w:cs="Times New Roman" w:eastAsia="Times New Roman" w:hAnsi="Times New Roman"/>
          <w:sz w:val="22"/>
          <w:szCs w:val="22"/>
          <w:color w:val="auto"/>
        </w:rPr>
      </w:pPr>
    </w:p>
    <w:p>
      <w:pPr>
        <w:ind w:left="940" w:right="20" w:firstLine="753"/>
        <w:spacing w:after="0" w:line="258" w:lineRule="auto"/>
        <w:tabs>
          <w:tab w:leader="none" w:pos="2120" w:val="left"/>
        </w:tabs>
        <w:numPr>
          <w:ilvl w:val="0"/>
          <w:numId w:val="6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conditions precedent to the requested Loans as set forth in the Warehouse Agreement have been satisfied as of the date hereof and will remain satisfied to the date of such Loan, including: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53" w:name="page754"/>
    <w:bookmarkEnd w:id="753"/>
    <w:p>
      <w:pPr>
        <w:jc w:val="both"/>
        <w:ind w:left="200" w:firstLine="747"/>
        <w:spacing w:after="0" w:line="244" w:lineRule="auto"/>
        <w:tabs>
          <w:tab w:leader="none" w:pos="1380" w:val="left"/>
        </w:tabs>
        <w:numPr>
          <w:ilvl w:val="1"/>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requirements, conditions and limitations imposed in Section 2.01 of the Warehouse Agreement in connection with the Borrower’s request for, and the Lenders’ funding of, such Loan have been satisfied and complied with as of the date hereof;</w:t>
      </w:r>
    </w:p>
    <w:p>
      <w:pPr>
        <w:spacing w:after="0" w:line="172" w:lineRule="exact"/>
        <w:rPr>
          <w:rFonts w:ascii="Times New Roman" w:cs="Times New Roman" w:eastAsia="Times New Roman" w:hAnsi="Times New Roman"/>
          <w:sz w:val="22"/>
          <w:szCs w:val="22"/>
          <w:color w:val="auto"/>
        </w:rPr>
      </w:pPr>
    </w:p>
    <w:p>
      <w:pPr>
        <w:jc w:val="both"/>
        <w:ind w:left="200" w:firstLine="747"/>
        <w:spacing w:after="0" w:line="244" w:lineRule="auto"/>
        <w:tabs>
          <w:tab w:leader="none" w:pos="1380" w:val="left"/>
        </w:tabs>
        <w:numPr>
          <w:ilvl w:val="1"/>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Sections 5.01 and 5.02 of the Warehouse Agreement and in the other Basic Documents are true and correct on and as of such day as though made on and as of such day and shall be deemed to have been made on such day;</w:t>
      </w:r>
    </w:p>
    <w:p>
      <w:pPr>
        <w:spacing w:after="0" w:line="172" w:lineRule="exact"/>
        <w:rPr>
          <w:rFonts w:ascii="Times New Roman" w:cs="Times New Roman" w:eastAsia="Times New Roman" w:hAnsi="Times New Roman"/>
          <w:sz w:val="22"/>
          <w:szCs w:val="22"/>
          <w:color w:val="auto"/>
        </w:rPr>
      </w:pPr>
    </w:p>
    <w:p>
      <w:pPr>
        <w:jc w:val="both"/>
        <w:ind w:left="200" w:firstLine="747"/>
        <w:spacing w:after="0" w:line="244" w:lineRule="auto"/>
        <w:tabs>
          <w:tab w:leader="none" w:pos="1380" w:val="left"/>
        </w:tabs>
        <w:numPr>
          <w:ilvl w:val="1"/>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or would result from such Loan or from the application of the proceeds therefrom, which constitutes an Early Amortization Event, a Borrowing Base Deficiency, a Termination Event or Unmatured Termination Event;</w:t>
      </w:r>
    </w:p>
    <w:p>
      <w:pPr>
        <w:spacing w:after="0" w:line="172" w:lineRule="exact"/>
        <w:rPr>
          <w:rFonts w:ascii="Times New Roman" w:cs="Times New Roman" w:eastAsia="Times New Roman" w:hAnsi="Times New Roman"/>
          <w:sz w:val="22"/>
          <w:szCs w:val="22"/>
          <w:color w:val="auto"/>
        </w:rPr>
      </w:pPr>
    </w:p>
    <w:p>
      <w:pPr>
        <w:ind w:left="200" w:right="60" w:firstLine="747"/>
        <w:spacing w:after="0" w:line="258" w:lineRule="auto"/>
        <w:tabs>
          <w:tab w:leader="none" w:pos="1380" w:val="left"/>
        </w:tabs>
        <w:numPr>
          <w:ilvl w:val="1"/>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in material compliance with each of its covenants set forth in the Warehouse Agreement; and</w:t>
      </w:r>
    </w:p>
    <w:p>
      <w:pPr>
        <w:spacing w:after="0" w:line="157" w:lineRule="exact"/>
        <w:rPr>
          <w:rFonts w:ascii="Times New Roman" w:cs="Times New Roman" w:eastAsia="Times New Roman" w:hAnsi="Times New Roman"/>
          <w:sz w:val="22"/>
          <w:szCs w:val="22"/>
          <w:color w:val="auto"/>
        </w:rPr>
      </w:pPr>
    </w:p>
    <w:p>
      <w:pPr>
        <w:ind w:left="200" w:right="60" w:firstLine="747"/>
        <w:spacing w:after="0" w:line="258" w:lineRule="auto"/>
        <w:tabs>
          <w:tab w:leader="none" w:pos="1380" w:val="left"/>
        </w:tabs>
        <w:numPr>
          <w:ilvl w:val="1"/>
          <w:numId w:val="6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of the Borrower’s knowledge, no event has occurred which constitutes a Servicer Termination Event or Unmatured Servicer Termination Event.</w:t>
      </w:r>
    </w:p>
    <w:p>
      <w:pPr>
        <w:spacing w:after="0" w:line="157" w:lineRule="exact"/>
        <w:rPr>
          <w:rFonts w:ascii="Times New Roman" w:cs="Times New Roman" w:eastAsia="Times New Roman" w:hAnsi="Times New Roman"/>
          <w:sz w:val="22"/>
          <w:szCs w:val="22"/>
          <w:color w:val="auto"/>
        </w:rPr>
      </w:pPr>
    </w:p>
    <w:p>
      <w:pPr>
        <w:ind w:left="-180" w:right="40" w:firstLine="753"/>
        <w:spacing w:after="0" w:line="258" w:lineRule="auto"/>
        <w:tabs>
          <w:tab w:leader="none" w:pos="1000"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Loan will not, on the Funding Date, (i) exceed the Available Amount or (ii) cause a Borrowing Base Deficiency.</w:t>
      </w:r>
    </w:p>
    <w:p>
      <w:pPr>
        <w:spacing w:after="0" w:line="157" w:lineRule="exact"/>
        <w:rPr>
          <w:rFonts w:ascii="Times New Roman" w:cs="Times New Roman" w:eastAsia="Times New Roman" w:hAnsi="Times New Roman"/>
          <w:sz w:val="22"/>
          <w:szCs w:val="22"/>
          <w:color w:val="auto"/>
        </w:rPr>
      </w:pPr>
    </w:p>
    <w:p>
      <w:pPr>
        <w:jc w:val="both"/>
        <w:ind w:left="-180" w:firstLine="753"/>
        <w:spacing w:after="0" w:line="244" w:lineRule="auto"/>
        <w:tabs>
          <w:tab w:leader="none" w:pos="1000"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hereto is a true, correct and complete Schedule A to the Purchase Agreement, reflecting all Receivables which will become part of the Collateral on the Funding Date, each Receivable reflected thereon being an Eligible Receivable.</w:t>
      </w:r>
    </w:p>
    <w:p>
      <w:pPr>
        <w:spacing w:after="0" w:line="172" w:lineRule="exact"/>
        <w:rPr>
          <w:rFonts w:ascii="Times New Roman" w:cs="Times New Roman" w:eastAsia="Times New Roman" w:hAnsi="Times New Roman"/>
          <w:sz w:val="22"/>
          <w:szCs w:val="22"/>
          <w:color w:val="auto"/>
        </w:rPr>
      </w:pPr>
    </w:p>
    <w:p>
      <w:pPr>
        <w:ind w:left="1000" w:hanging="427"/>
        <w:spacing w:after="0"/>
        <w:tabs>
          <w:tab w:leader="none" w:pos="1000"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Cutoff Date with respect to the Receivables is __________, 20___.</w:t>
      </w:r>
    </w:p>
    <w:p>
      <w:pPr>
        <w:spacing w:after="0" w:line="205" w:lineRule="exact"/>
        <w:rPr>
          <w:rFonts w:ascii="Times New Roman" w:cs="Times New Roman" w:eastAsia="Times New Roman" w:hAnsi="Times New Roman"/>
          <w:sz w:val="22"/>
          <w:szCs w:val="22"/>
          <w:color w:val="auto"/>
        </w:rPr>
      </w:pPr>
    </w:p>
    <w:p>
      <w:pPr>
        <w:ind w:left="1020" w:hanging="440"/>
        <w:spacing w:after="0"/>
        <w:tabs>
          <w:tab w:leader="none" w:pos="1020" w:val="left"/>
        </w:tabs>
        <w:numPr>
          <w:ilvl w:val="0"/>
          <w:numId w:val="6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and after giving effect to the requested Loan, the Borrower is Solvent.</w:t>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-13970</wp:posOffset>
            </wp:positionV>
            <wp:extent cx="76200"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8">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22"/>
          <w:szCs w:val="22"/>
          <w:color w:val="auto"/>
        </w:rPr>
        <w:t>Name:</w:t>
      </w:r>
    </w:p>
    <w:p>
      <w:pPr>
        <w:ind w:left="37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754" w:name="page755"/>
    <w:bookmarkEnd w:id="754"/>
    <w:p>
      <w:pPr>
        <w:jc w:val="right"/>
        <w:spacing w:after="0"/>
        <w:rPr>
          <w:sz w:val="20"/>
          <w:szCs w:val="20"/>
          <w:color w:val="auto"/>
        </w:rPr>
      </w:pPr>
      <w:r>
        <w:rPr>
          <w:rFonts w:ascii="Times New Roman" w:cs="Times New Roman" w:eastAsia="Times New Roman" w:hAnsi="Times New Roman"/>
          <w:sz w:val="22"/>
          <w:szCs w:val="22"/>
          <w:color w:val="auto"/>
        </w:rPr>
        <w:t>EXHIBIT B</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NOTE</w:t>
      </w:r>
    </w:p>
    <w:p>
      <w:pPr>
        <w:spacing w:after="0" w:line="31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20"/>
          <w:szCs w:val="20"/>
          <w:color w:val="auto"/>
        </w:rPr>
        <w:t>[_], 2022</w:t>
      </w:r>
    </w:p>
    <w:p>
      <w:pPr>
        <w:spacing w:after="0" w:line="22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FOR VALUE RECEIVED, the undersigned, VFS Near Prime Trust I, a Delaware statutory trust (the “Borrower”), promises to pay to [_], as Lender (the “Lender”), at the office of the Lender set forth in the Warehouse Agreement, dated as of November 18, 2022 (as amended, restated, supplemented or otherwise modified from time to time, the “Warehouse Agreement”) among the Borrower, United Auto Credit Corporation, as servicer and as custodian, [***], as paying agent, the Lenders named therein, and the Administrative Agent, on the Termination Date, in lawful money of the United States of America and in immediately available funds, the principal amount of [_] Dollars ($[_]),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spacing w:after="0" w:line="180"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0"/>
          <w:szCs w:val="20"/>
          <w:color w:val="auto"/>
        </w:rPr>
        <w:t>The Lender is authorized to record, on the schedules annexed hereto and made a part hereof or on other appropriate records, the date and the amount such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Lender to make any such recordation (or any error in such recordation) shall not affect the obligations of the Borrower hereunder or under the Warehouse Agreement in respect of the Loans or such Lender’s Invested Percentage thereof.</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Upon the occurrence of a Termination Event, the Administrative Agent, on behalf of the Secured Parties, shall have all of the remedies specified in the Warehouse Agreement. The Borrower hereby waives presentment, demand, protest and all notices of any kind.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5" w:name="page756"/>
    <w:bookmarkEnd w:id="755"/>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THIS NOTE SHALL BE GOVERNED BY, AND CONSTRUED AND INTERPRETED IN ACCORDANCE WITH, THE LAWS OF THE STATE OF NEW YORK WITHOUT REGARD TO PRINCIPLES OF CONFLICTS OF LAW (OTHER THAN SECTIONS 5-1401 AND 5-1402 OF THE NEW YORK GENERAL OBLIGATIONS LAW).</w:t>
      </w:r>
    </w:p>
    <w:p>
      <w:pPr>
        <w:spacing w:after="0" w:line="1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756" w:name="page757"/>
    <w:bookmarkEnd w:id="756"/>
    <w:p>
      <w:pPr>
        <w:jc w:val="center"/>
        <w:ind w:right="-519"/>
        <w:spacing w:after="0"/>
        <w:rPr>
          <w:sz w:val="20"/>
          <w:szCs w:val="20"/>
          <w:color w:val="auto"/>
        </w:rPr>
      </w:pPr>
      <w:r>
        <w:rPr>
          <w:rFonts w:ascii="Times New Roman" w:cs="Times New Roman" w:eastAsia="Times New Roman" w:hAnsi="Times New Roman"/>
          <w:sz w:val="22"/>
          <w:szCs w:val="22"/>
          <w:color w:val="auto"/>
        </w:rPr>
        <w:t>Schedule 1 to</w:t>
      </w:r>
    </w:p>
    <w:p>
      <w:pPr>
        <w:spacing w:after="0" w:line="1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Note</w:t>
      </w:r>
    </w:p>
    <w:p>
      <w:pPr>
        <w:spacing w:after="0" w:line="195" w:lineRule="exact"/>
        <w:rPr>
          <w:sz w:val="20"/>
          <w:szCs w:val="20"/>
          <w:color w:val="auto"/>
        </w:rPr>
      </w:pPr>
    </w:p>
    <w:p>
      <w:pPr>
        <w:spacing w:after="0"/>
        <w:tabs>
          <w:tab w:leader="none" w:pos="3320" w:val="left"/>
          <w:tab w:leader="none" w:pos="6020" w:val="left"/>
          <w:tab w:leader="none" w:pos="8940" w:val="left"/>
        </w:tabs>
        <w:rPr>
          <w:sz w:val="20"/>
          <w:szCs w:val="20"/>
          <w:color w:val="auto"/>
        </w:rPr>
      </w:pPr>
      <w:r>
        <w:rPr>
          <w:rFonts w:ascii="Times New Roman" w:cs="Times New Roman" w:eastAsia="Times New Roman" w:hAnsi="Times New Roman"/>
          <w:sz w:val="22"/>
          <w:szCs w:val="22"/>
          <w:u w:val="single" w:color="auto"/>
          <w:color w:val="auto"/>
        </w:rPr>
        <w:t>Invested Percentage of Loans</w:t>
      </w:r>
      <w:r>
        <w:rPr>
          <w:sz w:val="20"/>
          <w:szCs w:val="20"/>
          <w:color w:val="auto"/>
        </w:rPr>
        <w:tab/>
      </w:r>
      <w:r>
        <w:rPr>
          <w:rFonts w:ascii="Times New Roman" w:cs="Times New Roman" w:eastAsia="Times New Roman" w:hAnsi="Times New Roman"/>
          <w:sz w:val="22"/>
          <w:szCs w:val="22"/>
          <w:color w:val="auto"/>
        </w:rPr>
        <w:t>Interest on Loans</w:t>
      </w:r>
      <w:r>
        <w:rPr>
          <w:sz w:val="20"/>
          <w:szCs w:val="20"/>
          <w:color w:val="auto"/>
        </w:rPr>
        <w:tab/>
      </w:r>
      <w:r>
        <w:rPr>
          <w:rFonts w:ascii="Times New Roman" w:cs="Times New Roman" w:eastAsia="Times New Roman" w:hAnsi="Times New Roman"/>
          <w:sz w:val="22"/>
          <w:szCs w:val="22"/>
          <w:color w:val="auto"/>
        </w:rPr>
        <w:t>Payments on Loans</w:t>
      </w:r>
      <w:r>
        <w:rPr>
          <w:sz w:val="20"/>
          <w:szCs w:val="20"/>
          <w:color w:val="auto"/>
        </w:rPr>
        <w:tab/>
      </w:r>
      <w:r>
        <w:rPr>
          <w:rFonts w:ascii="Times New Roman" w:cs="Times New Roman" w:eastAsia="Times New Roman" w:hAnsi="Times New Roman"/>
          <w:sz w:val="20"/>
          <w:szCs w:val="20"/>
          <w:color w:val="auto"/>
        </w:rPr>
        <w:t>Notation by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19685</wp:posOffset>
            </wp:positionV>
            <wp:extent cx="5205730"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2">
                      <a:extLst>
                        <a:ext uri="{28A0092B-C50C-407E-A947-70E740481C1C}"/>
                      </a:extLst>
                    </a:blip>
                    <a:srcRect/>
                    <a:stretch>
                      <a:fillRect/>
                    </a:stretch>
                  </pic:blipFill>
                  <pic:spPr bwMode="auto">
                    <a:xfrm>
                      <a:off x="0" y="0"/>
                      <a:ext cx="520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572135</wp:posOffset>
            </wp:positionV>
            <wp:extent cx="7157720" cy="4254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460" w:top="1408" w:right="999" w:bottom="1440" w:gutter="0" w:footer="0" w:header="0"/>
        </w:sectPr>
      </w:pPr>
    </w:p>
    <w:bookmarkStart w:id="757" w:name="page758"/>
    <w:bookmarkEnd w:id="757"/>
    <w:p>
      <w:pPr>
        <w:jc w:val="right"/>
        <w:spacing w:after="0"/>
        <w:rPr>
          <w:sz w:val="20"/>
          <w:szCs w:val="20"/>
          <w:color w:val="auto"/>
        </w:rPr>
      </w:pPr>
      <w:r>
        <w:rPr>
          <w:rFonts w:ascii="Times New Roman" w:cs="Times New Roman" w:eastAsia="Times New Roman" w:hAnsi="Times New Roman"/>
          <w:sz w:val="22"/>
          <w:szCs w:val="22"/>
          <w:color w:val="auto"/>
        </w:rPr>
        <w:t>EXHIBIT 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ASSIGNMENT AND ACCEPTANCE</w:t>
      </w:r>
    </w:p>
    <w:p>
      <w:pPr>
        <w:spacing w:after="0" w:line="3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Dated __________, 202</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18, 2022 (as amended, restated, supplemented or otherwise modified from time to time, the “Warehouse Agreement”), among VFS Near Prime Trust I, as borrower, United Auto Credit Corporation, as servicer and as custodian, [***], as paying agent, the lenders from time to time parties thereto and Fifth Third Bank, National Association, as administrative agent (the “Administrative Agent”). Capitalized terms used but not otherwise defined herein shall have the meaning given to them in the Warehouse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__________________ (the “Assignor”) and ___________________ (the “Assignee”) agree as follows:</w:t>
      </w:r>
    </w:p>
    <w:p>
      <w:pPr>
        <w:spacing w:after="0" w:line="205" w:lineRule="exact"/>
        <w:rPr>
          <w:sz w:val="20"/>
          <w:szCs w:val="20"/>
          <w:color w:val="auto"/>
        </w:rPr>
      </w:pPr>
    </w:p>
    <w:p>
      <w:pPr>
        <w:jc w:val="both"/>
        <w:ind w:firstLine="757"/>
        <w:spacing w:after="0" w:line="236" w:lineRule="auto"/>
        <w:tabs>
          <w:tab w:leader="none" w:pos="1180" w:val="left"/>
        </w:tabs>
        <w:numPr>
          <w:ilvl w:val="0"/>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hereby sells and assigns to the Assignee, and the Assignee hereby purchases and assumes from the Assignor, that interest in and to all of the Assignor’s rights and obligations under the Warehouse Agreement as of the date hereof which represents the Invested Percentage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spacing w:after="0" w:line="179" w:lineRule="exact"/>
        <w:rPr>
          <w:rFonts w:ascii="Times New Roman" w:cs="Times New Roman" w:eastAsia="Times New Roman" w:hAnsi="Times New Roman"/>
          <w:sz w:val="22"/>
          <w:szCs w:val="22"/>
          <w:color w:val="auto"/>
        </w:rPr>
      </w:pPr>
    </w:p>
    <w:p>
      <w:pPr>
        <w:ind w:right="40" w:firstLine="757"/>
        <w:spacing w:after="0" w:line="258" w:lineRule="auto"/>
        <w:tabs>
          <w:tab w:leader="none" w:pos="1180" w:val="left"/>
        </w:tabs>
        <w:numPr>
          <w:ilvl w:val="0"/>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represents and warrants that it is the legal and beneficial owner of the interest being assigned by it hereunder and that such interest is free and clear of any Lien.</w:t>
      </w:r>
    </w:p>
    <w:p>
      <w:pPr>
        <w:spacing w:after="0" w:line="157"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0" w:val="left"/>
        </w:tabs>
        <w:numPr>
          <w:ilvl w:val="0"/>
          <w:numId w:val="6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 Assignee agrees that it will perform in accordance with their terms all of the obligations which by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58" w:name="page759"/>
    <w:bookmarkEnd w:id="758"/>
    <w:p>
      <w:pPr>
        <w:jc w:val="both"/>
        <w:spacing w:after="0" w:line="244" w:lineRule="auto"/>
        <w:rPr>
          <w:sz w:val="20"/>
          <w:szCs w:val="20"/>
          <w:color w:val="auto"/>
        </w:rPr>
      </w:pPr>
      <w:r>
        <w:rPr>
          <w:rFonts w:ascii="Times New Roman" w:cs="Times New Roman" w:eastAsia="Times New Roman" w:hAnsi="Times New Roman"/>
          <w:sz w:val="22"/>
          <w:szCs w:val="22"/>
          <w:color w:val="auto"/>
        </w:rPr>
        <w:t>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spacing w:after="0" w:line="172" w:lineRule="exact"/>
        <w:rPr>
          <w:sz w:val="20"/>
          <w:szCs w:val="20"/>
          <w:color w:val="auto"/>
        </w:rPr>
      </w:pPr>
    </w:p>
    <w:p>
      <w:pPr>
        <w:jc w:val="both"/>
        <w:ind w:firstLine="757"/>
        <w:spacing w:after="0" w:line="280" w:lineRule="auto"/>
        <w:tabs>
          <w:tab w:leader="none" w:pos="1180" w:val="left"/>
        </w:tabs>
        <w:numPr>
          <w:ilvl w:val="0"/>
          <w:numId w:val="6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execution of this Assignment and Acceptance by the Assignor and the Assignee, it will be delivered to the Administrative Agent for acceptance. The effective date of this Assignment and Acceptance (the “Assignment Date”) shall be the date of acceptance thereof by the Administrative Agent, unless a later date is specified in Section 3 of Schedule 1.</w:t>
      </w:r>
    </w:p>
    <w:p>
      <w:pPr>
        <w:spacing w:after="0" w:line="138" w:lineRule="exact"/>
        <w:rPr>
          <w:rFonts w:ascii="Times New Roman" w:cs="Times New Roman" w:eastAsia="Times New Roman" w:hAnsi="Times New Roman"/>
          <w:sz w:val="20"/>
          <w:szCs w:val="20"/>
          <w:color w:val="auto"/>
        </w:rPr>
      </w:pPr>
    </w:p>
    <w:p>
      <w:pPr>
        <w:jc w:val="both"/>
        <w:ind w:firstLine="757"/>
        <w:spacing w:after="0" w:line="244" w:lineRule="auto"/>
        <w:tabs>
          <w:tab w:leader="none" w:pos="1180"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spacing w:after="0" w:line="17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0"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covering all or the remaining portion of an assigning Assignor’s rights and obligations under the Warehouse Agreement, Assignor shall cease to be a party thereto).</w:t>
      </w:r>
    </w:p>
    <w:p>
      <w:pPr>
        <w:spacing w:after="0" w:line="179"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0"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spacing w:after="0" w:line="176" w:lineRule="exact"/>
        <w:rPr>
          <w:rFonts w:ascii="Times New Roman" w:cs="Times New Roman" w:eastAsia="Times New Roman" w:hAnsi="Times New Roman"/>
          <w:sz w:val="22"/>
          <w:szCs w:val="22"/>
          <w:color w:val="auto"/>
        </w:rPr>
      </w:pPr>
    </w:p>
    <w:p>
      <w:pPr>
        <w:jc w:val="both"/>
        <w:ind w:firstLine="757"/>
        <w:spacing w:after="0"/>
        <w:tabs>
          <w:tab w:leader="none" w:pos="1261" w:val="left"/>
        </w:tabs>
        <w:numPr>
          <w:ilvl w:val="0"/>
          <w:numId w:val="6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THIS ASSIGNMENT AND ACCEPTANCE SHALL BE GOVERNED BY, AND CONSTRUED IN ACCORDANCE WITH, THE LAWS OF THE STATE OF NEW YORK WITHOUT REGARD TO PRINCIPLES OF CONFLICTS OF LAW PROVISIONS (OTHER THAN SECTIONS 5-1401 AND 5-1402 OF THE NEW YORK GENERAL OBLIGATIONS LAW).</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59" w:name="page760"/>
    <w:bookmarkEnd w:id="759"/>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Assignor and the Assignee have executed this Acceptance and Assignment as of the day and year first written above.</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 as Assignee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With a copy to: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United Auto Credit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 xml:space="preserve">1071 </w:t>
      </w:r>
      <w:r>
        <w:rPr>
          <w:rFonts w:ascii="Times New Roman" w:cs="Times New Roman" w:eastAsia="Times New Roman" w:hAnsi="Times New Roman"/>
          <w:sz w:val="22"/>
          <w:szCs w:val="22"/>
          <w:color w:val="000000"/>
        </w:rPr>
        <w:t>Camelback</w:t>
      </w:r>
    </w:p>
    <w:p>
      <w:pPr>
        <w:spacing w:after="0" w:line="230" w:lineRule="auto"/>
        <w:rPr>
          <w:sz w:val="20"/>
          <w:szCs w:val="20"/>
          <w:color w:val="auto"/>
        </w:rPr>
      </w:pPr>
      <w:r>
        <w:rPr>
          <w:rFonts w:ascii="Times New Roman" w:cs="Times New Roman" w:eastAsia="Times New Roman" w:hAnsi="Times New Roman"/>
          <w:sz w:val="22"/>
          <w:szCs w:val="22"/>
          <w:color w:val="212121"/>
        </w:rPr>
        <w:t>Newport Beach, CA 92660</w:t>
      </w:r>
    </w:p>
    <w:p>
      <w:pPr>
        <w:spacing w:after="0" w:line="230" w:lineRule="auto"/>
        <w:rPr>
          <w:sz w:val="20"/>
          <w:szCs w:val="20"/>
          <w:color w:val="auto"/>
        </w:rPr>
      </w:pPr>
      <w:r>
        <w:rPr>
          <w:rFonts w:ascii="Times New Roman" w:cs="Times New Roman" w:eastAsia="Times New Roman" w:hAnsi="Times New Roman"/>
          <w:sz w:val="22"/>
          <w:szCs w:val="22"/>
          <w:color w:val="212121"/>
        </w:rPr>
        <w:t>Attention: Ravi Gandhi</w:t>
      </w:r>
    </w:p>
    <w:p>
      <w:pPr>
        <w:spacing w:after="0" w:line="230" w:lineRule="auto"/>
        <w:rPr>
          <w:sz w:val="20"/>
          <w:szCs w:val="20"/>
          <w:color w:val="auto"/>
        </w:rPr>
      </w:pPr>
      <w:r>
        <w:rPr>
          <w:rFonts w:ascii="Times New Roman" w:cs="Times New Roman" w:eastAsia="Times New Roman" w:hAnsi="Times New Roman"/>
          <w:sz w:val="22"/>
          <w:szCs w:val="22"/>
          <w:color w:val="212121"/>
        </w:rPr>
        <w:t>Telephone: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12121"/>
        </w:rPr>
        <w:t>Email: [***]</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60" w:name="page761"/>
    <w:bookmarkEnd w:id="760"/>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58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8"/>
              </w:rPr>
              <w:t>Schedule 1</w:t>
            </w:r>
          </w:p>
        </w:tc>
        <w:tc>
          <w:tcPr>
            <w:tcW w:w="4120" w:type="dxa"/>
            <w:vAlign w:val="bottom"/>
          </w:tcPr>
          <w:p>
            <w:pPr>
              <w:spacing w:after="0"/>
              <w:rPr>
                <w:sz w:val="22"/>
                <w:szCs w:val="22"/>
                <w:color w:val="auto"/>
              </w:rPr>
            </w:pPr>
          </w:p>
        </w:tc>
      </w:tr>
      <w:tr>
        <w:trPr>
          <w:trHeight w:val="243"/>
        </w:trPr>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80" w:type="dxa"/>
            <w:vAlign w:val="bottom"/>
          </w:tcPr>
          <w:p>
            <w:pPr>
              <w:jc w:val="center"/>
              <w:ind w:left="1472"/>
              <w:spacing w:after="0" w:line="243" w:lineRule="exact"/>
              <w:rPr>
                <w:sz w:val="20"/>
                <w:szCs w:val="20"/>
                <w:color w:val="auto"/>
              </w:rPr>
            </w:pPr>
            <w:r>
              <w:rPr>
                <w:rFonts w:ascii="Times New Roman" w:cs="Times New Roman" w:eastAsia="Times New Roman" w:hAnsi="Times New Roman"/>
                <w:sz w:val="22"/>
                <w:szCs w:val="22"/>
                <w:color w:val="auto"/>
                <w:w w:val="93"/>
              </w:rPr>
              <w:t>to</w:t>
            </w:r>
          </w:p>
        </w:tc>
        <w:tc>
          <w:tcPr>
            <w:tcW w:w="4120" w:type="dxa"/>
            <w:vAlign w:val="bottom"/>
          </w:tcPr>
          <w:p>
            <w:pPr>
              <w:spacing w:after="0"/>
              <w:rPr>
                <w:sz w:val="21"/>
                <w:szCs w:val="21"/>
                <w:color w:val="auto"/>
              </w:rPr>
            </w:pPr>
          </w:p>
        </w:tc>
      </w:tr>
      <w:tr>
        <w:trPr>
          <w:trHeight w:val="243"/>
        </w:trPr>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580" w:type="dxa"/>
            <w:vAlign w:val="bottom"/>
          </w:tcPr>
          <w:p>
            <w:pPr>
              <w:jc w:val="center"/>
              <w:ind w:left="1492"/>
              <w:spacing w:after="0" w:line="243" w:lineRule="exact"/>
              <w:rPr>
                <w:sz w:val="20"/>
                <w:szCs w:val="20"/>
                <w:color w:val="auto"/>
              </w:rPr>
            </w:pPr>
            <w:r>
              <w:rPr>
                <w:rFonts w:ascii="Times New Roman" w:cs="Times New Roman" w:eastAsia="Times New Roman" w:hAnsi="Times New Roman"/>
                <w:sz w:val="22"/>
                <w:szCs w:val="22"/>
                <w:color w:val="auto"/>
                <w:w w:val="98"/>
              </w:rPr>
              <w:t>Assignment and Acceptance</w:t>
            </w:r>
          </w:p>
        </w:tc>
        <w:tc>
          <w:tcPr>
            <w:tcW w:w="4120" w:type="dxa"/>
            <w:vAlign w:val="bottom"/>
          </w:tcPr>
          <w:p>
            <w:pPr>
              <w:spacing w:after="0"/>
              <w:rPr>
                <w:sz w:val="21"/>
                <w:szCs w:val="21"/>
                <w:color w:val="auto"/>
              </w:rPr>
            </w:pPr>
          </w:p>
        </w:tc>
      </w:tr>
      <w:tr>
        <w:trPr>
          <w:trHeight w:val="282"/>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Pr>
          <w:p>
            <w:pPr>
              <w:ind w:left="2040"/>
              <w:spacing w:after="0"/>
              <w:rPr>
                <w:sz w:val="20"/>
                <w:szCs w:val="20"/>
                <w:color w:val="auto"/>
              </w:rPr>
            </w:pPr>
            <w:r>
              <w:rPr>
                <w:rFonts w:ascii="Times New Roman" w:cs="Times New Roman" w:eastAsia="Times New Roman" w:hAnsi="Times New Roman"/>
                <w:sz w:val="22"/>
                <w:szCs w:val="22"/>
                <w:color w:val="auto"/>
              </w:rPr>
              <w:t>Dated _________, 20_</w:t>
            </w:r>
          </w:p>
        </w:tc>
        <w:tc>
          <w:tcPr>
            <w:tcW w:w="4120" w:type="dxa"/>
            <w:vAlign w:val="bottom"/>
          </w:tcPr>
          <w:p>
            <w:pPr>
              <w:spacing w:after="0"/>
              <w:rPr>
                <w:sz w:val="24"/>
                <w:szCs w:val="24"/>
                <w:color w:val="auto"/>
              </w:rPr>
            </w:pPr>
          </w:p>
        </w:tc>
      </w:tr>
      <w:tr>
        <w:trPr>
          <w:trHeight w:val="635"/>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Invested Percentage:</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w:t>
            </w:r>
          </w:p>
        </w:tc>
      </w:tr>
      <w:tr>
        <w:trPr>
          <w:trHeight w:val="541"/>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Assignee’s Commitment:</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485"/>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Aggregate Lender Advances Owing to the Assignee:</w:t>
            </w:r>
          </w:p>
        </w:tc>
        <w:tc>
          <w:tcPr>
            <w:tcW w:w="41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$_____________</w:t>
            </w:r>
          </w:p>
        </w:tc>
      </w:tr>
      <w:tr>
        <w:trPr>
          <w:trHeight w:val="541"/>
        </w:trPr>
        <w:tc>
          <w:tcPr>
            <w:tcW w:w="17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w:t>
            </w:r>
          </w:p>
        </w:tc>
        <w:tc>
          <w:tcPr>
            <w:tcW w:w="412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18"/>
        </w:trPr>
        <w:tc>
          <w:tcPr>
            <w:tcW w:w="1740" w:type="dxa"/>
            <w:vAlign w:val="bottom"/>
          </w:tcPr>
          <w:p>
            <w:pPr>
              <w:spacing w:after="0"/>
              <w:rPr>
                <w:sz w:val="24"/>
                <w:szCs w:val="24"/>
                <w:color w:val="auto"/>
              </w:rPr>
            </w:pPr>
          </w:p>
        </w:tc>
        <w:tc>
          <w:tcPr>
            <w:tcW w:w="53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Assignment Date: _____________, 20_</w:t>
            </w:r>
          </w:p>
        </w:tc>
        <w:tc>
          <w:tcPr>
            <w:tcW w:w="4120" w:type="dxa"/>
            <w:vAlign w:val="bottom"/>
          </w:tcPr>
          <w:p>
            <w:pPr>
              <w:spacing w:after="0"/>
              <w:rPr>
                <w:sz w:val="24"/>
                <w:szCs w:val="24"/>
                <w:color w:val="auto"/>
              </w:rPr>
            </w:pPr>
          </w:p>
        </w:tc>
      </w:tr>
      <w:tr>
        <w:trPr>
          <w:trHeight w:val="728"/>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tcPr>
          <w:p>
            <w:pPr>
              <w:jc w:val="center"/>
              <w:ind w:left="1472"/>
              <w:spacing w:after="0"/>
              <w:rPr>
                <w:sz w:val="20"/>
                <w:szCs w:val="20"/>
                <w:color w:val="auto"/>
              </w:rPr>
            </w:pPr>
            <w:r>
              <w:rPr>
                <w:rFonts w:ascii="Times New Roman" w:cs="Times New Roman" w:eastAsia="Times New Roman" w:hAnsi="Times New Roman"/>
                <w:sz w:val="22"/>
                <w:szCs w:val="22"/>
                <w:color w:val="auto"/>
                <w:w w:val="96"/>
              </w:rPr>
              <w:t>C-4</w:t>
            </w:r>
          </w:p>
        </w:tc>
        <w:tc>
          <w:tcPr>
            <w:tcW w:w="4120" w:type="dxa"/>
            <w:vAlign w:val="bottom"/>
          </w:tcPr>
          <w:p>
            <w:pPr>
              <w:spacing w:after="0"/>
              <w:rPr>
                <w:sz w:val="24"/>
                <w:szCs w:val="24"/>
                <w:color w:val="auto"/>
              </w:rPr>
            </w:pPr>
          </w:p>
        </w:tc>
      </w:tr>
      <w:tr>
        <w:trPr>
          <w:trHeight w:val="898"/>
        </w:trPr>
        <w:tc>
          <w:tcPr>
            <w:tcW w:w="1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761" w:name="page762"/>
    <w:bookmarkEnd w:id="761"/>
    <w:p>
      <w:pPr>
        <w:jc w:val="right"/>
        <w:spacing w:after="0"/>
        <w:rPr>
          <w:sz w:val="20"/>
          <w:szCs w:val="20"/>
          <w:color w:val="auto"/>
        </w:rPr>
      </w:pPr>
      <w:r>
        <w:rPr>
          <w:rFonts w:ascii="Times New Roman" w:cs="Times New Roman" w:eastAsia="Times New Roman" w:hAnsi="Times New Roman"/>
          <w:sz w:val="22"/>
          <w:szCs w:val="22"/>
          <w:color w:val="auto"/>
        </w:rPr>
        <w:t>EXHIBIT D</w:t>
      </w: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t>
      </w:r>
    </w:p>
    <w:p>
      <w:pPr>
        <w:spacing w:after="0" w:line="3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[Provided In Electronic Form to Administrative Agent]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762" w:name="page763"/>
    <w:bookmarkEnd w:id="762"/>
    <w:p>
      <w:pPr>
        <w:jc w:val="right"/>
        <w:spacing w:after="0"/>
        <w:rPr>
          <w:sz w:val="20"/>
          <w:szCs w:val="20"/>
          <w:color w:val="auto"/>
        </w:rPr>
      </w:pPr>
      <w:r>
        <w:rPr>
          <w:rFonts w:ascii="Times New Roman" w:cs="Times New Roman" w:eastAsia="Times New Roman" w:hAnsi="Times New Roman"/>
          <w:sz w:val="22"/>
          <w:szCs w:val="22"/>
          <w:color w:val="auto"/>
        </w:rPr>
        <w:t>EXHIBIT 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POWER OF ATTORNEY</w:t>
      </w:r>
    </w:p>
    <w:p>
      <w:pPr>
        <w:spacing w:after="0" w:line="31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Power of Attorney (this “Power of Attorney”) is executed and delivered by VFS Near Prime Trust I (“Grantor”) to Fifth Third Bank, National Association, as Administrative Agent (“Attorney”), pursuant to the Warehouse Agreement, dated as of November 18, 2022 (as amended, restated, supplemented or otherwise modified from time to time, the “Warehouse Agreement”), among VFS Near Prime Trust I, as borrower (the “Borrower”), United Auto Credit Corporation, as servicer and as custodian, [***], as paying agent, the lenders from time to time parties thereto, and Fifth Third Bank, National Association, as administrative agent. Capitalized terms used herein that are not otherwise defined shall have the meanings ascribed thereto in the Warehouse Agreement.</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 or Attorney has provided its written consent thereto.</w:t>
      </w:r>
    </w:p>
    <w:p>
      <w:pPr>
        <w:spacing w:after="0" w:line="18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3" w:name="page764"/>
    <w:bookmarkEnd w:id="763"/>
    <w:p>
      <w:pPr>
        <w:jc w:val="both"/>
        <w:spacing w:after="0" w:line="234" w:lineRule="auto"/>
        <w:rPr>
          <w:sz w:val="20"/>
          <w:szCs w:val="20"/>
          <w:color w:val="auto"/>
        </w:rPr>
      </w:pPr>
      <w:r>
        <w:rPr>
          <w:rFonts w:ascii="Times New Roman" w:cs="Times New Roman" w:eastAsia="Times New Roman" w:hAnsi="Times New Roman"/>
          <w:sz w:val="22"/>
          <w:szCs w:val="22"/>
          <w:color w:val="auto"/>
        </w:rPr>
        <w:t>instruments of 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All actions taken by Attorney pursuant to this Power of Attorney may be taken directly by the Administrative Agent.</w:t>
      </w:r>
    </w:p>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Grantor hereby ratifies, to the extent permitted by Applicable Law, all that said attorneys shall lawfully do or cause to be done by virtue 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this Power of Attorney is executed by Grantor as of this __ day of [_____________] 2022.</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 not in its individual capacity but solely as Owner Trustee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Sworn to and subscribed before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 this __ day of [_________] 2022</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Public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[NOTARY SEAL]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4" w:name="page765"/>
    <w:bookmarkEnd w:id="764"/>
    <w:p>
      <w:pPr>
        <w:jc w:val="right"/>
        <w:spacing w:after="0"/>
        <w:rPr>
          <w:sz w:val="20"/>
          <w:szCs w:val="20"/>
          <w:color w:val="auto"/>
        </w:rPr>
      </w:pPr>
      <w:r>
        <w:rPr>
          <w:rFonts w:ascii="Times New Roman" w:cs="Times New Roman" w:eastAsia="Times New Roman" w:hAnsi="Times New Roman"/>
          <w:sz w:val="22"/>
          <w:szCs w:val="22"/>
          <w:color w:val="auto"/>
        </w:rPr>
        <w:t>EXHIBIT F</w:t>
      </w:r>
    </w:p>
    <w:p>
      <w:pPr>
        <w:spacing w:after="0" w:line="200" w:lineRule="exact"/>
        <w:rPr>
          <w:sz w:val="20"/>
          <w:szCs w:val="20"/>
          <w:color w:val="auto"/>
        </w:rPr>
      </w:pP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765" w:name="page766"/>
    <w:bookmarkEnd w:id="765"/>
    <w:p>
      <w:pPr>
        <w:jc w:val="right"/>
        <w:spacing w:after="0"/>
        <w:rPr>
          <w:sz w:val="20"/>
          <w:szCs w:val="20"/>
          <w:color w:val="auto"/>
        </w:rPr>
      </w:pPr>
      <w:r>
        <w:rPr>
          <w:rFonts w:ascii="Times New Roman" w:cs="Times New Roman" w:eastAsia="Times New Roman" w:hAnsi="Times New Roman"/>
          <w:sz w:val="22"/>
          <w:szCs w:val="22"/>
          <w:color w:val="auto"/>
        </w:rPr>
        <w:t>EXHIBIT 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RECEIVABLE RECEIPT</w:t>
      </w:r>
    </w:p>
    <w:p>
      <w:pPr>
        <w:spacing w:after="0" w:line="3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 202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0" w:lineRule="auto"/>
        <w:rPr>
          <w:sz w:val="20"/>
          <w:szCs w:val="20"/>
          <w:color w:val="auto"/>
        </w:rPr>
      </w:pPr>
      <w:r>
        <w:rPr>
          <w:rFonts w:ascii="Times New Roman" w:cs="Times New Roman" w:eastAsia="Times New Roman" w:hAnsi="Times New Roman"/>
          <w:sz w:val="22"/>
          <w:szCs w:val="22"/>
          <w:color w:val="212121"/>
        </w:rPr>
        <w:t>38 Fountain Square Plaza</w:t>
      </w:r>
    </w:p>
    <w:p>
      <w:pPr>
        <w:spacing w:after="0" w:line="230" w:lineRule="auto"/>
        <w:rPr>
          <w:sz w:val="20"/>
          <w:szCs w:val="20"/>
          <w:color w:val="auto"/>
        </w:rPr>
      </w:pPr>
      <w:r>
        <w:rPr>
          <w:rFonts w:ascii="Times New Roman" w:cs="Times New Roman" w:eastAsia="Times New Roman" w:hAnsi="Times New Roman"/>
          <w:sz w:val="22"/>
          <w:szCs w:val="22"/>
          <w:color w:val="212121"/>
        </w:rPr>
        <w:t>MD 1090TC</w:t>
      </w:r>
    </w:p>
    <w:p>
      <w:pPr>
        <w:spacing w:after="0" w:line="230" w:lineRule="auto"/>
        <w:rPr>
          <w:sz w:val="20"/>
          <w:szCs w:val="20"/>
          <w:color w:val="auto"/>
        </w:rPr>
      </w:pPr>
      <w:r>
        <w:rPr>
          <w:rFonts w:ascii="Times New Roman" w:cs="Times New Roman" w:eastAsia="Times New Roman" w:hAnsi="Times New Roman"/>
          <w:sz w:val="22"/>
          <w:szCs w:val="22"/>
          <w:color w:val="212121"/>
        </w:rPr>
        <w:t>Cincinnati, OH 45202</w:t>
      </w:r>
    </w:p>
    <w:p>
      <w:pPr>
        <w:spacing w:after="0" w:line="231" w:lineRule="auto"/>
        <w:rPr>
          <w:sz w:val="20"/>
          <w:szCs w:val="20"/>
          <w:color w:val="auto"/>
        </w:rPr>
      </w:pPr>
      <w:r>
        <w:rPr>
          <w:rFonts w:ascii="Times New Roman" w:cs="Times New Roman" w:eastAsia="Times New Roman" w:hAnsi="Times New Roman"/>
          <w:sz w:val="22"/>
          <w:szCs w:val="22"/>
          <w:color w:val="212121"/>
        </w:rPr>
        <w:t>Attention: Joy Rutan; Steven Ellis</w:t>
      </w:r>
    </w:p>
    <w:p>
      <w:pPr>
        <w:spacing w:after="0" w:line="230" w:lineRule="auto"/>
        <w:rPr>
          <w:sz w:val="20"/>
          <w:szCs w:val="20"/>
          <w:color w:val="auto"/>
        </w:rPr>
      </w:pPr>
      <w:r>
        <w:rPr>
          <w:rFonts w:ascii="Times New Roman" w:cs="Times New Roman" w:eastAsia="Times New Roman" w:hAnsi="Times New Roman"/>
          <w:sz w:val="22"/>
          <w:szCs w:val="22"/>
          <w:color w:val="212121"/>
        </w:rPr>
        <w:t>E-mail: [***]</w:t>
      </w:r>
    </w:p>
    <w:p>
      <w:pPr>
        <w:spacing w:after="0"/>
        <w:rPr>
          <w:sz w:val="20"/>
          <w:szCs w:val="20"/>
          <w:color w:val="auto"/>
        </w:rPr>
      </w:pPr>
      <w:r>
        <w:rPr>
          <w:rFonts w:ascii="Times New Roman" w:cs="Times New Roman" w:eastAsia="Times New Roman" w:hAnsi="Times New Roman"/>
          <w:sz w:val="22"/>
          <w:szCs w:val="22"/>
          <w:color w:val="212121"/>
        </w:rPr>
        <w:t>Telephone No.: [***]</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 VFS Near Prime Trust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[___________]</w:t>
      </w:r>
    </w:p>
    <w:p>
      <w:pPr>
        <w:spacing w:after="0" w:line="2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 xml:space="preserve">Re: VFS Near </w:t>
      </w:r>
      <w:r>
        <w:rPr>
          <w:rFonts w:ascii="Times New Roman" w:cs="Times New Roman" w:eastAsia="Times New Roman" w:hAnsi="Times New Roman"/>
          <w:sz w:val="22"/>
          <w:szCs w:val="22"/>
          <w:u w:val="single" w:color="auto"/>
          <w:color w:val="auto"/>
        </w:rPr>
        <w:t>Prime Trust I Warehouse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18, 2022 (as amended, restated, supplemented or otherwise modified from time to time, the “Warehouse Agreement”), among VFS Near Prime Trust I, as borrower, United Auto Credit Corporation (“UACC”), as servicer and as custodian (in such capacity, the “Custodian”), [***], as paying agent, the lenders from time to time parties thereto, and Fifth Third Bank, National Association, as administrative agent (the “Administrative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undersigned, on behalf of UACC, in its capacity as Custodian under the Warehouse Agreement, hereby (i) confirms</w:t>
      </w:r>
    </w:p>
    <w:p>
      <w:pPr>
        <w:spacing w:after="0" w:line="37" w:lineRule="exact"/>
        <w:rPr>
          <w:sz w:val="20"/>
          <w:szCs w:val="20"/>
          <w:color w:val="auto"/>
        </w:rPr>
      </w:pPr>
    </w:p>
    <w:p>
      <w:pPr>
        <w:jc w:val="both"/>
        <w:ind w:firstLine="8"/>
        <w:spacing w:after="0" w:line="232" w:lineRule="auto"/>
        <w:tabs>
          <w:tab w:leader="none" w:pos="328" w:val="left"/>
        </w:tabs>
        <w:numPr>
          <w:ilvl w:val="0"/>
          <w:numId w:val="6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Tangible Contracts, that it is in possession of the executed original counterpart of the Contracts set forth on Schedule 1 hereto, evidencing the related Receivables along with the Receivable Files related thereto, or (y) in the case of an Electronic Contract, that the Custodian has “control” for the benefit of the Administrative Agent (within the meaning of Section 9-105 of the UCC) of the Electronic Contracts set forth on Schedule 1 hereto, and (ii) acknowledges that the executed original counterparts or the Authoritative Copies, as applicable, of the Contracts set forth on Schedule 2 hereto have not been delivered to the Custodian or are mutilated or damaged in any material respect.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66" w:name="page767"/>
    <w:bookmarkEnd w:id="766"/>
    <w:p>
      <w:pPr>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 ascribed thereto in the Warehouse Agreement.</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 Custodian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67" w:name="page768"/>
    <w:bookmarkEnd w:id="767"/>
    <w:p>
      <w:pPr>
        <w:jc w:val="center"/>
        <w:ind w:right="19"/>
        <w:spacing w:after="0"/>
        <w:rPr>
          <w:sz w:val="20"/>
          <w:szCs w:val="20"/>
          <w:color w:val="auto"/>
        </w:rPr>
      </w:pPr>
      <w:r>
        <w:rPr>
          <w:rFonts w:ascii="Times New Roman" w:cs="Times New Roman" w:eastAsia="Times New Roman" w:hAnsi="Times New Roman"/>
          <w:sz w:val="22"/>
          <w:szCs w:val="22"/>
          <w:color w:val="auto"/>
        </w:rPr>
        <w:t>Schedule 1</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68" w:name="page769"/>
    <w:bookmarkEnd w:id="768"/>
    <w:p>
      <w:pPr>
        <w:jc w:val="center"/>
        <w:ind w:right="19"/>
        <w:spacing w:after="0"/>
        <w:rPr>
          <w:sz w:val="20"/>
          <w:szCs w:val="20"/>
          <w:color w:val="auto"/>
        </w:rPr>
      </w:pPr>
      <w:r>
        <w:rPr>
          <w:rFonts w:ascii="Times New Roman" w:cs="Times New Roman" w:eastAsia="Times New Roman" w:hAnsi="Times New Roman"/>
          <w:sz w:val="22"/>
          <w:szCs w:val="22"/>
          <w:color w:val="auto"/>
        </w:rPr>
        <w:t>Schedule 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 Receivable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69" w:name="page770"/>
    <w:bookmarkEnd w:id="769"/>
    <w:p>
      <w:pPr>
        <w:jc w:val="right"/>
        <w:spacing w:after="0"/>
        <w:rPr>
          <w:sz w:val="20"/>
          <w:szCs w:val="20"/>
          <w:color w:val="auto"/>
        </w:rPr>
      </w:pPr>
      <w:r>
        <w:rPr>
          <w:rFonts w:ascii="Times New Roman" w:cs="Times New Roman" w:eastAsia="Times New Roman" w:hAnsi="Times New Roman"/>
          <w:sz w:val="22"/>
          <w:szCs w:val="22"/>
          <w:color w:val="auto"/>
        </w:rPr>
        <w:t>EXHIBIT 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SECURITIZATION RELEASE</w:t>
      </w:r>
    </w:p>
    <w:p>
      <w:pPr>
        <w:spacing w:after="0" w:line="31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Reference is hereby made to the Warehouse Agreement, Warehouse Agreement, dated as of November 18, 2022 (as amended, restated, supplemented or otherwise modified from time to time, the “Warehouse Agreement”), among the Borrower, United Auto Credit Corporation, as servicer and as custodian, [***], as paying agent, the Lenders from time to time party thereto, and Fifth Third Bank, National Association, as administrative agent. Capitalized terms not otherwise defined herein have the meanings ascribed thereto in the Warehouse Agreement.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Borrower hereby represents and warrants that each condition in the Warehouse Agreement and each other Basic Document, to the consummation of the Securitization to which this Securitization Release relates, has been satisfied, including but not limited to delivery of (i) the executed Securitization Date Certificate, in substantially the form attached hereto as Annex 1 and (i) the executed notice, in substantially the form attached hereto as Annex 2.</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Upon deposit in the Collection Account of $___________ in accordance with Section 2.15(a)(iv) in immediately</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available funds, the Administrative Agent hereby releases all of its right, title and interest, including its Lien, in and to the following:</w:t>
      </w:r>
    </w:p>
    <w:p>
      <w:pPr>
        <w:spacing w:after="0" w:line="178" w:lineRule="exact"/>
        <w:rPr>
          <w:sz w:val="20"/>
          <w:szCs w:val="20"/>
          <w:color w:val="auto"/>
        </w:rPr>
      </w:pPr>
    </w:p>
    <w:p>
      <w:pPr>
        <w:jc w:val="both"/>
        <w:ind w:left="760" w:firstLine="745"/>
        <w:spacing w:after="0" w:line="235" w:lineRule="auto"/>
        <w:tabs>
          <w:tab w:leader="none" w:pos="1940" w:val="left"/>
        </w:tabs>
        <w:numPr>
          <w:ilvl w:val="0"/>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Receivables to be transferred by the Borrower in the related Securitization and described in Schedule I hereto (the “Securitized Assets” and such Schedule, the “Schedule of Securitized Assets”), together with the related Contracts (including the agreement to service the Receivables), whether now existing or hereafter acquired, and any accounts or obligations evidenced thereby, any guarantee thereof, all Collections related thereto, and all monies due (including any payments made under any guarantee or similar credit enhancement with respect to any such Securitized Assets) or to become due or received by any Person in payment of any of the foregoing on or after the related Securitization Date;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0" w:val="left"/>
        </w:tabs>
        <w:numPr>
          <w:ilvl w:val="0"/>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Borrower’s interest in the Financed Vehicles relating to the Securitized Assets (including repossessed vehicles) or in any document or writing evidencing any security interest in any such Financed Vehicle and each security interest in each such Financed Vehicle, whether now existing or hereafter acquired, including all proceeds from any sale or other disposition of such Financed Vehicles;</w:t>
      </w:r>
    </w:p>
    <w:p>
      <w:pPr>
        <w:spacing w:after="0" w:line="17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products, accessions and proceeds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70" w:name="page771"/>
    <w:bookmarkEnd w:id="770"/>
    <w:p>
      <w:pPr>
        <w:spacing w:after="0"/>
        <w:rPr>
          <w:sz w:val="20"/>
          <w:szCs w:val="20"/>
          <w:color w:val="auto"/>
        </w:rPr>
      </w:pPr>
      <w:r>
        <w:rPr>
          <w:rFonts w:ascii="Times New Roman" w:cs="Times New Roman" w:eastAsia="Times New Roman" w:hAnsi="Times New Roman"/>
          <w:sz w:val="22"/>
          <w:szCs w:val="22"/>
          <w:color w:val="auto"/>
        </w:rPr>
        <w:t>Executed as of __________, 202_.</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VFS NEAR PRIME TRUST I, as Borrower</w:t>
      </w:r>
    </w:p>
    <w:p>
      <w:pPr>
        <w:spacing w:after="0" w:line="2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8">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Servicer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9">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397" w:lineRule="exact"/>
        <w:rPr>
          <w:sz w:val="20"/>
          <w:szCs w:val="20"/>
          <w:color w:val="auto"/>
        </w:rPr>
      </w:pPr>
    </w:p>
    <w:p>
      <w:pPr>
        <w:ind w:left="4500"/>
        <w:spacing w:after="0" w:line="258" w:lineRule="auto"/>
        <w:rPr>
          <w:sz w:val="20"/>
          <w:szCs w:val="20"/>
          <w:color w:val="auto"/>
        </w:rPr>
      </w:pPr>
      <w:r>
        <w:rPr>
          <w:rFonts w:ascii="Times New Roman" w:cs="Times New Roman" w:eastAsia="Times New Roman" w:hAnsi="Times New Roman"/>
          <w:sz w:val="22"/>
          <w:szCs w:val="22"/>
          <w:color w:val="auto"/>
        </w:rPr>
        <w:t>FIFTH THIRD BANK, NATIONAL ASSOCIATION, as Administrative Agent</w:t>
      </w:r>
    </w:p>
    <w:p>
      <w:pPr>
        <w:spacing w:after="0" w:line="200" w:lineRule="exact"/>
        <w:rPr>
          <w:sz w:val="20"/>
          <w:szCs w:val="20"/>
          <w:color w:val="auto"/>
        </w:rPr>
      </w:pPr>
    </w:p>
    <w:p>
      <w:pPr>
        <w:spacing w:after="0" w:line="38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0">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07" w:right="799" w:bottom="1440" w:gutter="0" w:footer="0" w:header="0"/>
        </w:sectPr>
      </w:pPr>
    </w:p>
    <w:bookmarkStart w:id="771" w:name="page772"/>
    <w:bookmarkEnd w:id="771"/>
    <w:p>
      <w:pPr>
        <w:jc w:val="right"/>
        <w:spacing w:after="0"/>
        <w:rPr>
          <w:sz w:val="20"/>
          <w:szCs w:val="20"/>
          <w:color w:val="auto"/>
        </w:rPr>
      </w:pPr>
      <w:r>
        <w:rPr>
          <w:rFonts w:ascii="Times New Roman" w:cs="Times New Roman" w:eastAsia="Times New Roman" w:hAnsi="Times New Roman"/>
          <w:sz w:val="22"/>
          <w:szCs w:val="22"/>
          <w:color w:val="auto"/>
        </w:rPr>
        <w:t>ANNEX 1</w:t>
      </w:r>
    </w:p>
    <w:p>
      <w:pPr>
        <w:spacing w:after="0" w:line="200" w:lineRule="exact"/>
        <w:rPr>
          <w:sz w:val="20"/>
          <w:szCs w:val="20"/>
          <w:color w:val="auto"/>
        </w:rPr>
      </w:pP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20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SECURITIZATION DATE CERTIFICATE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2.15(a)</w:t>
      </w:r>
    </w:p>
    <w:p>
      <w:pPr>
        <w:jc w:val="center"/>
        <w:spacing w:after="0"/>
        <w:rPr>
          <w:sz w:val="20"/>
          <w:szCs w:val="20"/>
          <w:color w:val="auto"/>
        </w:rPr>
      </w:pPr>
      <w:r>
        <w:rPr>
          <w:rFonts w:ascii="Times New Roman" w:cs="Times New Roman" w:eastAsia="Times New Roman" w:hAnsi="Times New Roman"/>
          <w:sz w:val="22"/>
          <w:szCs w:val="22"/>
          <w:color w:val="auto"/>
        </w:rPr>
        <w:t>OF THE WAREHOUSE AGREEMENT</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United Auto Credit Corporation, as servicer (the “Servicer”), delivers this certificate pursuant to Section 2.15(a) of the Warehouse Agreement, dated as of November 18, 2022 (as amended, restated, supplemented or otherwise modified from time to time, the “Warehouse Agreement”), among VFS Near Prime Trust I, a Delaware statutory trust, as borrower (the “Borrower”), the Servicer, as servicer and as custodian, [***], as paying agent, the Lenders from time to time party thereto, and Fifth Third Bank, National Association, as administrative agent, and hereby certifies, as of the date hereof, the following:</w:t>
      </w:r>
    </w:p>
    <w:p>
      <w:pPr>
        <w:spacing w:after="0" w:line="180" w:lineRule="exact"/>
        <w:rPr>
          <w:sz w:val="20"/>
          <w:szCs w:val="20"/>
          <w:color w:val="auto"/>
        </w:rPr>
      </w:pPr>
    </w:p>
    <w:p>
      <w:pPr>
        <w:jc w:val="both"/>
        <w:ind w:left="760" w:right="20" w:firstLine="745"/>
        <w:spacing w:after="0" w:line="244" w:lineRule="auto"/>
        <w:tabs>
          <w:tab w:leader="none" w:pos="1940" w:val="left"/>
        </w:tabs>
        <w:numPr>
          <w:ilvl w:val="0"/>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sufficient funds on the related Securitization Date to effect the Securitization in accordance with the Warehouse Agreement (taking into account, to the extent necessary, the proceeds of sales of the Collateral in the Securitization);</w:t>
      </w:r>
    </w:p>
    <w:p>
      <w:pPr>
        <w:spacing w:after="0" w:line="172"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0" w:val="left"/>
        </w:tabs>
        <w:numPr>
          <w:ilvl w:val="0"/>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of the Securitization, the release by the Administrative Agent of the related Receivables on the Securitization Date and the transfer by the Borrower of the related Receivables on the Securitization Date, (A) no adverse selection procedures have been used by the Borrower with respect to the Receivables that will remain subject to the Warehouse Agreement (except as is necessary to comply with normal and customary eligibility criteria for asset-backed securities transactions involving retail auto loan receivables similar to the Receivables), (B) the representations and warranties contained in Section 5.01 and 5.02 of the Warehouse Agreement continue to be true and correct in all material respects, except to the extent relating to an earlier date, (C) no Borrowing Base Deficiency exists and (D) no Unmatured Termination Event, Termination Event, Servicer Termination Event or Unmatured Servicer Termination Event has resulted; and</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satisfied all conditions and requirements of Section 2.15 of the Warehouse Agreement.</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meanings ascribed thereto in the Warehouse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72" w:name="page773"/>
    <w:bookmarkEnd w:id="772"/>
    <w:p>
      <w:pPr>
        <w:ind w:left="760"/>
        <w:spacing w:after="0"/>
        <w:rPr>
          <w:sz w:val="20"/>
          <w:szCs w:val="20"/>
          <w:color w:val="auto"/>
        </w:rPr>
      </w:pPr>
      <w:r>
        <w:rPr>
          <w:rFonts w:ascii="Times New Roman" w:cs="Times New Roman" w:eastAsia="Times New Roman" w:hAnsi="Times New Roman"/>
          <w:sz w:val="22"/>
          <w:szCs w:val="22"/>
          <w:color w:val="auto"/>
        </w:rPr>
        <w:t>IN WITNESS WHEREOF, the Servicer has caused this certificate to be executed on its behalf this ___ day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 202_.</w:t>
      </w:r>
    </w:p>
    <w:p>
      <w:pPr>
        <w:spacing w:after="0" w:line="1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UNITED AUTO CREDIT CORPORATION, as Servicer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UNITED AUTO CREDIT CORPORATION, 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3">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73" w:name="page774"/>
    <w:bookmarkEnd w:id="773"/>
    <w:p>
      <w:pPr>
        <w:jc w:val="right"/>
        <w:spacing w:after="0"/>
        <w:rPr>
          <w:sz w:val="20"/>
          <w:szCs w:val="20"/>
          <w:color w:val="auto"/>
        </w:rPr>
      </w:pPr>
      <w:r>
        <w:rPr>
          <w:rFonts w:ascii="Times New Roman" w:cs="Times New Roman" w:eastAsia="Times New Roman" w:hAnsi="Times New Roman"/>
          <w:sz w:val="22"/>
          <w:szCs w:val="22"/>
          <w:color w:val="auto"/>
        </w:rPr>
        <w:t>ANNEX 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NOTICE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3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 20___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Third Bank, National Association,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30" w:lineRule="auto"/>
        <w:rPr>
          <w:sz w:val="20"/>
          <w:szCs w:val="20"/>
          <w:color w:val="auto"/>
        </w:rPr>
      </w:pPr>
      <w:r>
        <w:rPr>
          <w:rFonts w:ascii="Times New Roman" w:cs="Times New Roman" w:eastAsia="Times New Roman" w:hAnsi="Times New Roman"/>
          <w:sz w:val="22"/>
          <w:szCs w:val="22"/>
          <w:color w:val="212121"/>
        </w:rPr>
        <w:t>38 Fountain Square Plaza</w:t>
      </w:r>
    </w:p>
    <w:p>
      <w:pPr>
        <w:spacing w:after="0" w:line="230" w:lineRule="auto"/>
        <w:rPr>
          <w:sz w:val="20"/>
          <w:szCs w:val="20"/>
          <w:color w:val="auto"/>
        </w:rPr>
      </w:pPr>
      <w:r>
        <w:rPr>
          <w:rFonts w:ascii="Times New Roman" w:cs="Times New Roman" w:eastAsia="Times New Roman" w:hAnsi="Times New Roman"/>
          <w:sz w:val="22"/>
          <w:szCs w:val="22"/>
          <w:color w:val="212121"/>
        </w:rPr>
        <w:t>MD 1090TC</w:t>
      </w:r>
    </w:p>
    <w:p>
      <w:pPr>
        <w:spacing w:after="0" w:line="230" w:lineRule="auto"/>
        <w:rPr>
          <w:sz w:val="20"/>
          <w:szCs w:val="20"/>
          <w:color w:val="auto"/>
        </w:rPr>
      </w:pPr>
      <w:r>
        <w:rPr>
          <w:rFonts w:ascii="Times New Roman" w:cs="Times New Roman" w:eastAsia="Times New Roman" w:hAnsi="Times New Roman"/>
          <w:sz w:val="22"/>
          <w:szCs w:val="22"/>
          <w:color w:val="212121"/>
        </w:rPr>
        <w:t>Cincinnati, OH 45202</w:t>
      </w:r>
    </w:p>
    <w:p>
      <w:pPr>
        <w:spacing w:after="0" w:line="231" w:lineRule="auto"/>
        <w:rPr>
          <w:sz w:val="20"/>
          <w:szCs w:val="20"/>
          <w:color w:val="auto"/>
        </w:rPr>
      </w:pPr>
      <w:r>
        <w:rPr>
          <w:rFonts w:ascii="Times New Roman" w:cs="Times New Roman" w:eastAsia="Times New Roman" w:hAnsi="Times New Roman"/>
          <w:sz w:val="22"/>
          <w:szCs w:val="22"/>
          <w:color w:val="212121"/>
        </w:rPr>
        <w:t>Attention: Joy Rutan; Steven Ellis</w:t>
      </w:r>
    </w:p>
    <w:p>
      <w:pPr>
        <w:spacing w:after="0" w:line="230" w:lineRule="auto"/>
        <w:rPr>
          <w:sz w:val="20"/>
          <w:szCs w:val="20"/>
          <w:color w:val="auto"/>
        </w:rPr>
      </w:pPr>
      <w:r>
        <w:rPr>
          <w:rFonts w:ascii="Times New Roman" w:cs="Times New Roman" w:eastAsia="Times New Roman" w:hAnsi="Times New Roman"/>
          <w:sz w:val="22"/>
          <w:szCs w:val="22"/>
          <w:color w:val="212121"/>
        </w:rPr>
        <w:t>E-mail: [***]</w:t>
      </w:r>
    </w:p>
    <w:p>
      <w:pPr>
        <w:spacing w:after="0"/>
        <w:rPr>
          <w:sz w:val="20"/>
          <w:szCs w:val="20"/>
          <w:color w:val="auto"/>
        </w:rPr>
      </w:pPr>
      <w:r>
        <w:rPr>
          <w:rFonts w:ascii="Times New Roman" w:cs="Times New Roman" w:eastAsia="Times New Roman" w:hAnsi="Times New Roman"/>
          <w:sz w:val="22"/>
          <w:szCs w:val="22"/>
          <w:color w:val="212121"/>
        </w:rPr>
        <w:t>Telephone No.: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 VFS Near Prime Trust 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w:t>
      </w:r>
    </w:p>
    <w:p>
      <w:pPr>
        <w:spacing w:after="0" w:line="230" w:lineRule="auto"/>
        <w:rPr>
          <w:sz w:val="20"/>
          <w:szCs w:val="20"/>
          <w:color w:val="auto"/>
        </w:rPr>
      </w:pPr>
      <w:r>
        <w:rPr>
          <w:rFonts w:ascii="Times New Roman" w:cs="Times New Roman" w:eastAsia="Times New Roman" w:hAnsi="Times New Roman"/>
          <w:sz w:val="22"/>
          <w:szCs w:val="22"/>
          <w:color w:val="auto"/>
        </w:rPr>
        <w:t>as a Lender</w:t>
      </w:r>
    </w:p>
    <w:p>
      <w:pPr>
        <w:spacing w:after="0" w:line="230" w:lineRule="auto"/>
        <w:rPr>
          <w:sz w:val="20"/>
          <w:szCs w:val="20"/>
          <w:color w:val="auto"/>
        </w:rPr>
      </w:pPr>
      <w:r>
        <w:rPr>
          <w:rFonts w:ascii="Times New Roman" w:cs="Times New Roman" w:eastAsia="Times New Roman" w:hAnsi="Times New Roman"/>
          <w:sz w:val="22"/>
          <w:szCs w:val="22"/>
          <w:color w:val="auto"/>
        </w:rPr>
        <w:t>[_]</w:t>
      </w:r>
    </w:p>
    <w:p>
      <w:pPr>
        <w:spacing w:after="0" w:line="230" w:lineRule="auto"/>
        <w:rPr>
          <w:sz w:val="20"/>
          <w:szCs w:val="20"/>
          <w:color w:val="auto"/>
        </w:rPr>
      </w:pPr>
      <w:r>
        <w:rPr>
          <w:rFonts w:ascii="Times New Roman" w:cs="Times New Roman" w:eastAsia="Times New Roman" w:hAnsi="Times New Roman"/>
          <w:sz w:val="22"/>
          <w:szCs w:val="22"/>
          <w:color w:val="auto"/>
        </w:rPr>
        <w:t>Ref: VFS Near Prime Trust 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[_____________]</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VFS Near Prime Trust I– Warehouse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Reference is made to the Warehouse Agreement, dated as of November 18, 2022 (as amended, restated, supplemented or otherwise modified from time to time, the “Warehouse Agreement”), among the Borrower, United Auto Credit Corporation, as servicer and as custodian, [***], as paying agent, the Lenders from time to time party thereto, and Fifth Third Bank, National Association, as administrative agent.</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Pursuant to Section 2.15(a)(i) of the Warehouse Agreement, the Borrower gives notice of its intent to effect a Securitization on or about __________, 20__ (which date is no fewer than 10 Business Days after the date of delivery of this notice to the Administrative Agent).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74" w:name="page775"/>
    <w:bookmarkEnd w:id="774"/>
    <w:p>
      <w:pPr>
        <w:ind w:firstLine="749"/>
        <w:spacing w:after="0" w:line="258" w:lineRule="auto"/>
        <w:rPr>
          <w:sz w:val="20"/>
          <w:szCs w:val="20"/>
          <w:color w:val="auto"/>
        </w:rPr>
      </w:pPr>
      <w:r>
        <w:rPr>
          <w:rFonts w:ascii="Times New Roman" w:cs="Times New Roman" w:eastAsia="Times New Roman" w:hAnsi="Times New Roman"/>
          <w:sz w:val="22"/>
          <w:szCs w:val="22"/>
          <w:color w:val="auto"/>
        </w:rPr>
        <w:t>Capitalized terms used herein that are not otherwise defined shall have the meanings ascribed thereto in the Warehouse Agreement.</w:t>
      </w:r>
    </w:p>
    <w:p>
      <w:pPr>
        <w:spacing w:after="0" w:line="1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VFS NEAR PRIME TRUST I</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-13970</wp:posOffset>
            </wp:positionV>
            <wp:extent cx="7620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6">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775" w:name="page776"/>
    <w:bookmarkEnd w:id="775"/>
    <w:p>
      <w:pPr>
        <w:jc w:val="center"/>
        <w:spacing w:after="0"/>
        <w:rPr>
          <w:sz w:val="20"/>
          <w:szCs w:val="20"/>
          <w:color w:val="auto"/>
        </w:rPr>
      </w:pPr>
      <w:r>
        <w:rPr>
          <w:rFonts w:ascii="Times New Roman" w:cs="Times New Roman" w:eastAsia="Times New Roman" w:hAnsi="Times New Roman"/>
          <w:sz w:val="22"/>
          <w:szCs w:val="22"/>
          <w:color w:val="auto"/>
        </w:rPr>
        <w:t>Schedule I</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Securitization Release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of Securitized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76" w:name="page777"/>
    <w:bookmarkEnd w:id="776"/>
    <w:tbl>
      <w:tblPr>
        <w:tblLayout w:type="fixed"/>
        <w:tblInd w:w="10" w:type="dxa"/>
        <w:tblCellMar>
          <w:top w:w="0" w:type="dxa"/>
          <w:left w:w="0" w:type="dxa"/>
          <w:bottom w:w="0" w:type="dxa"/>
          <w:right w:w="0" w:type="dxa"/>
        </w:tblCellMar>
      </w:tblPr>
      <w:tr>
        <w:trPr>
          <w:trHeight w:val="282"/>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3"/>
              </w:rPr>
              <w:t>EXHIBIT I</w:t>
            </w:r>
          </w:p>
        </w:tc>
      </w:tr>
      <w:tr>
        <w:trPr>
          <w:trHeight w:val="674"/>
        </w:trPr>
        <w:tc>
          <w:tcPr>
            <w:tcW w:w="2240" w:type="dxa"/>
            <w:vAlign w:val="bottom"/>
          </w:tcPr>
          <w:p>
            <w:pPr>
              <w:spacing w:after="0"/>
              <w:rPr>
                <w:sz w:val="24"/>
                <w:szCs w:val="24"/>
                <w:color w:val="auto"/>
              </w:rPr>
            </w:pPr>
          </w:p>
        </w:tc>
        <w:tc>
          <w:tcPr>
            <w:tcW w:w="5060" w:type="dxa"/>
            <w:vAlign w:val="bottom"/>
            <w:gridSpan w:val="3"/>
          </w:tcPr>
          <w:p>
            <w:pPr>
              <w:ind w:left="1920"/>
              <w:spacing w:after="0"/>
              <w:rPr>
                <w:sz w:val="20"/>
                <w:szCs w:val="20"/>
                <w:color w:val="auto"/>
              </w:rPr>
            </w:pPr>
            <w:r>
              <w:rPr>
                <w:rFonts w:ascii="Times New Roman" w:cs="Times New Roman" w:eastAsia="Times New Roman" w:hAnsi="Times New Roman"/>
                <w:sz w:val="22"/>
                <w:szCs w:val="22"/>
                <w:color w:val="auto"/>
              </w:rPr>
              <w:t>FORM OF LENDER REGISTER</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66"/>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Date: [</w:t>
            </w: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2220" w:type="dxa"/>
            <w:vAlign w:val="bottom"/>
          </w:tcPr>
          <w:p>
            <w:pPr>
              <w:spacing w:after="0"/>
              <w:rPr>
                <w:sz w:val="24"/>
                <w:szCs w:val="24"/>
                <w:color w:val="auto"/>
              </w:rPr>
            </w:pPr>
          </w:p>
        </w:tc>
      </w:tr>
      <w:tr>
        <w:trPr>
          <w:trHeight w:val="247"/>
        </w:trPr>
        <w:tc>
          <w:tcPr>
            <w:tcW w:w="22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r>
      <w:tr>
        <w:trPr>
          <w:trHeight w:val="193"/>
        </w:trPr>
        <w:tc>
          <w:tcPr>
            <w:tcW w:w="224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20"/>
                <w:szCs w:val="20"/>
                <w:b w:val="1"/>
                <w:bCs w:val="1"/>
                <w:color w:val="auto"/>
                <w:w w:val="99"/>
              </w:rPr>
              <w:t>Principal Amount of</w:t>
            </w: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tcPr>
          <w:p>
            <w:pPr>
              <w:spacing w:after="0"/>
              <w:rPr>
                <w:sz w:val="16"/>
                <w:szCs w:val="16"/>
                <w:color w:val="auto"/>
              </w:rPr>
            </w:pPr>
          </w:p>
        </w:tc>
      </w:tr>
      <w:tr>
        <w:trPr>
          <w:trHeight w:val="229"/>
        </w:trPr>
        <w:tc>
          <w:tcPr>
            <w:tcW w:w="2240" w:type="dxa"/>
            <w:vAlign w:val="bottom"/>
            <w:tcBorders>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0"/>
                <w:szCs w:val="20"/>
                <w:b w:val="1"/>
                <w:bCs w:val="1"/>
                <w:color w:val="auto"/>
              </w:rPr>
              <w:t>Committed Lender</w:t>
            </w:r>
          </w:p>
        </w:tc>
        <w:tc>
          <w:tcPr>
            <w:tcW w:w="22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Commitment Amount</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 Outstanding/Date</w:t>
            </w:r>
          </w:p>
        </w:tc>
        <w:tc>
          <w:tcPr>
            <w:tcW w:w="580" w:type="dxa"/>
            <w:vAlign w:val="bottom"/>
          </w:tcPr>
          <w:p>
            <w:pPr>
              <w:spacing w:after="0"/>
              <w:rPr>
                <w:sz w:val="19"/>
                <w:szCs w:val="19"/>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58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Address</w:t>
            </w:r>
          </w:p>
        </w:tc>
      </w:tr>
      <w:tr>
        <w:trPr>
          <w:trHeight w:val="266"/>
        </w:trPr>
        <w:tc>
          <w:tcPr>
            <w:tcW w:w="2240" w:type="dxa"/>
            <w:vAlign w:val="bottom"/>
            <w:tcBorders>
              <w:left w:val="single" w:sz="8" w:color="auto"/>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of Loan</w:t>
            </w:r>
          </w:p>
        </w:tc>
        <w:tc>
          <w:tcPr>
            <w:tcW w:w="5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580" w:type="dxa"/>
            <w:vAlign w:val="bottom"/>
            <w:tcBorders>
              <w:bottom w:val="single" w:sz="8" w:color="auto"/>
              <w:right w:val="single" w:sz="8" w:color="auto"/>
            </w:tcBorders>
          </w:tcPr>
          <w:p>
            <w:pPr>
              <w:spacing w:after="0"/>
              <w:rPr>
                <w:sz w:val="23"/>
                <w:szCs w:val="23"/>
                <w:color w:val="auto"/>
              </w:rPr>
            </w:pPr>
          </w:p>
        </w:tc>
        <w:tc>
          <w:tcPr>
            <w:tcW w:w="2220" w:type="dxa"/>
            <w:vAlign w:val="bottom"/>
            <w:tcBorders>
              <w:bottom w:val="single" w:sz="8" w:color="auto"/>
              <w:right w:val="single" w:sz="8" w:color="auto"/>
            </w:tcBorders>
          </w:tcPr>
          <w:p>
            <w:pPr>
              <w:spacing w:after="0"/>
              <w:rPr>
                <w:sz w:val="23"/>
                <w:szCs w:val="23"/>
                <w:color w:val="auto"/>
              </w:rPr>
            </w:pPr>
          </w:p>
        </w:tc>
      </w:tr>
      <w:tr>
        <w:trPr>
          <w:trHeight w:val="253"/>
        </w:trPr>
        <w:tc>
          <w:tcPr>
            <w:tcW w:w="224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r>
      <w:tr>
        <w:trPr>
          <w:trHeight w:val="250"/>
        </w:trPr>
        <w:tc>
          <w:tcPr>
            <w:tcW w:w="224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r>
      <w:tr>
        <w:trPr>
          <w:trHeight w:val="250"/>
        </w:trPr>
        <w:tc>
          <w:tcPr>
            <w:tcW w:w="224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2220" w:type="dxa"/>
            <w:vAlign w:val="bottom"/>
            <w:tcBorders>
              <w:bottom w:val="single" w:sz="8" w:color="auto"/>
              <w:right w:val="single" w:sz="8" w:color="auto"/>
            </w:tcBorders>
          </w:tcPr>
          <w:p>
            <w:pPr>
              <w:spacing w:after="0"/>
              <w:rPr>
                <w:sz w:val="21"/>
                <w:szCs w:val="21"/>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r>
        <w:trPr>
          <w:trHeight w:val="263"/>
        </w:trPr>
        <w:tc>
          <w:tcPr>
            <w:tcW w:w="2240" w:type="dxa"/>
            <w:vAlign w:val="bottom"/>
            <w:tcBorders>
              <w:left w:val="single" w:sz="8" w:color="auto"/>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77" w:name="page778"/>
    <w:bookmarkEnd w:id="777"/>
    <w:p>
      <w:pPr>
        <w:jc w:val="right"/>
        <w:spacing w:after="0"/>
        <w:rPr>
          <w:sz w:val="20"/>
          <w:szCs w:val="20"/>
          <w:color w:val="auto"/>
        </w:rPr>
      </w:pPr>
      <w:r>
        <w:rPr>
          <w:rFonts w:ascii="Times New Roman" w:cs="Times New Roman" w:eastAsia="Times New Roman" w:hAnsi="Times New Roman"/>
          <w:sz w:val="22"/>
          <w:szCs w:val="22"/>
          <w:color w:val="auto"/>
        </w:rPr>
        <w:t>EXHIBIT J</w:t>
      </w:r>
    </w:p>
    <w:p>
      <w:pPr>
        <w:spacing w:after="0" w:line="200" w:lineRule="exact"/>
        <w:rPr>
          <w:sz w:val="20"/>
          <w:szCs w:val="20"/>
          <w:color w:val="auto"/>
        </w:rPr>
      </w:pP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AUTHORIZED REPRESENTATIVES</w:t>
      </w:r>
    </w:p>
    <w:p>
      <w:pPr>
        <w:spacing w:after="0" w:line="33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 Be 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572135</wp:posOffset>
            </wp:positionV>
            <wp:extent cx="7157720" cy="425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778" w:name="page779"/>
    <w:bookmarkEnd w:id="7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H. Shortt, certify that:</w:t>
      </w:r>
    </w:p>
    <w:p>
      <w:pPr>
        <w:spacing w:after="0" w:line="238" w:lineRule="exact"/>
        <w:rPr>
          <w:sz w:val="20"/>
          <w:szCs w:val="20"/>
          <w:color w:val="auto"/>
        </w:rPr>
      </w:pPr>
    </w:p>
    <w:p>
      <w:pPr>
        <w:ind w:left="480" w:hanging="459"/>
        <w:spacing w:after="0"/>
        <w:tabs>
          <w:tab w:leader="none" w:pos="48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Vroom, Inc.;</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jc w:val="both"/>
        <w:ind w:left="480" w:right="300" w:hanging="459"/>
        <w:spacing w:after="0" w:line="265" w:lineRule="auto"/>
        <w:tabs>
          <w:tab w:leader="none" w:pos="48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480" w:right="260" w:hanging="459"/>
        <w:spacing w:after="0" w:line="281" w:lineRule="auto"/>
        <w:tabs>
          <w:tab w:leader="none" w:pos="48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480" w:right="300" w:hanging="459"/>
        <w:spacing w:after="0" w:line="265" w:lineRule="auto"/>
        <w:tabs>
          <w:tab w:leader="none" w:pos="48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940" w:right="100" w:hanging="460"/>
        <w:spacing w:after="0" w:line="265" w:lineRule="auto"/>
        <w:tabs>
          <w:tab w:leader="none" w:pos="940"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940" w:right="420" w:hanging="460"/>
        <w:spacing w:after="0" w:line="265" w:lineRule="auto"/>
        <w:tabs>
          <w:tab w:leader="none" w:pos="940"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both"/>
        <w:ind w:left="940" w:right="580" w:hanging="460"/>
        <w:spacing w:after="0" w:line="312" w:lineRule="auto"/>
        <w:tabs>
          <w:tab w:leader="none" w:pos="940" w:val="left"/>
        </w:tabs>
        <w:numPr>
          <w:ilvl w:val="1"/>
          <w:numId w:val="6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40" w:right="100" w:hanging="460"/>
        <w:spacing w:after="0" w:line="265" w:lineRule="auto"/>
        <w:tabs>
          <w:tab w:leader="none" w:pos="940"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480" w:right="200" w:hanging="459"/>
        <w:spacing w:after="0" w:line="281" w:lineRule="auto"/>
        <w:tabs>
          <w:tab w:leader="none" w:pos="48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940" w:right="820" w:hanging="460"/>
        <w:spacing w:after="0" w:line="281" w:lineRule="auto"/>
        <w:tabs>
          <w:tab w:leader="none" w:pos="940"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940" w:right="520" w:hanging="460"/>
        <w:spacing w:after="0" w:line="281" w:lineRule="auto"/>
        <w:tabs>
          <w:tab w:leader="none" w:pos="940"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9" w:name="page780"/>
    <w:bookmarkEnd w:id="779"/>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204"/>
        </w:trPr>
        <w:tc>
          <w:tcPr>
            <w:tcW w:w="35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Thomas H. Shortt</w:t>
            </w:r>
          </w:p>
        </w:tc>
      </w:tr>
      <w:tr>
        <w:trPr>
          <w:trHeight w:val="214"/>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1"/>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0" w:name="page781"/>
    <w:bookmarkEnd w:id="7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R. Krakowiak, certify that:</w:t>
      </w:r>
    </w:p>
    <w:p>
      <w:pPr>
        <w:spacing w:after="0" w:line="238" w:lineRule="exact"/>
        <w:rPr>
          <w:sz w:val="20"/>
          <w:szCs w:val="20"/>
          <w:color w:val="auto"/>
        </w:rPr>
      </w:pPr>
    </w:p>
    <w:p>
      <w:pPr>
        <w:ind w:left="480" w:hanging="459"/>
        <w:spacing w:after="0"/>
        <w:tabs>
          <w:tab w:leader="none" w:pos="4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Vroom, Inc.;</w:t>
      </w: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jc w:val="both"/>
        <w:ind w:left="480" w:right="300" w:hanging="459"/>
        <w:spacing w:after="0" w:line="265" w:lineRule="auto"/>
        <w:tabs>
          <w:tab w:leader="none" w:pos="4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480" w:right="260" w:hanging="459"/>
        <w:spacing w:after="0" w:line="281" w:lineRule="auto"/>
        <w:tabs>
          <w:tab w:leader="none" w:pos="4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80" w:right="300" w:hanging="459"/>
        <w:spacing w:after="0" w:line="265" w:lineRule="auto"/>
        <w:tabs>
          <w:tab w:leader="none" w:pos="4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940" w:right="100" w:hanging="460"/>
        <w:spacing w:after="0" w:line="265" w:lineRule="auto"/>
        <w:tabs>
          <w:tab w:leader="none" w:pos="94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940" w:right="420" w:hanging="460"/>
        <w:spacing w:after="0" w:line="265" w:lineRule="auto"/>
        <w:tabs>
          <w:tab w:leader="none" w:pos="94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both"/>
        <w:ind w:left="940" w:right="580" w:hanging="460"/>
        <w:spacing w:after="0" w:line="312" w:lineRule="auto"/>
        <w:tabs>
          <w:tab w:leader="none" w:pos="940" w:val="left"/>
        </w:tabs>
        <w:numPr>
          <w:ilvl w:val="1"/>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1" w:lineRule="exact"/>
        <w:rPr>
          <w:rFonts w:ascii="Times New Roman" w:cs="Times New Roman" w:eastAsia="Times New Roman" w:hAnsi="Times New Roman"/>
          <w:sz w:val="17"/>
          <w:szCs w:val="17"/>
          <w:color w:val="auto"/>
        </w:rPr>
      </w:pPr>
    </w:p>
    <w:p>
      <w:pPr>
        <w:ind w:left="940" w:right="100" w:hanging="460"/>
        <w:spacing w:after="0" w:line="265" w:lineRule="auto"/>
        <w:tabs>
          <w:tab w:leader="none" w:pos="94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480" w:right="200" w:hanging="459"/>
        <w:spacing w:after="0" w:line="281" w:lineRule="auto"/>
        <w:tabs>
          <w:tab w:leader="none" w:pos="4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40" w:right="820" w:hanging="460"/>
        <w:spacing w:after="0" w:line="281" w:lineRule="auto"/>
        <w:tabs>
          <w:tab w:leader="none" w:pos="94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40" w:right="520" w:hanging="460"/>
        <w:spacing w:after="0" w:line="281" w:lineRule="auto"/>
        <w:tabs>
          <w:tab w:leader="none" w:pos="940"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R. Krakowiak</w:t>
            </w:r>
          </w:p>
        </w:tc>
      </w:tr>
      <w:tr>
        <w:trPr>
          <w:trHeight w:val="204"/>
        </w:trPr>
        <w:tc>
          <w:tcPr>
            <w:tcW w:w="35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Robert R. Krakowiak</w:t>
            </w:r>
          </w:p>
        </w:tc>
      </w:tr>
      <w:tr>
        <w:trPr>
          <w:trHeight w:val="214"/>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991"/>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81" w:name="page782"/>
    <w:bookmarkEnd w:id="7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Vroom, Inc. (the “Company”) for the period ended March 31, 2024 as filed with the Securities and Exchange Commission on the date hereof (the “Report”), I certify, pursuant to 18 U.S.C. § 1350, as adopted pursuant to § 906 of the Sarbanes-Oxley Act of 2002, that:</w:t>
      </w:r>
    </w:p>
    <w:p>
      <w:pPr>
        <w:spacing w:after="0" w:line="191" w:lineRule="exact"/>
        <w:rPr>
          <w:sz w:val="20"/>
          <w:szCs w:val="20"/>
          <w:color w:val="auto"/>
        </w:rPr>
      </w:pPr>
    </w:p>
    <w:p>
      <w:pPr>
        <w:ind w:left="940" w:hanging="460"/>
        <w:spacing w:after="0"/>
        <w:tabs>
          <w:tab w:leader="none" w:pos="94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940" w:right="640" w:hanging="460"/>
        <w:spacing w:after="0" w:line="281" w:lineRule="auto"/>
        <w:tabs>
          <w:tab w:leader="none" w:pos="940"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204"/>
        </w:trPr>
        <w:tc>
          <w:tcPr>
            <w:tcW w:w="35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Thomas H. Shortt</w:t>
            </w:r>
          </w:p>
        </w:tc>
      </w:tr>
      <w:tr>
        <w:trPr>
          <w:trHeight w:val="214"/>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1450"/>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82" w:name="page783"/>
    <w:bookmarkEnd w:id="7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Vroom, Inc. (the “Company”) for the period ended March 31, 2024 as filed with the Securities and Exchange Commission on the date hereof (the “Report”), I certify, pursuant to 18 U.S.C. § 1350, as adopted pursuant to § 906 of the Sarbanes-Oxley Act of 2002, that:</w:t>
      </w:r>
    </w:p>
    <w:p>
      <w:pPr>
        <w:spacing w:after="0" w:line="191" w:lineRule="exact"/>
        <w:rPr>
          <w:sz w:val="20"/>
          <w:szCs w:val="20"/>
          <w:color w:val="auto"/>
        </w:rPr>
      </w:pPr>
    </w:p>
    <w:p>
      <w:pPr>
        <w:ind w:left="940" w:hanging="460"/>
        <w:spacing w:after="0"/>
        <w:tabs>
          <w:tab w:leader="none" w:pos="940"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940" w:right="640" w:hanging="460"/>
        <w:spacing w:after="0" w:line="281" w:lineRule="auto"/>
        <w:tabs>
          <w:tab w:leader="none" w:pos="940"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R. Krakowiak</w:t>
            </w:r>
          </w:p>
        </w:tc>
      </w:tr>
      <w:tr>
        <w:trPr>
          <w:trHeight w:val="204"/>
        </w:trPr>
        <w:tc>
          <w:tcPr>
            <w:tcW w:w="35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2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Robert R. Krakowiak</w:t>
            </w:r>
          </w:p>
        </w:tc>
      </w:tr>
      <w:tr>
        <w:trPr>
          <w:trHeight w:val="214"/>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r>
      <w:tr>
        <w:trPr>
          <w:trHeight w:val="2097"/>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3" w:name="page784"/>
    <w:bookmarkEnd w:id="7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C77402"/>
    <w:multiLevelType w:val="hybridMultilevel"/>
    <w:lvl w:ilvl="0">
      <w:lvlJc w:val="left"/>
      <w:lvlText w:val="☒"/>
      <w:numFmt w:val="bullet"/>
      <w:start w:val="1"/>
    </w:lvl>
  </w:abstractNum>
  <w:abstractNum w:abstractNumId="1">
    <w:nsid w:val="2BB5B1C6"/>
    <w:multiLevelType w:val="hybridMultilevel"/>
    <w:lvl w:ilvl="0">
      <w:lvlJc w:val="left"/>
      <w:lvlText w:val="☐"/>
      <w:numFmt w:val="bullet"/>
      <w:start w:val="1"/>
    </w:lvl>
  </w:abstractNum>
  <w:abstractNum w:abstractNumId="2">
    <w:nsid w:val="66BE6B9"/>
    <w:multiLevelType w:val="hybridMultilevel"/>
    <w:lvl w:ilvl="0">
      <w:lvlJc w:val="left"/>
      <w:lvlText w:val="•"/>
      <w:numFmt w:val="bullet"/>
      <w:start w:val="1"/>
    </w:lvl>
  </w:abstractNum>
  <w:abstractNum w:abstractNumId="3">
    <w:nsid w:val="62234363"/>
    <w:multiLevelType w:val="hybridMultilevel"/>
    <w:lvl w:ilvl="0">
      <w:lvlJc w:val="left"/>
      <w:lvlText w:val="•"/>
      <w:numFmt w:val="bullet"/>
      <w:start w:val="1"/>
    </w:lvl>
  </w:abstractNum>
  <w:abstractNum w:abstractNumId="4">
    <w:nsid w:val="66D385C9"/>
    <w:multiLevelType w:val="hybridMultilevel"/>
    <w:lvl w:ilvl="0">
      <w:lvlJc w:val="left"/>
      <w:lvlText w:val="•"/>
      <w:numFmt w:val="bullet"/>
      <w:start w:val="1"/>
    </w:lvl>
  </w:abstractNum>
  <w:abstractNum w:abstractNumId="5">
    <w:nsid w:val="596F6D8A"/>
    <w:multiLevelType w:val="hybridMultilevel"/>
    <w:lvl w:ilvl="0">
      <w:lvlJc w:val="left"/>
      <w:lvlText w:val="•"/>
      <w:numFmt w:val="bullet"/>
      <w:start w:val="1"/>
    </w:lvl>
  </w:abstractNum>
  <w:abstractNum w:abstractNumId="6">
    <w:nsid w:val="5749361F"/>
    <w:multiLevelType w:val="hybridMultilevel"/>
    <w:lvl w:ilvl="0">
      <w:lvlJc w:val="left"/>
      <w:lvlText w:val="$"/>
      <w:numFmt w:val="bullet"/>
      <w:start w:val="1"/>
    </w:lvl>
  </w:abstractNum>
  <w:abstractNum w:abstractNumId="7">
    <w:nsid w:val="73BC6770"/>
    <w:multiLevelType w:val="hybridMultilevel"/>
    <w:lvl w:ilvl="0">
      <w:lvlJc w:val="left"/>
      <w:lvlText w:val="$"/>
      <w:numFmt w:val="bullet"/>
      <w:start w:val="1"/>
    </w:lvl>
  </w:abstractNum>
  <w:abstractNum w:abstractNumId="8">
    <w:nsid w:val="280E6897"/>
    <w:multiLevelType w:val="hybridMultilevel"/>
    <w:lvl w:ilvl="0">
      <w:lvlJc w:val="left"/>
      <w:lvlText w:val="$"/>
      <w:numFmt w:val="bullet"/>
      <w:start w:val="1"/>
    </w:lvl>
  </w:abstractNum>
  <w:abstractNum w:abstractNumId="9">
    <w:nsid w:val="605138DE"/>
    <w:multiLevelType w:val="hybridMultilevel"/>
    <w:lvl w:ilvl="0">
      <w:lvlJc w:val="left"/>
      <w:lvlText w:val="•"/>
      <w:numFmt w:val="bullet"/>
      <w:start w:val="1"/>
    </w:lvl>
  </w:abstractNum>
  <w:abstractNum w:abstractNumId="10">
    <w:nsid w:val="2622AD0C"/>
    <w:multiLevelType w:val="hybridMultilevel"/>
    <w:lvl w:ilvl="0">
      <w:lvlJc w:val="left"/>
      <w:lvlText w:val="•"/>
      <w:numFmt w:val="bullet"/>
      <w:start w:val="1"/>
    </w:lvl>
  </w:abstractNum>
  <w:abstractNum w:abstractNumId="11">
    <w:nsid w:val="67997556"/>
    <w:multiLevelType w:val="hybridMultilevel"/>
    <w:lvl w:ilvl="0">
      <w:lvlJc w:val="left"/>
      <w:lvlText w:val="(%1)"/>
      <w:numFmt w:val="lowerLetter"/>
      <w:start w:val="1"/>
    </w:lvl>
  </w:abstractNum>
  <w:abstractNum w:abstractNumId="12">
    <w:nsid w:val="18333C89"/>
    <w:multiLevelType w:val="hybridMultilevel"/>
    <w:lvl w:ilvl="0">
      <w:lvlJc w:val="left"/>
      <w:lvlText w:val="#"/>
      <w:numFmt w:val="bullet"/>
      <w:start w:val="1"/>
    </w:lvl>
  </w:abstractNum>
  <w:abstractNum w:abstractNumId="13">
    <w:nsid w:val="4BA9831A"/>
    <w:multiLevelType w:val="hybridMultilevel"/>
    <w:lvl w:ilvl="0">
      <w:lvlJc w:val="left"/>
      <w:lvlText w:val="[***]"/>
      <w:numFmt w:val="bullet"/>
      <w:start w:val="1"/>
    </w:lvl>
  </w:abstractNum>
  <w:abstractNum w:abstractNumId="14">
    <w:nsid w:val="6D71A2B"/>
    <w:multiLevelType w:val="hybridMultilevel"/>
    <w:lvl w:ilvl="0">
      <w:lvlJc w:val="left"/>
      <w:lvlText w:val="(%1)"/>
      <w:numFmt w:val="lowerRoman"/>
      <w:start w:val="1"/>
    </w:lvl>
  </w:abstractNum>
  <w:abstractNum w:abstractNumId="15">
    <w:nsid w:val="CFC7321"/>
    <w:multiLevelType w:val="hybridMultilevel"/>
    <w:lvl w:ilvl="0">
      <w:lvlJc w:val="left"/>
      <w:lvlText w:val="(%1)"/>
      <w:numFmt w:val="lowerRoman"/>
      <w:start w:val="1"/>
    </w:lvl>
  </w:abstractNum>
  <w:abstractNum w:abstractNumId="16">
    <w:nsid w:val="1421971B"/>
    <w:multiLevelType w:val="hybridMultilevel"/>
    <w:lvl w:ilvl="0">
      <w:lvlJc w:val="left"/>
      <w:lvlText w:val="\ldblquote"/>
      <w:numFmt w:val="bullet"/>
      <w:start w:val="1"/>
    </w:lvl>
  </w:abstractNum>
  <w:abstractNum w:abstractNumId="17">
    <w:nsid w:val="1F404301"/>
    <w:multiLevelType w:val="hybridMultilevel"/>
    <w:lvl w:ilvl="0">
      <w:lvlJc w:val="left"/>
      <w:lvlText w:val="(%1)"/>
      <w:numFmt w:val="lowerRoman"/>
      <w:start w:val="2"/>
    </w:lvl>
  </w:abstractNum>
  <w:abstractNum w:abstractNumId="18">
    <w:nsid w:val="116E0907"/>
    <w:multiLevelType w:val="hybridMultilevel"/>
    <w:lvl w:ilvl="0">
      <w:lvlJc w:val="left"/>
      <w:lvlText w:val="(%1)"/>
      <w:numFmt w:val="decimal"/>
      <w:start w:val="1"/>
    </w:lvl>
  </w:abstractNum>
  <w:abstractNum w:abstractNumId="19">
    <w:nsid w:val="4B683D0D"/>
    <w:multiLevelType w:val="hybridMultilevel"/>
    <w:lvl w:ilvl="0">
      <w:lvlJc w:val="left"/>
      <w:lvlText w:val="(%1)"/>
      <w:numFmt w:val="decimal"/>
      <w:start w:val="1"/>
    </w:lvl>
  </w:abstractNum>
  <w:abstractNum w:abstractNumId="20">
    <w:nsid w:val="76E41D8"/>
    <w:multiLevelType w:val="hybridMultilevel"/>
    <w:lvl w:ilvl="0">
      <w:lvlJc w:val="left"/>
      <w:lvlText w:val="(%1)"/>
      <w:numFmt w:val="decimal"/>
      <w:start w:val="2"/>
    </w:lvl>
  </w:abstractNum>
  <w:abstractNum w:abstractNumId="21">
    <w:nsid w:val="71DCE0FD"/>
    <w:multiLevelType w:val="hybridMultilevel"/>
    <w:lvl w:ilvl="0">
      <w:lvlJc w:val="left"/>
      <w:lvlText w:val="(%1)"/>
      <w:numFmt w:val="lowerLetter"/>
      <w:start w:val="1"/>
    </w:lvl>
  </w:abstractNum>
  <w:abstractNum w:abstractNumId="22">
    <w:nsid w:val="7906328B"/>
    <w:multiLevelType w:val="hybridMultilevel"/>
    <w:lvl w:ilvl="0">
      <w:lvlJc w:val="left"/>
      <w:lvlText w:val="(%1)"/>
      <w:numFmt w:val="lowerLetter"/>
      <w:start w:val="4"/>
    </w:lvl>
  </w:abstractNum>
  <w:abstractNum w:abstractNumId="23">
    <w:nsid w:val="72BBC16"/>
    <w:multiLevelType w:val="hybridMultilevel"/>
    <w:lvl w:ilvl="0">
      <w:lvlJc w:val="left"/>
      <w:lvlText w:val="(%1)"/>
      <w:numFmt w:val="lowerRoman"/>
      <w:start w:val="2"/>
    </w:lvl>
  </w:abstractNum>
  <w:abstractNum w:abstractNumId="24">
    <w:nsid w:val="766D98C2"/>
    <w:multiLevelType w:val="hybridMultilevel"/>
    <w:lvl w:ilvl="0">
      <w:lvlJc w:val="left"/>
      <w:lvlText w:val="(%1)"/>
      <w:numFmt w:val="decimal"/>
      <w:start w:val="60"/>
    </w:lvl>
  </w:abstractNum>
  <w:abstractNum w:abstractNumId="25">
    <w:nsid w:val="3C09D4A1"/>
    <w:multiLevelType w:val="hybridMultilevel"/>
    <w:lvl w:ilvl="0">
      <w:lvlJc w:val="left"/>
      <w:lvlText w:val="%"/>
      <w:numFmt w:val="bullet"/>
      <w:start w:val="1"/>
    </w:lvl>
  </w:abstractNum>
  <w:abstractNum w:abstractNumId="26">
    <w:nsid w:val="20E45CA4"/>
    <w:multiLevelType w:val="hybridMultilevel"/>
    <w:lvl w:ilvl="0">
      <w:lvlJc w:val="left"/>
      <w:lvlText w:val="(%1)"/>
      <w:numFmt w:val="lowerRoman"/>
      <w:start w:val="1"/>
    </w:lvl>
  </w:abstractNum>
  <w:abstractNum w:abstractNumId="27">
    <w:nsid w:val="4B232EE3"/>
    <w:multiLevelType w:val="hybridMultilevel"/>
    <w:lvl w:ilvl="0">
      <w:lvlJc w:val="left"/>
      <w:lvlText w:val="(%1)"/>
      <w:numFmt w:val="lowerRoman"/>
      <w:start w:val="1"/>
    </w:lvl>
  </w:abstractNum>
  <w:abstractNum w:abstractNumId="28">
    <w:nsid w:val="159C74CF"/>
    <w:multiLevelType w:val="hybridMultilevel"/>
    <w:lvl w:ilvl="0">
      <w:lvlJc w:val="left"/>
      <w:lvlText w:val="(%1)"/>
      <w:numFmt w:val="lowerRoman"/>
      <w:start w:val="3"/>
    </w:lvl>
  </w:abstractNum>
  <w:abstractNum w:abstractNumId="29">
    <w:nsid w:val="4AD3AFD2"/>
    <w:multiLevelType w:val="hybridMultilevel"/>
    <w:lvl w:ilvl="0">
      <w:lvlJc w:val="left"/>
      <w:lvlText w:val="(%1)"/>
      <w:numFmt w:val="lowerRoman"/>
      <w:start w:val="1"/>
    </w:lvl>
  </w:abstractNum>
  <w:abstractNum w:abstractNumId="30">
    <w:nsid w:val="3CF93092"/>
    <w:multiLevelType w:val="hybridMultilevel"/>
    <w:lvl w:ilvl="0">
      <w:lvlJc w:val="left"/>
      <w:lvlText w:val="(%1)"/>
      <w:numFmt w:val="lowerRoman"/>
      <w:start w:val="4"/>
    </w:lvl>
  </w:abstractNum>
  <w:abstractNum w:abstractNumId="31">
    <w:nsid w:val="6863E8D2"/>
    <w:multiLevelType w:val="hybridMultilevel"/>
    <w:lvl w:ilvl="0">
      <w:lvlJc w:val="left"/>
      <w:lvlText w:val="(%1)"/>
      <w:numFmt w:val="lowerLetter"/>
      <w:start w:val="1"/>
    </w:lvl>
  </w:abstractNum>
  <w:abstractNum w:abstractNumId="32">
    <w:nsid w:val="76896198"/>
    <w:multiLevelType w:val="hybridMultilevel"/>
    <w:lvl w:ilvl="0">
      <w:lvlJc w:val="left"/>
      <w:lvlText w:val="(%1)"/>
      <w:numFmt w:val="decimal"/>
      <w:start w:val="519"/>
    </w:lvl>
  </w:abstractNum>
  <w:abstractNum w:abstractNumId="33">
    <w:nsid w:val="4365174B"/>
    <w:multiLevelType w:val="hybridMultilevel"/>
    <w:lvl w:ilvl="0">
      <w:lvlJc w:val="left"/>
      <w:lvlText w:val="(%1)"/>
      <w:numFmt w:val="lowerRoman"/>
      <w:start w:val="10"/>
    </w:lvl>
  </w:abstractNum>
  <w:abstractNum w:abstractNumId="34">
    <w:nsid w:val="4A872C35"/>
    <w:multiLevelType w:val="hybridMultilevel"/>
    <w:lvl w:ilvl="0">
      <w:lvlJc w:val="left"/>
      <w:lvlText w:val="(%1)"/>
      <w:numFmt w:val="lowerLetter"/>
      <w:start w:val="2"/>
    </w:lvl>
  </w:abstractNum>
  <w:abstractNum w:abstractNumId="35">
    <w:nsid w:val="5D5CE761"/>
    <w:multiLevelType w:val="hybridMultilevel"/>
    <w:lvl w:ilvl="0">
      <w:lvlJc w:val="left"/>
      <w:lvlText w:val="(%1)"/>
      <w:numFmt w:val="lowerLetter"/>
      <w:start w:val="1"/>
    </w:lvl>
  </w:abstractNum>
  <w:abstractNum w:abstractNumId="36">
    <w:nsid w:val="1CD484D5"/>
    <w:multiLevelType w:val="hybridMultilevel"/>
    <w:lvl w:ilvl="0">
      <w:lvlJc w:val="left"/>
      <w:lvlText w:val="(%1)"/>
      <w:numFmt w:val="lowerLetter"/>
      <w:start w:val="2"/>
    </w:lvl>
  </w:abstractNum>
  <w:abstractNum w:abstractNumId="37">
    <w:nsid w:val="21D06255"/>
    <w:multiLevelType w:val="hybridMultilevel"/>
    <w:lvl w:ilvl="0">
      <w:lvlJc w:val="left"/>
      <w:lvlText w:val="(%1)"/>
      <w:numFmt w:val="lowerRoman"/>
      <w:start w:val="2"/>
    </w:lvl>
  </w:abstractNum>
  <w:abstractNum w:abstractNumId="38">
    <w:nsid w:val="51194ED1"/>
    <w:multiLevelType w:val="hybridMultilevel"/>
    <w:lvl w:ilvl="0">
      <w:lvlJc w:val="left"/>
      <w:lvlText w:val="(%1)"/>
      <w:numFmt w:val="lowerLetter"/>
      <w:start w:val="1"/>
    </w:lvl>
  </w:abstractNum>
  <w:abstractNum w:abstractNumId="39">
    <w:nsid w:val="44E2ED6C"/>
    <w:multiLevelType w:val="hybridMultilevel"/>
    <w:lvl w:ilvl="0">
      <w:lvlJc w:val="left"/>
      <w:lvlText w:val="(%1)"/>
      <w:numFmt w:val="lowerLetter"/>
      <w:start w:val="3"/>
    </w:lvl>
  </w:abstractNum>
  <w:abstractNum w:abstractNumId="40">
    <w:nsid w:val="2219B33"/>
    <w:multiLevelType w:val="hybridMultilevel"/>
    <w:lvl w:ilvl="0">
      <w:lvlJc w:val="left"/>
      <w:lvlText w:val="%1"/>
      <w:numFmt w:val="lowerLetter"/>
      <w:start w:val="1"/>
    </w:lvl>
    <w:lvl w:ilvl="1">
      <w:lvlJc w:val="left"/>
      <w:lvlText w:val="(%2)"/>
      <w:numFmt w:val="lowerLetter"/>
      <w:start w:val="1"/>
    </w:lvl>
  </w:abstractNum>
  <w:abstractNum w:abstractNumId="41">
    <w:nsid w:val="773BFBDD"/>
    <w:multiLevelType w:val="hybridMultilevel"/>
    <w:lvl w:ilvl="0">
      <w:lvlJc w:val="left"/>
      <w:lvlText w:val="(%1)"/>
      <w:numFmt w:val="lowerLetter"/>
      <w:start w:val="61"/>
    </w:lvl>
    <w:lvl w:ilvl="1">
      <w:lvlJc w:val="left"/>
      <w:lvlText w:val="%2"/>
      <w:numFmt w:val="lowerLetter"/>
      <w:start w:val="1"/>
    </w:lvl>
  </w:abstractNum>
  <w:abstractNum w:abstractNumId="42">
    <w:nsid w:val="2C7C62C2"/>
    <w:multiLevelType w:val="hybridMultilevel"/>
    <w:lvl w:ilvl="0">
      <w:lvlJc w:val="left"/>
      <w:lvlText w:val="(%1)"/>
      <w:numFmt w:val="lowerLetter"/>
      <w:start w:val="3"/>
    </w:lvl>
  </w:abstractNum>
  <w:abstractNum w:abstractNumId="43">
    <w:nsid w:val="1A54D7BC"/>
    <w:multiLevelType w:val="hybridMultilevel"/>
    <w:lvl w:ilvl="0">
      <w:lvlJc w:val="left"/>
      <w:lvlText w:val="(%1)"/>
      <w:numFmt w:val="lowerLetter"/>
      <w:start w:val="5"/>
    </w:lvl>
  </w:abstractNum>
  <w:abstractNum w:abstractNumId="44">
    <w:nsid w:val="42E57EF7"/>
    <w:multiLevelType w:val="hybridMultilevel"/>
    <w:lvl w:ilvl="0">
      <w:lvlJc w:val="left"/>
      <w:lvlText w:val="(%1)"/>
      <w:numFmt w:val="lowerLetter"/>
      <w:start w:val="1"/>
    </w:lvl>
  </w:abstractNum>
  <w:abstractNum w:abstractNumId="45">
    <w:nsid w:val="33537CED"/>
    <w:multiLevelType w:val="hybridMultilevel"/>
    <w:lvl w:ilvl="0">
      <w:lvlJc w:val="left"/>
      <w:lvlText w:val="(%1)"/>
      <w:numFmt w:val="lowerLetter"/>
      <w:start w:val="3"/>
    </w:lvl>
  </w:abstractNum>
  <w:abstractNum w:abstractNumId="46">
    <w:nsid w:val="27514ADE"/>
    <w:multiLevelType w:val="hybridMultilevel"/>
    <w:lvl w:ilvl="0">
      <w:lvlJc w:val="left"/>
      <w:lvlText w:val="(%1)"/>
      <w:numFmt w:val="lowerLetter"/>
      <w:start w:val="1"/>
    </w:lvl>
  </w:abstractNum>
  <w:abstractNum w:abstractNumId="47">
    <w:nsid w:val="57071613"/>
    <w:multiLevelType w:val="hybridMultilevel"/>
    <w:lvl w:ilvl="0">
      <w:lvlJc w:val="left"/>
      <w:lvlText w:val="(%1)"/>
      <w:numFmt w:val="lowerLetter"/>
      <w:start w:val="3"/>
    </w:lvl>
  </w:abstractNum>
  <w:abstractNum w:abstractNumId="48">
    <w:nsid w:val="5293BFEF"/>
    <w:multiLevelType w:val="hybridMultilevel"/>
    <w:lvl w:ilvl="0">
      <w:lvlJc w:val="left"/>
      <w:lvlText w:val="(%1)"/>
      <w:numFmt w:val="lowerLetter"/>
      <w:start w:val="1"/>
    </w:lvl>
  </w:abstractNum>
  <w:abstractNum w:abstractNumId="49">
    <w:nsid w:val="38BF53E5"/>
    <w:multiLevelType w:val="hybridMultilevel"/>
    <w:lvl w:ilvl="0">
      <w:lvlJc w:val="left"/>
      <w:lvlText w:val="(%1)"/>
      <w:numFmt w:val="lowerLetter"/>
      <w:start w:val="3"/>
    </w:lvl>
  </w:abstractNum>
  <w:abstractNum w:abstractNumId="50">
    <w:nsid w:val="226F5320"/>
    <w:multiLevelType w:val="hybridMultilevel"/>
    <w:lvl w:ilvl="0">
      <w:lvlJc w:val="left"/>
      <w:lvlText w:val="%1"/>
      <w:numFmt w:val="lowerRoman"/>
      <w:start w:val="1"/>
    </w:lvl>
    <w:lvl w:ilvl="1">
      <w:lvlJc w:val="left"/>
      <w:lvlText w:val="(%2)"/>
      <w:numFmt w:val="lowerLetter"/>
      <w:start w:val="1"/>
    </w:lvl>
  </w:abstractNum>
  <w:abstractNum w:abstractNumId="51">
    <w:nsid w:val="5A0201C7"/>
    <w:multiLevelType w:val="hybridMultilevel"/>
    <w:lvl w:ilvl="0">
      <w:lvlJc w:val="left"/>
      <w:lvlText w:val="(%1)"/>
      <w:numFmt w:val="lowerRoman"/>
      <w:start w:val="4"/>
    </w:lvl>
    <w:lvl w:ilvl="1">
      <w:lvlJc w:val="left"/>
      <w:lvlText w:val="%2"/>
      <w:numFmt w:val="lowerLetter"/>
      <w:start w:val="1"/>
    </w:lvl>
  </w:abstractNum>
  <w:abstractNum w:abstractNumId="52">
    <w:nsid w:val="2A9C34E2"/>
    <w:multiLevelType w:val="hybridMultilevel"/>
    <w:lvl w:ilvl="0">
      <w:lvlJc w:val="left"/>
      <w:lvlText w:val="(%1)"/>
      <w:numFmt w:val="lowerLetter"/>
      <w:start w:val="3"/>
    </w:lvl>
  </w:abstractNum>
  <w:abstractNum w:abstractNumId="53">
    <w:nsid w:val="1B7585AB"/>
    <w:multiLevelType w:val="hybridMultilevel"/>
    <w:lvl w:ilvl="0">
      <w:lvlJc w:val="left"/>
      <w:lvlText w:val="(%1)"/>
      <w:numFmt w:val="lowerLetter"/>
      <w:start w:val="1"/>
    </w:lvl>
  </w:abstractNum>
  <w:abstractNum w:abstractNumId="54">
    <w:nsid w:val="612DBDDD"/>
    <w:multiLevelType w:val="hybridMultilevel"/>
    <w:lvl w:ilvl="0">
      <w:lvlJc w:val="left"/>
      <w:lvlText w:val="%1"/>
      <w:numFmt w:val="lowerLetter"/>
      <w:start w:val="1"/>
    </w:lvl>
    <w:lvl w:ilvl="1">
      <w:lvlJc w:val="left"/>
      <w:lvlText w:val="(%2)"/>
      <w:numFmt w:val="lowerLetter"/>
      <w:start w:val="3"/>
    </w:lvl>
  </w:abstractNum>
  <w:abstractNum w:abstractNumId="55">
    <w:nsid w:val="2109CDA4"/>
    <w:multiLevelType w:val="hybridMultilevel"/>
    <w:lvl w:ilvl="0">
      <w:lvlJc w:val="left"/>
      <w:lvlText w:val="(%1)"/>
      <w:numFmt w:val="lowerLetter"/>
      <w:start w:val="35"/>
    </w:lvl>
    <w:lvl w:ilvl="1">
      <w:lvlJc w:val="left"/>
      <w:lvlText w:val="%2"/>
      <w:numFmt w:val="lowerLetter"/>
      <w:start w:val="1"/>
    </w:lvl>
  </w:abstractNum>
  <w:abstractNum w:abstractNumId="56">
    <w:nsid w:val="577F5A4D"/>
    <w:multiLevelType w:val="hybridMultilevel"/>
    <w:lvl w:ilvl="0">
      <w:lvlJc w:val="left"/>
      <w:lvlText w:val="(%1)"/>
      <w:numFmt w:val="lowerLetter"/>
      <w:start w:val="5"/>
    </w:lvl>
  </w:abstractNum>
  <w:abstractNum w:abstractNumId="57">
    <w:nsid w:val="2121A81"/>
    <w:multiLevelType w:val="hybridMultilevel"/>
    <w:lvl w:ilvl="0">
      <w:lvlJc w:val="left"/>
      <w:lvlText w:val="(%1)"/>
      <w:numFmt w:val="lowerRoman"/>
      <w:start w:val="1"/>
    </w:lvl>
  </w:abstractNum>
  <w:abstractNum w:abstractNumId="58">
    <w:nsid w:val="6C2CFC88"/>
    <w:multiLevelType w:val="hybridMultilevel"/>
    <w:lvl w:ilvl="0">
      <w:lvlJc w:val="left"/>
      <w:lvlText w:val="(%1)"/>
      <w:numFmt w:val="lowerRoman"/>
      <w:start w:val="1"/>
    </w:lvl>
  </w:abstractNum>
  <w:abstractNum w:abstractNumId="59">
    <w:nsid w:val="6D1BCF1C"/>
    <w:multiLevelType w:val="hybridMultilevel"/>
    <w:lvl w:ilvl="0">
      <w:lvlJc w:val="left"/>
      <w:lvlText w:val="(%1)"/>
      <w:numFmt w:val="lowerLetter"/>
      <w:start w:val="1"/>
    </w:lvl>
  </w:abstractNum>
  <w:abstractNum w:abstractNumId="60">
    <w:nsid w:val="4CE5CA53"/>
    <w:multiLevelType w:val="hybridMultilevel"/>
    <w:lvl w:ilvl="0">
      <w:lvlJc w:val="left"/>
      <w:lvlText w:val="(%1)"/>
      <w:numFmt w:val="lowerLetter"/>
      <w:start w:val="3"/>
    </w:lvl>
  </w:abstractNum>
  <w:abstractNum w:abstractNumId="61">
    <w:nsid w:val="29262D1A"/>
    <w:multiLevelType w:val="hybridMultilevel"/>
    <w:lvl w:ilvl="0">
      <w:lvlJc w:val="left"/>
      <w:lvlText w:val="(%1)"/>
      <w:numFmt w:val="lowerLetter"/>
      <w:start w:val="5"/>
    </w:lvl>
  </w:abstractNum>
  <w:abstractNum w:abstractNumId="62">
    <w:nsid w:val="557FB7EE"/>
    <w:multiLevelType w:val="hybridMultilevel"/>
    <w:lvl w:ilvl="0">
      <w:lvlJc w:val="left"/>
      <w:lvlText w:val="(%1)"/>
      <w:numFmt w:val="lowerLetter"/>
      <w:start w:val="1"/>
    </w:lvl>
  </w:abstractNum>
  <w:abstractNum w:abstractNumId="63">
    <w:nsid w:val="436F2BEB"/>
    <w:multiLevelType w:val="hybridMultilevel"/>
    <w:lvl w:ilvl="0">
      <w:lvlJc w:val="left"/>
      <w:lvlText w:val="(%1)"/>
      <w:numFmt w:val="lowerLetter"/>
      <w:start w:val="3"/>
    </w:lvl>
  </w:abstractNum>
  <w:abstractNum w:abstractNumId="64">
    <w:nsid w:val="6C8B4466"/>
    <w:multiLevelType w:val="hybridMultilevel"/>
    <w:lvl w:ilvl="0">
      <w:lvlJc w:val="left"/>
      <w:lvlText w:val="(%1)"/>
      <w:numFmt w:val="lowerLetter"/>
      <w:start w:val="1"/>
    </w:lvl>
  </w:abstractNum>
  <w:abstractNum w:abstractNumId="65">
    <w:nsid w:val="2006E424"/>
    <w:multiLevelType w:val="hybridMultilevel"/>
    <w:lvl w:ilvl="0">
      <w:lvlJc w:val="left"/>
      <w:lvlText w:val="(%1)"/>
      <w:numFmt w:val="lowerLetter"/>
      <w:start w:val="3"/>
    </w:lvl>
  </w:abstractNum>
  <w:abstractNum w:abstractNumId="66">
    <w:nsid w:val="20CC134C"/>
    <w:multiLevelType w:val="hybridMultilevel"/>
    <w:lvl w:ilvl="0">
      <w:lvlJc w:val="left"/>
      <w:lvlText w:val="(%1)"/>
      <w:numFmt w:val="lowerLetter"/>
      <w:start w:val="1"/>
    </w:lvl>
  </w:abstractNum>
  <w:abstractNum w:abstractNumId="67">
    <w:nsid w:val="95FC93B"/>
    <w:multiLevelType w:val="hybridMultilevel"/>
    <w:lvl w:ilvl="0">
      <w:lvlJc w:val="left"/>
      <w:lvlText w:val="(%1)"/>
      <w:numFmt w:val="lowerLetter"/>
      <w:start w:val="3"/>
    </w:lvl>
  </w:abstractNum>
  <w:abstractNum w:abstractNumId="68">
    <w:nsid w:val="41D74679"/>
    <w:multiLevelType w:val="hybridMultilevel"/>
    <w:lvl w:ilvl="0">
      <w:lvlJc w:val="left"/>
      <w:lvlText w:val="(%1)"/>
      <w:numFmt w:val="lowerLetter"/>
      <w:start w:val="5"/>
    </w:lvl>
  </w:abstractNum>
  <w:abstractNum w:abstractNumId="69">
    <w:nsid w:val="71E5621E"/>
    <w:multiLevelType w:val="hybridMultilevel"/>
    <w:lvl w:ilvl="0">
      <w:lvlJc w:val="left"/>
      <w:lvlText w:val="(%1)"/>
      <w:numFmt w:val="lowerLetter"/>
      <w:start w:val="1"/>
    </w:lvl>
  </w:abstractNum>
  <w:abstractNum w:abstractNumId="70">
    <w:nsid w:val="4E42B6A8"/>
    <w:multiLevelType w:val="hybridMultilevel"/>
    <w:lvl w:ilvl="0">
      <w:lvlJc w:val="left"/>
      <w:lvlText w:val="(%1)"/>
      <w:numFmt w:val="lowerLetter"/>
      <w:start w:val="3"/>
    </w:lvl>
  </w:abstractNum>
  <w:abstractNum w:abstractNumId="71">
    <w:nsid w:val="43F8E1AC"/>
    <w:multiLevelType w:val="hybridMultilevel"/>
    <w:lvl w:ilvl="0">
      <w:lvlJc w:val="left"/>
      <w:lvlText w:val="(%1)"/>
      <w:numFmt w:val="lowerLetter"/>
      <w:start w:val="5"/>
    </w:lvl>
  </w:abstractNum>
  <w:abstractNum w:abstractNumId="72">
    <w:nsid w:val="69215DFB"/>
    <w:multiLevelType w:val="hybridMultilevel"/>
    <w:lvl w:ilvl="0">
      <w:lvlJc w:val="left"/>
      <w:lvlText w:val="(%1)"/>
      <w:numFmt w:val="lowerRoman"/>
      <w:start w:val="1"/>
    </w:lvl>
  </w:abstractNum>
  <w:abstractNum w:abstractNumId="73">
    <w:nsid w:val="7ABF196A"/>
    <w:multiLevelType w:val="hybridMultilevel"/>
    <w:lvl w:ilvl="0">
      <w:lvlJc w:val="left"/>
      <w:lvlText w:val="(%1)"/>
      <w:numFmt w:val="lowerLetter"/>
      <w:start w:val="1"/>
    </w:lvl>
  </w:abstractNum>
  <w:abstractNum w:abstractNumId="74">
    <w:nsid w:val="5E4DB968"/>
    <w:multiLevelType w:val="hybridMultilevel"/>
    <w:lvl w:ilvl="0">
      <w:lvlJc w:val="left"/>
      <w:lvlText w:val="(%1)"/>
      <w:numFmt w:val="lowerLetter"/>
      <w:start w:val="1"/>
    </w:lvl>
  </w:abstractNum>
  <w:abstractNum w:abstractNumId="75">
    <w:nsid w:val="2C06DCF3"/>
    <w:multiLevelType w:val="hybridMultilevel"/>
    <w:lvl w:ilvl="0">
      <w:lvlJc w:val="left"/>
      <w:lvlText w:val="(%1)"/>
      <w:numFmt w:val="lowerLetter"/>
      <w:start w:val="3"/>
    </w:lvl>
  </w:abstractNum>
  <w:abstractNum w:abstractNumId="76">
    <w:nsid w:val="2E129658"/>
    <w:multiLevelType w:val="hybridMultilevel"/>
    <w:lvl w:ilvl="0">
      <w:lvlJc w:val="left"/>
      <w:lvlText w:val="(%1)"/>
      <w:numFmt w:val="lowerLetter"/>
      <w:start w:val="5"/>
    </w:lvl>
  </w:abstractNum>
  <w:abstractNum w:abstractNumId="77">
    <w:nsid w:val="59F0446"/>
    <w:multiLevelType w:val="hybridMultilevel"/>
    <w:lvl w:ilvl="0">
      <w:lvlJc w:val="left"/>
      <w:lvlText w:val="(%1)"/>
      <w:numFmt w:val="lowerLetter"/>
      <w:start w:val="9"/>
    </w:lvl>
  </w:abstractNum>
  <w:abstractNum w:abstractNumId="78">
    <w:nsid w:val="30DF306"/>
    <w:multiLevelType w:val="hybridMultilevel"/>
    <w:lvl w:ilvl="0">
      <w:lvlJc w:val="left"/>
      <w:lvlText w:val="(%1)"/>
      <w:numFmt w:val="lowerLetter"/>
      <w:start w:val="12"/>
    </w:lvl>
  </w:abstractNum>
  <w:abstractNum w:abstractNumId="79">
    <w:nsid w:val="A65647"/>
    <w:multiLevelType w:val="hybridMultilevel"/>
    <w:lvl w:ilvl="0">
      <w:lvlJc w:val="left"/>
      <w:lvlText w:val="(%1)"/>
      <w:numFmt w:val="lowerLetter"/>
      <w:start w:val="2"/>
    </w:lvl>
  </w:abstractNum>
  <w:abstractNum w:abstractNumId="80">
    <w:nsid w:val="3E5E582B"/>
    <w:multiLevelType w:val="hybridMultilevel"/>
    <w:lvl w:ilvl="0">
      <w:lvlJc w:val="left"/>
      <w:lvlText w:val="(%1)"/>
      <w:numFmt w:val="lowerLetter"/>
      <w:start w:val="5"/>
    </w:lvl>
  </w:abstractNum>
  <w:abstractNum w:abstractNumId="81">
    <w:nsid w:val="257D4626"/>
    <w:multiLevelType w:val="hybridMultilevel"/>
    <w:lvl w:ilvl="0">
      <w:lvlJc w:val="left"/>
      <w:lvlText w:val="(%1)"/>
      <w:numFmt w:val="lowerLetter"/>
      <w:start w:val="1"/>
    </w:lvl>
  </w:abstractNum>
  <w:abstractNum w:abstractNumId="82">
    <w:nsid w:val="5AA8580E"/>
    <w:multiLevelType w:val="hybridMultilevel"/>
    <w:lvl w:ilvl="0">
      <w:lvlJc w:val="left"/>
      <w:lvlText w:val="(%1)"/>
      <w:numFmt w:val="lowerLetter"/>
      <w:start w:val="3"/>
    </w:lvl>
  </w:abstractNum>
  <w:abstractNum w:abstractNumId="83">
    <w:nsid w:val="68FA8D0D"/>
    <w:multiLevelType w:val="hybridMultilevel"/>
    <w:lvl w:ilvl="0">
      <w:lvlJc w:val="left"/>
      <w:lvlText w:val="(%1)"/>
      <w:numFmt w:val="lowerLetter"/>
      <w:start w:val="4"/>
    </w:lvl>
  </w:abstractNum>
  <w:abstractNum w:abstractNumId="84">
    <w:nsid w:val="40F2CBD2"/>
    <w:multiLevelType w:val="hybridMultilevel"/>
    <w:lvl w:ilvl="0">
      <w:lvlJc w:val="left"/>
      <w:lvlText w:val="(%1)"/>
      <w:numFmt w:val="lowerLetter"/>
      <w:start w:val="1"/>
    </w:lvl>
  </w:abstractNum>
  <w:abstractNum w:abstractNumId="85">
    <w:nsid w:val="3BD615EB"/>
    <w:multiLevelType w:val="hybridMultilevel"/>
    <w:lvl w:ilvl="0">
      <w:lvlJc w:val="left"/>
      <w:lvlText w:val="(%1)"/>
      <w:numFmt w:val="upperLetter"/>
      <w:start w:val="2"/>
    </w:lvl>
    <w:lvl w:ilvl="1">
      <w:lvlJc w:val="left"/>
      <w:lvlText w:val="(%2)"/>
      <w:numFmt w:val="lowerLetter"/>
      <w:start w:val="3"/>
    </w:lvl>
  </w:abstractNum>
  <w:abstractNum w:abstractNumId="86">
    <w:nsid w:val="A045AB2"/>
    <w:multiLevelType w:val="hybridMultilevel"/>
    <w:lvl w:ilvl="0">
      <w:lvlJc w:val="left"/>
      <w:lvlText w:val="(%1)"/>
      <w:numFmt w:val="lowerLetter"/>
      <w:start w:val="1"/>
    </w:lvl>
  </w:abstractNum>
  <w:abstractNum w:abstractNumId="87">
    <w:nsid w:val="1872261F"/>
    <w:multiLevelType w:val="hybridMultilevel"/>
    <w:lvl w:ilvl="0">
      <w:lvlJc w:val="left"/>
      <w:lvlText w:val="(%1)"/>
      <w:numFmt w:val="lowerLetter"/>
      <w:start w:val="1"/>
    </w:lvl>
  </w:abstractNum>
  <w:abstractNum w:abstractNumId="88">
    <w:nsid w:val="3DE8306C"/>
    <w:multiLevelType w:val="hybridMultilevel"/>
    <w:lvl w:ilvl="0">
      <w:lvlJc w:val="left"/>
      <w:lvlText w:val="(%1)"/>
      <w:numFmt w:val="lowerLetter"/>
      <w:start w:val="1"/>
    </w:lvl>
  </w:abstractNum>
  <w:abstractNum w:abstractNumId="89">
    <w:nsid w:val="7631573A"/>
    <w:multiLevelType w:val="hybridMultilevel"/>
    <w:lvl w:ilvl="0">
      <w:lvlJc w:val="left"/>
      <w:lvlText w:val="(%1)"/>
      <w:numFmt w:val="lowerLetter"/>
      <w:start w:val="1"/>
    </w:lvl>
  </w:abstractNum>
  <w:abstractNum w:abstractNumId="90">
    <w:nsid w:val="58DF53B"/>
    <w:multiLevelType w:val="hybridMultilevel"/>
    <w:lvl w:ilvl="0">
      <w:lvlJc w:val="left"/>
      <w:lvlText w:val="(%1)"/>
      <w:numFmt w:val="lowerLetter"/>
      <w:start w:val="7"/>
    </w:lvl>
  </w:abstractNum>
  <w:abstractNum w:abstractNumId="91">
    <w:nsid w:val="ACDFAC0"/>
    <w:multiLevelType w:val="hybridMultilevel"/>
    <w:lvl w:ilvl="0">
      <w:lvlJc w:val="left"/>
      <w:lvlText w:val="(%1)"/>
      <w:numFmt w:val="lowerLetter"/>
      <w:start w:val="14"/>
    </w:lvl>
  </w:abstractNum>
  <w:abstractNum w:abstractNumId="92">
    <w:nsid w:val="1F578454"/>
    <w:multiLevelType w:val="hybridMultilevel"/>
    <w:lvl w:ilvl="0">
      <w:lvlJc w:val="left"/>
      <w:lvlText w:val="(%1)"/>
      <w:numFmt w:val="lowerLetter"/>
      <w:start w:val="20"/>
    </w:lvl>
  </w:abstractNum>
  <w:abstractNum w:abstractNumId="93">
    <w:nsid w:val="5B0DAD2A"/>
    <w:multiLevelType w:val="hybridMultilevel"/>
    <w:lvl w:ilvl="0">
      <w:lvlJc w:val="left"/>
      <w:lvlText w:val="(%1)"/>
      <w:numFmt w:val="lowerLetter"/>
      <w:start w:val="27"/>
    </w:lvl>
  </w:abstractNum>
  <w:abstractNum w:abstractNumId="94">
    <w:nsid w:val="4E3D26AB"/>
    <w:multiLevelType w:val="hybridMultilevel"/>
    <w:lvl w:ilvl="0">
      <w:lvlJc w:val="left"/>
      <w:lvlText w:val="(%1)"/>
      <w:numFmt w:val="lowerLetter"/>
      <w:start w:val="28"/>
    </w:lvl>
  </w:abstractNum>
  <w:abstractNum w:abstractNumId="95">
    <w:nsid w:val="BE2C8BA"/>
    <w:multiLevelType w:val="hybridMultilevel"/>
    <w:lvl w:ilvl="0">
      <w:lvlJc w:val="left"/>
      <w:lvlText w:val="(%1)"/>
      <w:numFmt w:val="lowerLetter"/>
      <w:start w:val="1"/>
    </w:lvl>
  </w:abstractNum>
  <w:abstractNum w:abstractNumId="96">
    <w:nsid w:val="7B14914E"/>
    <w:multiLevelType w:val="hybridMultilevel"/>
    <w:lvl w:ilvl="0">
      <w:lvlJc w:val="left"/>
      <w:lvlText w:val="(%1)"/>
      <w:numFmt w:val="lowerLetter"/>
      <w:start w:val="1"/>
    </w:lvl>
  </w:abstractNum>
  <w:abstractNum w:abstractNumId="97">
    <w:nsid w:val="6F0939F8"/>
    <w:multiLevelType w:val="hybridMultilevel"/>
    <w:lvl w:ilvl="0">
      <w:lvlJc w:val="left"/>
      <w:lvlText w:val="(%1)"/>
      <w:numFmt w:val="lowerLetter"/>
      <w:start w:val="3"/>
    </w:lvl>
  </w:abstractNum>
  <w:abstractNum w:abstractNumId="98">
    <w:nsid w:val="154291F6"/>
    <w:multiLevelType w:val="hybridMultilevel"/>
    <w:lvl w:ilvl="0">
      <w:lvlJc w:val="left"/>
      <w:lvlText w:val="(%1)"/>
      <w:numFmt w:val="lowerLetter"/>
      <w:start w:val="10"/>
    </w:lvl>
  </w:abstractNum>
  <w:abstractNum w:abstractNumId="99">
    <w:nsid w:val="3CEBD7C7"/>
    <w:multiLevelType w:val="hybridMultilevel"/>
    <w:lvl w:ilvl="0">
      <w:lvlJc w:val="left"/>
      <w:lvlText w:val="(%1)"/>
      <w:numFmt w:val="lowerLetter"/>
      <w:start w:val="1"/>
    </w:lvl>
  </w:abstractNum>
  <w:abstractNum w:abstractNumId="100">
    <w:nsid w:val="60EE9C16"/>
    <w:multiLevelType w:val="hybridMultilevel"/>
    <w:lvl w:ilvl="0">
      <w:lvlJc w:val="left"/>
      <w:lvlText w:val="(%1)"/>
      <w:numFmt w:val="lowerLetter"/>
      <w:start w:val="3"/>
    </w:lvl>
  </w:abstractNum>
  <w:abstractNum w:abstractNumId="101">
    <w:nsid w:val="6385489E"/>
    <w:multiLevelType w:val="hybridMultilevel"/>
    <w:lvl w:ilvl="0">
      <w:lvlJc w:val="left"/>
      <w:lvlText w:val="(%1)"/>
      <w:numFmt w:val="lowerLetter"/>
      <w:start w:val="1"/>
    </w:lvl>
  </w:abstractNum>
  <w:abstractNum w:abstractNumId="102">
    <w:nsid w:val="E4B973"/>
    <w:multiLevelType w:val="hybridMultilevel"/>
    <w:lvl w:ilvl="0">
      <w:lvlJc w:val="left"/>
      <w:lvlText w:val="(%1)"/>
      <w:numFmt w:val="lowerLetter"/>
      <w:start w:val="7"/>
    </w:lvl>
    <w:lvl w:ilvl="1">
      <w:lvlJc w:val="left"/>
      <w:lvlText w:val="(%2)"/>
      <w:numFmt w:val="lowerRoman"/>
      <w:start w:val="1"/>
    </w:lvl>
  </w:abstractNum>
  <w:abstractNum w:abstractNumId="103">
    <w:nsid w:val="4A0FFA11"/>
    <w:multiLevelType w:val="hybridMultilevel"/>
    <w:lvl w:ilvl="0">
      <w:lvlJc w:val="left"/>
      <w:lvlText w:val="%1"/>
      <w:numFmt w:val="lowerLetter"/>
      <w:start w:val="1"/>
    </w:lvl>
    <w:lvl w:ilvl="1">
      <w:lvlJc w:val="left"/>
      <w:lvlText w:val="(%2)"/>
      <w:numFmt w:val="lowerRoman"/>
      <w:start w:val="4"/>
    </w:lvl>
  </w:abstractNum>
  <w:abstractNum w:abstractNumId="104">
    <w:nsid w:val="5E446208"/>
    <w:multiLevelType w:val="hybridMultilevel"/>
    <w:lvl w:ilvl="0">
      <w:lvlJc w:val="left"/>
      <w:lvlText w:val="(%1)"/>
      <w:numFmt w:val="lowerLetter"/>
      <w:start w:val="14"/>
    </w:lvl>
    <w:lvl w:ilvl="1">
      <w:lvlJc w:val="left"/>
      <w:lvlText w:val="%2"/>
      <w:numFmt w:val="lowerRoman"/>
      <w:start w:val="1"/>
    </w:lvl>
  </w:abstractNum>
  <w:abstractNum w:abstractNumId="105">
    <w:nsid w:val="5F3272DB"/>
    <w:multiLevelType w:val="hybridMultilevel"/>
    <w:lvl w:ilvl="0">
      <w:lvlJc w:val="left"/>
      <w:lvlText w:val="(%1)"/>
      <w:numFmt w:val="lowerLetter"/>
      <w:start w:val="16"/>
    </w:lvl>
  </w:abstractNum>
  <w:abstractNum w:abstractNumId="106">
    <w:nsid w:val="7616D704"/>
    <w:multiLevelType w:val="hybridMultilevel"/>
    <w:lvl w:ilvl="0">
      <w:lvlJc w:val="left"/>
      <w:lvlText w:val="(%1)"/>
      <w:numFmt w:val="lowerLetter"/>
      <w:start w:val="1"/>
    </w:lvl>
  </w:abstractNum>
  <w:abstractNum w:abstractNumId="107">
    <w:nsid w:val="C56F860"/>
    <w:multiLevelType w:val="hybridMultilevel"/>
    <w:lvl w:ilvl="0">
      <w:lvlJc w:val="left"/>
      <w:lvlText w:val="(%1)"/>
      <w:numFmt w:val="lowerLetter"/>
      <w:start w:val="6"/>
    </w:lvl>
    <w:lvl w:ilvl="1">
      <w:lvlJc w:val="left"/>
      <w:lvlText w:val="(%2)"/>
      <w:numFmt w:val="lowerLetter"/>
      <w:start w:val="9"/>
    </w:lvl>
  </w:abstractNum>
  <w:abstractNum w:abstractNumId="108">
    <w:nsid w:val="64D17722"/>
    <w:multiLevelType w:val="hybridMultilevel"/>
    <w:lvl w:ilvl="0">
      <w:lvlJc w:val="left"/>
      <w:lvlText w:val="(%1)"/>
      <w:numFmt w:val="lowerRoman"/>
      <w:start w:val="2"/>
    </w:lvl>
  </w:abstractNum>
  <w:abstractNum w:abstractNumId="109">
    <w:nsid w:val="7924CA0A"/>
    <w:multiLevelType w:val="hybridMultilevel"/>
    <w:lvl w:ilvl="0">
      <w:lvlJc w:val="left"/>
      <w:lvlText w:val="(%1)"/>
      <w:numFmt w:val="lowerRoman"/>
      <w:start w:val="9"/>
    </w:lvl>
  </w:abstractNum>
  <w:abstractNum w:abstractNumId="110">
    <w:nsid w:val="CFD4EA7"/>
    <w:multiLevelType w:val="hybridMultilevel"/>
    <w:lvl w:ilvl="0">
      <w:lvlJc w:val="left"/>
      <w:lvlText w:val="(%1)"/>
      <w:numFmt w:val="lowerRoman"/>
      <w:start w:val="15"/>
    </w:lvl>
  </w:abstractNum>
  <w:abstractNum w:abstractNumId="111">
    <w:nsid w:val="232FCF4D"/>
    <w:multiLevelType w:val="hybridMultilevel"/>
    <w:lvl w:ilvl="0">
      <w:lvlJc w:val="left"/>
      <w:lvlText w:val="(%1)"/>
      <w:numFmt w:val="lowerRoman"/>
      <w:start w:val="20"/>
    </w:lvl>
  </w:abstractNum>
  <w:abstractNum w:abstractNumId="112">
    <w:nsid w:val="1EA21031"/>
    <w:multiLevelType w:val="hybridMultilevel"/>
    <w:lvl w:ilvl="0">
      <w:lvlJc w:val="left"/>
      <w:lvlText w:val="(%1)"/>
      <w:numFmt w:val="upperLetter"/>
      <w:start w:val="4"/>
    </w:lvl>
  </w:abstractNum>
  <w:abstractNum w:abstractNumId="113">
    <w:nsid w:val="67A5A6B5"/>
    <w:multiLevelType w:val="hybridMultilevel"/>
    <w:lvl w:ilvl="0">
      <w:lvlJc w:val="left"/>
      <w:lvlText w:val="(%1)"/>
      <w:numFmt w:val="lowerLetter"/>
      <w:start w:val="15"/>
    </w:lvl>
  </w:abstractNum>
  <w:abstractNum w:abstractNumId="114">
    <w:nsid w:val="C2A5C5B"/>
    <w:multiLevelType w:val="hybridMultilevel"/>
    <w:lvl w:ilvl="0">
      <w:lvlJc w:val="left"/>
      <w:lvlText w:val="(%1)"/>
      <w:numFmt w:val="lowerLetter"/>
      <w:start w:val="1"/>
    </w:lvl>
  </w:abstractNum>
  <w:abstractNum w:abstractNumId="115">
    <w:nsid w:val="5F94DC03"/>
    <w:multiLevelType w:val="hybridMultilevel"/>
    <w:lvl w:ilvl="0">
      <w:lvlJc w:val="left"/>
      <w:lvlText w:val="(%1)"/>
      <w:numFmt w:val="lowerLetter"/>
      <w:start w:val="3"/>
    </w:lvl>
  </w:abstractNum>
  <w:abstractNum w:abstractNumId="116">
    <w:nsid w:val="237BBCA0"/>
    <w:multiLevelType w:val="hybridMultilevel"/>
    <w:lvl w:ilvl="0">
      <w:lvlJc w:val="left"/>
      <w:lvlText w:val="(%1)"/>
      <w:numFmt w:val="lowerLetter"/>
      <w:start w:val="5"/>
    </w:lvl>
  </w:abstractNum>
  <w:abstractNum w:abstractNumId="117">
    <w:nsid w:val="162EB70D"/>
    <w:multiLevelType w:val="hybridMultilevel"/>
    <w:lvl w:ilvl="0">
      <w:lvlJc w:val="left"/>
      <w:lvlText w:val="(%1)"/>
      <w:numFmt w:val="lowerLetter"/>
      <w:start w:val="1"/>
    </w:lvl>
  </w:abstractNum>
  <w:abstractNum w:abstractNumId="118">
    <w:nsid w:val="78070222"/>
    <w:multiLevelType w:val="hybridMultilevel"/>
    <w:lvl w:ilvl="0">
      <w:lvlJc w:val="left"/>
      <w:lvlText w:val="(%1)"/>
      <w:numFmt w:val="lowerLetter"/>
      <w:start w:val="4"/>
    </w:lvl>
  </w:abstractNum>
  <w:abstractNum w:abstractNumId="119">
    <w:nsid w:val="6163ED0D"/>
    <w:multiLevelType w:val="hybridMultilevel"/>
    <w:lvl w:ilvl="0">
      <w:lvlJc w:val="left"/>
      <w:lvlText w:val="(%1)"/>
      <w:numFmt w:val="lowerLetter"/>
      <w:start w:val="12"/>
    </w:lvl>
  </w:abstractNum>
  <w:abstractNum w:abstractNumId="120">
    <w:nsid w:val="C600E47"/>
    <w:multiLevelType w:val="hybridMultilevel"/>
    <w:lvl w:ilvl="0">
      <w:lvlJc w:val="left"/>
      <w:lvlText w:val="(%1)"/>
      <w:numFmt w:val="lowerLetter"/>
      <w:start w:val="1"/>
    </w:lvl>
  </w:abstractNum>
  <w:abstractNum w:abstractNumId="121">
    <w:nsid w:val="7D94F75D"/>
    <w:multiLevelType w:val="hybridMultilevel"/>
    <w:lvl w:ilvl="0">
      <w:lvlJc w:val="left"/>
      <w:lvlText w:val="(%1)"/>
      <w:numFmt w:val="lowerLetter"/>
      <w:start w:val="8"/>
    </w:lvl>
  </w:abstractNum>
  <w:abstractNum w:abstractNumId="122">
    <w:nsid w:val="6C31E7CD"/>
    <w:multiLevelType w:val="hybridMultilevel"/>
    <w:lvl w:ilvl="0">
      <w:lvlJc w:val="left"/>
      <w:lvlText w:val="(%1)"/>
      <w:numFmt w:val="lowerLetter"/>
      <w:start w:val="1"/>
    </w:lvl>
  </w:abstractNum>
  <w:abstractNum w:abstractNumId="123">
    <w:nsid w:val="2BB7929B"/>
    <w:multiLevelType w:val="hybridMultilevel"/>
    <w:lvl w:ilvl="0">
      <w:lvlJc w:val="left"/>
      <w:lvlText w:val="(%1)"/>
      <w:numFmt w:val="lowerLetter"/>
      <w:start w:val="4"/>
    </w:lvl>
  </w:abstractNum>
  <w:abstractNum w:abstractNumId="124">
    <w:nsid w:val="58A2A487"/>
    <w:multiLevelType w:val="hybridMultilevel"/>
    <w:lvl w:ilvl="0">
      <w:lvlJc w:val="left"/>
      <w:lvlText w:val="(%1)"/>
      <w:numFmt w:val="lowerLetter"/>
      <w:start w:val="5"/>
    </w:lvl>
  </w:abstractNum>
  <w:abstractNum w:abstractNumId="125">
    <w:nsid w:val="3A6F0E78"/>
    <w:multiLevelType w:val="hybridMultilevel"/>
    <w:lvl w:ilvl="0">
      <w:lvlJc w:val="left"/>
      <w:lvlText w:val="(%1)"/>
      <w:numFmt w:val="lowerLetter"/>
      <w:start w:val="7"/>
    </w:lvl>
  </w:abstractNum>
  <w:abstractNum w:abstractNumId="126">
    <w:nsid w:val="379A5B56"/>
    <w:multiLevelType w:val="hybridMultilevel"/>
    <w:lvl w:ilvl="0">
      <w:lvlJc w:val="left"/>
      <w:lvlText w:val="(%1)"/>
      <w:numFmt w:val="lowerLetter"/>
      <w:start w:val="1"/>
    </w:lvl>
  </w:abstractNum>
  <w:abstractNum w:abstractNumId="127">
    <w:nsid w:val="53B735D5"/>
    <w:multiLevelType w:val="hybridMultilevel"/>
    <w:lvl w:ilvl="0">
      <w:lvlJc w:val="left"/>
      <w:lvlText w:val="(%1)"/>
      <w:numFmt w:val="lowerLetter"/>
      <w:start w:val="1"/>
    </w:lvl>
  </w:abstractNum>
  <w:abstractNum w:abstractNumId="128">
    <w:nsid w:val="29784870"/>
    <w:multiLevelType w:val="hybridMultilevel"/>
    <w:lvl w:ilvl="0">
      <w:lvlJc w:val="left"/>
      <w:lvlText w:val="(%1)"/>
      <w:numFmt w:val="lowerLetter"/>
      <w:start w:val="1"/>
    </w:lvl>
  </w:abstractNum>
  <w:abstractNum w:abstractNumId="129">
    <w:nsid w:val="4CDCED4C"/>
    <w:multiLevelType w:val="hybridMultilevel"/>
    <w:lvl w:ilvl="0">
      <w:lvlJc w:val="left"/>
      <w:lvlText w:val="(%1)"/>
      <w:numFmt w:val="lowerLetter"/>
      <w:start w:val="3"/>
    </w:lvl>
  </w:abstractNum>
  <w:abstractNum w:abstractNumId="130">
    <w:nsid w:val="10A30D9C"/>
    <w:multiLevelType w:val="hybridMultilevel"/>
    <w:lvl w:ilvl="0">
      <w:lvlJc w:val="left"/>
      <w:lvlText w:val="(%1)"/>
      <w:numFmt w:val="lowerLetter"/>
      <w:start w:val="5"/>
    </w:lvl>
  </w:abstractNum>
  <w:abstractNum w:abstractNumId="131">
    <w:nsid w:val="A66E486"/>
    <w:multiLevelType w:val="hybridMultilevel"/>
    <w:lvl w:ilvl="0">
      <w:lvlJc w:val="left"/>
      <w:lvlText w:val="(%1)"/>
      <w:numFmt w:val="lowerLetter"/>
      <w:start w:val="1"/>
    </w:lvl>
  </w:abstractNum>
  <w:abstractNum w:abstractNumId="132">
    <w:nsid w:val="306235EA"/>
    <w:multiLevelType w:val="hybridMultilevel"/>
    <w:lvl w:ilvl="0">
      <w:lvlJc w:val="left"/>
      <w:lvlText w:val="(%1)"/>
      <w:numFmt w:val="lowerLetter"/>
      <w:start w:val="2"/>
    </w:lvl>
  </w:abstractNum>
  <w:abstractNum w:abstractNumId="133">
    <w:nsid w:val="1187C70F"/>
    <w:multiLevelType w:val="hybridMultilevel"/>
    <w:lvl w:ilvl="0">
      <w:lvlJc w:val="left"/>
      <w:lvlText w:val="(%1)"/>
      <w:numFmt w:val="lowerLetter"/>
      <w:start w:val="1"/>
    </w:lvl>
  </w:abstractNum>
  <w:abstractNum w:abstractNumId="134">
    <w:nsid w:val="5476DE98"/>
    <w:multiLevelType w:val="hybridMultilevel"/>
    <w:lvl w:ilvl="0">
      <w:lvlJc w:val="left"/>
      <w:lvlText w:val="(%1)"/>
      <w:numFmt w:val="lowerLetter"/>
      <w:start w:val="1"/>
    </w:lvl>
  </w:abstractNum>
  <w:abstractNum w:abstractNumId="135">
    <w:nsid w:val="EA697F2"/>
    <w:multiLevelType w:val="hybridMultilevel"/>
    <w:lvl w:ilvl="0">
      <w:lvlJc w:val="left"/>
      <w:lvlText w:val="(%1)"/>
      <w:numFmt w:val="lowerLetter"/>
      <w:start w:val="3"/>
    </w:lvl>
  </w:abstractNum>
  <w:abstractNum w:abstractNumId="136">
    <w:nsid w:val="70BA39EB"/>
    <w:multiLevelType w:val="hybridMultilevel"/>
    <w:lvl w:ilvl="0">
      <w:lvlJc w:val="left"/>
      <w:lvlText w:val="%1"/>
      <w:numFmt w:val="lowerLetter"/>
      <w:start w:val="1"/>
    </w:lvl>
    <w:lvl w:ilvl="1">
      <w:lvlJc w:val="left"/>
      <w:lvlText w:val="(%2)"/>
      <w:numFmt w:val="lowerLetter"/>
      <w:start w:val="5"/>
    </w:lvl>
  </w:abstractNum>
  <w:abstractNum w:abstractNumId="137">
    <w:nsid w:val="4A8DB59C"/>
    <w:multiLevelType w:val="hybridMultilevel"/>
    <w:lvl w:ilvl="0">
      <w:lvlJc w:val="left"/>
      <w:lvlText w:val="(%1)"/>
      <w:numFmt w:val="lowerLetter"/>
      <w:start w:val="35"/>
    </w:lvl>
    <w:lvl w:ilvl="1">
      <w:lvlJc w:val="left"/>
      <w:lvlText w:val="%2"/>
      <w:numFmt w:val="lowerLetter"/>
      <w:start w:val="1"/>
    </w:lvl>
  </w:abstractNum>
  <w:abstractNum w:abstractNumId="138">
    <w:nsid w:val="1AFD9053"/>
    <w:multiLevelType w:val="hybridMultilevel"/>
    <w:lvl w:ilvl="0">
      <w:lvlJc w:val="left"/>
      <w:lvlText w:val="(%1)"/>
      <w:numFmt w:val="lowerLetter"/>
      <w:start w:val="1"/>
    </w:lvl>
  </w:abstractNum>
  <w:abstractNum w:abstractNumId="139">
    <w:nsid w:val="558BB10D"/>
    <w:multiLevelType w:val="hybridMultilevel"/>
    <w:lvl w:ilvl="0">
      <w:lvlJc w:val="left"/>
      <w:lvlText w:val="(%1)"/>
      <w:numFmt w:val="lowerLetter"/>
      <w:start w:val="1"/>
    </w:lvl>
  </w:abstractNum>
  <w:abstractNum w:abstractNumId="140">
    <w:nsid w:val="43B27FA7"/>
    <w:multiLevelType w:val="hybridMultilevel"/>
    <w:lvl w:ilvl="0">
      <w:lvlJc w:val="left"/>
      <w:lvlText w:val="(%1)"/>
      <w:numFmt w:val="lowerLetter"/>
      <w:start w:val="3"/>
    </w:lvl>
  </w:abstractNum>
  <w:abstractNum w:abstractNumId="141">
    <w:nsid w:val="27FADEFA"/>
    <w:multiLevelType w:val="hybridMultilevel"/>
    <w:lvl w:ilvl="0">
      <w:lvlJc w:val="left"/>
      <w:lvlText w:val="(%1)"/>
      <w:numFmt w:val="lowerLetter"/>
      <w:start w:val="1"/>
    </w:lvl>
  </w:abstractNum>
  <w:abstractNum w:abstractNumId="142">
    <w:nsid w:val="78BB805A"/>
    <w:multiLevelType w:val="hybridMultilevel"/>
    <w:lvl w:ilvl="0">
      <w:lvlJc w:val="left"/>
      <w:lvlText w:val="(%1)"/>
      <w:numFmt w:val="lowerLetter"/>
      <w:start w:val="2"/>
    </w:lvl>
  </w:abstractNum>
  <w:abstractNum w:abstractNumId="143">
    <w:nsid w:val="62548FD8"/>
    <w:multiLevelType w:val="hybridMultilevel"/>
    <w:lvl w:ilvl="0">
      <w:lvlJc w:val="left"/>
      <w:lvlText w:val="(%1)"/>
      <w:numFmt w:val="lowerLetter"/>
      <w:start w:val="1"/>
    </w:lvl>
  </w:abstractNum>
  <w:abstractNum w:abstractNumId="144">
    <w:nsid w:val="FA085B0"/>
    <w:multiLevelType w:val="hybridMultilevel"/>
    <w:lvl w:ilvl="0">
      <w:lvlJc w:val="left"/>
      <w:lvlText w:val="%1"/>
      <w:numFmt w:val="lowerLetter"/>
      <w:start w:val="1"/>
    </w:lvl>
    <w:lvl w:ilvl="1">
      <w:lvlJc w:val="left"/>
      <w:lvlText w:val="(%2)"/>
      <w:numFmt w:val="lowerLetter"/>
      <w:start w:val="1"/>
    </w:lvl>
  </w:abstractNum>
  <w:abstractNum w:abstractNumId="145">
    <w:nsid w:val="4E5DCB5"/>
    <w:multiLevelType w:val="hybridMultilevel"/>
    <w:lvl w:ilvl="0">
      <w:lvlJc w:val="left"/>
      <w:lvlText w:val="(%1)"/>
      <w:numFmt w:val="lowerLetter"/>
      <w:start w:val="61"/>
    </w:lvl>
    <w:lvl w:ilvl="1">
      <w:lvlJc w:val="left"/>
      <w:lvlText w:val="%2"/>
      <w:numFmt w:val="lowerLetter"/>
      <w:start w:val="1"/>
    </w:lvl>
  </w:abstractNum>
  <w:abstractNum w:abstractNumId="146">
    <w:nsid w:val="41E96BDB"/>
    <w:multiLevelType w:val="hybridMultilevel"/>
    <w:lvl w:ilvl="0">
      <w:lvlJc w:val="left"/>
      <w:lvlText w:val="(%1)"/>
      <w:numFmt w:val="lowerLetter"/>
      <w:start w:val="1"/>
    </w:lvl>
  </w:abstractNum>
  <w:abstractNum w:abstractNumId="147">
    <w:nsid w:val="331C4250"/>
    <w:multiLevelType w:val="hybridMultilevel"/>
    <w:lvl w:ilvl="0">
      <w:lvlJc w:val="left"/>
      <w:lvlText w:val="(%1)"/>
      <w:numFmt w:val="lowerLetter"/>
      <w:start w:val="3"/>
    </w:lvl>
  </w:abstractNum>
  <w:abstractNum w:abstractNumId="148">
    <w:nsid w:val="1B1493C2"/>
    <w:multiLevelType w:val="hybridMultilevel"/>
    <w:lvl w:ilvl="0">
      <w:lvlJc w:val="left"/>
      <w:lvlText w:val="(%1)"/>
      <w:numFmt w:val="lowerRoman"/>
      <w:start w:val="1"/>
    </w:lvl>
  </w:abstractNum>
  <w:abstractNum w:abstractNumId="149">
    <w:nsid w:val="39F06DFD"/>
    <w:multiLevelType w:val="hybridMultilevel"/>
    <w:lvl w:ilvl="0">
      <w:lvlJc w:val="left"/>
      <w:lvlText w:val="(%1)"/>
      <w:numFmt w:val="lowerLetter"/>
      <w:start w:val="1"/>
    </w:lvl>
  </w:abstractNum>
  <w:abstractNum w:abstractNumId="150">
    <w:nsid w:val="14802F5D"/>
    <w:multiLevelType w:val="hybridMultilevel"/>
    <w:lvl w:ilvl="0">
      <w:lvlJc w:val="left"/>
      <w:lvlText w:val="(%1)"/>
      <w:numFmt w:val="lowerLetter"/>
      <w:start w:val="3"/>
    </w:lvl>
  </w:abstractNum>
  <w:abstractNum w:abstractNumId="151">
    <w:nsid w:val="2774A209"/>
    <w:multiLevelType w:val="hybridMultilevel"/>
    <w:lvl w:ilvl="0">
      <w:lvlJc w:val="left"/>
      <w:lvlText w:val="(%1)"/>
      <w:numFmt w:val="lowerLetter"/>
      <w:start w:val="5"/>
    </w:lvl>
  </w:abstractNum>
  <w:abstractNum w:abstractNumId="152">
    <w:nsid w:val="3785655A"/>
    <w:multiLevelType w:val="hybridMultilevel"/>
    <w:lvl w:ilvl="0">
      <w:lvlJc w:val="left"/>
      <w:lvlText w:val="(%1)"/>
      <w:numFmt w:val="lowerLetter"/>
      <w:start w:val="1"/>
    </w:lvl>
  </w:abstractNum>
  <w:abstractNum w:abstractNumId="153">
    <w:nsid w:val="B2172A"/>
    <w:multiLevelType w:val="hybridMultilevel"/>
    <w:lvl w:ilvl="0">
      <w:lvlJc w:val="left"/>
      <w:lvlText w:val="(%1)"/>
      <w:numFmt w:val="lowerLetter"/>
      <w:start w:val="3"/>
    </w:lvl>
  </w:abstractNum>
  <w:abstractNum w:abstractNumId="154">
    <w:nsid w:val="532C34A5"/>
    <w:multiLevelType w:val="hybridMultilevel"/>
    <w:lvl w:ilvl="0">
      <w:lvlJc w:val="left"/>
      <w:lvlText w:val="(%1)"/>
      <w:numFmt w:val="lowerLetter"/>
      <w:start w:val="5"/>
    </w:lvl>
  </w:abstractNum>
  <w:abstractNum w:abstractNumId="155">
    <w:nsid w:val="102809E2"/>
    <w:multiLevelType w:val="hybridMultilevel"/>
    <w:lvl w:ilvl="0">
      <w:lvlJc w:val="left"/>
      <w:lvlText w:val="(%1)"/>
      <w:numFmt w:val="lowerRoman"/>
      <w:start w:val="1"/>
    </w:lvl>
  </w:abstractNum>
  <w:abstractNum w:abstractNumId="156">
    <w:nsid w:val="3B2125A3"/>
    <w:multiLevelType w:val="hybridMultilevel"/>
    <w:lvl w:ilvl="0">
      <w:lvlJc w:val="left"/>
      <w:lvlText w:val="(%1)"/>
      <w:numFmt w:val="lowerLetter"/>
      <w:start w:val="1"/>
    </w:lvl>
  </w:abstractNum>
  <w:abstractNum w:abstractNumId="157">
    <w:nsid w:val="AC68FFB"/>
    <w:multiLevelType w:val="hybridMultilevel"/>
    <w:lvl w:ilvl="0">
      <w:lvlJc w:val="left"/>
      <w:lvlText w:val="(%1)"/>
      <w:numFmt w:val="lowerLetter"/>
      <w:start w:val="3"/>
    </w:lvl>
  </w:abstractNum>
  <w:abstractNum w:abstractNumId="158">
    <w:nsid w:val="63DF3FB7"/>
    <w:multiLevelType w:val="hybridMultilevel"/>
    <w:lvl w:ilvl="0">
      <w:lvlJc w:val="left"/>
      <w:lvlText w:val="(%1)"/>
      <w:numFmt w:val="lowerLetter"/>
      <w:start w:val="5"/>
    </w:lvl>
  </w:abstractNum>
  <w:abstractNum w:abstractNumId="159">
    <w:nsid w:val="64996E13"/>
    <w:multiLevelType w:val="hybridMultilevel"/>
    <w:lvl w:ilvl="0">
      <w:lvlJc w:val="left"/>
      <w:lvlText w:val="(%1)"/>
      <w:numFmt w:val="lowerLetter"/>
      <w:start w:val="2"/>
    </w:lvl>
  </w:abstractNum>
  <w:abstractNum w:abstractNumId="160">
    <w:nsid w:val="57A37D47"/>
    <w:multiLevelType w:val="hybridMultilevel"/>
    <w:lvl w:ilvl="0">
      <w:lvlJc w:val="left"/>
      <w:lvlText w:val="(%1)"/>
      <w:numFmt w:val="lowerLetter"/>
      <w:start w:val="1"/>
    </w:lvl>
  </w:abstractNum>
  <w:abstractNum w:abstractNumId="161">
    <w:nsid w:val="74824D54"/>
    <w:multiLevelType w:val="hybridMultilevel"/>
    <w:lvl w:ilvl="0">
      <w:lvlJc w:val="left"/>
      <w:lvlText w:val="(%1)"/>
      <w:numFmt w:val="lowerLetter"/>
      <w:start w:val="1"/>
    </w:lvl>
  </w:abstractNum>
  <w:abstractNum w:abstractNumId="162">
    <w:nsid w:val="6F00529A"/>
    <w:multiLevelType w:val="hybridMultilevel"/>
    <w:lvl w:ilvl="0">
      <w:lvlJc w:val="left"/>
      <w:lvlText w:val="(%1)"/>
      <w:numFmt w:val="lowerLetter"/>
      <w:start w:val="1"/>
    </w:lvl>
  </w:abstractNum>
  <w:abstractNum w:abstractNumId="163">
    <w:nsid w:val="805B331"/>
    <w:multiLevelType w:val="hybridMultilevel"/>
    <w:lvl w:ilvl="0">
      <w:lvlJc w:val="left"/>
      <w:lvlText w:val="(%1)"/>
      <w:numFmt w:val="lowerRoman"/>
      <w:start w:val="1"/>
    </w:lvl>
  </w:abstractNum>
  <w:abstractNum w:abstractNumId="164">
    <w:nsid w:val="60A1463"/>
    <w:multiLevelType w:val="hybridMultilevel"/>
    <w:lvl w:ilvl="0">
      <w:lvlJc w:val="left"/>
      <w:lvlText w:val="%1"/>
      <w:numFmt w:val="lowerLetter"/>
      <w:start w:val="1"/>
    </w:lvl>
    <w:lvl w:ilvl="1">
      <w:lvlJc w:val="left"/>
      <w:lvlText w:val="(%2)"/>
      <w:numFmt w:val="decimal"/>
      <w:start w:val="1"/>
    </w:lvl>
  </w:abstractNum>
  <w:abstractNum w:abstractNumId="165">
    <w:nsid w:val="43773132"/>
    <w:multiLevelType w:val="hybridMultilevel"/>
    <w:lvl w:ilvl="0">
      <w:lvlJc w:val="left"/>
      <w:lvlText w:val="(%1)"/>
      <w:numFmt w:val="lowerLetter"/>
      <w:start w:val="2"/>
    </w:lvl>
    <w:lvl w:ilvl="1">
      <w:lvlJc w:val="left"/>
      <w:lvlText w:val="(%2)"/>
      <w:numFmt w:val="decimal"/>
      <w:start w:val="7"/>
    </w:lvl>
  </w:abstractNum>
  <w:abstractNum w:abstractNumId="166">
    <w:nsid w:val="16AC4B23"/>
    <w:multiLevelType w:val="hybridMultilevel"/>
    <w:lvl w:ilvl="0">
      <w:lvlJc w:val="left"/>
      <w:lvlText w:val="(%1)"/>
      <w:numFmt w:val="decimal"/>
      <w:start w:val="9"/>
    </w:lvl>
  </w:abstractNum>
  <w:abstractNum w:abstractNumId="167">
    <w:nsid w:val="76C44E4E"/>
    <w:multiLevelType w:val="hybridMultilevel"/>
    <w:lvl w:ilvl="0">
      <w:lvlJc w:val="left"/>
      <w:lvlText w:val="(%1)"/>
      <w:numFmt w:val="decimal"/>
      <w:start w:val="18"/>
    </w:lvl>
  </w:abstractNum>
  <w:abstractNum w:abstractNumId="168">
    <w:nsid w:val="E04E6CE"/>
    <w:multiLevelType w:val="hybridMultilevel"/>
    <w:lvl w:ilvl="0">
      <w:lvlJc w:val="left"/>
      <w:lvlText w:val="(%1)"/>
      <w:numFmt w:val="decimal"/>
      <w:start w:val="25"/>
    </w:lvl>
  </w:abstractNum>
  <w:abstractNum w:abstractNumId="169">
    <w:nsid w:val="31A9DB76"/>
    <w:multiLevelType w:val="hybridMultilevel"/>
    <w:lvl w:ilvl="0">
      <w:lvlJc w:val="left"/>
      <w:lvlText w:val="(%1)"/>
      <w:numFmt w:val="decimal"/>
      <w:start w:val="34"/>
    </w:lvl>
  </w:abstractNum>
  <w:abstractNum w:abstractNumId="170">
    <w:nsid w:val="4C4FFF5B"/>
    <w:multiLevelType w:val="hybridMultilevel"/>
    <w:lvl w:ilvl="0">
      <w:lvlJc w:val="left"/>
      <w:lvlText w:val="(%1)"/>
      <w:numFmt w:val="decimal"/>
      <w:start w:val="43"/>
    </w:lvl>
  </w:abstractNum>
  <w:abstractNum w:abstractNumId="171">
    <w:nsid w:val="51B76675"/>
    <w:multiLevelType w:val="hybridMultilevel"/>
    <w:lvl w:ilvl="0">
      <w:lvlJc w:val="left"/>
      <w:lvlText w:val="(%1)"/>
      <w:numFmt w:val="decimal"/>
      <w:start w:val="1"/>
    </w:lvl>
  </w:abstractNum>
  <w:abstractNum w:abstractNumId="172">
    <w:nsid w:val="59A4BA71"/>
    <w:multiLevelType w:val="hybridMultilevel"/>
    <w:lvl w:ilvl="0">
      <w:lvlJc w:val="left"/>
      <w:lvlText w:val="%1"/>
      <w:numFmt w:val="decimal"/>
      <w:start w:val="1"/>
    </w:lvl>
    <w:lvl w:ilvl="1">
      <w:lvlJc w:val="left"/>
      <w:lvlText w:val="(%2)"/>
      <w:numFmt w:val="lowerLetter"/>
      <w:start w:val="1"/>
    </w:lvl>
  </w:abstractNum>
  <w:abstractNum w:abstractNumId="173">
    <w:nsid w:val="450B7FB6"/>
    <w:multiLevelType w:val="hybridMultilevel"/>
    <w:lvl w:ilvl="0">
      <w:lvlJc w:val="left"/>
      <w:lvlText w:val="(%1)"/>
      <w:numFmt w:val="decimal"/>
      <w:start w:val="3"/>
    </w:lvl>
    <w:lvl w:ilvl="1">
      <w:lvlJc w:val="left"/>
      <w:lvlText w:val="%2"/>
      <w:numFmt w:val="lowerLetter"/>
      <w:start w:val="1"/>
    </w:lvl>
  </w:abstractNum>
  <w:abstractNum w:abstractNumId="174">
    <w:nsid w:val="340BF64D"/>
    <w:multiLevelType w:val="hybridMultilevel"/>
    <w:lvl w:ilvl="0">
      <w:lvlJc w:val="left"/>
      <w:lvlText w:val="(%1)"/>
      <w:numFmt w:val="decimal"/>
      <w:start w:val="7"/>
    </w:lvl>
  </w:abstractNum>
  <w:abstractNum w:abstractNumId="175">
    <w:nsid w:val="69454021"/>
    <w:multiLevelType w:val="hybridMultilevel"/>
    <w:lvl w:ilvl="0">
      <w:lvlJc w:val="left"/>
      <w:lvlText w:val="%1."/>
      <w:numFmt w:val="decimal"/>
      <w:start w:val="2"/>
    </w:lvl>
  </w:abstractNum>
  <w:abstractNum w:abstractNumId="176">
    <w:nsid w:val="49F15C6B"/>
    <w:multiLevelType w:val="hybridMultilevel"/>
    <w:lvl w:ilvl="0">
      <w:lvlJc w:val="left"/>
      <w:lvlText w:val="%1."/>
      <w:numFmt w:val="decimal"/>
      <w:start w:val="5"/>
    </w:lvl>
  </w:abstractNum>
  <w:abstractNum w:abstractNumId="177">
    <w:nsid w:val="75F56228"/>
    <w:multiLevelType w:val="hybridMultilevel"/>
    <w:lvl w:ilvl="0">
      <w:lvlJc w:val="left"/>
      <w:lvlText w:val="[***]"/>
      <w:numFmt w:val="bullet"/>
      <w:start w:val="1"/>
    </w:lvl>
  </w:abstractNum>
  <w:abstractNum w:abstractNumId="178">
    <w:nsid w:val="1C618271"/>
    <w:multiLevelType w:val="hybridMultilevel"/>
    <w:lvl w:ilvl="0">
      <w:lvlJc w:val="left"/>
      <w:lvlText w:val="(%1)"/>
      <w:numFmt w:val="lowerLetter"/>
      <w:start w:val="3"/>
    </w:lvl>
  </w:abstractNum>
  <w:abstractNum w:abstractNumId="179">
    <w:nsid w:val="6505F02E"/>
    <w:multiLevelType w:val="hybridMultilevel"/>
    <w:lvl w:ilvl="0">
      <w:lvlJc w:val="left"/>
      <w:lvlText w:val="[***]"/>
      <w:numFmt w:val="bullet"/>
      <w:start w:val="1"/>
    </w:lvl>
  </w:abstractNum>
  <w:abstractNum w:abstractNumId="180">
    <w:nsid w:val="2FE5D025"/>
    <w:multiLevelType w:val="hybridMultilevel"/>
    <w:lvl w:ilvl="0">
      <w:lvlJc w:val="left"/>
      <w:lvlText w:val="(%1)"/>
      <w:numFmt w:val="lowerRoman"/>
      <w:start w:val="1"/>
    </w:lvl>
  </w:abstractNum>
  <w:abstractNum w:abstractNumId="181">
    <w:nsid w:val="30E1B1CF"/>
    <w:multiLevelType w:val="hybridMultilevel"/>
    <w:lvl w:ilvl="0">
      <w:lvlJc w:val="left"/>
      <w:lvlText w:val="(%1)"/>
      <w:numFmt w:val="lowerRoman"/>
      <w:start w:val="1"/>
    </w:lvl>
  </w:abstractNum>
  <w:abstractNum w:abstractNumId="182">
    <w:nsid w:val="C7A9237"/>
    <w:multiLevelType w:val="hybridMultilevel"/>
    <w:lvl w:ilvl="0">
      <w:lvlJc w:val="left"/>
      <w:lvlText w:val="%1"/>
      <w:numFmt w:val="lowerRoman"/>
      <w:start w:val="1"/>
    </w:lvl>
    <w:lvl w:ilvl="1">
      <w:lvlJc w:val="left"/>
      <w:lvlText w:val="(%2)"/>
      <w:numFmt w:val="lowerRoman"/>
      <w:start w:val="1"/>
    </w:lvl>
  </w:abstractNum>
  <w:abstractNum w:abstractNumId="183">
    <w:nsid w:val="676B3580"/>
    <w:multiLevelType w:val="hybridMultilevel"/>
    <w:lvl w:ilvl="0">
      <w:lvlJc w:val="left"/>
      <w:lvlText w:val="(%1)"/>
      <w:numFmt w:val="lowerRoman"/>
      <w:start w:val="3"/>
    </w:lvl>
    <w:lvl w:ilvl="1">
      <w:lvlJc w:val="left"/>
      <w:lvlText w:val="%2"/>
      <w:numFmt w:val="lowerRoman"/>
      <w:start w:val="1"/>
    </w:lvl>
  </w:abstractNum>
  <w:abstractNum w:abstractNumId="184">
    <w:nsid w:val="3193C8F9"/>
    <w:multiLevelType w:val="hybridMultilevel"/>
    <w:lvl w:ilvl="0">
      <w:lvlJc w:val="left"/>
      <w:lvlText w:val="%1"/>
      <w:numFmt w:val="lowerRoman"/>
      <w:start w:val="1"/>
    </w:lvl>
    <w:lvl w:ilvl="1">
      <w:lvlJc w:val="left"/>
      <w:lvlText w:val="(%2)"/>
      <w:numFmt w:val="lowerRoman"/>
      <w:start w:val="1"/>
    </w:lvl>
  </w:abstractNum>
  <w:abstractNum w:abstractNumId="185">
    <w:nsid w:val="5FA6C6DC"/>
    <w:multiLevelType w:val="hybridMultilevel"/>
    <w:lvl w:ilvl="0">
      <w:lvlJc w:val="left"/>
      <w:lvlText w:val="(%1)"/>
      <w:numFmt w:val="lowerRoman"/>
      <w:start w:val="3"/>
    </w:lvl>
    <w:lvl w:ilvl="1">
      <w:lvlJc w:val="left"/>
      <w:lvlText w:val="%2"/>
      <w:numFmt w:val="lowerRoman"/>
      <w:start w:val="1"/>
    </w:lvl>
  </w:abstractNum>
  <w:abstractNum w:abstractNumId="186">
    <w:nsid w:val="77933F6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5"/>
    </w:lvl>
  </w:abstractNum>
  <w:abstractNum w:abstractNumId="187">
    <w:nsid w:val="6CB4EE9C"/>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188">
    <w:nsid w:val="6A6D56D7"/>
    <w:multiLevelType w:val="hybridMultilevel"/>
    <w:lvl w:ilvl="0">
      <w:lvlJc w:val="left"/>
      <w:lvlText w:val="(%1)"/>
      <w:numFmt w:val="lowerRoman"/>
      <w:start w:val="8"/>
    </w:lvl>
    <w:lvl w:ilvl="1">
      <w:lvlJc w:val="left"/>
      <w:lvlText w:val="%2"/>
      <w:numFmt w:val="lowerRoman"/>
      <w:start w:val="1"/>
    </w:lvl>
    <w:lvl w:ilvl="2">
      <w:lvlJc w:val="left"/>
      <w:lvlText w:val="%3"/>
      <w:numFmt w:val="lowerRoman"/>
      <w:start w:val="1"/>
    </w:lvl>
  </w:abstractNum>
  <w:abstractNum w:abstractNumId="189">
    <w:nsid w:val="5B727F19"/>
    <w:multiLevelType w:val="hybridMultilevel"/>
    <w:lvl w:ilvl="0">
      <w:lvlJc w:val="left"/>
      <w:lvlText w:val="(%1)"/>
      <w:numFmt w:val="lowerLetter"/>
      <w:start w:val="1"/>
    </w:lvl>
  </w:abstractNum>
  <w:abstractNum w:abstractNumId="190">
    <w:nsid w:val="514E5CB0"/>
    <w:multiLevelType w:val="hybridMultilevel"/>
    <w:lvl w:ilvl="0">
      <w:lvlJc w:val="left"/>
      <w:lvlText w:val="(%1)"/>
      <w:numFmt w:val="lowerRoman"/>
      <w:start w:val="4"/>
    </w:lvl>
  </w:abstractNum>
  <w:abstractNum w:abstractNumId="191">
    <w:nsid w:val="4210D41E"/>
    <w:multiLevelType w:val="hybridMultilevel"/>
    <w:lvl w:ilvl="0">
      <w:lvlJc w:val="left"/>
      <w:lvlText w:val="(%1)"/>
      <w:numFmt w:val="lowerLetter"/>
      <w:start w:val="1"/>
    </w:lvl>
  </w:abstractNum>
  <w:abstractNum w:abstractNumId="192">
    <w:nsid w:val="4FF4CC6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193">
    <w:nsid w:val="404EAF4A"/>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5"/>
    </w:lvl>
  </w:abstractNum>
  <w:abstractNum w:abstractNumId="194">
    <w:nsid w:val="4A16874F"/>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195">
    <w:nsid w:val="55FEE0D1"/>
    <w:multiLevelType w:val="hybridMultilevel"/>
    <w:lvl w:ilvl="0">
      <w:lvlJc w:val="left"/>
      <w:lvlText w:val="(%1)"/>
      <w:numFmt w:val="lowerLetter"/>
      <w:start w:val="3"/>
    </w:lvl>
  </w:abstractNum>
  <w:abstractNum w:abstractNumId="196">
    <w:nsid w:val="3C5E07C"/>
    <w:multiLevelType w:val="hybridMultilevel"/>
    <w:lvl w:ilvl="0">
      <w:lvlJc w:val="left"/>
      <w:lvlText w:val="(%1)"/>
      <w:numFmt w:val="lowerRoman"/>
      <w:start w:val="1"/>
    </w:lvl>
  </w:abstractNum>
  <w:abstractNum w:abstractNumId="197">
    <w:nsid w:val="60C2D273"/>
    <w:multiLevelType w:val="hybridMultilevel"/>
    <w:lvl w:ilvl="0">
      <w:lvlJc w:val="left"/>
      <w:lvlText w:val="(%1)"/>
      <w:numFmt w:val="lowerLetter"/>
      <w:start w:val="1"/>
    </w:lvl>
    <w:lvl w:ilvl="1">
      <w:lvlJc w:val="left"/>
      <w:lvlText w:val="(%2)"/>
      <w:numFmt w:val="lowerRoman"/>
      <w:start w:val="1"/>
    </w:lvl>
  </w:abstractNum>
  <w:abstractNum w:abstractNumId="198">
    <w:nsid w:val="4CC32F1F"/>
    <w:multiLevelType w:val="hybridMultilevel"/>
    <w:lvl w:ilvl="0">
      <w:lvlJc w:val="left"/>
      <w:lvlText w:val="(%1)"/>
      <w:numFmt w:val="lowerRoman"/>
      <w:start w:val="3"/>
    </w:lvl>
    <w:lvl w:ilvl="1">
      <w:lvlJc w:val="left"/>
      <w:lvlText w:val="(%2)"/>
      <w:numFmt w:val="lowerRoman"/>
      <w:start w:val="5"/>
    </w:lvl>
    <w:lvl w:ilvl="2">
      <w:lvlJc w:val="left"/>
      <w:lvlText w:val="(%3)"/>
      <w:numFmt w:val="lowerRoman"/>
      <w:start w:val="5"/>
    </w:lvl>
  </w:abstractNum>
  <w:abstractNum w:abstractNumId="199">
    <w:nsid w:val="11CAC74A"/>
    <w:multiLevelType w:val="hybridMultilevel"/>
    <w:lvl w:ilvl="0">
      <w:lvlJc w:val="left"/>
      <w:lvlText w:val="(%1)"/>
      <w:numFmt w:val="lowerLetter"/>
      <w:start w:val="1"/>
    </w:lvl>
  </w:abstractNum>
  <w:abstractNum w:abstractNumId="200">
    <w:nsid w:val="126CADE9"/>
    <w:multiLevelType w:val="hybridMultilevel"/>
    <w:lvl w:ilvl="0">
      <w:lvlJc w:val="left"/>
      <w:lvlText w:val="(%1)"/>
      <w:numFmt w:val="lowerLetter"/>
      <w:start w:val="3"/>
    </w:lvl>
  </w:abstractNum>
  <w:abstractNum w:abstractNumId="201">
    <w:nsid w:val="19132E7B"/>
    <w:multiLevelType w:val="hybridMultilevel"/>
    <w:lvl w:ilvl="0">
      <w:lvlJc w:val="left"/>
      <w:lvlText w:val="(%1)"/>
      <w:numFmt w:val="lowerLetter"/>
      <w:start w:val="1"/>
    </w:lvl>
  </w:abstractNum>
  <w:abstractNum w:abstractNumId="202">
    <w:nsid w:val="63822DC0"/>
    <w:multiLevelType w:val="hybridMultilevel"/>
    <w:lvl w:ilvl="0">
      <w:lvlJc w:val="left"/>
      <w:lvlText w:val="(%1)"/>
      <w:numFmt w:val="lowerLetter"/>
      <w:start w:val="1"/>
    </w:lvl>
  </w:abstractNum>
  <w:abstractNum w:abstractNumId="203">
    <w:nsid w:val="6C11685A"/>
    <w:multiLevelType w:val="hybridMultilevel"/>
    <w:lvl w:ilvl="0">
      <w:lvlJc w:val="left"/>
      <w:lvlText w:val="(%1)"/>
      <w:numFmt w:val="lowerLetter"/>
      <w:start w:val="2"/>
    </w:lvl>
  </w:abstractNum>
  <w:abstractNum w:abstractNumId="204">
    <w:nsid w:val="5E1EAE31"/>
    <w:multiLevelType w:val="hybridMultilevel"/>
    <w:lvl w:ilvl="0">
      <w:lvlJc w:val="left"/>
      <w:lvlText w:val="(%1)"/>
      <w:numFmt w:val="lowerLetter"/>
      <w:start w:val="4"/>
    </w:lvl>
  </w:abstractNum>
  <w:abstractNum w:abstractNumId="205">
    <w:nsid w:val="178E240D"/>
    <w:multiLevelType w:val="hybridMultilevel"/>
    <w:lvl w:ilvl="0">
      <w:lvlJc w:val="left"/>
      <w:lvlText w:val="(%1)"/>
      <w:numFmt w:val="lowerLetter"/>
      <w:start w:val="1"/>
    </w:lvl>
  </w:abstractNum>
  <w:abstractNum w:abstractNumId="206">
    <w:nsid w:val="5556A87B"/>
    <w:multiLevelType w:val="hybridMultilevel"/>
    <w:lvl w:ilvl="0">
      <w:lvlJc w:val="left"/>
      <w:lvlText w:val="(%1)"/>
      <w:numFmt w:val="lowerLetter"/>
      <w:start w:val="1"/>
    </w:lvl>
  </w:abstractNum>
  <w:abstractNum w:abstractNumId="207">
    <w:nsid w:val="28100A9C"/>
    <w:multiLevelType w:val="hybridMultilevel"/>
    <w:lvl w:ilvl="0">
      <w:lvlJc w:val="left"/>
      <w:lvlText w:val="(%1)"/>
      <w:numFmt w:val="lowerLetter"/>
      <w:start w:val="2"/>
    </w:lvl>
  </w:abstractNum>
  <w:abstractNum w:abstractNumId="208">
    <w:nsid w:val="D838636"/>
    <w:multiLevelType w:val="hybridMultilevel"/>
    <w:lvl w:ilvl="0">
      <w:lvlJc w:val="left"/>
      <w:lvlText w:val="(%1)"/>
      <w:numFmt w:val="lowerLetter"/>
      <w:start w:val="1"/>
    </w:lvl>
  </w:abstractNum>
  <w:abstractNum w:abstractNumId="209">
    <w:nsid w:val="71B82AED"/>
    <w:multiLevelType w:val="hybridMultilevel"/>
    <w:lvl w:ilvl="0">
      <w:lvlJc w:val="left"/>
      <w:lvlText w:val="(%1)"/>
      <w:numFmt w:val="lowerLetter"/>
      <w:start w:val="2"/>
    </w:lvl>
  </w:abstractNum>
  <w:abstractNum w:abstractNumId="210">
    <w:nsid w:val="D15FACA"/>
    <w:multiLevelType w:val="hybridMultilevel"/>
    <w:lvl w:ilvl="0">
      <w:lvlJc w:val="left"/>
      <w:lvlText w:val="(%1)"/>
      <w:numFmt w:val="lowerLetter"/>
      <w:start w:val="7"/>
    </w:lvl>
  </w:abstractNum>
  <w:abstractNum w:abstractNumId="211">
    <w:nsid w:val="3D69565B"/>
    <w:multiLevelType w:val="hybridMultilevel"/>
    <w:lvl w:ilvl="0">
      <w:lvlJc w:val="left"/>
      <w:lvlText w:val="%1"/>
      <w:numFmt w:val="lowerRoman"/>
      <w:start w:val="1"/>
    </w:lvl>
    <w:lvl w:ilvl="1">
      <w:lvlJc w:val="left"/>
      <w:lvlText w:val="(%2)"/>
      <w:numFmt w:val="lowerRoman"/>
      <w:start w:val="1"/>
    </w:lvl>
  </w:abstractNum>
  <w:abstractNum w:abstractNumId="212">
    <w:nsid w:val="2299DCBC"/>
    <w:multiLevelType w:val="hybridMultilevel"/>
    <w:lvl w:ilvl="0">
      <w:lvlJc w:val="left"/>
      <w:lvlText w:val="(%1)"/>
      <w:numFmt w:val="lowerRoman"/>
      <w:start w:val="3"/>
    </w:lvl>
    <w:lvl w:ilvl="1">
      <w:lvlJc w:val="left"/>
      <w:lvlText w:val="%2"/>
      <w:numFmt w:val="lowerRoman"/>
      <w:start w:val="1"/>
    </w:lvl>
  </w:abstractNum>
  <w:abstractNum w:abstractNumId="213">
    <w:nsid w:val="19908D02"/>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214">
    <w:nsid w:val="24D48BDB"/>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215">
    <w:nsid w:val="542DA5B5"/>
    <w:multiLevelType w:val="hybridMultilevel"/>
    <w:lvl w:ilvl="0">
      <w:lvlJc w:val="left"/>
      <w:lvlText w:val="%1"/>
      <w:numFmt w:val="lowerRoman"/>
      <w:start w:val="1"/>
    </w:lvl>
    <w:lvl w:ilvl="1">
      <w:lvlJc w:val="left"/>
      <w:lvlText w:val="(%2)"/>
      <w:numFmt w:val="lowerRoman"/>
      <w:start w:val="8"/>
    </w:lvl>
    <w:lvl w:ilvl="2">
      <w:lvlJc w:val="left"/>
      <w:lvlText w:val="(%3)"/>
      <w:numFmt w:val="lowerRoman"/>
      <w:start w:val="9"/>
    </w:lvl>
    <w:lvl w:ilvl="3">
      <w:lvlJc w:val="left"/>
      <w:lvlText w:val="%4"/>
      <w:numFmt w:val="lowerRoman"/>
      <w:start w:val="1"/>
    </w:lvl>
  </w:abstractNum>
  <w:abstractNum w:abstractNumId="216">
    <w:nsid w:val="793753DE"/>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lvl w:ilvl="3">
      <w:lvlJc w:val="left"/>
      <w:lvlText w:val="(%4)"/>
      <w:numFmt w:val="lowerRoman"/>
      <w:start w:val="10"/>
    </w:lvl>
  </w:abstractNum>
  <w:abstractNum w:abstractNumId="217">
    <w:nsid w:val="1C67CB3D"/>
    <w:multiLevelType w:val="hybridMultilevel"/>
    <w:lvl w:ilvl="0">
      <w:lvlJc w:val="left"/>
      <w:lvlText w:val="(%1)"/>
      <w:numFmt w:val="lowerLetter"/>
      <w:start w:val="1"/>
    </w:lvl>
  </w:abstractNum>
  <w:abstractNum w:abstractNumId="218">
    <w:nsid w:val="40E29452"/>
    <w:multiLevelType w:val="hybridMultilevel"/>
    <w:lvl w:ilvl="0">
      <w:lvlJc w:val="left"/>
      <w:lvlText w:val="(%1)"/>
      <w:numFmt w:val="lowerLetter"/>
      <w:start w:val="3"/>
    </w:lvl>
  </w:abstractNum>
  <w:abstractNum w:abstractNumId="219">
    <w:nsid w:val="63A4AAB6"/>
    <w:multiLevelType w:val="hybridMultilevel"/>
    <w:lvl w:ilvl="0">
      <w:lvlJc w:val="left"/>
      <w:lvlText w:val="(%1)"/>
      <w:numFmt w:val="lowerLetter"/>
      <w:start w:val="1"/>
    </w:lvl>
  </w:abstractNum>
  <w:abstractNum w:abstractNumId="220">
    <w:nsid w:val="77DA4A57"/>
    <w:multiLevelType w:val="hybridMultilevel"/>
    <w:lvl w:ilvl="0">
      <w:lvlJc w:val="left"/>
      <w:lvlText w:val="(%1)"/>
      <w:numFmt w:val="lowerLetter"/>
      <w:start w:val="2"/>
    </w:lvl>
  </w:abstractNum>
  <w:abstractNum w:abstractNumId="221">
    <w:nsid w:val="1230F102"/>
    <w:multiLevelType w:val="hybridMultilevel"/>
    <w:lvl w:ilvl="0">
      <w:lvlJc w:val="left"/>
      <w:lvlText w:val="(%1)"/>
      <w:numFmt w:val="lowerLetter"/>
      <w:start w:val="1"/>
    </w:lvl>
  </w:abstractNum>
  <w:abstractNum w:abstractNumId="222">
    <w:nsid w:val="25B57ED4"/>
    <w:multiLevelType w:val="hybridMultilevel"/>
    <w:lvl w:ilvl="0">
      <w:lvlJc w:val="left"/>
      <w:lvlText w:val="(%1)"/>
      <w:numFmt w:val="lowerLetter"/>
      <w:start w:val="2"/>
    </w:lvl>
  </w:abstractNum>
  <w:abstractNum w:abstractNumId="223">
    <w:nsid w:val="47CF16C4"/>
    <w:multiLevelType w:val="hybridMultilevel"/>
    <w:lvl w:ilvl="0">
      <w:lvlJc w:val="left"/>
      <w:lvlText w:val="(%1)"/>
      <w:numFmt w:val="lowerLetter"/>
      <w:start w:val="1"/>
    </w:lvl>
  </w:abstractNum>
  <w:abstractNum w:abstractNumId="224">
    <w:nsid w:val="527FA04C"/>
    <w:multiLevelType w:val="hybridMultilevel"/>
    <w:lvl w:ilvl="0">
      <w:lvlJc w:val="left"/>
      <w:lvlText w:val="(%1)"/>
      <w:numFmt w:val="lowerLetter"/>
      <w:start w:val="3"/>
    </w:lvl>
  </w:abstractNum>
  <w:abstractNum w:abstractNumId="225">
    <w:nsid w:val="6FCC0624"/>
    <w:multiLevelType w:val="hybridMultilevel"/>
    <w:lvl w:ilvl="0">
      <w:lvlJc w:val="left"/>
      <w:lvlText w:val="(%1)"/>
      <w:numFmt w:val="lowerLetter"/>
      <w:start w:val="1"/>
    </w:lvl>
  </w:abstractNum>
  <w:abstractNum w:abstractNumId="226">
    <w:nsid w:val="1DCDF795"/>
    <w:multiLevelType w:val="hybridMultilevel"/>
    <w:lvl w:ilvl="0">
      <w:lvlJc w:val="left"/>
      <w:lvlText w:val="(%1)"/>
      <w:numFmt w:val="lowerLetter"/>
      <w:start w:val="5"/>
    </w:lvl>
  </w:abstractNum>
  <w:abstractNum w:abstractNumId="227">
    <w:nsid w:val="564580C8"/>
    <w:multiLevelType w:val="hybridMultilevel"/>
    <w:lvl w:ilvl="0">
      <w:lvlJc w:val="left"/>
      <w:lvlText w:val="(%1)"/>
      <w:numFmt w:val="lowerLetter"/>
      <w:start w:val="8"/>
    </w:lvl>
  </w:abstractNum>
  <w:abstractNum w:abstractNumId="228">
    <w:nsid w:val="508ED897"/>
    <w:multiLevelType w:val="hybridMultilevel"/>
    <w:lvl w:ilvl="0">
      <w:lvlJc w:val="left"/>
      <w:lvlText w:val="(%1)"/>
      <w:numFmt w:val="lowerLetter"/>
      <w:start w:val="1"/>
    </w:lvl>
  </w:abstractNum>
  <w:abstractNum w:abstractNumId="229">
    <w:nsid w:val="6A9126B5"/>
    <w:multiLevelType w:val="hybridMultilevel"/>
    <w:lvl w:ilvl="0">
      <w:lvlJc w:val="left"/>
      <w:lvlText w:val="(%1)"/>
      <w:numFmt w:val="lowerLetter"/>
      <w:start w:val="1"/>
    </w:lvl>
  </w:abstractNum>
  <w:abstractNum w:abstractNumId="230">
    <w:nsid w:val="68104812"/>
    <w:multiLevelType w:val="hybridMultilevel"/>
    <w:lvl w:ilvl="0">
      <w:lvlJc w:val="left"/>
      <w:lvlText w:val="(%1)"/>
      <w:numFmt w:val="lowerLetter"/>
      <w:start w:val="3"/>
    </w:lvl>
    <w:lvl w:ilvl="1">
      <w:lvlJc w:val="left"/>
      <w:lvlText w:val="(%2)"/>
      <w:numFmt w:val="lowerRoman"/>
      <w:start w:val="1"/>
    </w:lvl>
  </w:abstractNum>
  <w:abstractNum w:abstractNumId="231">
    <w:nsid w:val="62FB8680"/>
    <w:multiLevelType w:val="hybridMultilevel"/>
    <w:lvl w:ilvl="0">
      <w:lvlJc w:val="left"/>
      <w:lvlText w:val="(%1)"/>
      <w:numFmt w:val="lowerLetter"/>
      <w:start w:val="7"/>
    </w:lvl>
  </w:abstractNum>
  <w:abstractNum w:abstractNumId="232">
    <w:nsid w:val="3A45530"/>
    <w:multiLevelType w:val="hybridMultilevel"/>
    <w:lvl w:ilvl="0">
      <w:lvlJc w:val="left"/>
      <w:lvlText w:val="(%1)"/>
      <w:numFmt w:val="lowerLetter"/>
      <w:start w:val="13"/>
    </w:lvl>
  </w:abstractNum>
  <w:abstractNum w:abstractNumId="233">
    <w:nsid w:val="4B9275D2"/>
    <w:multiLevelType w:val="hybridMultilevel"/>
    <w:lvl w:ilvl="0">
      <w:lvlJc w:val="left"/>
      <w:lvlText w:val="(%1)"/>
      <w:numFmt w:val="lowerLetter"/>
      <w:start w:val="15"/>
    </w:lvl>
  </w:abstractNum>
  <w:abstractNum w:abstractNumId="234">
    <w:nsid w:val="4F0CEEDB"/>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lowerRoman"/>
      <w:start w:val="3"/>
    </w:lvl>
  </w:abstractNum>
  <w:abstractNum w:abstractNumId="235">
    <w:nsid w:val="61C30361"/>
    <w:multiLevelType w:val="hybridMultilevel"/>
    <w:lvl w:ilvl="0">
      <w:lvlJc w:val="left"/>
      <w:lvlText w:val="(%1)"/>
      <w:numFmt w:val="lowerLetter"/>
      <w:start w:val="3"/>
    </w:lvl>
  </w:abstractNum>
  <w:abstractNum w:abstractNumId="236">
    <w:nsid w:val="632099E0"/>
    <w:multiLevelType w:val="hybridMultilevel"/>
    <w:lvl w:ilvl="0">
      <w:lvlJc w:val="left"/>
      <w:lvlText w:val="%1"/>
      <w:numFmt w:val="upperLetter"/>
      <w:start w:val="1"/>
    </w:lvl>
    <w:lvl w:ilvl="1">
      <w:lvlJc w:val="left"/>
      <w:lvlText w:val="(%2)"/>
      <w:numFmt w:val="lowerLetter"/>
      <w:start w:val="1"/>
    </w:lvl>
  </w:abstractNum>
  <w:abstractNum w:abstractNumId="237">
    <w:nsid w:val="24639756"/>
    <w:multiLevelType w:val="hybridMultilevel"/>
    <w:lvl w:ilvl="0">
      <w:lvlJc w:val="left"/>
      <w:lvlText w:val="(%1)"/>
      <w:numFmt w:val="upperLetter"/>
      <w:start w:val="2"/>
    </w:lvl>
    <w:lvl w:ilvl="1">
      <w:lvlJc w:val="left"/>
      <w:lvlText w:val="(%2)"/>
      <w:numFmt w:val="lowerLetter"/>
      <w:start w:val="3"/>
    </w:lvl>
  </w:abstractNum>
  <w:abstractNum w:abstractNumId="238">
    <w:nsid w:val="9D30DFD"/>
    <w:multiLevelType w:val="hybridMultilevel"/>
    <w:lvl w:ilvl="0">
      <w:lvlJc w:val="left"/>
      <w:lvlText w:val="(%1)"/>
      <w:numFmt w:val="lowerLetter"/>
      <w:start w:val="1"/>
    </w:lvl>
  </w:abstractNum>
  <w:abstractNum w:abstractNumId="239">
    <w:nsid w:val="70A42016"/>
    <w:multiLevelType w:val="hybridMultilevel"/>
    <w:lvl w:ilvl="0">
      <w:lvlJc w:val="left"/>
      <w:lvlText w:val="(%1)"/>
      <w:numFmt w:val="lowerLetter"/>
      <w:start w:val="1"/>
    </w:lvl>
  </w:abstractNum>
  <w:abstractNum w:abstractNumId="240">
    <w:nsid w:val="161BC243"/>
    <w:multiLevelType w:val="hybridMultilevel"/>
    <w:lvl w:ilvl="0">
      <w:lvlJc w:val="left"/>
      <w:lvlText w:val="(%1)"/>
      <w:numFmt w:val="lowerLetter"/>
      <w:start w:val="5"/>
    </w:lvl>
  </w:abstractNum>
  <w:abstractNum w:abstractNumId="241">
    <w:nsid w:val="16E908C8"/>
    <w:multiLevelType w:val="hybridMultilevel"/>
    <w:lvl w:ilvl="0">
      <w:lvlJc w:val="left"/>
      <w:lvlText w:val="(%1)"/>
      <w:numFmt w:val="lowerLetter"/>
      <w:start w:val="12"/>
    </w:lvl>
  </w:abstractNum>
  <w:abstractNum w:abstractNumId="242">
    <w:nsid w:val="2E0D7671"/>
    <w:multiLevelType w:val="hybridMultilevel"/>
    <w:lvl w:ilvl="0">
      <w:lvlJc w:val="left"/>
      <w:lvlText w:val="(%1)"/>
      <w:numFmt w:val="lowerLetter"/>
      <w:start w:val="17"/>
    </w:lvl>
  </w:abstractNum>
  <w:abstractNum w:abstractNumId="243">
    <w:nsid w:val="38B59EFF"/>
    <w:multiLevelType w:val="hybridMultilevel"/>
    <w:lvl w:ilvl="0">
      <w:lvlJc w:val="left"/>
      <w:lvlText w:val="(%1)"/>
      <w:numFmt w:val="lowerLetter"/>
      <w:start w:val="25"/>
    </w:lvl>
  </w:abstractNum>
  <w:abstractNum w:abstractNumId="244">
    <w:nsid w:val="307995CA"/>
    <w:multiLevelType w:val="hybridMultilevel"/>
    <w:lvl w:ilvl="0">
      <w:lvlJc w:val="left"/>
      <w:lvlText w:val="(%1)"/>
      <w:numFmt w:val="lowerLetter"/>
      <w:start w:val="27"/>
    </w:lvl>
  </w:abstractNum>
  <w:abstractNum w:abstractNumId="245">
    <w:nsid w:val="52E2024D"/>
    <w:multiLevelType w:val="hybridMultilevel"/>
    <w:lvl w:ilvl="0">
      <w:lvlJc w:val="left"/>
      <w:lvlText w:val="(%1)"/>
      <w:numFmt w:val="lowerLetter"/>
      <w:start w:val="1"/>
    </w:lvl>
  </w:abstractNum>
  <w:abstractNum w:abstractNumId="246">
    <w:nsid w:val="CE344B5"/>
    <w:multiLevelType w:val="hybridMultilevel"/>
    <w:lvl w:ilvl="0">
      <w:lvlJc w:val="left"/>
      <w:lvlText w:val="(%1)"/>
      <w:numFmt w:val="lowerLetter"/>
      <w:start w:val="2"/>
    </w:lvl>
    <w:lvl w:ilvl="1">
      <w:lvlJc w:val="left"/>
      <w:lvlText w:val="(%2)"/>
      <w:numFmt w:val="lowerRoman"/>
      <w:start w:val="1"/>
    </w:lvl>
  </w:abstractNum>
  <w:abstractNum w:abstractNumId="247">
    <w:nsid w:val="29B0E9A8"/>
    <w:multiLevelType w:val="hybridMultilevel"/>
    <w:lvl w:ilvl="0">
      <w:lvlJc w:val="left"/>
      <w:lvlText w:val="(%1)"/>
      <w:numFmt w:val="lowerLetter"/>
      <w:start w:val="1"/>
    </w:lvl>
  </w:abstractNum>
  <w:abstractNum w:abstractNumId="248">
    <w:nsid w:val="6F49CD8A"/>
    <w:multiLevelType w:val="hybridMultilevel"/>
    <w:lvl w:ilvl="0">
      <w:lvlJc w:val="left"/>
      <w:lvlText w:val="(%1)"/>
      <w:numFmt w:val="lowerLetter"/>
      <w:start w:val="7"/>
    </w:lvl>
  </w:abstractNum>
  <w:abstractNum w:abstractNumId="249">
    <w:nsid w:val="4DC5D907"/>
    <w:multiLevelType w:val="hybridMultilevel"/>
    <w:lvl w:ilvl="0">
      <w:lvlJc w:val="left"/>
      <w:lvlText w:val="(%1)"/>
      <w:numFmt w:val="lowerLetter"/>
      <w:start w:val="1"/>
    </w:lvl>
  </w:abstractNum>
  <w:abstractNum w:abstractNumId="250">
    <w:nsid w:val="D55945E"/>
    <w:multiLevelType w:val="hybridMultilevel"/>
    <w:lvl w:ilvl="0">
      <w:lvlJc w:val="left"/>
      <w:lvlText w:val="(%1)"/>
      <w:numFmt w:val="lowerLetter"/>
      <w:start w:val="2"/>
    </w:lvl>
  </w:abstractNum>
  <w:abstractNum w:abstractNumId="251">
    <w:nsid w:val="672417E1"/>
    <w:multiLevelType w:val="hybridMultilevel"/>
    <w:lvl w:ilvl="0">
      <w:lvlJc w:val="left"/>
      <w:lvlText w:val="(%1)"/>
      <w:numFmt w:val="lowerLetter"/>
      <w:start w:val="5"/>
    </w:lvl>
    <w:lvl w:ilvl="1">
      <w:lvlJc w:val="left"/>
      <w:lvlText w:val="(%2)"/>
      <w:numFmt w:val="lowerRoman"/>
      <w:start w:val="1"/>
    </w:lvl>
  </w:abstractNum>
  <w:abstractNum w:abstractNumId="252">
    <w:nsid w:val="5FF6CA09"/>
    <w:multiLevelType w:val="hybridMultilevel"/>
    <w:lvl w:ilvl="0">
      <w:lvlJc w:val="left"/>
      <w:lvlText w:val="(%1)"/>
      <w:numFmt w:val="lowerLetter"/>
      <w:start w:val="9"/>
    </w:lvl>
    <w:lvl w:ilvl="1">
      <w:lvlJc w:val="left"/>
      <w:lvlText w:val="(%2)"/>
      <w:numFmt w:val="lowerRoman"/>
      <w:start w:val="2"/>
    </w:lvl>
  </w:abstractNum>
  <w:abstractNum w:abstractNumId="253">
    <w:nsid w:val="330B1333"/>
    <w:multiLevelType w:val="hybridMultilevel"/>
    <w:lvl w:ilvl="0">
      <w:lvlJc w:val="left"/>
      <w:lvlText w:val="(%1)"/>
      <w:numFmt w:val="lowerLetter"/>
      <w:start w:val="1"/>
    </w:lvl>
    <w:lvl w:ilvl="1">
      <w:lvlJc w:val="left"/>
      <w:lvlText w:val="(%2)"/>
      <w:numFmt w:val="lowerRoman"/>
      <w:start w:val="1"/>
    </w:lvl>
  </w:abstractNum>
  <w:abstractNum w:abstractNumId="254">
    <w:nsid w:val="2EF32EA6"/>
    <w:multiLevelType w:val="hybridMultilevel"/>
    <w:lvl w:ilvl="0">
      <w:lvlJc w:val="left"/>
      <w:lvlText w:val="(%1)"/>
      <w:numFmt w:val="lowerLetter"/>
      <w:start w:val="6"/>
    </w:lvl>
    <w:lvl w:ilvl="1">
      <w:lvlJc w:val="left"/>
      <w:lvlText w:val="(%2)"/>
      <w:numFmt w:val="lowerRoman"/>
      <w:start w:val="2"/>
    </w:lvl>
    <w:lvl w:ilvl="2">
      <w:lvlJc w:val="left"/>
      <w:lvlText w:val="(%3)"/>
      <w:numFmt w:val="lowerRoman"/>
      <w:start w:val="1"/>
    </w:lvl>
  </w:abstractNum>
  <w:abstractNum w:abstractNumId="255">
    <w:nsid w:val="32766A55"/>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256">
    <w:nsid w:val="22D71957"/>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5"/>
    </w:lvl>
  </w:abstractNum>
  <w:abstractNum w:abstractNumId="257">
    <w:nsid w:val="4CC1263B"/>
    <w:multiLevelType w:val="hybridMultilevel"/>
    <w:lvl w:ilvl="0">
      <w:lvlJc w:val="left"/>
      <w:lvlText w:val="%1"/>
      <w:numFmt w:val="lowerRoman"/>
      <w:start w:val="1"/>
    </w:lvl>
    <w:lvl w:ilvl="1">
      <w:lvlJc w:val="left"/>
      <w:lvlText w:val="(%2)"/>
      <w:numFmt w:val="lowerRoman"/>
      <w:start w:val="6"/>
    </w:lvl>
    <w:lvl w:ilvl="2">
      <w:lvlJc w:val="left"/>
      <w:lvlText w:val="%3"/>
      <w:numFmt w:val="lowerRoman"/>
      <w:start w:val="1"/>
    </w:lvl>
  </w:abstractNum>
  <w:abstractNum w:abstractNumId="258">
    <w:nsid w:val="8BBEB1D"/>
    <w:multiLevelType w:val="hybridMultilevel"/>
    <w:lvl w:ilvl="0">
      <w:lvlJc w:val="left"/>
      <w:lvlText w:val="(%1)"/>
      <w:numFmt w:val="lowerLetter"/>
      <w:start w:val="14"/>
    </w:lvl>
  </w:abstractNum>
  <w:abstractNum w:abstractNumId="259">
    <w:nsid w:val="7365F1EE"/>
    <w:multiLevelType w:val="hybridMultilevel"/>
    <w:lvl w:ilvl="0">
      <w:lvlJc w:val="left"/>
      <w:lvlText w:val="(%1)"/>
      <w:numFmt w:val="lowerLetter"/>
      <w:start w:val="1"/>
    </w:lvl>
  </w:abstractNum>
  <w:abstractNum w:abstractNumId="260">
    <w:nsid w:val="37524CF0"/>
    <w:multiLevelType w:val="hybridMultilevel"/>
    <w:lvl w:ilvl="0">
      <w:lvlJc w:val="left"/>
      <w:lvlText w:val="(%1)"/>
      <w:numFmt w:val="lowerLetter"/>
      <w:start w:val="4"/>
    </w:lvl>
  </w:abstractNum>
  <w:abstractNum w:abstractNumId="261">
    <w:nsid w:val="70CC332F"/>
    <w:multiLevelType w:val="hybridMultilevel"/>
    <w:lvl w:ilvl="0">
      <w:lvlJc w:val="left"/>
      <w:lvlText w:val="(%1)"/>
      <w:numFmt w:val="lowerLetter"/>
      <w:start w:val="10"/>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262">
    <w:nsid w:val="5661786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263">
    <w:nsid w:val="3AF6A22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264">
    <w:nsid w:val="3C5EA902"/>
    <w:multiLevelType w:val="hybridMultilevel"/>
    <w:lvl w:ilvl="0">
      <w:lvlJc w:val="left"/>
      <w:lvlText w:val="%1"/>
      <w:numFmt w:val="lowerRoman"/>
      <w:start w:val="1"/>
    </w:lvl>
    <w:lvl w:ilvl="1">
      <w:lvlJc w:val="left"/>
      <w:lvlText w:val="(%2)"/>
      <w:numFmt w:val="lowerRoman"/>
      <w:start w:val="7"/>
    </w:lvl>
    <w:lvl w:ilvl="2">
      <w:lvlJc w:val="left"/>
      <w:lvlText w:val="(%3)"/>
      <w:numFmt w:val="lowerRoman"/>
      <w:start w:val="9"/>
    </w:lvl>
    <w:lvl w:ilvl="3">
      <w:lvlJc w:val="left"/>
      <w:lvlText w:val="(%4)"/>
      <w:numFmt w:val="lowerRoman"/>
      <w:start w:val="10"/>
    </w:lvl>
    <w:lvl w:ilvl="4">
      <w:lvlJc w:val="left"/>
      <w:lvlText w:val="(%5)"/>
      <w:numFmt w:val="lowerRoman"/>
      <w:start w:val="10"/>
    </w:lvl>
  </w:abstractNum>
  <w:abstractNum w:abstractNumId="265">
    <w:nsid w:val="256E6749"/>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3"/>
    </w:lvl>
    <w:lvl w:ilvl="3">
      <w:lvlJc w:val="left"/>
      <w:lvlText w:val="%4"/>
      <w:numFmt w:val="lowerRoman"/>
      <w:start w:val="1"/>
    </w:lvl>
    <w:lvl w:ilvl="4">
      <w:lvlJc w:val="left"/>
      <w:lvlText w:val="%5"/>
      <w:numFmt w:val="lowerRoman"/>
      <w:start w:val="1"/>
    </w:lvl>
  </w:abstractNum>
  <w:abstractNum w:abstractNumId="266">
    <w:nsid w:val="1CB9A581"/>
    <w:multiLevelType w:val="hybridMultilevel"/>
    <w:lvl w:ilvl="0">
      <w:lvlJc w:val="left"/>
      <w:lvlText w:val="%1"/>
      <w:numFmt w:val="lowerRoman"/>
      <w:start w:val="1"/>
    </w:lvl>
    <w:lvl w:ilvl="1">
      <w:lvlJc w:val="left"/>
      <w:lvlText w:val="(%2)"/>
      <w:numFmt w:val="lowerRoman"/>
      <w:start w:val="17"/>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267">
    <w:nsid w:val="1F7F42E2"/>
    <w:multiLevelType w:val="hybridMultilevel"/>
    <w:lvl w:ilvl="0">
      <w:lvlJc w:val="left"/>
      <w:lvlText w:val="%1"/>
      <w:numFmt w:val="upperLetter"/>
      <w:start w:val="1"/>
    </w:lvl>
    <w:lvl w:ilvl="1">
      <w:lvlJc w:val="left"/>
      <w:lvlText w:val="(%2)"/>
      <w:numFmt w:val="lowerRoman"/>
      <w:start w:val="18"/>
    </w:lvl>
    <w:lvl w:ilvl="2">
      <w:lvlJc w:val="left"/>
      <w:lvlText w:val="%3"/>
      <w:numFmt w:val="lowerRoman"/>
      <w:start w:val="1"/>
    </w:lvl>
    <w:lvl w:ilvl="3">
      <w:lvlJc w:val="left"/>
      <w:lvlText w:val="%4"/>
      <w:numFmt w:val="lowerRoman"/>
      <w:start w:val="1"/>
    </w:lvl>
  </w:abstractNum>
  <w:abstractNum w:abstractNumId="268">
    <w:nsid w:val="49D1FEA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2"/>
    </w:lvl>
    <w:lvl w:ilvl="3">
      <w:lvlJc w:val="left"/>
      <w:lvlText w:val="(%4)"/>
      <w:numFmt w:val="lowerRoman"/>
      <w:start w:val="19"/>
    </w:lvl>
  </w:abstractNum>
  <w:abstractNum w:abstractNumId="269">
    <w:nsid w:val="268CB37F"/>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lvl w:ilvl="3">
      <w:lvlJc w:val="left"/>
      <w:lvlText w:val="(%4)"/>
      <w:numFmt w:val="lowerRoman"/>
      <w:start w:val="25"/>
    </w:lvl>
  </w:abstractNum>
  <w:abstractNum w:abstractNumId="270">
    <w:nsid w:val="102362F8"/>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6"/>
    </w:lvl>
    <w:lvl w:ilvl="3">
      <w:lvlJc w:val="left"/>
      <w:lvlText w:val="%4"/>
      <w:numFmt w:val="lowerRoman"/>
      <w:start w:val="1"/>
    </w:lvl>
  </w:abstractNum>
  <w:abstractNum w:abstractNumId="271">
    <w:nsid w:val="5FEDC0E3"/>
    <w:multiLevelType w:val="hybridMultilevel"/>
    <w:lvl w:ilvl="0">
      <w:lvlJc w:val="left"/>
      <w:lvlText w:val="(%1)"/>
      <w:numFmt w:val="lowerLetter"/>
      <w:start w:val="15"/>
    </w:lvl>
  </w:abstractNum>
  <w:abstractNum w:abstractNumId="272">
    <w:nsid w:val="3D75BC47"/>
    <w:multiLevelType w:val="hybridMultilevel"/>
    <w:lvl w:ilvl="0">
      <w:lvlJc w:val="left"/>
      <w:lvlText w:val="(%1)"/>
      <w:numFmt w:val="lowerLetter"/>
      <w:start w:val="17"/>
    </w:lvl>
  </w:abstractNum>
  <w:abstractNum w:abstractNumId="273">
    <w:nsid w:val="3E30D969"/>
    <w:multiLevelType w:val="hybridMultilevel"/>
    <w:lvl w:ilvl="0">
      <w:lvlJc w:val="left"/>
      <w:lvlText w:val="(%1)"/>
      <w:numFmt w:val="lowerLetter"/>
      <w:start w:val="1"/>
    </w:lvl>
  </w:abstractNum>
  <w:abstractNum w:abstractNumId="274">
    <w:nsid w:val="18A35FE3"/>
    <w:multiLevelType w:val="hybridMultilevel"/>
    <w:lvl w:ilvl="0">
      <w:lvlJc w:val="left"/>
      <w:lvlText w:val="(%1)"/>
      <w:numFmt w:val="lowerLetter"/>
      <w:start w:val="2"/>
    </w:lvl>
  </w:abstractNum>
  <w:abstractNum w:abstractNumId="275">
    <w:nsid w:val="6DEF5211"/>
    <w:multiLevelType w:val="hybridMultilevel"/>
    <w:lvl w:ilvl="0">
      <w:lvlJc w:val="left"/>
      <w:lvlText w:val="(%1)"/>
      <w:numFmt w:val="lowerLetter"/>
      <w:start w:val="3"/>
    </w:lvl>
  </w:abstractNum>
  <w:abstractNum w:abstractNumId="276">
    <w:nsid w:val="1112DBB6"/>
    <w:multiLevelType w:val="hybridMultilevel"/>
    <w:lvl w:ilvl="0">
      <w:lvlJc w:val="left"/>
      <w:lvlText w:val="(%1)"/>
      <w:numFmt w:val="lowerLetter"/>
      <w:start w:val="1"/>
    </w:lvl>
  </w:abstractNum>
  <w:abstractNum w:abstractNumId="277">
    <w:nsid w:val="2586A498"/>
    <w:multiLevelType w:val="hybridMultilevel"/>
    <w:lvl w:ilvl="0">
      <w:lvlJc w:val="left"/>
      <w:lvlText w:val="(%1)"/>
      <w:numFmt w:val="lowerLetter"/>
      <w:start w:val="10"/>
    </w:lvl>
  </w:abstractNum>
  <w:abstractNum w:abstractNumId="278">
    <w:nsid w:val="17A03BB9"/>
    <w:multiLevelType w:val="hybridMultilevel"/>
    <w:lvl w:ilvl="0">
      <w:lvlJc w:val="left"/>
      <w:lvlText w:val="(%1)"/>
      <w:numFmt w:val="lowerLetter"/>
      <w:start w:val="14"/>
    </w:lvl>
  </w:abstractNum>
  <w:abstractNum w:abstractNumId="279">
    <w:nsid w:val="5CA941"/>
    <w:multiLevelType w:val="hybridMultilevel"/>
    <w:lvl w:ilvl="0">
      <w:lvlJc w:val="left"/>
      <w:lvlText w:val="(%1)"/>
      <w:numFmt w:val="lowerLetter"/>
      <w:start w:val="1"/>
    </w:lvl>
  </w:abstractNum>
  <w:abstractNum w:abstractNumId="280">
    <w:nsid w:val="734C7D9F"/>
    <w:multiLevelType w:val="hybridMultilevel"/>
    <w:lvl w:ilvl="0">
      <w:lvlJc w:val="left"/>
      <w:lvlText w:val="(%1)"/>
      <w:numFmt w:val="lowerLetter"/>
      <w:start w:val="5"/>
    </w:lvl>
  </w:abstractNum>
  <w:abstractNum w:abstractNumId="281">
    <w:nsid w:val="24F5D018"/>
    <w:multiLevelType w:val="hybridMultilevel"/>
    <w:lvl w:ilvl="0">
      <w:lvlJc w:val="left"/>
      <w:lvlText w:val="(%1)"/>
      <w:numFmt w:val="lowerLetter"/>
      <w:start w:val="1"/>
    </w:lvl>
    <w:lvl w:ilvl="1">
      <w:lvlJc w:val="left"/>
      <w:lvlText w:val="(%2)"/>
      <w:numFmt w:val="lowerLetter"/>
      <w:start w:val="9"/>
    </w:lvl>
  </w:abstractNum>
  <w:abstractNum w:abstractNumId="282">
    <w:nsid w:val="6780C12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83">
    <w:nsid w:val="534347A8"/>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84">
    <w:nsid w:val="5800E34B"/>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85">
    <w:nsid w:val="1673EFC8"/>
    <w:multiLevelType w:val="hybridMultilevel"/>
    <w:lvl w:ilvl="0">
      <w:lvlJc w:val="left"/>
      <w:lvlText w:val="(%1)"/>
      <w:numFmt w:val="lowerLetter"/>
      <w:start w:val="5"/>
    </w:lvl>
    <w:lvl w:ilvl="1">
      <w:lvlJc w:val="left"/>
      <w:lvlText w:val="(%2)"/>
      <w:numFmt w:val="lowerRoman"/>
      <w:start w:val="1"/>
    </w:lvl>
  </w:abstractNum>
  <w:abstractNum w:abstractNumId="286">
    <w:nsid w:val="5B9B1FD"/>
    <w:multiLevelType w:val="hybridMultilevel"/>
    <w:lvl w:ilvl="0">
      <w:lvlJc w:val="left"/>
      <w:lvlText w:val="(%1)"/>
      <w:numFmt w:val="lowerLetter"/>
      <w:start w:val="7"/>
    </w:lvl>
  </w:abstractNum>
  <w:abstractNum w:abstractNumId="287">
    <w:nsid w:val="7AD7FCA2"/>
    <w:multiLevelType w:val="hybridMultilevel"/>
    <w:lvl w:ilvl="0">
      <w:lvlJc w:val="left"/>
      <w:lvlText w:val="(%1)"/>
      <w:numFmt w:val="lowerLetter"/>
      <w:start w:val="11"/>
    </w:lvl>
    <w:lvl w:ilvl="1">
      <w:lvlJc w:val="left"/>
      <w:lvlText w:val="(%2)"/>
      <w:numFmt w:val="lowerRoman"/>
      <w:start w:val="1"/>
    </w:lvl>
  </w:abstractNum>
  <w:abstractNum w:abstractNumId="288">
    <w:nsid w:val="63351604"/>
    <w:multiLevelType w:val="hybridMultilevel"/>
    <w:lvl w:ilvl="0">
      <w:lvlJc w:val="left"/>
      <w:lvlText w:val="(%1)"/>
      <w:numFmt w:val="lowerLetter"/>
      <w:start w:val="1"/>
    </w:lvl>
  </w:abstractNum>
  <w:abstractNum w:abstractNumId="289">
    <w:nsid w:val="E759D1A"/>
    <w:multiLevelType w:val="hybridMultilevel"/>
    <w:lvl w:ilvl="0">
      <w:lvlJc w:val="left"/>
      <w:lvlText w:val="(%1)"/>
      <w:numFmt w:val="lowerLetter"/>
      <w:start w:val="3"/>
    </w:lvl>
  </w:abstractNum>
  <w:abstractNum w:abstractNumId="290">
    <w:nsid w:val="6E3DEE90"/>
    <w:multiLevelType w:val="hybridMultilevel"/>
    <w:lvl w:ilvl="0">
      <w:lvlJc w:val="left"/>
      <w:lvlText w:val="(%1)"/>
      <w:numFmt w:val="lowerLetter"/>
      <w:start w:val="1"/>
    </w:lvl>
  </w:abstractNum>
  <w:abstractNum w:abstractNumId="291">
    <w:nsid w:val="1A8762F4"/>
    <w:multiLevelType w:val="hybridMultilevel"/>
    <w:lvl w:ilvl="0">
      <w:lvlJc w:val="left"/>
      <w:lvlText w:val="(%1)"/>
      <w:numFmt w:val="lowerLetter"/>
      <w:start w:val="1"/>
    </w:lvl>
  </w:abstractNum>
  <w:abstractNum w:abstractNumId="292">
    <w:nsid w:val="7F41D049"/>
    <w:multiLevelType w:val="hybridMultilevel"/>
    <w:lvl w:ilvl="0">
      <w:lvlJc w:val="left"/>
      <w:lvlText w:val="(%1)"/>
      <w:numFmt w:val="lowerLetter"/>
      <w:start w:val="3"/>
    </w:lvl>
  </w:abstractNum>
  <w:abstractNum w:abstractNumId="293">
    <w:nsid w:val="449F66FE"/>
    <w:multiLevelType w:val="hybridMultilevel"/>
    <w:lvl w:ilvl="0">
      <w:lvlJc w:val="left"/>
      <w:lvlText w:val="(%1)"/>
      <w:numFmt w:val="lowerLetter"/>
      <w:start w:val="1"/>
    </w:lvl>
  </w:abstractNum>
  <w:abstractNum w:abstractNumId="294">
    <w:nsid w:val="557E0515"/>
    <w:multiLevelType w:val="hybridMultilevel"/>
    <w:lvl w:ilvl="0">
      <w:lvlJc w:val="left"/>
      <w:lvlText w:val="(%1)"/>
      <w:numFmt w:val="lowerLetter"/>
      <w:start w:val="1"/>
    </w:lvl>
  </w:abstractNum>
  <w:abstractNum w:abstractNumId="295">
    <w:nsid w:val="3BA0794B"/>
    <w:multiLevelType w:val="hybridMultilevel"/>
    <w:lvl w:ilvl="0">
      <w:lvlJc w:val="left"/>
      <w:lvlText w:val="(%1)"/>
      <w:numFmt w:val="lowerLetter"/>
      <w:start w:val="1"/>
    </w:lvl>
  </w:abstractNum>
  <w:abstractNum w:abstractNumId="296">
    <w:nsid w:val="6A0DCE48"/>
    <w:multiLevelType w:val="hybridMultilevel"/>
    <w:lvl w:ilvl="0">
      <w:lvlJc w:val="left"/>
      <w:lvlText w:val="%1"/>
      <w:numFmt w:val="lowerLetter"/>
      <w:start w:val="1"/>
    </w:lvl>
    <w:lvl w:ilvl="1">
      <w:lvlJc w:val="left"/>
      <w:lvlText w:val="(%2)"/>
      <w:numFmt w:val="lowerLetter"/>
      <w:start w:val="3"/>
    </w:lvl>
  </w:abstractNum>
  <w:abstractNum w:abstractNumId="297">
    <w:nsid w:val="7237AA96"/>
    <w:multiLevelType w:val="hybridMultilevel"/>
    <w:lvl w:ilvl="0">
      <w:lvlJc w:val="left"/>
      <w:lvlText w:val="(%1)"/>
      <w:numFmt w:val="lowerLetter"/>
      <w:start w:val="35"/>
    </w:lvl>
    <w:lvl w:ilvl="1">
      <w:lvlJc w:val="left"/>
      <w:lvlText w:val="%2"/>
      <w:numFmt w:val="lowerLetter"/>
      <w:start w:val="1"/>
    </w:lvl>
  </w:abstractNum>
  <w:abstractNum w:abstractNumId="298">
    <w:nsid w:val="5B1FBC2D"/>
    <w:multiLevelType w:val="hybridMultilevel"/>
    <w:lvl w:ilvl="0">
      <w:lvlJc w:val="left"/>
      <w:lvlText w:val="(%1)"/>
      <w:numFmt w:val="lowerLetter"/>
      <w:start w:val="7"/>
    </w:lvl>
  </w:abstractNum>
  <w:abstractNum w:abstractNumId="299">
    <w:nsid w:val="33DFCCE8"/>
    <w:multiLevelType w:val="hybridMultilevel"/>
    <w:lvl w:ilvl="0">
      <w:lvlJc w:val="left"/>
      <w:lvlText w:val="%1"/>
      <w:numFmt w:val="lowerRoman"/>
      <w:start w:val="1"/>
    </w:lvl>
    <w:lvl w:ilvl="1">
      <w:lvlJc w:val="left"/>
      <w:lvlText w:val="(%2)"/>
      <w:numFmt w:val="lowerRoman"/>
      <w:start w:val="1"/>
    </w:lvl>
  </w:abstractNum>
  <w:abstractNum w:abstractNumId="300">
    <w:nsid w:val="18C45E15"/>
    <w:multiLevelType w:val="hybridMultilevel"/>
    <w:lvl w:ilvl="0">
      <w:lvlJc w:val="left"/>
      <w:lvlText w:val="(%1)"/>
      <w:numFmt w:val="lowerRoman"/>
      <w:start w:val="3"/>
    </w:lvl>
    <w:lvl w:ilvl="1">
      <w:lvlJc w:val="left"/>
      <w:lvlText w:val="%2"/>
      <w:numFmt w:val="lowerRoman"/>
      <w:start w:val="1"/>
    </w:lvl>
  </w:abstractNum>
  <w:abstractNum w:abstractNumId="301">
    <w:nsid w:val="6B431F25"/>
    <w:multiLevelType w:val="hybridMultilevel"/>
    <w:lvl w:ilvl="0">
      <w:lvlJc w:val="left"/>
      <w:lvlText w:val="(%1)"/>
      <w:numFmt w:val="lowerRoman"/>
      <w:start w:val="5"/>
    </w:lvl>
  </w:abstractNum>
  <w:abstractNum w:abstractNumId="302">
    <w:nsid w:val="13CD8DCB"/>
    <w:multiLevelType w:val="hybridMultilevel"/>
    <w:lvl w:ilvl="0">
      <w:lvlJc w:val="left"/>
      <w:lvlText w:val="(%1)"/>
      <w:numFmt w:val="lowerLetter"/>
      <w:start w:val="1"/>
    </w:lvl>
  </w:abstractNum>
  <w:abstractNum w:abstractNumId="303">
    <w:nsid w:val="563A1A5C"/>
    <w:multiLevelType w:val="hybridMultilevel"/>
    <w:lvl w:ilvl="0">
      <w:lvlJc w:val="left"/>
      <w:lvlText w:val="(%1)"/>
      <w:numFmt w:val="lowerLetter"/>
      <w:start w:val="1"/>
    </w:lvl>
  </w:abstractNum>
  <w:abstractNum w:abstractNumId="304">
    <w:nsid w:val="2973F88F"/>
    <w:multiLevelType w:val="hybridMultilevel"/>
    <w:lvl w:ilvl="0">
      <w:lvlJc w:val="left"/>
      <w:lvlText w:val="(%1)"/>
      <w:numFmt w:val="lowerLetter"/>
      <w:start w:val="2"/>
    </w:lvl>
  </w:abstractNum>
  <w:abstractNum w:abstractNumId="305">
    <w:nsid w:val="2C70EDAE"/>
    <w:multiLevelType w:val="hybridMultilevel"/>
    <w:lvl w:ilvl="0">
      <w:lvlJc w:val="left"/>
      <w:lvlText w:val="%1"/>
      <w:numFmt w:val="lowerLetter"/>
      <w:start w:val="1"/>
    </w:lvl>
    <w:lvl w:ilvl="1">
      <w:lvlJc w:val="left"/>
      <w:lvlText w:val="(%2)"/>
      <w:numFmt w:val="lowerLetter"/>
      <w:start w:val="7"/>
    </w:lvl>
  </w:abstractNum>
  <w:abstractNum w:abstractNumId="306">
    <w:nsid w:val="44296C6D"/>
    <w:multiLevelType w:val="hybridMultilevel"/>
    <w:lvl w:ilvl="0">
      <w:lvlJc w:val="left"/>
      <w:lvlText w:val="(%1)"/>
      <w:numFmt w:val="lowerLetter"/>
      <w:start w:val="35"/>
    </w:lvl>
    <w:lvl w:ilvl="1">
      <w:lvlJc w:val="left"/>
      <w:lvlText w:val="%2"/>
      <w:numFmt w:val="lowerLetter"/>
      <w:start w:val="1"/>
    </w:lvl>
  </w:abstractNum>
  <w:abstractNum w:abstractNumId="307">
    <w:nsid w:val="3A86D44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308">
    <w:nsid w:val="51F7924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309">
    <w:nsid w:val="5BC9A82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lvl w:ilvl="3">
      <w:lvlJc w:val="left"/>
      <w:lvlText w:val="%4"/>
      <w:numFmt w:val="lowerRoman"/>
      <w:start w:val="1"/>
    </w:lvl>
  </w:abstractNum>
  <w:abstractNum w:abstractNumId="310">
    <w:nsid w:val="3AE37D86"/>
    <w:multiLevelType w:val="hybridMultilevel"/>
    <w:lvl w:ilvl="0">
      <w:lvlJc w:val="left"/>
      <w:lvlText w:val="%1"/>
      <w:numFmt w:val="lowerLetter"/>
      <w:start w:val="1"/>
    </w:lvl>
    <w:lvl w:ilvl="1">
      <w:lvlJc w:val="left"/>
      <w:lvlText w:val="(%2)"/>
      <w:numFmt w:val="lowerRoman"/>
      <w:start w:val="7"/>
    </w:lvl>
  </w:abstractNum>
  <w:abstractNum w:abstractNumId="311">
    <w:nsid w:val="45440FE5"/>
    <w:multiLevelType w:val="hybridMultilevel"/>
    <w:lvl w:ilvl="0">
      <w:lvlJc w:val="left"/>
      <w:lvlText w:val="(%1)"/>
      <w:numFmt w:val="lowerLetter"/>
      <w:start w:val="2"/>
    </w:lvl>
    <w:lvl w:ilvl="1">
      <w:lvlJc w:val="left"/>
      <w:lvlText w:val="%2"/>
      <w:numFmt w:val="lowerRoman"/>
      <w:start w:val="1"/>
    </w:lvl>
  </w:abstractNum>
  <w:abstractNum w:abstractNumId="312">
    <w:nsid w:val="BF783F"/>
    <w:multiLevelType w:val="hybridMultilevel"/>
    <w:lvl w:ilvl="0">
      <w:lvlJc w:val="left"/>
      <w:lvlText w:val="(%1)"/>
      <w:numFmt w:val="lowerLetter"/>
      <w:start w:val="1"/>
    </w:lvl>
  </w:abstractNum>
  <w:abstractNum w:abstractNumId="313">
    <w:nsid w:val="22643EA9"/>
    <w:multiLevelType w:val="hybridMultilevel"/>
    <w:lvl w:ilvl="0">
      <w:lvlJc w:val="left"/>
      <w:lvlText w:val="(%1)"/>
      <w:numFmt w:val="lowerLetter"/>
      <w:start w:val="1"/>
    </w:lvl>
    <w:lvl w:ilvl="1">
      <w:lvlJc w:val="left"/>
      <w:lvlText w:val="(%2)"/>
      <w:numFmt w:val="lowerRoman"/>
      <w:start w:val="1"/>
    </w:lvl>
  </w:abstractNum>
  <w:abstractNum w:abstractNumId="314">
    <w:nsid w:val="1887578D"/>
    <w:multiLevelType w:val="hybridMultilevel"/>
    <w:lvl w:ilvl="0">
      <w:lvlJc w:val="left"/>
      <w:lvlText w:val="(%1)"/>
      <w:numFmt w:val="lowerLetter"/>
      <w:start w:val="1"/>
    </w:lvl>
    <w:lvl w:ilvl="1">
      <w:lvlJc w:val="left"/>
      <w:lvlText w:val="(%2)"/>
      <w:numFmt w:val="lowerLetter"/>
      <w:start w:val="9"/>
    </w:lvl>
  </w:abstractNum>
  <w:abstractNum w:abstractNumId="315">
    <w:nsid w:val="58C05B8A"/>
    <w:multiLevelType w:val="hybridMultilevel"/>
    <w:lvl w:ilvl="0">
      <w:lvlJc w:val="left"/>
      <w:lvlText w:val="(%1)"/>
      <w:numFmt w:val="lowerLetter"/>
      <w:start w:val="1"/>
    </w:lvl>
    <w:lvl w:ilvl="1">
      <w:lvlJc w:val="left"/>
      <w:lvlText w:val="(%2)"/>
      <w:numFmt w:val="lowerLetter"/>
      <w:start w:val="9"/>
    </w:lvl>
  </w:abstractNum>
  <w:abstractNum w:abstractNumId="316">
    <w:nsid w:val="38D82E71"/>
    <w:multiLevelType w:val="hybridMultilevel"/>
    <w:lvl w:ilvl="0">
      <w:lvlJc w:val="left"/>
      <w:lvlText w:val="%1"/>
      <w:numFmt w:val="lowerRoman"/>
      <w:start w:val="1"/>
    </w:lvl>
    <w:lvl w:ilvl="1">
      <w:lvlJc w:val="left"/>
      <w:lvlText w:val="(%2)"/>
      <w:numFmt w:val="lowerRoman"/>
      <w:start w:val="2"/>
    </w:lvl>
  </w:abstractNum>
  <w:abstractNum w:abstractNumId="317">
    <w:nsid w:val="1E41098A"/>
    <w:multiLevelType w:val="hybridMultilevel"/>
    <w:lvl w:ilvl="0">
      <w:lvlJc w:val="left"/>
      <w:lvlText w:val="(%1)"/>
      <w:numFmt w:val="lowerRoman"/>
      <w:start w:val="3"/>
    </w:lvl>
    <w:lvl w:ilvl="1">
      <w:lvlJc w:val="left"/>
      <w:lvlText w:val="(%2)"/>
      <w:numFmt w:val="lowerRoman"/>
      <w:start w:val="5"/>
    </w:lvl>
  </w:abstractNum>
  <w:abstractNum w:abstractNumId="318">
    <w:nsid w:val="5398582C"/>
    <w:multiLevelType w:val="hybridMultilevel"/>
    <w:lvl w:ilvl="0">
      <w:lvlJc w:val="left"/>
      <w:lvlText w:val="(%1)"/>
      <w:numFmt w:val="lowerLetter"/>
      <w:start w:val="1"/>
    </w:lvl>
  </w:abstractNum>
  <w:abstractNum w:abstractNumId="319">
    <w:nsid w:val="1C0D4475"/>
    <w:multiLevelType w:val="hybridMultilevel"/>
    <w:lvl w:ilvl="0">
      <w:lvlJc w:val="left"/>
      <w:lvlText w:val="(%1)"/>
      <w:numFmt w:val="lowerLetter"/>
      <w:start w:val="1"/>
    </w:lvl>
  </w:abstractNum>
  <w:abstractNum w:abstractNumId="320">
    <w:nsid w:val="2CB6A6A4"/>
    <w:multiLevelType w:val="hybridMultilevel"/>
    <w:lvl w:ilvl="0">
      <w:lvlJc w:val="left"/>
      <w:lvlText w:val="(%1)"/>
      <w:numFmt w:val="lowerLetter"/>
      <w:start w:val="1"/>
    </w:lvl>
  </w:abstractNum>
  <w:abstractNum w:abstractNumId="321">
    <w:nsid w:val="41D646BC"/>
    <w:multiLevelType w:val="hybridMultilevel"/>
    <w:lvl w:ilvl="0">
      <w:lvlJc w:val="left"/>
      <w:lvlText w:val="(%1)"/>
      <w:numFmt w:val="lowerLetter"/>
      <w:start w:val="5"/>
    </w:lvl>
  </w:abstractNum>
  <w:abstractNum w:abstractNumId="322">
    <w:nsid w:val="3694A76A"/>
    <w:multiLevelType w:val="hybridMultilevel"/>
    <w:lvl w:ilvl="0">
      <w:lvlJc w:val="left"/>
      <w:lvlText w:val="(%1)"/>
      <w:numFmt w:val="lowerLetter"/>
      <w:start w:val="1"/>
    </w:lvl>
  </w:abstractNum>
  <w:abstractNum w:abstractNumId="323">
    <w:nsid w:val="2BF876EE"/>
    <w:multiLevelType w:val="hybridMultilevel"/>
    <w:lvl w:ilvl="0">
      <w:lvlJc w:val="left"/>
      <w:lvlText w:val="(%1)"/>
      <w:numFmt w:val="lowerLetter"/>
      <w:start w:val="3"/>
    </w:lvl>
  </w:abstractNum>
  <w:abstractNum w:abstractNumId="324">
    <w:nsid w:val="675ADBA"/>
    <w:multiLevelType w:val="hybridMultilevel"/>
    <w:lvl w:ilvl="0">
      <w:lvlJc w:val="left"/>
      <w:lvlText w:val="(%1)"/>
      <w:numFmt w:val="lowerLetter"/>
      <w:start w:val="7"/>
    </w:lvl>
  </w:abstractNum>
  <w:abstractNum w:abstractNumId="325">
    <w:nsid w:val="C12AC7F"/>
    <w:multiLevelType w:val="hybridMultilevel"/>
    <w:lvl w:ilvl="0">
      <w:lvlJc w:val="left"/>
      <w:lvlText w:val="(%1)"/>
      <w:numFmt w:val="lowerRoman"/>
      <w:start w:val="3"/>
    </w:lvl>
  </w:abstractNum>
  <w:abstractNum w:abstractNumId="326">
    <w:nsid w:val="6798F039"/>
    <w:multiLevelType w:val="hybridMultilevel"/>
    <w:lvl w:ilvl="0">
      <w:lvlJc w:val="left"/>
      <w:lvlText w:val="(%1)"/>
      <w:numFmt w:val="lowerLetter"/>
      <w:start w:val="1"/>
    </w:lvl>
  </w:abstractNum>
  <w:abstractNum w:abstractNumId="327">
    <w:nsid w:val="70837C02"/>
    <w:multiLevelType w:val="hybridMultilevel"/>
    <w:lvl w:ilvl="0">
      <w:lvlJc w:val="left"/>
      <w:lvlText w:val="(%1)"/>
      <w:numFmt w:val="lowerLetter"/>
      <w:start w:val="4"/>
    </w:lvl>
  </w:abstractNum>
  <w:abstractNum w:abstractNumId="328">
    <w:nsid w:val="7E4A5715"/>
    <w:multiLevelType w:val="hybridMultilevel"/>
    <w:lvl w:ilvl="0">
      <w:lvlJc w:val="left"/>
      <w:lvlText w:val="(%1)"/>
      <w:numFmt w:val="lowerLetter"/>
      <w:start w:val="7"/>
    </w:lvl>
  </w:abstractNum>
  <w:abstractNum w:abstractNumId="329">
    <w:nsid w:val="42B8AC67"/>
    <w:multiLevelType w:val="hybridMultilevel"/>
    <w:lvl w:ilvl="0">
      <w:lvlJc w:val="left"/>
      <w:lvlText w:val="(%1)"/>
      <w:numFmt w:val="lowerLetter"/>
      <w:start w:val="1"/>
    </w:lvl>
    <w:lvl w:ilvl="1">
      <w:lvlJc w:val="left"/>
      <w:lvlText w:val="(%2)"/>
      <w:numFmt w:val="lowerRoman"/>
      <w:start w:val="1"/>
    </w:lvl>
  </w:abstractNum>
  <w:abstractNum w:abstractNumId="330">
    <w:nsid w:val="246348EA"/>
    <w:multiLevelType w:val="hybridMultilevel"/>
    <w:lvl w:ilvl="0">
      <w:lvlJc w:val="left"/>
      <w:lvlText w:val="(%1)"/>
      <w:numFmt w:val="lowerLetter"/>
      <w:start w:val="3"/>
    </w:lvl>
  </w:abstractNum>
  <w:abstractNum w:abstractNumId="331">
    <w:nsid w:val="170EB52B"/>
    <w:multiLevelType w:val="hybridMultilevel"/>
    <w:lvl w:ilvl="0">
      <w:lvlJc w:val="left"/>
      <w:lvlText w:val="(%1)"/>
      <w:numFmt w:val="lowerLetter"/>
      <w:start w:val="1"/>
    </w:lvl>
  </w:abstractNum>
  <w:abstractNum w:abstractNumId="332">
    <w:nsid w:val="2DFBCB8C"/>
    <w:multiLevelType w:val="hybridMultilevel"/>
    <w:lvl w:ilvl="0">
      <w:lvlJc w:val="left"/>
      <w:lvlText w:val="(%1)"/>
      <w:numFmt w:val="lowerLetter"/>
      <w:start w:val="1"/>
    </w:lvl>
  </w:abstractNum>
  <w:abstractNum w:abstractNumId="333">
    <w:nsid w:val="3830D6B6"/>
    <w:multiLevelType w:val="hybridMultilevel"/>
    <w:lvl w:ilvl="0">
      <w:lvlJc w:val="left"/>
      <w:lvlText w:val="(%1)"/>
      <w:numFmt w:val="lowerLetter"/>
      <w:start w:val="1"/>
    </w:lvl>
  </w:abstractNum>
  <w:abstractNum w:abstractNumId="334">
    <w:nsid w:val="6D48CF87"/>
    <w:multiLevelType w:val="hybridMultilevel"/>
    <w:lvl w:ilvl="0">
      <w:lvlJc w:val="left"/>
      <w:lvlText w:val="(%1)"/>
      <w:numFmt w:val="lowerLetter"/>
      <w:start w:val="1"/>
    </w:lvl>
    <w:lvl w:ilvl="1">
      <w:lvlJc w:val="left"/>
      <w:lvlText w:val="(%2)"/>
      <w:numFmt w:val="lowerLetter"/>
      <w:start w:val="2"/>
    </w:lvl>
  </w:abstractNum>
  <w:abstractNum w:abstractNumId="335">
    <w:nsid w:val="576FC4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336">
    <w:nsid w:val="64A1C464"/>
    <w:multiLevelType w:val="hybridMultilevel"/>
    <w:lvl w:ilvl="0">
      <w:lvlJc w:val="left"/>
      <w:lvlText w:val="%1"/>
      <w:numFmt w:val="lowerRoman"/>
      <w:start w:val="1"/>
    </w:lvl>
    <w:lvl w:ilvl="1">
      <w:lvlJc w:val="left"/>
      <w:lvlText w:val="(%2)"/>
      <w:numFmt w:val="lowerRoman"/>
      <w:start w:val="5"/>
    </w:lvl>
  </w:abstractNum>
  <w:abstractNum w:abstractNumId="337">
    <w:nsid w:val="31723BF5"/>
    <w:multiLevelType w:val="hybridMultilevel"/>
    <w:lvl w:ilvl="0">
      <w:lvlJc w:val="left"/>
      <w:lvlText w:val="(%1)"/>
      <w:numFmt w:val="lowerRoman"/>
      <w:start w:val="6"/>
    </w:lvl>
    <w:lvl w:ilvl="1">
      <w:lvlJc w:val="left"/>
      <w:lvlText w:val="%2"/>
      <w:numFmt w:val="lowerRoman"/>
      <w:start w:val="1"/>
    </w:lvl>
  </w:abstractNum>
  <w:abstractNum w:abstractNumId="338">
    <w:nsid w:val="11F69861"/>
    <w:multiLevelType w:val="hybridMultilevel"/>
    <w:lvl w:ilvl="0">
      <w:lvlJc w:val="left"/>
      <w:lvlText w:val="(%1)"/>
      <w:numFmt w:val="lowerLetter"/>
      <w:start w:val="1"/>
    </w:lvl>
  </w:abstractNum>
  <w:abstractNum w:abstractNumId="339">
    <w:nsid w:val="369956AB"/>
    <w:multiLevelType w:val="hybridMultilevel"/>
    <w:lvl w:ilvl="0">
      <w:lvlJc w:val="left"/>
      <w:lvlText w:val="%1"/>
      <w:numFmt w:val="lowerLetter"/>
      <w:start w:val="1"/>
    </w:lvl>
    <w:lvl w:ilvl="1">
      <w:lvlJc w:val="left"/>
      <w:lvlText w:val="(%2)"/>
      <w:numFmt w:val="lowerRoman"/>
      <w:start w:val="1"/>
    </w:lvl>
  </w:abstractNum>
  <w:abstractNum w:abstractNumId="340">
    <w:nsid w:val="D3BE41C"/>
    <w:multiLevelType w:val="hybridMultilevel"/>
    <w:lvl w:ilvl="0">
      <w:lvlJc w:val="left"/>
      <w:lvlText w:val="(%1)"/>
      <w:numFmt w:val="lowerLetter"/>
      <w:start w:val="2"/>
    </w:lvl>
    <w:lvl w:ilvl="1">
      <w:lvlJc w:val="left"/>
      <w:lvlText w:val="(%2)"/>
      <w:numFmt w:val="lowerRoman"/>
      <w:start w:val="7"/>
    </w:lvl>
  </w:abstractNum>
  <w:abstractNum w:abstractNumId="341">
    <w:nsid w:val="4CDA15E7"/>
    <w:multiLevelType w:val="hybridMultilevel"/>
    <w:lvl w:ilvl="0">
      <w:lvlJc w:val="left"/>
      <w:lvlText w:val="(%1)"/>
      <w:numFmt w:val="lowerRoman"/>
      <w:start w:val="10"/>
    </w:lvl>
  </w:abstractNum>
  <w:abstractNum w:abstractNumId="342">
    <w:nsid w:val="7BDD6690"/>
    <w:multiLevelType w:val="hybridMultilevel"/>
    <w:lvl w:ilvl="0">
      <w:lvlJc w:val="left"/>
      <w:lvlText w:val="(%1)"/>
      <w:numFmt w:val="lowerRoman"/>
      <w:start w:val="19"/>
    </w:lvl>
  </w:abstractNum>
  <w:abstractNum w:abstractNumId="343">
    <w:nsid w:val="DFB5C5B"/>
    <w:multiLevelType w:val="hybridMultilevel"/>
    <w:lvl w:ilvl="0">
      <w:lvlJc w:val="left"/>
      <w:lvlText w:val="(%1)"/>
      <w:numFmt w:val="lowerRoman"/>
      <w:start w:val="25"/>
    </w:lvl>
  </w:abstractNum>
  <w:abstractNum w:abstractNumId="344">
    <w:nsid w:val="6F3E5490"/>
    <w:multiLevelType w:val="hybridMultilevel"/>
    <w:lvl w:ilvl="0">
      <w:lvlJc w:val="left"/>
      <w:lvlText w:val="(%1)"/>
      <w:numFmt w:val="lowerRoman"/>
      <w:start w:val="35"/>
    </w:lvl>
  </w:abstractNum>
  <w:abstractNum w:abstractNumId="345">
    <w:nsid w:val="1464BE1E"/>
    <w:multiLevelType w:val="hybridMultilevel"/>
    <w:lvl w:ilvl="0">
      <w:lvlJc w:val="left"/>
      <w:lvlText w:val="%1."/>
      <w:numFmt w:val="decimal"/>
      <w:start w:val="1"/>
    </w:lvl>
  </w:abstractNum>
  <w:abstractNum w:abstractNumId="346">
    <w:nsid w:val="66BBB7E5"/>
    <w:multiLevelType w:val="hybridMultilevel"/>
    <w:lvl w:ilvl="0">
      <w:lvlJc w:val="left"/>
      <w:lvlText w:val="%1."/>
      <w:numFmt w:val="decimal"/>
      <w:start w:val="14"/>
    </w:lvl>
  </w:abstractNum>
  <w:abstractNum w:abstractNumId="347">
    <w:nsid w:val="28168302"/>
    <w:multiLevelType w:val="hybridMultilevel"/>
    <w:lvl w:ilvl="0">
      <w:lvlJc w:val="left"/>
      <w:lvlText w:val="%1."/>
      <w:numFmt w:val="decimal"/>
      <w:start w:val="1"/>
    </w:lvl>
  </w:abstractNum>
  <w:abstractNum w:abstractNumId="348">
    <w:nsid w:val="32A5C7A8"/>
    <w:multiLevelType w:val="hybridMultilevel"/>
    <w:lvl w:ilvl="0">
      <w:lvlJc w:val="left"/>
      <w:lvlText w:val="(%1)"/>
      <w:numFmt w:val="decimal"/>
      <w:start w:val="1"/>
    </w:lvl>
    <w:lvl w:ilvl="1">
      <w:lvlJc w:val="left"/>
      <w:lvlText w:val="(%2)"/>
      <w:numFmt w:val="lowerLetter"/>
      <w:start w:val="1"/>
    </w:lvl>
  </w:abstractNum>
  <w:abstractNum w:abstractNumId="349">
    <w:nsid w:val="3A5410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50">
    <w:nsid w:val="4423C777"/>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51">
    <w:nsid w:val="5F5C6E4D"/>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52">
    <w:nsid w:val="7C2A56CD"/>
    <w:multiLevelType w:val="hybridMultilevel"/>
    <w:lvl w:ilvl="0">
      <w:lvlJc w:val="left"/>
      <w:lvlText w:val="(%1)"/>
      <w:numFmt w:val="decimal"/>
      <w:start w:val="7"/>
    </w:lvl>
  </w:abstractNum>
  <w:abstractNum w:abstractNumId="353">
    <w:nsid w:val="7AB86EE1"/>
    <w:multiLevelType w:val="hybridMultilevel"/>
    <w:lvl w:ilvl="0">
      <w:lvlJc w:val="left"/>
      <w:lvlText w:val="[***]"/>
      <w:numFmt w:val="bullet"/>
      <w:start w:val="1"/>
    </w:lvl>
  </w:abstractNum>
  <w:abstractNum w:abstractNumId="354">
    <w:nsid w:val="B54E53B"/>
    <w:multiLevelType w:val="hybridMultilevel"/>
    <w:lvl w:ilvl="0">
      <w:lvlJc w:val="left"/>
      <w:lvlText w:val="%1."/>
      <w:numFmt w:val="decimal"/>
      <w:start w:val="1"/>
    </w:lvl>
  </w:abstractNum>
  <w:abstractNum w:abstractNumId="355">
    <w:nsid w:val="2A00487"/>
    <w:multiLevelType w:val="hybridMultilevel"/>
    <w:lvl w:ilvl="0">
      <w:lvlJc w:val="left"/>
      <w:lvlText w:val="%1."/>
      <w:numFmt w:val="decimal"/>
      <w:start w:val="4"/>
    </w:lvl>
  </w:abstractNum>
  <w:abstractNum w:abstractNumId="356">
    <w:nsid w:val="6CB1B60"/>
    <w:multiLevelType w:val="hybridMultilevel"/>
    <w:lvl w:ilvl="0">
      <w:lvlJc w:val="left"/>
      <w:lvlText w:val="[***]"/>
      <w:numFmt w:val="bullet"/>
      <w:start w:val="1"/>
    </w:lvl>
  </w:abstractNum>
  <w:abstractNum w:abstractNumId="357">
    <w:nsid w:val="72EDD574"/>
    <w:multiLevelType w:val="hybridMultilevel"/>
    <w:lvl w:ilvl="0">
      <w:lvlJc w:val="left"/>
      <w:lvlText w:val="(%1)"/>
      <w:numFmt w:val="decimal"/>
      <w:start w:val="2"/>
    </w:lvl>
  </w:abstractNum>
  <w:abstractNum w:abstractNumId="358">
    <w:nsid w:val="7323808A"/>
    <w:multiLevelType w:val="hybridMultilevel"/>
    <w:lvl w:ilvl="0">
      <w:lvlJc w:val="left"/>
      <w:lvlText w:val="(%1)"/>
      <w:numFmt w:val="lowerRoman"/>
      <w:start w:val="1"/>
    </w:lvl>
  </w:abstractNum>
  <w:abstractNum w:abstractNumId="359">
    <w:nsid w:val="5157276"/>
    <w:multiLevelType w:val="hybridMultilevel"/>
    <w:lvl w:ilvl="0">
      <w:lvlJc w:val="left"/>
      <w:lvlText w:val="(%1)"/>
      <w:numFmt w:val="lowerRoman"/>
      <w:start w:val="1"/>
    </w:lvl>
  </w:abstractNum>
  <w:abstractNum w:abstractNumId="360">
    <w:nsid w:val="35A681DB"/>
    <w:multiLevelType w:val="hybridMultilevel"/>
    <w:lvl w:ilvl="0">
      <w:lvlJc w:val="left"/>
      <w:lvlText w:val="(%1)"/>
      <w:numFmt w:val="lowerRoman"/>
      <w:start w:val="10"/>
    </w:lvl>
  </w:abstractNum>
  <w:abstractNum w:abstractNumId="361">
    <w:nsid w:val="1786C974"/>
    <w:multiLevelType w:val="hybridMultilevel"/>
    <w:lvl w:ilvl="0">
      <w:lvlJc w:val="left"/>
      <w:lvlText w:val="%1"/>
      <w:numFmt w:val="lowerLetter"/>
      <w:start w:val="1"/>
    </w:lvl>
    <w:lvl w:ilvl="1">
      <w:lvlJc w:val="left"/>
      <w:lvlText w:val="(%2)"/>
      <w:numFmt w:val="lowerLetter"/>
      <w:start w:val="9"/>
    </w:lvl>
  </w:abstractNum>
  <w:abstractNum w:abstractNumId="362">
    <w:nsid w:val="1C2427A1"/>
    <w:multiLevelType w:val="hybridMultilevel"/>
    <w:lvl w:ilvl="0">
      <w:lvlJc w:val="left"/>
      <w:lvlText w:val="(%1)"/>
      <w:numFmt w:val="lowerLetter"/>
      <w:start w:val="1"/>
    </w:lvl>
    <w:lvl w:ilvl="1">
      <w:lvlJc w:val="left"/>
      <w:lvlText w:val="(%2)"/>
      <w:numFmt w:val="lowerLetter"/>
      <w:start w:val="35"/>
    </w:lvl>
  </w:abstractNum>
  <w:abstractNum w:abstractNumId="363">
    <w:nsid w:val="63A24D68"/>
    <w:multiLevelType w:val="hybridMultilevel"/>
    <w:lvl w:ilvl="0">
      <w:lvlJc w:val="left"/>
      <w:lvlText w:val="(%1)"/>
      <w:numFmt w:val="lowerRoman"/>
      <w:start w:val="1"/>
    </w:lvl>
  </w:abstractNum>
  <w:abstractNum w:abstractNumId="364">
    <w:nsid w:val="4FB7A02A"/>
    <w:multiLevelType w:val="hybridMultilevel"/>
    <w:lvl w:ilvl="0">
      <w:lvlJc w:val="left"/>
      <w:lvlText w:val="(%1)"/>
      <w:numFmt w:val="lowerRoman"/>
      <w:start w:val="1"/>
    </w:lvl>
  </w:abstractNum>
  <w:abstractNum w:abstractNumId="365">
    <w:nsid w:val="96CF728"/>
    <w:multiLevelType w:val="hybridMultilevel"/>
    <w:lvl w:ilvl="0">
      <w:lvlJc w:val="left"/>
      <w:lvlText w:val="(%1)"/>
      <w:numFmt w:val="lowerLetter"/>
      <w:start w:val="2"/>
    </w:lvl>
  </w:abstractNum>
  <w:abstractNum w:abstractNumId="366">
    <w:nsid w:val="3B121183"/>
    <w:multiLevelType w:val="hybridMultilevel"/>
    <w:lvl w:ilvl="0">
      <w:lvlJc w:val="left"/>
      <w:lvlText w:val="%1"/>
      <w:numFmt w:val="lowerLetter"/>
      <w:start w:val="1"/>
    </w:lvl>
    <w:lvl w:ilvl="1">
      <w:lvlJc w:val="left"/>
      <w:lvlText w:val="(%2)"/>
      <w:numFmt w:val="lowerLetter"/>
      <w:start w:val="9"/>
    </w:lvl>
  </w:abstractNum>
  <w:abstractNum w:abstractNumId="367">
    <w:nsid w:val="3459648F"/>
    <w:multiLevelType w:val="hybridMultilevel"/>
    <w:lvl w:ilvl="0">
      <w:lvlJc w:val="left"/>
      <w:lvlText w:val="(%1)"/>
      <w:numFmt w:val="lowerLetter"/>
      <w:start w:val="3"/>
    </w:lvl>
    <w:lvl w:ilvl="1">
      <w:lvlJc w:val="left"/>
      <w:lvlText w:val="(%2)"/>
      <w:numFmt w:val="lowerLetter"/>
      <w:start w:val="35"/>
    </w:lvl>
  </w:abstractNum>
  <w:abstractNum w:abstractNumId="368">
    <w:nsid w:val="3ADF331D"/>
    <w:multiLevelType w:val="hybridMultilevel"/>
    <w:lvl w:ilvl="0">
      <w:lvlJc w:val="left"/>
      <w:lvlText w:val="(%1)"/>
      <w:numFmt w:val="lowerRoman"/>
      <w:start w:val="3"/>
    </w:lvl>
  </w:abstractNum>
  <w:abstractNum w:abstractNumId="369">
    <w:nsid w:val="4D08A9E4"/>
    <w:multiLevelType w:val="hybridMultilevel"/>
    <w:lvl w:ilvl="0">
      <w:lvlJc w:val="left"/>
      <w:lvlText w:val="(%1)"/>
      <w:numFmt w:val="lowerRoman"/>
      <w:start w:val="5"/>
    </w:lvl>
  </w:abstractNum>
  <w:abstractNum w:abstractNumId="370">
    <w:nsid w:val="6AF2BB3A"/>
    <w:multiLevelType w:val="hybridMultilevel"/>
    <w:lvl w:ilvl="0">
      <w:lvlJc w:val="left"/>
      <w:lvlText w:val="(%1)"/>
      <w:numFmt w:val="lowerRoman"/>
      <w:start w:val="2"/>
    </w:lvl>
  </w:abstractNum>
  <w:abstractNum w:abstractNumId="371">
    <w:nsid w:val="481B1739"/>
    <w:multiLevelType w:val="hybridMultilevel"/>
    <w:lvl w:ilvl="0">
      <w:lvlJc w:val="left"/>
      <w:lvlText w:val="(%1)"/>
      <w:numFmt w:val="lowerRoman"/>
      <w:start w:val="4"/>
    </w:lvl>
  </w:abstractNum>
  <w:abstractNum w:abstractNumId="372">
    <w:nsid w:val="19E2BFCC"/>
    <w:multiLevelType w:val="hybridMultilevel"/>
    <w:lvl w:ilvl="0">
      <w:lvlJc w:val="left"/>
      <w:lvlText w:val="(%1)"/>
      <w:numFmt w:val="lowerLetter"/>
      <w:start w:val="1"/>
    </w:lvl>
  </w:abstractNum>
  <w:abstractNum w:abstractNumId="373">
    <w:nsid w:val="66D021CA"/>
    <w:multiLevelType w:val="hybridMultilevel"/>
    <w:lvl w:ilvl="0">
      <w:lvlJc w:val="left"/>
      <w:lvlText w:val="%1"/>
      <w:numFmt w:val="decimal"/>
      <w:start w:val="1"/>
    </w:lvl>
    <w:lvl w:ilvl="1">
      <w:lvlJc w:val="left"/>
      <w:lvlText w:val="(%2)"/>
      <w:numFmt w:val="decimal"/>
      <w:start w:val="1"/>
    </w:lvl>
  </w:abstractNum>
  <w:abstractNum w:abstractNumId="374">
    <w:nsid w:val="56167394"/>
    <w:multiLevelType w:val="hybridMultilevel"/>
    <w:lvl w:ilvl="0">
      <w:lvlJc w:val="left"/>
      <w:lvlText w:val="(%1)"/>
      <w:numFmt w:val="decimal"/>
      <w:start w:val="2"/>
    </w:lvl>
    <w:lvl w:ilvl="1">
      <w:lvlJc w:val="left"/>
      <w:lvlText w:val="%2"/>
      <w:numFmt w:val="decimal"/>
      <w:start w:val="1"/>
    </w:lvl>
  </w:abstractNum>
  <w:abstractNum w:abstractNumId="375">
    <w:nsid w:val="921145C"/>
    <w:multiLevelType w:val="hybridMultilevel"/>
    <w:lvl w:ilvl="0">
      <w:lvlJc w:val="left"/>
      <w:lvlText w:val="(%1)"/>
      <w:numFmt w:val="lowerRoman"/>
      <w:start w:val="1"/>
    </w:lvl>
  </w:abstractNum>
  <w:abstractNum w:abstractNumId="376">
    <w:nsid w:val="7B34DFE8"/>
    <w:multiLevelType w:val="hybridMultilevel"/>
    <w:lvl w:ilvl="0">
      <w:lvlJc w:val="left"/>
      <w:lvlText w:val="(%1)"/>
      <w:numFmt w:val="lowerLetter"/>
      <w:start w:val="1"/>
    </w:lvl>
  </w:abstractNum>
  <w:abstractNum w:abstractNumId="377">
    <w:nsid w:val="3CD22B79"/>
    <w:multiLevelType w:val="hybridMultilevel"/>
    <w:lvl w:ilvl="0">
      <w:lvlJc w:val="left"/>
      <w:lvlText w:val="%1"/>
      <w:numFmt w:val="lowerLetter"/>
      <w:start w:val="1"/>
    </w:lvl>
    <w:lvl w:ilvl="1">
      <w:lvlJc w:val="left"/>
      <w:lvlText w:val="(%2)"/>
      <w:numFmt w:val="lowerRoman"/>
      <w:start w:val="1"/>
    </w:lvl>
  </w:abstractNum>
  <w:abstractNum w:abstractNumId="378">
    <w:nsid w:val="3137975E"/>
    <w:multiLevelType w:val="hybridMultilevel"/>
    <w:lvl w:ilvl="0">
      <w:lvlJc w:val="left"/>
      <w:lvlText w:val="(%1)"/>
      <w:numFmt w:val="lowerLetter"/>
      <w:start w:val="3"/>
    </w:lvl>
    <w:lvl w:ilvl="1">
      <w:lvlJc w:val="left"/>
      <w:lvlText w:val="(%2)"/>
      <w:numFmt w:val="lowerRoman"/>
      <w:start w:val="1"/>
    </w:lvl>
  </w:abstractNum>
  <w:abstractNum w:abstractNumId="379">
    <w:nsid w:val="2DDAA791"/>
    <w:multiLevelType w:val="hybridMultilevel"/>
    <w:lvl w:ilvl="0">
      <w:lvlJc w:val="left"/>
      <w:lvlText w:val="%1"/>
      <w:numFmt w:val="lowerLetter"/>
      <w:start w:val="1"/>
    </w:lvl>
    <w:lvl w:ilvl="1">
      <w:lvlJc w:val="left"/>
      <w:lvlText w:val="(%2)"/>
      <w:numFmt w:val="lowerLetter"/>
      <w:start w:val="1"/>
    </w:lvl>
  </w:abstractNum>
  <w:abstractNum w:abstractNumId="380">
    <w:nsid w:val="77263B8A"/>
    <w:multiLevelType w:val="hybridMultilevel"/>
    <w:lvl w:ilvl="0">
      <w:lvlJc w:val="left"/>
      <w:lvlText w:val="(%1)"/>
      <w:numFmt w:val="lowerLetter"/>
      <w:start w:val="9"/>
    </w:lvl>
    <w:lvl w:ilvl="1">
      <w:lvlJc w:val="left"/>
      <w:lvlText w:val="(%2)"/>
      <w:numFmt w:val="lowerLetter"/>
      <w:start w:val="2"/>
    </w:lvl>
  </w:abstractNum>
  <w:abstractNum w:abstractNumId="381">
    <w:nsid w:val="755B5ED6"/>
    <w:multiLevelType w:val="hybridMultilevel"/>
    <w:lvl w:ilvl="0">
      <w:lvlJc w:val="left"/>
      <w:lvlText w:val="(%1)"/>
      <w:numFmt w:val="lowerLetter"/>
      <w:start w:val="1"/>
    </w:lvl>
  </w:abstractNum>
  <w:abstractNum w:abstractNumId="382">
    <w:nsid w:val="D3715DE"/>
    <w:multiLevelType w:val="hybridMultilevel"/>
    <w:lvl w:ilvl="0">
      <w:lvlJc w:val="left"/>
      <w:lvlText w:val="(%1)"/>
      <w:numFmt w:val="lowerLetter"/>
      <w:start w:val="2"/>
    </w:lvl>
  </w:abstractNum>
  <w:abstractNum w:abstractNumId="383">
    <w:nsid w:val="73509257"/>
    <w:multiLevelType w:val="hybridMultilevel"/>
    <w:lvl w:ilvl="0">
      <w:lvlJc w:val="left"/>
      <w:lvlText w:val="(%1)"/>
      <w:numFmt w:val="lowerLetter"/>
      <w:start w:val="1"/>
    </w:lvl>
  </w:abstractNum>
  <w:abstractNum w:abstractNumId="384">
    <w:nsid w:val="7013CDB7"/>
    <w:multiLevelType w:val="hybridMultilevel"/>
    <w:lvl w:ilvl="0">
      <w:lvlJc w:val="left"/>
      <w:lvlText w:val="(%1)"/>
      <w:numFmt w:val="lowerLetter"/>
      <w:start w:val="3"/>
    </w:lvl>
  </w:abstractNum>
  <w:abstractNum w:abstractNumId="385">
    <w:nsid w:val="188BFB19"/>
    <w:multiLevelType w:val="hybridMultilevel"/>
    <w:lvl w:ilvl="0">
      <w:lvlJc w:val="left"/>
      <w:lvlText w:val="(%1)"/>
      <w:numFmt w:val="lowerLetter"/>
      <w:start w:val="1"/>
    </w:lvl>
  </w:abstractNum>
  <w:abstractNum w:abstractNumId="386">
    <w:nsid w:val="75F096DF"/>
    <w:multiLevelType w:val="hybridMultilevel"/>
    <w:lvl w:ilvl="0">
      <w:lvlJc w:val="left"/>
      <w:lvlText w:val="(%1)"/>
      <w:numFmt w:val="lowerLetter"/>
      <w:start w:val="1"/>
    </w:lvl>
  </w:abstractNum>
  <w:abstractNum w:abstractNumId="387">
    <w:nsid w:val="76DEE918"/>
    <w:multiLevelType w:val="hybridMultilevel"/>
    <w:lvl w:ilvl="0">
      <w:lvlJc w:val="left"/>
      <w:lvlText w:val="(%1)"/>
      <w:numFmt w:val="lowerLetter"/>
      <w:start w:val="1"/>
    </w:lvl>
  </w:abstractNum>
  <w:abstractNum w:abstractNumId="388">
    <w:nsid w:val="B79D08D"/>
    <w:multiLevelType w:val="hybridMultilevel"/>
    <w:lvl w:ilvl="0">
      <w:lvlJc w:val="left"/>
      <w:lvlText w:val="(%1)"/>
      <w:numFmt w:val="lowerRoman"/>
      <w:start w:val="1"/>
    </w:lvl>
  </w:abstractNum>
  <w:abstractNum w:abstractNumId="389">
    <w:nsid w:val="69141769"/>
    <w:multiLevelType w:val="hybridMultilevel"/>
    <w:lvl w:ilvl="0">
      <w:lvlJc w:val="left"/>
      <w:lvlText w:val="(%1)"/>
      <w:numFmt w:val="lowerRoman"/>
      <w:start w:val="5"/>
    </w:lvl>
  </w:abstractNum>
  <w:abstractNum w:abstractNumId="390">
    <w:nsid w:val="7BF45B8E"/>
    <w:multiLevelType w:val="hybridMultilevel"/>
    <w:lvl w:ilvl="0">
      <w:lvlJc w:val="left"/>
      <w:lvlText w:val="(%1)"/>
      <w:numFmt w:val="lowerLetter"/>
      <w:start w:val="1"/>
    </w:lvl>
  </w:abstractNum>
  <w:abstractNum w:abstractNumId="391">
    <w:nsid w:val="41205269"/>
    <w:multiLevelType w:val="hybridMultilevel"/>
    <w:lvl w:ilvl="0">
      <w:lvlJc w:val="left"/>
      <w:lvlText w:val="(%1)"/>
      <w:numFmt w:val="lowerLetter"/>
      <w:start w:val="3"/>
    </w:lvl>
  </w:abstractNum>
  <w:abstractNum w:abstractNumId="392">
    <w:nsid w:val="9AE0DD"/>
    <w:multiLevelType w:val="hybridMultilevel"/>
    <w:lvl w:ilvl="0">
      <w:lvlJc w:val="left"/>
      <w:lvlText w:val="(%1)"/>
      <w:numFmt w:val="lowerLetter"/>
      <w:start w:val="1"/>
    </w:lvl>
  </w:abstractNum>
  <w:abstractNum w:abstractNumId="393">
    <w:nsid w:val="1818832F"/>
    <w:multiLevelType w:val="hybridMultilevel"/>
    <w:lvl w:ilvl="0">
      <w:lvlJc w:val="left"/>
      <w:lvlText w:val="(%1)"/>
      <w:numFmt w:val="lowerLetter"/>
      <w:start w:val="2"/>
    </w:lvl>
  </w:abstractNum>
  <w:abstractNum w:abstractNumId="394">
    <w:nsid w:val="24C29FD1"/>
    <w:multiLevelType w:val="hybridMultilevel"/>
    <w:lvl w:ilvl="0">
      <w:lvlJc w:val="left"/>
      <w:lvlText w:val="(%1)"/>
      <w:numFmt w:val="lowerLetter"/>
      <w:start w:val="1"/>
    </w:lvl>
  </w:abstractNum>
  <w:abstractNum w:abstractNumId="395">
    <w:nsid w:val="50528108"/>
    <w:multiLevelType w:val="hybridMultilevel"/>
    <w:lvl w:ilvl="0">
      <w:lvlJc w:val="left"/>
      <w:lvlText w:val="(%1)"/>
      <w:numFmt w:val="lowerLetter"/>
      <w:start w:val="1"/>
    </w:lvl>
  </w:abstractNum>
  <w:abstractNum w:abstractNumId="396">
    <w:nsid w:val="21857A57"/>
    <w:multiLevelType w:val="hybridMultilevel"/>
    <w:lvl w:ilvl="0">
      <w:lvlJc w:val="left"/>
      <w:lvlText w:val="(%1)"/>
      <w:numFmt w:val="lowerLetter"/>
      <w:start w:val="3"/>
    </w:lvl>
  </w:abstractNum>
  <w:abstractNum w:abstractNumId="397">
    <w:nsid w:val="5FD4B154"/>
    <w:multiLevelType w:val="hybridMultilevel"/>
    <w:lvl w:ilvl="0">
      <w:lvlJc w:val="left"/>
      <w:lvlText w:val="(%1)"/>
      <w:numFmt w:val="lowerLetter"/>
      <w:start w:val="1"/>
    </w:lvl>
  </w:abstractNum>
  <w:abstractNum w:abstractNumId="398">
    <w:nsid w:val="4ABE597"/>
    <w:multiLevelType w:val="hybridMultilevel"/>
    <w:lvl w:ilvl="0">
      <w:lvlJc w:val="left"/>
      <w:lvlText w:val="(%1)"/>
      <w:numFmt w:val="lowerLetter"/>
      <w:start w:val="2"/>
    </w:lvl>
  </w:abstractNum>
  <w:abstractNum w:abstractNumId="399">
    <w:nsid w:val="5C64AD75"/>
    <w:multiLevelType w:val="hybridMultilevel"/>
    <w:lvl w:ilvl="0">
      <w:lvlJc w:val="left"/>
      <w:lvlText w:val="(%1)"/>
      <w:numFmt w:val="lowerLetter"/>
      <w:start w:val="5"/>
    </w:lvl>
  </w:abstractNum>
  <w:abstractNum w:abstractNumId="400">
    <w:nsid w:val="2CDD5B39"/>
    <w:multiLevelType w:val="hybridMultilevel"/>
    <w:lvl w:ilvl="0">
      <w:lvlJc w:val="left"/>
      <w:lvlText w:val="(%1)"/>
      <w:numFmt w:val="lowerLetter"/>
      <w:start w:val="1"/>
    </w:lvl>
    <w:lvl w:ilvl="1">
      <w:lvlJc w:val="left"/>
      <w:lvlText w:val="(%2)"/>
      <w:numFmt w:val="lowerLetter"/>
      <w:start w:val="9"/>
    </w:lvl>
  </w:abstractNum>
  <w:abstractNum w:abstractNumId="401">
    <w:nsid w:val="6F9EA0D1"/>
    <w:multiLevelType w:val="hybridMultilevel"/>
    <w:lvl w:ilvl="0">
      <w:lvlJc w:val="left"/>
      <w:lvlText w:val="(%1)"/>
      <w:numFmt w:val="lowerRoman"/>
      <w:start w:val="2"/>
    </w:lvl>
  </w:abstractNum>
  <w:abstractNum w:abstractNumId="402">
    <w:nsid w:val="247FC4AE"/>
    <w:multiLevelType w:val="hybridMultilevel"/>
    <w:lvl w:ilvl="0">
      <w:lvlJc w:val="left"/>
      <w:lvlText w:val="(%1)"/>
      <w:numFmt w:val="lowerLetter"/>
      <w:start w:val="2"/>
    </w:lvl>
  </w:abstractNum>
  <w:abstractNum w:abstractNumId="403">
    <w:nsid w:val="46C01B05"/>
    <w:multiLevelType w:val="hybridMultilevel"/>
    <w:lvl w:ilvl="0">
      <w:lvlJc w:val="left"/>
      <w:lvlText w:val="(%1)"/>
      <w:numFmt w:val="lowerLetter"/>
      <w:start w:val="1"/>
    </w:lvl>
  </w:abstractNum>
  <w:abstractNum w:abstractNumId="404">
    <w:nsid w:val="566EC29B"/>
    <w:multiLevelType w:val="hybridMultilevel"/>
    <w:lvl w:ilvl="0">
      <w:lvlJc w:val="left"/>
      <w:lvlText w:val="(%1)"/>
      <w:numFmt w:val="lowerLetter"/>
      <w:start w:val="3"/>
    </w:lvl>
    <w:lvl w:ilvl="1">
      <w:lvlJc w:val="left"/>
      <w:lvlText w:val="(%2)"/>
      <w:numFmt w:val="lowerRoman"/>
      <w:start w:val="1"/>
    </w:lvl>
  </w:abstractNum>
  <w:abstractNum w:abstractNumId="405">
    <w:nsid w:val="7A963843"/>
    <w:multiLevelType w:val="hybridMultilevel"/>
    <w:lvl w:ilvl="0">
      <w:lvlJc w:val="left"/>
      <w:lvlText w:val="(%1)"/>
      <w:numFmt w:val="lowerLetter"/>
      <w:start w:val="6"/>
    </w:lvl>
  </w:abstractNum>
  <w:abstractNum w:abstractNumId="406">
    <w:nsid w:val="4FE12F61"/>
    <w:multiLevelType w:val="hybridMultilevel"/>
    <w:lvl w:ilvl="0">
      <w:lvlJc w:val="left"/>
      <w:lvlText w:val="(%1)"/>
      <w:numFmt w:val="lowerLetter"/>
      <w:start w:val="11"/>
    </w:lvl>
  </w:abstractNum>
  <w:abstractNum w:abstractNumId="407">
    <w:nsid w:val="51A3A284"/>
    <w:multiLevelType w:val="hybridMultilevel"/>
    <w:lvl w:ilvl="0">
      <w:lvlJc w:val="left"/>
      <w:lvlText w:val="(%1)"/>
      <w:numFmt w:val="lowerLetter"/>
      <w:start w:val="15"/>
    </w:lvl>
  </w:abstractNum>
  <w:abstractNum w:abstractNumId="408">
    <w:nsid w:val="376863BC"/>
    <w:multiLevelType w:val="hybridMultilevel"/>
    <w:lvl w:ilvl="0">
      <w:lvlJc w:val="left"/>
      <w:lvlText w:val="(%1)"/>
      <w:numFmt w:val="lowerLetter"/>
      <w:start w:val="16"/>
    </w:lvl>
  </w:abstractNum>
  <w:abstractNum w:abstractNumId="409">
    <w:nsid w:val="118C6C0"/>
    <w:multiLevelType w:val="hybridMultilevel"/>
    <w:lvl w:ilvl="0">
      <w:lvlJc w:val="left"/>
      <w:lvlText w:val="(%1)"/>
      <w:numFmt w:val="lowerLetter"/>
      <w:start w:val="21"/>
    </w:lvl>
  </w:abstractNum>
  <w:abstractNum w:abstractNumId="410">
    <w:nsid w:val="7F7E4A15"/>
    <w:multiLevelType w:val="hybridMultilevel"/>
    <w:lvl w:ilvl="0">
      <w:lvlJc w:val="left"/>
      <w:lvlText w:val="(%1)"/>
      <w:numFmt w:val="lowerLetter"/>
      <w:start w:val="1"/>
    </w:lvl>
  </w:abstractNum>
  <w:abstractNum w:abstractNumId="411">
    <w:nsid w:val="2E8E9F47"/>
    <w:multiLevelType w:val="hybridMultilevel"/>
    <w:lvl w:ilvl="0">
      <w:lvlJc w:val="left"/>
      <w:lvlText w:val="%1"/>
      <w:numFmt w:val="lowerLetter"/>
      <w:start w:val="1"/>
    </w:lvl>
    <w:lvl w:ilvl="1">
      <w:lvlJc w:val="left"/>
      <w:lvlText w:val="(%2)"/>
      <w:numFmt w:val="lowerLetter"/>
      <w:start w:val="4"/>
    </w:lvl>
  </w:abstractNum>
  <w:abstractNum w:abstractNumId="412">
    <w:nsid w:val="76742596"/>
    <w:multiLevelType w:val="hybridMultilevel"/>
    <w:lvl w:ilvl="0">
      <w:lvlJc w:val="left"/>
      <w:lvlText w:val="(%1)"/>
      <w:numFmt w:val="lowerLetter"/>
      <w:start w:val="35"/>
    </w:lvl>
    <w:lvl w:ilvl="1">
      <w:lvlJc w:val="left"/>
      <w:lvlText w:val="(%2)"/>
      <w:numFmt w:val="lowerLetter"/>
      <w:start w:val="5"/>
    </w:lvl>
  </w:abstractNum>
  <w:abstractNum w:abstractNumId="413">
    <w:nsid w:val="CB55FF3"/>
    <w:multiLevelType w:val="hybridMultilevel"/>
    <w:lvl w:ilvl="0">
      <w:lvlJc w:val="left"/>
      <w:lvlText w:val="(%1)"/>
      <w:numFmt w:val="lowerLetter"/>
      <w:start w:val="1"/>
    </w:lvl>
    <w:lvl w:ilvl="1">
      <w:lvlJc w:val="left"/>
      <w:lvlText w:val="(%2)"/>
      <w:numFmt w:val="lowerRoman"/>
      <w:start w:val="1"/>
    </w:lvl>
  </w:abstractNum>
  <w:abstractNum w:abstractNumId="414">
    <w:nsid w:val="21DF319E"/>
    <w:multiLevelType w:val="hybridMultilevel"/>
    <w:lvl w:ilvl="0">
      <w:lvlJc w:val="left"/>
      <w:lvlText w:val="(%1)"/>
      <w:numFmt w:val="lowerLetter"/>
      <w:start w:val="3"/>
    </w:lvl>
  </w:abstractNum>
  <w:abstractNum w:abstractNumId="415">
    <w:nsid w:val="6687F34D"/>
    <w:multiLevelType w:val="hybridMultilevel"/>
    <w:lvl w:ilvl="0">
      <w:lvlJc w:val="left"/>
      <w:lvlText w:val="%1"/>
      <w:numFmt w:val="lowerLetter"/>
      <w:start w:val="1"/>
    </w:lvl>
    <w:lvl w:ilvl="1">
      <w:lvlJc w:val="left"/>
      <w:lvlText w:val="(%2)"/>
      <w:numFmt w:val="lowerLetter"/>
      <w:start w:val="1"/>
    </w:lvl>
  </w:abstractNum>
  <w:abstractNum w:abstractNumId="416">
    <w:nsid w:val="25415B0C"/>
    <w:multiLevelType w:val="hybridMultilevel"/>
    <w:lvl w:ilvl="0">
      <w:lvlJc w:val="left"/>
      <w:lvlText w:val="(%1)"/>
      <w:numFmt w:val="lowerLetter"/>
      <w:start w:val="61"/>
    </w:lvl>
    <w:lvl w:ilvl="1">
      <w:lvlJc w:val="left"/>
      <w:lvlText w:val="%2"/>
      <w:numFmt w:val="lowerLetter"/>
      <w:start w:val="1"/>
    </w:lvl>
  </w:abstractNum>
  <w:abstractNum w:abstractNumId="417">
    <w:nsid w:val="17CFC87D"/>
    <w:multiLevelType w:val="hybridMultilevel"/>
    <w:lvl w:ilvl="0">
      <w:lvlJc w:val="left"/>
      <w:lvlText w:val="(%1)"/>
      <w:numFmt w:val="lowerLetter"/>
      <w:start w:val="4"/>
    </w:lvl>
  </w:abstractNum>
  <w:abstractNum w:abstractNumId="418">
    <w:nsid w:val="5D66DC65"/>
    <w:multiLevelType w:val="hybridMultilevel"/>
    <w:lvl w:ilvl="0">
      <w:lvlJc w:val="left"/>
      <w:lvlText w:val="(%1)"/>
      <w:numFmt w:val="lowerLetter"/>
      <w:start w:val="1"/>
    </w:lvl>
  </w:abstractNum>
  <w:abstractNum w:abstractNumId="419">
    <w:nsid w:val="30BB2B99"/>
    <w:multiLevelType w:val="hybridMultilevel"/>
    <w:lvl w:ilvl="0">
      <w:lvlJc w:val="left"/>
      <w:lvlText w:val="(%1)"/>
      <w:numFmt w:val="lowerLetter"/>
      <w:start w:val="1"/>
    </w:lvl>
  </w:abstractNum>
  <w:abstractNum w:abstractNumId="420">
    <w:nsid w:val="E3DFE6"/>
    <w:multiLevelType w:val="hybridMultilevel"/>
    <w:lvl w:ilvl="0">
      <w:lvlJc w:val="left"/>
      <w:lvlText w:val="(%1)"/>
      <w:numFmt w:val="lowerLetter"/>
      <w:start w:val="5"/>
    </w:lvl>
  </w:abstractNum>
  <w:abstractNum w:abstractNumId="421">
    <w:nsid w:val="595B37F3"/>
    <w:multiLevelType w:val="hybridMultilevel"/>
    <w:lvl w:ilvl="0">
      <w:lvlJc w:val="left"/>
      <w:lvlText w:val="(%1)"/>
      <w:numFmt w:val="lowerLetter"/>
      <w:start w:val="12"/>
    </w:lvl>
  </w:abstractNum>
  <w:abstractNum w:abstractNumId="422">
    <w:nsid w:val="71DB7E02"/>
    <w:multiLevelType w:val="hybridMultilevel"/>
    <w:lvl w:ilvl="0">
      <w:lvlJc w:val="left"/>
      <w:lvlText w:val="(%1)"/>
      <w:numFmt w:val="lowerLetter"/>
      <w:start w:val="17"/>
    </w:lvl>
  </w:abstractNum>
  <w:abstractNum w:abstractNumId="423">
    <w:nsid w:val="17EC0C4"/>
    <w:multiLevelType w:val="hybridMultilevel"/>
    <w:lvl w:ilvl="0">
      <w:lvlJc w:val="left"/>
      <w:lvlText w:val="(%1)"/>
      <w:numFmt w:val="lowerLetter"/>
      <w:start w:val="27"/>
    </w:lvl>
  </w:abstractNum>
  <w:abstractNum w:abstractNumId="424">
    <w:nsid w:val="7173BB22"/>
    <w:multiLevelType w:val="hybridMultilevel"/>
    <w:lvl w:ilvl="0">
      <w:lvlJc w:val="left"/>
      <w:lvlText w:val="(%1)"/>
      <w:numFmt w:val="lowerLetter"/>
      <w:start w:val="1"/>
    </w:lvl>
  </w:abstractNum>
  <w:abstractNum w:abstractNumId="425">
    <w:nsid w:val="169E1DD3"/>
    <w:multiLevelType w:val="hybridMultilevel"/>
    <w:lvl w:ilvl="0">
      <w:lvlJc w:val="left"/>
      <w:lvlText w:val="(%1)"/>
      <w:numFmt w:val="lowerLetter"/>
      <w:start w:val="3"/>
    </w:lvl>
    <w:lvl w:ilvl="1">
      <w:lvlJc w:val="left"/>
      <w:lvlText w:val="(%2)"/>
      <w:numFmt w:val="lowerRoman"/>
      <w:start w:val="1"/>
    </w:lvl>
  </w:abstractNum>
  <w:abstractNum w:abstractNumId="426">
    <w:nsid w:val="51D141CC"/>
    <w:multiLevelType w:val="hybridMultilevel"/>
    <w:lvl w:ilvl="0">
      <w:lvlJc w:val="left"/>
      <w:lvlText w:val="%1"/>
      <w:numFmt w:val="lowerLetter"/>
      <w:start w:val="1"/>
    </w:lvl>
    <w:lvl w:ilvl="1">
      <w:lvlJc w:val="left"/>
      <w:lvlText w:val="(%2)"/>
      <w:numFmt w:val="lowerLetter"/>
      <w:start w:val="1"/>
    </w:lvl>
  </w:abstractNum>
  <w:abstractNum w:abstractNumId="427">
    <w:nsid w:val="12F9357A"/>
    <w:multiLevelType w:val="hybridMultilevel"/>
    <w:lvl w:ilvl="0">
      <w:lvlJc w:val="left"/>
      <w:lvlText w:val="(%1)"/>
      <w:numFmt w:val="lowerLetter"/>
      <w:start w:val="61"/>
    </w:lvl>
    <w:lvl w:ilvl="1">
      <w:lvlJc w:val="left"/>
      <w:lvlText w:val="%2"/>
      <w:numFmt w:val="lowerLetter"/>
      <w:start w:val="1"/>
    </w:lvl>
  </w:abstractNum>
  <w:abstractNum w:abstractNumId="428">
    <w:nsid w:val="7672CF28"/>
    <w:multiLevelType w:val="hybridMultilevel"/>
    <w:lvl w:ilvl="0">
      <w:lvlJc w:val="left"/>
      <w:lvlText w:val="(%1)"/>
      <w:numFmt w:val="lowerLetter"/>
      <w:start w:val="7"/>
    </w:lvl>
  </w:abstractNum>
  <w:abstractNum w:abstractNumId="429">
    <w:nsid w:val="567D2763"/>
    <w:multiLevelType w:val="hybridMultilevel"/>
    <w:lvl w:ilvl="0">
      <w:lvlJc w:val="left"/>
      <w:lvlText w:val="(%1)"/>
      <w:numFmt w:val="lowerLetter"/>
      <w:start w:val="15"/>
    </w:lvl>
  </w:abstractNum>
  <w:abstractNum w:abstractNumId="430">
    <w:nsid w:val="6F5DE2EF"/>
    <w:multiLevelType w:val="hybridMultilevel"/>
    <w:lvl w:ilvl="0">
      <w:lvlJc w:val="left"/>
      <w:lvlText w:val="(%1)"/>
      <w:numFmt w:val="lowerLetter"/>
      <w:start w:val="1"/>
    </w:lvl>
  </w:abstractNum>
  <w:abstractNum w:abstractNumId="431">
    <w:nsid w:val="23502A61"/>
    <w:multiLevelType w:val="hybridMultilevel"/>
    <w:lvl w:ilvl="0">
      <w:lvlJc w:val="left"/>
      <w:lvlText w:val="(%1)"/>
      <w:numFmt w:val="lowerLetter"/>
      <w:start w:val="2"/>
    </w:lvl>
  </w:abstractNum>
  <w:abstractNum w:abstractNumId="432">
    <w:nsid w:val="461BC834"/>
    <w:multiLevelType w:val="hybridMultilevel"/>
    <w:lvl w:ilvl="0">
      <w:lvlJc w:val="left"/>
      <w:lvlText w:val="(%1)"/>
      <w:numFmt w:val="lowerLetter"/>
      <w:start w:val="1"/>
    </w:lvl>
  </w:abstractNum>
  <w:abstractNum w:abstractNumId="433">
    <w:nsid w:val="13DDA79D"/>
    <w:multiLevelType w:val="hybridMultilevel"/>
    <w:lvl w:ilvl="0">
      <w:lvlJc w:val="left"/>
      <w:lvlText w:val="(%1)"/>
      <w:numFmt w:val="lowerLetter"/>
      <w:start w:val="4"/>
    </w:lvl>
  </w:abstractNum>
  <w:abstractNum w:abstractNumId="434">
    <w:nsid w:val="6A104566"/>
    <w:multiLevelType w:val="hybridMultilevel"/>
    <w:lvl w:ilvl="0">
      <w:lvlJc w:val="left"/>
      <w:lvlText w:val="(%1)"/>
      <w:numFmt w:val="lowerLetter"/>
      <w:start w:val="1"/>
    </w:lvl>
  </w:abstractNum>
  <w:abstractNum w:abstractNumId="435">
    <w:nsid w:val="1C8A8ACF"/>
    <w:multiLevelType w:val="hybridMultilevel"/>
    <w:lvl w:ilvl="0">
      <w:lvlJc w:val="left"/>
      <w:lvlText w:val="(%1)"/>
      <w:numFmt w:val="lowerLetter"/>
      <w:start w:val="5"/>
    </w:lvl>
  </w:abstractNum>
  <w:abstractNum w:abstractNumId="436">
    <w:nsid w:val="E73DFE0"/>
    <w:multiLevelType w:val="hybridMultilevel"/>
    <w:lvl w:ilvl="0">
      <w:lvlJc w:val="left"/>
      <w:lvlText w:val="(%1)"/>
      <w:numFmt w:val="lowerLetter"/>
      <w:start w:val="13"/>
    </w:lvl>
    <w:lvl w:ilvl="1">
      <w:lvlJc w:val="left"/>
      <w:lvlText w:val="(%2)"/>
      <w:numFmt w:val="lowerRoman"/>
      <w:start w:val="1"/>
    </w:lvl>
  </w:abstractNum>
  <w:abstractNum w:abstractNumId="437">
    <w:nsid w:val="39F174C7"/>
    <w:multiLevelType w:val="hybridMultilevel"/>
    <w:lvl w:ilvl="0">
      <w:lvlJc w:val="left"/>
      <w:lvlText w:val="%1"/>
      <w:numFmt w:val="lowerLetter"/>
      <w:start w:val="1"/>
    </w:lvl>
    <w:lvl w:ilvl="1">
      <w:lvlJc w:val="left"/>
      <w:lvlText w:val="(%2)"/>
      <w:numFmt w:val="lowerLetter"/>
      <w:start w:val="14"/>
    </w:lvl>
  </w:abstractNum>
  <w:abstractNum w:abstractNumId="438">
    <w:nsid w:val="6E2E2D53"/>
    <w:multiLevelType w:val="hybridMultilevel"/>
    <w:lvl w:ilvl="0">
      <w:lvlJc w:val="left"/>
      <w:lvlText w:val="(%1)"/>
      <w:numFmt w:val="lowerLetter"/>
      <w:start w:val="35"/>
    </w:lvl>
    <w:lvl w:ilvl="1">
      <w:lvlJc w:val="left"/>
      <w:lvlText w:val="(%2)"/>
      <w:numFmt w:val="lowerLetter"/>
      <w:start w:val="18"/>
    </w:lvl>
  </w:abstractNum>
  <w:abstractNum w:abstractNumId="439">
    <w:nsid w:val="45DC439D"/>
    <w:multiLevelType w:val="hybridMultilevel"/>
    <w:lvl w:ilvl="0">
      <w:lvlJc w:val="left"/>
      <w:lvlText w:val="(%1)"/>
      <w:numFmt w:val="lowerLetter"/>
      <w:start w:val="1"/>
    </w:lvl>
  </w:abstractNum>
  <w:abstractNum w:abstractNumId="440">
    <w:nsid w:val="3B0A3B87"/>
    <w:multiLevelType w:val="hybridMultilevel"/>
    <w:lvl w:ilvl="0">
      <w:lvlJc w:val="left"/>
      <w:lvlText w:val="(%1)"/>
      <w:numFmt w:val="lowerLetter"/>
      <w:start w:val="3"/>
    </w:lvl>
  </w:abstractNum>
  <w:abstractNum w:abstractNumId="441">
    <w:nsid w:val="6DAC7768"/>
    <w:multiLevelType w:val="hybridMultilevel"/>
    <w:lvl w:ilvl="0">
      <w:lvlJc w:val="left"/>
      <w:lvlText w:val="(%1)"/>
      <w:numFmt w:val="lowerLetter"/>
      <w:start w:val="8"/>
    </w:lvl>
    <w:lvl w:ilvl="1">
      <w:lvlJc w:val="left"/>
      <w:lvlText w:val="(%2)"/>
      <w:numFmt w:val="lowerRoman"/>
      <w:start w:val="1"/>
    </w:lvl>
  </w:abstractNum>
  <w:abstractNum w:abstractNumId="442">
    <w:nsid w:val="746AE2E4"/>
    <w:multiLevelType w:val="hybridMultilevel"/>
    <w:lvl w:ilvl="0">
      <w:lvlJc w:val="left"/>
      <w:lvlText w:val="(%1)"/>
      <w:numFmt w:val="lowerRoman"/>
      <w:start w:val="6"/>
    </w:lvl>
  </w:abstractNum>
  <w:abstractNum w:abstractNumId="443">
    <w:nsid w:val="317E611D"/>
    <w:multiLevelType w:val="hybridMultilevel"/>
    <w:lvl w:ilvl="0">
      <w:lvlJc w:val="left"/>
      <w:lvlText w:val="%1"/>
      <w:numFmt w:val="upperLetter"/>
      <w:start w:val="1"/>
    </w:lvl>
    <w:lvl w:ilvl="1">
      <w:lvlJc w:val="left"/>
      <w:lvlText w:val="(%2)"/>
      <w:numFmt w:val="lowerRoman"/>
      <w:start w:val="17"/>
    </w:lvl>
  </w:abstractNum>
  <w:abstractNum w:abstractNumId="444">
    <w:nsid w:val="7A61D75B"/>
    <w:multiLevelType w:val="hybridMultilevel"/>
    <w:lvl w:ilvl="0">
      <w:lvlJc w:val="left"/>
      <w:lvlText w:val="(%1)"/>
      <w:numFmt w:val="upperLetter"/>
      <w:start w:val="6"/>
    </w:lvl>
    <w:lvl w:ilvl="1">
      <w:lvlJc w:val="left"/>
      <w:lvlText w:val="(%2)"/>
      <w:numFmt w:val="lowerRoman"/>
      <w:start w:val="26"/>
    </w:lvl>
  </w:abstractNum>
  <w:abstractNum w:abstractNumId="445">
    <w:nsid w:val="164A1482"/>
    <w:multiLevelType w:val="hybridMultilevel"/>
    <w:lvl w:ilvl="0">
      <w:lvlJc w:val="left"/>
      <w:lvlText w:val="(%1)"/>
      <w:numFmt w:val="lowerLetter"/>
      <w:start w:val="15"/>
    </w:lvl>
  </w:abstractNum>
  <w:abstractNum w:abstractNumId="446">
    <w:nsid w:val="1806546B"/>
    <w:multiLevelType w:val="hybridMultilevel"/>
    <w:lvl w:ilvl="0">
      <w:lvlJc w:val="left"/>
      <w:lvlText w:val="(%1)"/>
      <w:numFmt w:val="lowerLetter"/>
      <w:start w:val="1"/>
    </w:lvl>
  </w:abstractNum>
  <w:abstractNum w:abstractNumId="447">
    <w:nsid w:val="1FA33267"/>
    <w:multiLevelType w:val="hybridMultilevel"/>
    <w:lvl w:ilvl="0">
      <w:lvlJc w:val="left"/>
      <w:lvlText w:val="(%1)"/>
      <w:numFmt w:val="lowerLetter"/>
      <w:start w:val="2"/>
    </w:lvl>
  </w:abstractNum>
  <w:abstractNum w:abstractNumId="448">
    <w:nsid w:val="2E19DD00"/>
    <w:multiLevelType w:val="hybridMultilevel"/>
    <w:lvl w:ilvl="0">
      <w:lvlJc w:val="left"/>
      <w:lvlText w:val="%1"/>
      <w:numFmt w:val="lowerLetter"/>
      <w:start w:val="1"/>
    </w:lvl>
    <w:lvl w:ilvl="1">
      <w:lvlJc w:val="left"/>
      <w:lvlText w:val="(%2)"/>
      <w:numFmt w:val="lowerLetter"/>
      <w:start w:val="1"/>
    </w:lvl>
  </w:abstractNum>
  <w:abstractNum w:abstractNumId="449">
    <w:nsid w:val="756D30D0"/>
    <w:multiLevelType w:val="hybridMultilevel"/>
    <w:lvl w:ilvl="0">
      <w:lvlJc w:val="left"/>
      <w:lvlText w:val="(%1)"/>
      <w:numFmt w:val="lowerLetter"/>
      <w:start w:val="35"/>
    </w:lvl>
    <w:lvl w:ilvl="1">
      <w:lvlJc w:val="left"/>
      <w:lvlText w:val="%2"/>
      <w:numFmt w:val="lowerLetter"/>
      <w:start w:val="1"/>
    </w:lvl>
  </w:abstractNum>
  <w:abstractNum w:abstractNumId="450">
    <w:nsid w:val="505E5E01"/>
    <w:multiLevelType w:val="hybridMultilevel"/>
    <w:lvl w:ilvl="0">
      <w:lvlJc w:val="left"/>
      <w:lvlText w:val="(%1)"/>
      <w:numFmt w:val="lowerLetter"/>
      <w:start w:val="10"/>
    </w:lvl>
  </w:abstractNum>
  <w:abstractNum w:abstractNumId="451">
    <w:nsid w:val="2EFDBCE6"/>
    <w:multiLevelType w:val="hybridMultilevel"/>
    <w:lvl w:ilvl="0">
      <w:lvlJc w:val="left"/>
      <w:lvlText w:val="(%1)"/>
      <w:numFmt w:val="lowerLetter"/>
      <w:start w:val="14"/>
    </w:lvl>
  </w:abstractNum>
  <w:abstractNum w:abstractNumId="452">
    <w:nsid w:val="4EC868C4"/>
    <w:multiLevelType w:val="hybridMultilevel"/>
    <w:lvl w:ilvl="0">
      <w:lvlJc w:val="left"/>
      <w:lvlText w:val="(%1)"/>
      <w:numFmt w:val="lowerLetter"/>
      <w:start w:val="1"/>
    </w:lvl>
  </w:abstractNum>
  <w:abstractNum w:abstractNumId="453">
    <w:nsid w:val="4239DC03"/>
    <w:multiLevelType w:val="hybridMultilevel"/>
    <w:lvl w:ilvl="0">
      <w:lvlJc w:val="left"/>
      <w:lvlText w:val="(%1)"/>
      <w:numFmt w:val="lowerLetter"/>
      <w:start w:val="3"/>
    </w:lvl>
  </w:abstractNum>
  <w:abstractNum w:abstractNumId="454">
    <w:nsid w:val="307C7DAA"/>
    <w:multiLevelType w:val="hybridMultilevel"/>
    <w:lvl w:ilvl="0">
      <w:lvlJc w:val="left"/>
      <w:lvlText w:val="(%1)"/>
      <w:numFmt w:val="lowerRoman"/>
      <w:start w:val="1"/>
    </w:lvl>
  </w:abstractNum>
  <w:abstractNum w:abstractNumId="455">
    <w:nsid w:val="403C23E6"/>
    <w:multiLevelType w:val="hybridMultilevel"/>
    <w:lvl w:ilvl="0">
      <w:lvlJc w:val="left"/>
      <w:lvlText w:val="(%1)"/>
      <w:numFmt w:val="lowerLetter"/>
      <w:start w:val="10"/>
    </w:lvl>
  </w:abstractNum>
  <w:abstractNum w:abstractNumId="456">
    <w:nsid w:val="58D7F9D7"/>
    <w:multiLevelType w:val="hybridMultilevel"/>
    <w:lvl w:ilvl="0">
      <w:lvlJc w:val="left"/>
      <w:lvlText w:val="(%1)"/>
      <w:numFmt w:val="lowerLetter"/>
      <w:start w:val="1"/>
    </w:lvl>
  </w:abstractNum>
  <w:abstractNum w:abstractNumId="457">
    <w:nsid w:val="24DBF76"/>
    <w:multiLevelType w:val="hybridMultilevel"/>
    <w:lvl w:ilvl="0">
      <w:lvlJc w:val="left"/>
      <w:lvlText w:val="(%1)"/>
      <w:numFmt w:val="lowerRoman"/>
      <w:start w:val="1"/>
    </w:lvl>
  </w:abstractNum>
  <w:abstractNum w:abstractNumId="458">
    <w:nsid w:val="53355960"/>
    <w:multiLevelType w:val="hybridMultilevel"/>
    <w:lvl w:ilvl="0">
      <w:lvlJc w:val="left"/>
      <w:lvlText w:val="%1"/>
      <w:numFmt w:val="lowerLetter"/>
      <w:start w:val="1"/>
    </w:lvl>
    <w:lvl w:ilvl="1">
      <w:lvlJc w:val="left"/>
      <w:lvlText w:val="(%2)"/>
      <w:numFmt w:val="lowerRoman"/>
      <w:start w:val="4"/>
    </w:lvl>
  </w:abstractNum>
  <w:abstractNum w:abstractNumId="459">
    <w:nsid w:val="4F4AC8FF"/>
    <w:multiLevelType w:val="hybridMultilevel"/>
    <w:lvl w:ilvl="0">
      <w:lvlJc w:val="left"/>
      <w:lvlText w:val="(%1)"/>
      <w:numFmt w:val="lowerLetter"/>
      <w:start w:val="4"/>
    </w:lvl>
    <w:lvl w:ilvl="1">
      <w:lvlJc w:val="left"/>
      <w:lvlText w:val="(%2)"/>
      <w:numFmt w:val="lowerRoman"/>
      <w:start w:val="1"/>
    </w:lvl>
  </w:abstractNum>
  <w:abstractNum w:abstractNumId="460">
    <w:nsid w:val="58CAE6D9"/>
    <w:multiLevelType w:val="hybridMultilevel"/>
    <w:lvl w:ilvl="0">
      <w:lvlJc w:val="left"/>
      <w:lvlText w:val="(%1)"/>
      <w:numFmt w:val="lowerLetter"/>
      <w:start w:val="7"/>
    </w:lvl>
    <w:lvl w:ilvl="1">
      <w:lvlJc w:val="left"/>
      <w:lvlText w:val="(%2)"/>
      <w:numFmt w:val="lowerRoman"/>
      <w:start w:val="1"/>
    </w:lvl>
  </w:abstractNum>
  <w:abstractNum w:abstractNumId="461">
    <w:nsid w:val="42933C4F"/>
    <w:multiLevelType w:val="hybridMultilevel"/>
    <w:lvl w:ilvl="0">
      <w:lvlJc w:val="left"/>
      <w:lvlText w:val="(%1)"/>
      <w:numFmt w:val="lowerLetter"/>
      <w:start w:val="1"/>
    </w:lvl>
  </w:abstractNum>
  <w:abstractNum w:abstractNumId="462">
    <w:nsid w:val="729AF360"/>
    <w:multiLevelType w:val="hybridMultilevel"/>
    <w:lvl w:ilvl="0">
      <w:lvlJc w:val="left"/>
      <w:lvlText w:val="(%1)"/>
      <w:numFmt w:val="lowerLetter"/>
      <w:start w:val="1"/>
    </w:lvl>
  </w:abstractNum>
  <w:abstractNum w:abstractNumId="463">
    <w:nsid w:val="1EE6AF0D"/>
    <w:multiLevelType w:val="hybridMultilevel"/>
    <w:lvl w:ilvl="0">
      <w:lvlJc w:val="left"/>
      <w:lvlText w:val="(%1)"/>
      <w:numFmt w:val="lowerLetter"/>
      <w:start w:val="1"/>
    </w:lvl>
  </w:abstractNum>
  <w:abstractNum w:abstractNumId="464">
    <w:nsid w:val="5670E3ED"/>
    <w:multiLevelType w:val="hybridMultilevel"/>
    <w:lvl w:ilvl="0">
      <w:lvlJc w:val="left"/>
      <w:lvlText w:val="(%1)"/>
      <w:numFmt w:val="lowerLetter"/>
      <w:start w:val="2"/>
    </w:lvl>
  </w:abstractNum>
  <w:abstractNum w:abstractNumId="465">
    <w:nsid w:val="5CAB38C6"/>
    <w:multiLevelType w:val="hybridMultilevel"/>
    <w:lvl w:ilvl="0">
      <w:lvlJc w:val="left"/>
      <w:lvlText w:val="(%1)"/>
      <w:numFmt w:val="lowerLetter"/>
      <w:start w:val="5"/>
    </w:lvl>
  </w:abstractNum>
  <w:abstractNum w:abstractNumId="466">
    <w:nsid w:val="3B7139DD"/>
    <w:multiLevelType w:val="hybridMultilevel"/>
    <w:lvl w:ilvl="0">
      <w:lvlJc w:val="left"/>
      <w:lvlText w:val="(%1)"/>
      <w:numFmt w:val="lowerLetter"/>
      <w:start w:val="1"/>
    </w:lvl>
  </w:abstractNum>
  <w:abstractNum w:abstractNumId="467">
    <w:nsid w:val="64E4C3CD"/>
    <w:multiLevelType w:val="hybridMultilevel"/>
    <w:lvl w:ilvl="0">
      <w:lvlJc w:val="left"/>
      <w:lvlText w:val="(%1)"/>
      <w:numFmt w:val="lowerLetter"/>
      <w:start w:val="2"/>
    </w:lvl>
  </w:abstractNum>
  <w:abstractNum w:abstractNumId="468">
    <w:nsid w:val="169CAD8D"/>
    <w:multiLevelType w:val="hybridMultilevel"/>
    <w:lvl w:ilvl="0">
      <w:lvlJc w:val="left"/>
      <w:lvlText w:val="(%1)"/>
      <w:numFmt w:val="lowerLetter"/>
      <w:start w:val="1"/>
    </w:lvl>
  </w:abstractNum>
  <w:abstractNum w:abstractNumId="469">
    <w:nsid w:val="299F6730"/>
    <w:multiLevelType w:val="hybridMultilevel"/>
    <w:lvl w:ilvl="0">
      <w:lvlJc w:val="left"/>
      <w:lvlText w:val="(%1)"/>
      <w:numFmt w:val="lowerLetter"/>
      <w:start w:val="2"/>
    </w:lvl>
  </w:abstractNum>
  <w:abstractNum w:abstractNumId="470">
    <w:nsid w:val="2AC1076A"/>
    <w:multiLevelType w:val="hybridMultilevel"/>
    <w:lvl w:ilvl="0">
      <w:lvlJc w:val="left"/>
      <w:lvlText w:val="(%1)"/>
      <w:numFmt w:val="lowerLetter"/>
      <w:start w:val="7"/>
    </w:lvl>
  </w:abstractNum>
  <w:abstractNum w:abstractNumId="471">
    <w:nsid w:val="51A6E915"/>
    <w:multiLevelType w:val="hybridMultilevel"/>
    <w:lvl w:ilvl="0">
      <w:lvlJc w:val="left"/>
      <w:lvlText w:val="(%1)"/>
      <w:numFmt w:val="lowerRoman"/>
      <w:start w:val="1"/>
    </w:lvl>
  </w:abstractNum>
  <w:abstractNum w:abstractNumId="472">
    <w:nsid w:val="174BDE99"/>
    <w:multiLevelType w:val="hybridMultilevel"/>
    <w:lvl w:ilvl="0">
      <w:lvlJc w:val="left"/>
      <w:lvlText w:val="(%1)"/>
      <w:numFmt w:val="lowerRoman"/>
      <w:start w:val="5"/>
    </w:lvl>
  </w:abstractNum>
  <w:abstractNum w:abstractNumId="473">
    <w:nsid w:val="1F2BEA4E"/>
    <w:multiLevelType w:val="hybridMultilevel"/>
    <w:lvl w:ilvl="0">
      <w:lvlJc w:val="left"/>
      <w:lvlText w:val="(%1)"/>
      <w:numFmt w:val="lowerLetter"/>
      <w:start w:val="1"/>
    </w:lvl>
  </w:abstractNum>
  <w:abstractNum w:abstractNumId="474">
    <w:nsid w:val="3254A32"/>
    <w:multiLevelType w:val="hybridMultilevel"/>
    <w:lvl w:ilvl="0">
      <w:lvlJc w:val="left"/>
      <w:lvlText w:val="(%1)"/>
      <w:numFmt w:val="lowerLetter"/>
      <w:start w:val="2"/>
    </w:lvl>
  </w:abstractNum>
  <w:abstractNum w:abstractNumId="475">
    <w:nsid w:val="11ADB5F4"/>
    <w:multiLevelType w:val="hybridMultilevel"/>
    <w:lvl w:ilvl="0">
      <w:lvlJc w:val="left"/>
      <w:lvlText w:val="(%1)"/>
      <w:numFmt w:val="lowerLetter"/>
      <w:start w:val="1"/>
    </w:lvl>
  </w:abstractNum>
  <w:abstractNum w:abstractNumId="476">
    <w:nsid w:val="3575FED1"/>
    <w:multiLevelType w:val="hybridMultilevel"/>
    <w:lvl w:ilvl="0">
      <w:lvlJc w:val="left"/>
      <w:lvlText w:val="%1"/>
      <w:numFmt w:val="lowerLetter"/>
      <w:start w:val="1"/>
    </w:lvl>
    <w:lvl w:ilvl="1">
      <w:lvlJc w:val="left"/>
      <w:lvlText w:val="(%2)"/>
      <w:numFmt w:val="lowerLetter"/>
      <w:start w:val="4"/>
    </w:lvl>
  </w:abstractNum>
  <w:abstractNum w:abstractNumId="477">
    <w:nsid w:val="1B2B9E9D"/>
    <w:multiLevelType w:val="hybridMultilevel"/>
    <w:lvl w:ilvl="0">
      <w:lvlJc w:val="left"/>
      <w:lvlText w:val="(%1)"/>
      <w:numFmt w:val="lowerLetter"/>
      <w:start w:val="35"/>
    </w:lvl>
    <w:lvl w:ilvl="1">
      <w:lvlJc w:val="left"/>
      <w:lvlText w:val="%2"/>
      <w:numFmt w:val="lowerLetter"/>
      <w:start w:val="1"/>
    </w:lvl>
  </w:abstractNum>
  <w:abstractNum w:abstractNumId="478">
    <w:nsid w:val="3150E85C"/>
    <w:multiLevelType w:val="hybridMultilevel"/>
    <w:lvl w:ilvl="0">
      <w:lvlJc w:val="left"/>
      <w:lvlText w:val="(%1)"/>
      <w:numFmt w:val="lowerLetter"/>
      <w:start w:val="6"/>
    </w:lvl>
  </w:abstractNum>
  <w:abstractNum w:abstractNumId="479">
    <w:nsid w:val="638FDBD1"/>
    <w:multiLevelType w:val="hybridMultilevel"/>
    <w:lvl w:ilvl="0">
      <w:lvlJc w:val="left"/>
      <w:lvlText w:val="(%1)"/>
      <w:numFmt w:val="lowerLetter"/>
      <w:start w:val="1"/>
    </w:lvl>
  </w:abstractNum>
  <w:abstractNum w:abstractNumId="480">
    <w:nsid w:val="1098CF6E"/>
    <w:multiLevelType w:val="hybridMultilevel"/>
    <w:lvl w:ilvl="0">
      <w:lvlJc w:val="left"/>
      <w:lvlText w:val="(%1)"/>
      <w:numFmt w:val="lowerLetter"/>
      <w:start w:val="2"/>
    </w:lvl>
  </w:abstractNum>
  <w:abstractNum w:abstractNumId="481">
    <w:nsid w:val="1AF465D"/>
    <w:multiLevelType w:val="hybridMultilevel"/>
    <w:lvl w:ilvl="0">
      <w:lvlJc w:val="left"/>
      <w:lvlText w:val="%1"/>
      <w:numFmt w:val="lowerLetter"/>
      <w:start w:val="1"/>
    </w:lvl>
    <w:lvl w:ilvl="1">
      <w:lvlJc w:val="left"/>
      <w:lvlText w:val="(%2)"/>
      <w:numFmt w:val="lowerLetter"/>
      <w:start w:val="5"/>
    </w:lvl>
  </w:abstractNum>
  <w:abstractNum w:abstractNumId="482">
    <w:nsid w:val="128D98B7"/>
    <w:multiLevelType w:val="hybridMultilevel"/>
    <w:lvl w:ilvl="0">
      <w:lvlJc w:val="left"/>
      <w:lvlText w:val="(%1)"/>
      <w:numFmt w:val="lowerLetter"/>
      <w:start w:val="1"/>
    </w:lvl>
    <w:lvl w:ilvl="1">
      <w:lvlJc w:val="left"/>
      <w:lvlText w:val="(%2)"/>
      <w:numFmt w:val="lowerLetter"/>
      <w:start w:val="6"/>
    </w:lvl>
  </w:abstractNum>
  <w:abstractNum w:abstractNumId="483">
    <w:nsid w:val="5F613832"/>
    <w:multiLevelType w:val="hybridMultilevel"/>
    <w:lvl w:ilvl="0">
      <w:lvlJc w:val="left"/>
      <w:lvlText w:val="(%1)"/>
      <w:numFmt w:val="lowerLetter"/>
      <w:start w:val="1"/>
    </w:lvl>
  </w:abstractNum>
  <w:abstractNum w:abstractNumId="484">
    <w:nsid w:val="43E92260"/>
    <w:multiLevelType w:val="hybridMultilevel"/>
    <w:lvl w:ilvl="0">
      <w:lvlJc w:val="left"/>
      <w:lvlText w:val="(%1)"/>
      <w:numFmt w:val="lowerLetter"/>
      <w:start w:val="1"/>
    </w:lvl>
    <w:lvl w:ilvl="1">
      <w:lvlJc w:val="left"/>
      <w:lvlText w:val="(%2)"/>
      <w:numFmt w:val="lowerRoman"/>
      <w:start w:val="1"/>
    </w:lvl>
  </w:abstractNum>
  <w:abstractNum w:abstractNumId="485">
    <w:nsid w:val="430A1662"/>
    <w:multiLevelType w:val="hybridMultilevel"/>
    <w:lvl w:ilvl="0">
      <w:lvlJc w:val="left"/>
      <w:lvlText w:val="(%1)"/>
      <w:numFmt w:val="lowerLetter"/>
      <w:start w:val="1"/>
    </w:lvl>
    <w:lvl w:ilvl="1">
      <w:lvlJc w:val="left"/>
      <w:lvlText w:val="(%2)"/>
      <w:numFmt w:val="lowerLetter"/>
      <w:start w:val="9"/>
    </w:lvl>
  </w:abstractNum>
  <w:abstractNum w:abstractNumId="486">
    <w:nsid w:val="1F9D5C18"/>
    <w:multiLevelType w:val="hybridMultilevel"/>
    <w:lvl w:ilvl="0">
      <w:lvlJc w:val="left"/>
      <w:lvlText w:val="(%1)"/>
      <w:numFmt w:val="lowerLetter"/>
      <w:start w:val="1"/>
    </w:lvl>
    <w:lvl w:ilvl="1">
      <w:lvlJc w:val="left"/>
      <w:lvlText w:val="(%2)"/>
      <w:numFmt w:val="lowerRoman"/>
      <w:start w:val="1"/>
    </w:lvl>
  </w:abstractNum>
  <w:abstractNum w:abstractNumId="487">
    <w:nsid w:val="1CC11C37"/>
    <w:multiLevelType w:val="hybridMultilevel"/>
    <w:lvl w:ilvl="0">
      <w:lvlJc w:val="left"/>
      <w:lvlText w:val="(%1)"/>
      <w:numFmt w:val="lowerRoman"/>
      <w:start w:val="3"/>
    </w:lvl>
  </w:abstractNum>
  <w:abstractNum w:abstractNumId="488">
    <w:nsid w:val="4557D5D8"/>
    <w:multiLevelType w:val="hybridMultilevel"/>
    <w:lvl w:ilvl="0">
      <w:lvlJc w:val="left"/>
      <w:lvlText w:val="(%1)"/>
      <w:numFmt w:val="lowerLetter"/>
      <w:start w:val="2"/>
    </w:lvl>
  </w:abstractNum>
  <w:abstractNum w:abstractNumId="489">
    <w:nsid w:val="72D2B579"/>
    <w:multiLevelType w:val="hybridMultilevel"/>
    <w:lvl w:ilvl="0">
      <w:lvlJc w:val="left"/>
      <w:lvlText w:val="(%1)"/>
      <w:numFmt w:val="lowerLetter"/>
      <w:start w:val="1"/>
    </w:lvl>
  </w:abstractNum>
  <w:abstractNum w:abstractNumId="490">
    <w:nsid w:val="6C0BE536"/>
    <w:multiLevelType w:val="hybridMultilevel"/>
    <w:lvl w:ilvl="0">
      <w:lvlJc w:val="left"/>
      <w:lvlText w:val="(%1)"/>
      <w:numFmt w:val="lowerLetter"/>
      <w:start w:val="2"/>
    </w:lvl>
  </w:abstractNum>
  <w:abstractNum w:abstractNumId="491">
    <w:nsid w:val="1E22BCB2"/>
    <w:multiLevelType w:val="hybridMultilevel"/>
    <w:lvl w:ilvl="0">
      <w:lvlJc w:val="left"/>
      <w:lvlText w:val="(%1)"/>
      <w:numFmt w:val="lowerLetter"/>
      <w:start w:val="1"/>
    </w:lvl>
  </w:abstractNum>
  <w:abstractNum w:abstractNumId="492">
    <w:nsid w:val="3565F1C8"/>
    <w:multiLevelType w:val="hybridMultilevel"/>
    <w:lvl w:ilvl="0">
      <w:lvlJc w:val="left"/>
      <w:lvlText w:val="(%1)"/>
      <w:numFmt w:val="lowerLetter"/>
      <w:start w:val="1"/>
    </w:lvl>
  </w:abstractNum>
  <w:abstractNum w:abstractNumId="493">
    <w:nsid w:val="5EA6D896"/>
    <w:multiLevelType w:val="hybridMultilevel"/>
    <w:lvl w:ilvl="0">
      <w:lvlJc w:val="left"/>
      <w:lvlText w:val="(%1)"/>
      <w:numFmt w:val="lowerLetter"/>
      <w:start w:val="3"/>
    </w:lvl>
  </w:abstractNum>
  <w:abstractNum w:abstractNumId="494">
    <w:nsid w:val="3D096BBF"/>
    <w:multiLevelType w:val="hybridMultilevel"/>
    <w:lvl w:ilvl="0">
      <w:lvlJc w:val="left"/>
      <w:lvlText w:val="(%1)"/>
      <w:numFmt w:val="lowerLetter"/>
      <w:start w:val="6"/>
    </w:lvl>
  </w:abstractNum>
  <w:abstractNum w:abstractNumId="495">
    <w:nsid w:val="BD6D5B5"/>
    <w:multiLevelType w:val="hybridMultilevel"/>
    <w:lvl w:ilvl="0">
      <w:lvlJc w:val="left"/>
      <w:lvlText w:val="(%1)"/>
      <w:numFmt w:val="lowerLetter"/>
      <w:start w:val="8"/>
    </w:lvl>
  </w:abstractNum>
  <w:abstractNum w:abstractNumId="496">
    <w:nsid w:val="3B52115C"/>
    <w:multiLevelType w:val="hybridMultilevel"/>
    <w:lvl w:ilvl="0">
      <w:lvlJc w:val="left"/>
      <w:lvlText w:val="(%1)"/>
      <w:numFmt w:val="lowerLetter"/>
      <w:start w:val="3"/>
    </w:lvl>
  </w:abstractNum>
  <w:abstractNum w:abstractNumId="497">
    <w:nsid w:val="787AA59C"/>
    <w:multiLevelType w:val="hybridMultilevel"/>
    <w:lvl w:ilvl="0">
      <w:lvlJc w:val="left"/>
      <w:lvlText w:val="(%1)"/>
      <w:numFmt w:val="lowerLetter"/>
      <w:start w:val="1"/>
    </w:lvl>
  </w:abstractNum>
  <w:abstractNum w:abstractNumId="498">
    <w:nsid w:val="70BB9983"/>
    <w:multiLevelType w:val="hybridMultilevel"/>
    <w:lvl w:ilvl="0">
      <w:lvlJc w:val="left"/>
      <w:lvlText w:val="(%1)"/>
      <w:numFmt w:val="lowerLetter"/>
      <w:start w:val="3"/>
    </w:lvl>
  </w:abstractNum>
  <w:abstractNum w:abstractNumId="499">
    <w:nsid w:val="51EEBEEA"/>
    <w:multiLevelType w:val="hybridMultilevel"/>
    <w:lvl w:ilvl="0">
      <w:lvlJc w:val="left"/>
      <w:lvlText w:val="(%1)"/>
      <w:numFmt w:val="lowerLetter"/>
      <w:start w:val="7"/>
    </w:lvl>
  </w:abstractNum>
  <w:abstractNum w:abstractNumId="500">
    <w:nsid w:val="221A0CCD"/>
    <w:multiLevelType w:val="hybridMultilevel"/>
    <w:lvl w:ilvl="0">
      <w:lvlJc w:val="left"/>
      <w:lvlText w:val="(%1)"/>
      <w:numFmt w:val="lowerLetter"/>
      <w:start w:val="1"/>
    </w:lvl>
  </w:abstractNum>
  <w:abstractNum w:abstractNumId="501">
    <w:nsid w:val="1B7CA0ED"/>
    <w:multiLevelType w:val="hybridMultilevel"/>
    <w:lvl w:ilvl="0">
      <w:lvlJc w:val="left"/>
      <w:lvlText w:val="(%1)"/>
      <w:numFmt w:val="lowerLetter"/>
      <w:start w:val="2"/>
    </w:lvl>
    <w:lvl w:ilvl="1">
      <w:lvlJc w:val="left"/>
      <w:lvlText w:val="(%2)"/>
      <w:numFmt w:val="lowerRoman"/>
      <w:start w:val="1"/>
    </w:lvl>
  </w:abstractNum>
  <w:abstractNum w:abstractNumId="502">
    <w:nsid w:val="2395A7FF"/>
    <w:multiLevelType w:val="hybridMultilevel"/>
    <w:lvl w:ilvl="0">
      <w:lvlJc w:val="left"/>
      <w:lvlText w:val="(%1)"/>
      <w:numFmt w:val="lowerLetter"/>
      <w:start w:val="3"/>
    </w:lvl>
  </w:abstractNum>
  <w:abstractNum w:abstractNumId="503">
    <w:nsid w:val="3965EB66"/>
    <w:multiLevelType w:val="hybridMultilevel"/>
    <w:lvl w:ilvl="0">
      <w:lvlJc w:val="left"/>
      <w:lvlText w:val="(%1)"/>
      <w:numFmt w:val="lowerLetter"/>
      <w:start w:val="1"/>
    </w:lvl>
  </w:abstractNum>
  <w:abstractNum w:abstractNumId="504">
    <w:nsid w:val="3AA88B3C"/>
    <w:multiLevelType w:val="hybridMultilevel"/>
    <w:lvl w:ilvl="0">
      <w:lvlJc w:val="left"/>
      <w:lvlText w:val="(%1)"/>
      <w:numFmt w:val="lowerLetter"/>
      <w:start w:val="1"/>
    </w:lvl>
  </w:abstractNum>
  <w:abstractNum w:abstractNumId="505">
    <w:nsid w:val="26BAF231"/>
    <w:multiLevelType w:val="hybridMultilevel"/>
    <w:lvl w:ilvl="0">
      <w:lvlJc w:val="left"/>
      <w:lvlText w:val="(%1)"/>
      <w:numFmt w:val="lowerRoman"/>
      <w:start w:val="1"/>
    </w:lvl>
  </w:abstractNum>
  <w:abstractNum w:abstractNumId="506">
    <w:nsid w:val="4B13A15A"/>
    <w:multiLevelType w:val="hybridMultilevel"/>
    <w:lvl w:ilvl="0">
      <w:lvlJc w:val="left"/>
      <w:lvlText w:val="%1"/>
      <w:numFmt w:val="lowerLetter"/>
      <w:start w:val="1"/>
    </w:lvl>
    <w:lvl w:ilvl="1">
      <w:lvlJc w:val="left"/>
      <w:lvlText w:val="(%2)"/>
      <w:numFmt w:val="lowerRoman"/>
      <w:start w:val="1"/>
    </w:lvl>
  </w:abstractNum>
  <w:abstractNum w:abstractNumId="507">
    <w:nsid w:val="701E8A0D"/>
    <w:multiLevelType w:val="hybridMultilevel"/>
    <w:lvl w:ilvl="0">
      <w:lvlJc w:val="left"/>
      <w:lvlText w:val="(%1)"/>
      <w:numFmt w:val="lowerLetter"/>
      <w:start w:val="2"/>
    </w:lvl>
    <w:lvl w:ilvl="1">
      <w:lvlJc w:val="left"/>
      <w:lvlText w:val="(%2)"/>
      <w:numFmt w:val="lowerRoman"/>
      <w:start w:val="7"/>
    </w:lvl>
  </w:abstractNum>
  <w:abstractNum w:abstractNumId="508">
    <w:nsid w:val="41E690CF"/>
    <w:multiLevelType w:val="hybridMultilevel"/>
    <w:lvl w:ilvl="0">
      <w:lvlJc w:val="left"/>
      <w:lvlText w:val="%1"/>
      <w:numFmt w:val="upperLetter"/>
      <w:start w:val="1"/>
    </w:lvl>
    <w:lvl w:ilvl="1">
      <w:lvlJc w:val="left"/>
      <w:lvlText w:val="(%2)"/>
      <w:numFmt w:val="lowerRoman"/>
      <w:start w:val="9"/>
    </w:lvl>
  </w:abstractNum>
  <w:abstractNum w:abstractNumId="509">
    <w:nsid w:val="7C6489B6"/>
    <w:multiLevelType w:val="hybridMultilevel"/>
    <w:lvl w:ilvl="0">
      <w:lvlJc w:val="left"/>
      <w:lvlText w:val="(%1)"/>
      <w:numFmt w:val="upperLetter"/>
      <w:start w:val="2"/>
    </w:lvl>
    <w:lvl w:ilvl="1">
      <w:lvlJc w:val="left"/>
      <w:lvlText w:val="(%2)"/>
      <w:numFmt w:val="lowerRoman"/>
      <w:start w:val="14"/>
    </w:lvl>
  </w:abstractNum>
  <w:abstractNum w:abstractNumId="510">
    <w:nsid w:val="53AE65DE"/>
    <w:multiLevelType w:val="hybridMultilevel"/>
    <w:lvl w:ilvl="0">
      <w:lvlJc w:val="left"/>
      <w:lvlText w:val="(%1)"/>
      <w:numFmt w:val="lowerRoman"/>
      <w:start w:val="16"/>
    </w:lvl>
  </w:abstractNum>
  <w:abstractNum w:abstractNumId="511">
    <w:nsid w:val="527F603D"/>
    <w:multiLevelType w:val="hybridMultilevel"/>
    <w:lvl w:ilvl="0">
      <w:lvlJc w:val="left"/>
      <w:lvlText w:val="(%1)"/>
      <w:numFmt w:val="lowerRoman"/>
      <w:start w:val="23"/>
    </w:lvl>
  </w:abstractNum>
  <w:abstractNum w:abstractNumId="512">
    <w:nsid w:val="7E13D013"/>
    <w:multiLevelType w:val="hybridMultilevel"/>
    <w:lvl w:ilvl="0">
      <w:lvlJc w:val="left"/>
      <w:lvlText w:val="%1"/>
      <w:numFmt w:val="lowerLetter"/>
      <w:start w:val="1"/>
    </w:lvl>
    <w:lvl w:ilvl="1">
      <w:lvlJc w:val="left"/>
      <w:lvlText w:val="(%2)"/>
      <w:numFmt w:val="lowerRoman"/>
      <w:start w:val="30"/>
    </w:lvl>
  </w:abstractNum>
  <w:abstractNum w:abstractNumId="513">
    <w:nsid w:val="663BFE95"/>
    <w:multiLevelType w:val="hybridMultilevel"/>
    <w:lvl w:ilvl="0">
      <w:lvlJc w:val="left"/>
      <w:lvlText w:val="(%1)"/>
      <w:numFmt w:val="lowerLetter"/>
      <w:start w:val="2"/>
    </w:lvl>
    <w:lvl w:ilvl="1">
      <w:lvlJc w:val="left"/>
      <w:lvlText w:val="(%2)"/>
      <w:numFmt w:val="lowerRoman"/>
      <w:start w:val="33"/>
    </w:lvl>
  </w:abstractNum>
  <w:abstractNum w:abstractNumId="514">
    <w:nsid w:val="31E0986F"/>
    <w:multiLevelType w:val="hybridMultilevel"/>
    <w:lvl w:ilvl="0">
      <w:lvlJc w:val="left"/>
      <w:lvlText w:val="%1"/>
      <w:numFmt w:val="lowerLetter"/>
      <w:start w:val="1"/>
    </w:lvl>
    <w:lvl w:ilvl="1">
      <w:lvlJc w:val="left"/>
      <w:lvlText w:val="(%2)"/>
      <w:numFmt w:val="lowerRoman"/>
      <w:start w:val="36"/>
    </w:lvl>
  </w:abstractNum>
  <w:abstractNum w:abstractNumId="515">
    <w:nsid w:val="41FCF274"/>
    <w:multiLevelType w:val="hybridMultilevel"/>
    <w:lvl w:ilvl="0">
      <w:lvlJc w:val="left"/>
      <w:lvlText w:val="(%1)"/>
      <w:numFmt w:val="lowerLetter"/>
      <w:start w:val="2"/>
    </w:lvl>
    <w:lvl w:ilvl="1">
      <w:lvlJc w:val="left"/>
      <w:lvlText w:val="%2"/>
      <w:numFmt w:val="lowerRoman"/>
      <w:start w:val="1"/>
    </w:lvl>
  </w:abstractNum>
  <w:abstractNum w:abstractNumId="516">
    <w:nsid w:val="294614F7"/>
    <w:multiLevelType w:val="hybridMultilevel"/>
    <w:lvl w:ilvl="0">
      <w:lvlJc w:val="left"/>
      <w:lvlText w:val="(%1)"/>
      <w:numFmt w:val="decimal"/>
      <w:start w:val="1"/>
    </w:lvl>
    <w:lvl w:ilvl="1">
      <w:lvlJc w:val="left"/>
      <w:lvlText w:val="(%2)"/>
      <w:numFmt w:val="lowerLetter"/>
      <w:start w:val="1"/>
    </w:lvl>
  </w:abstractNum>
  <w:abstractNum w:abstractNumId="517">
    <w:nsid w:val="517DF487"/>
    <w:multiLevelType w:val="hybridMultilevel"/>
    <w:lvl w:ilvl="0">
      <w:lvlJc w:val="left"/>
      <w:lvlText w:val="%1"/>
      <w:numFmt w:val="decimal"/>
      <w:start w:val="1"/>
    </w:lvl>
    <w:lvl w:ilvl="1">
      <w:lvlJc w:val="left"/>
      <w:lvlText w:val="(%2)"/>
      <w:numFmt w:val="lowerLetter"/>
      <w:start w:val="2"/>
    </w:lvl>
  </w:abstractNum>
  <w:abstractNum w:abstractNumId="518">
    <w:nsid w:val="5EBE0EAB"/>
    <w:multiLevelType w:val="hybridMultilevel"/>
    <w:lvl w:ilvl="0">
      <w:lvlJc w:val="left"/>
      <w:lvlText w:val="(%1)"/>
      <w:numFmt w:val="decimal"/>
      <w:start w:val="3"/>
    </w:lvl>
    <w:lvl w:ilvl="1">
      <w:lvlJc w:val="left"/>
      <w:lvlText w:val="%2"/>
      <w:numFmt w:val="lowerLetter"/>
      <w:start w:val="1"/>
    </w:lvl>
  </w:abstractNum>
  <w:abstractNum w:abstractNumId="519">
    <w:nsid w:val="6E9DEAD0"/>
    <w:multiLevelType w:val="hybridMultilevel"/>
    <w:lvl w:ilvl="0">
      <w:lvlJc w:val="left"/>
      <w:lvlText w:val="(%1)"/>
      <w:numFmt w:val="decimal"/>
      <w:start w:val="7"/>
    </w:lvl>
  </w:abstractNum>
  <w:abstractNum w:abstractNumId="520">
    <w:nsid w:val="4450AA00"/>
    <w:multiLevelType w:val="hybridMultilevel"/>
    <w:lvl w:ilvl="0">
      <w:lvlJc w:val="left"/>
      <w:lvlText w:val="%1."/>
      <w:numFmt w:val="decimal"/>
      <w:start w:val="1"/>
    </w:lvl>
  </w:abstractNum>
  <w:abstractNum w:abstractNumId="521">
    <w:nsid w:val="4AC9F3E2"/>
    <w:multiLevelType w:val="hybridMultilevel"/>
    <w:lvl w:ilvl="0">
      <w:lvlJc w:val="left"/>
      <w:lvlText w:val="%1."/>
      <w:numFmt w:val="decimal"/>
      <w:start w:val="4"/>
    </w:lvl>
  </w:abstractNum>
  <w:abstractNum w:abstractNumId="522">
    <w:nsid w:val="CC0A782"/>
    <w:multiLevelType w:val="hybridMultilevel"/>
    <w:lvl w:ilvl="0">
      <w:lvlJc w:val="left"/>
      <w:lvlText w:val="(%1)"/>
      <w:numFmt w:val="lowerLetter"/>
      <w:start w:val="1"/>
    </w:lvl>
  </w:abstractNum>
  <w:abstractNum w:abstractNumId="523">
    <w:nsid w:val="79B69BC9"/>
    <w:multiLevelType w:val="hybridMultilevel"/>
    <w:lvl w:ilvl="0">
      <w:lvlJc w:val="left"/>
      <w:lvlText w:val="(%1)"/>
      <w:numFmt w:val="lowerLetter"/>
      <w:start w:val="1"/>
    </w:lvl>
  </w:abstractNum>
  <w:abstractNum w:abstractNumId="524">
    <w:nsid w:val="2970CC78"/>
    <w:multiLevelType w:val="hybridMultilevel"/>
    <w:lvl w:ilvl="0">
      <w:lvlJc w:val="left"/>
      <w:lvlText w:val="(%1)"/>
      <w:numFmt w:val="lowerLetter"/>
      <w:start w:val="9"/>
    </w:lvl>
    <w:lvl w:ilvl="1">
      <w:lvlJc w:val="left"/>
      <w:lvlText w:val="(%2)"/>
      <w:numFmt w:val="lowerLetter"/>
      <w:start w:val="1"/>
    </w:lvl>
  </w:abstractNum>
  <w:abstractNum w:abstractNumId="525">
    <w:nsid w:val="49CA1341"/>
    <w:multiLevelType w:val="hybridMultilevel"/>
    <w:lvl w:ilvl="0">
      <w:lvlJc w:val="left"/>
      <w:lvlText w:val="(%1)"/>
      <w:numFmt w:val="lowerRoman"/>
      <w:start w:val="2"/>
    </w:lvl>
  </w:abstractNum>
  <w:abstractNum w:abstractNumId="526">
    <w:nsid w:val="58D717E"/>
    <w:multiLevelType w:val="hybridMultilevel"/>
    <w:lvl w:ilvl="0">
      <w:lvlJc w:val="left"/>
      <w:lvlText w:val="(%1)"/>
      <w:numFmt w:val="lowerRoman"/>
      <w:start w:val="1"/>
    </w:lvl>
  </w:abstractNum>
  <w:abstractNum w:abstractNumId="527">
    <w:nsid w:val="64C2DDD5"/>
    <w:multiLevelType w:val="hybridMultilevel"/>
    <w:lvl w:ilvl="0">
      <w:lvlJc w:val="left"/>
      <w:lvlText w:val="(%1)"/>
      <w:numFmt w:val="lowerRoman"/>
      <w:start w:val="1"/>
    </w:lvl>
  </w:abstractNum>
  <w:abstractNum w:abstractNumId="528">
    <w:nsid w:val="4244B8DE"/>
    <w:multiLevelType w:val="hybridMultilevel"/>
    <w:lvl w:ilvl="0">
      <w:lvlJc w:val="left"/>
      <w:lvlText w:val="(%1)"/>
      <w:numFmt w:val="lowerRoman"/>
      <w:start w:val="10"/>
    </w:lvl>
  </w:abstractNum>
  <w:abstractNum w:abstractNumId="529">
    <w:nsid w:val="76490B01"/>
    <w:multiLevelType w:val="hybridMultilevel"/>
    <w:lvl w:ilvl="0">
      <w:lvlJc w:val="left"/>
      <w:lvlText w:val="(%1)"/>
      <w:numFmt w:val="lowerLetter"/>
      <w:start w:val="1"/>
    </w:lvl>
  </w:abstractNum>
  <w:abstractNum w:abstractNumId="530">
    <w:nsid w:val="36B19CBF"/>
    <w:multiLevelType w:val="hybridMultilevel"/>
    <w:lvl w:ilvl="0">
      <w:lvlJc w:val="left"/>
      <w:lvlText w:val="(%1)"/>
      <w:numFmt w:val="lowerLetter"/>
      <w:start w:val="1"/>
    </w:lvl>
  </w:abstractNum>
  <w:abstractNum w:abstractNumId="531">
    <w:nsid w:val="645EC5AB"/>
    <w:multiLevelType w:val="hybridMultilevel"/>
    <w:lvl w:ilvl="0">
      <w:lvlJc w:val="left"/>
      <w:lvlText w:val="(%1)"/>
      <w:numFmt w:val="lowerLetter"/>
      <w:start w:val="1"/>
    </w:lvl>
  </w:abstractNum>
  <w:abstractNum w:abstractNumId="532">
    <w:nsid w:val="11C5ABEF"/>
    <w:multiLevelType w:val="hybridMultilevel"/>
    <w:lvl w:ilvl="0">
      <w:lvlJc w:val="left"/>
      <w:lvlText w:val="(%1)"/>
      <w:numFmt w:val="lowerLetter"/>
      <w:start w:val="3"/>
    </w:lvl>
  </w:abstractNum>
  <w:abstractNum w:abstractNumId="533">
    <w:nsid w:val="5A4744BE"/>
    <w:multiLevelType w:val="hybridMultilevel"/>
    <w:lvl w:ilvl="0">
      <w:lvlJc w:val="left"/>
      <w:lvlText w:val="(%1)"/>
      <w:numFmt w:val="lowerLetter"/>
      <w:start w:val="1"/>
    </w:lvl>
  </w:abstractNum>
  <w:abstractNum w:abstractNumId="534">
    <w:nsid w:val="1DC4B111"/>
    <w:multiLevelType w:val="hybridMultilevel"/>
    <w:lvl w:ilvl="0">
      <w:lvlJc w:val="left"/>
      <w:lvlText w:val="(%1)"/>
      <w:numFmt w:val="lowerRoman"/>
      <w:start w:val="2"/>
    </w:lvl>
  </w:abstractNum>
  <w:abstractNum w:abstractNumId="535">
    <w:nsid w:val="4C6E372B"/>
    <w:multiLevelType w:val="hybridMultilevel"/>
    <w:lvl w:ilvl="0">
      <w:lvlJc w:val="left"/>
      <w:lvlText w:val="(%1)"/>
      <w:numFmt w:val="lowerRoman"/>
      <w:start w:val="4"/>
    </w:lvl>
  </w:abstractNum>
  <w:abstractNum w:abstractNumId="536">
    <w:nsid w:val="10236EF"/>
    <w:multiLevelType w:val="hybridMultilevel"/>
    <w:lvl w:ilvl="0">
      <w:lvlJc w:val="left"/>
      <w:lvlText w:val="%1."/>
      <w:numFmt w:val="decimal"/>
      <w:start w:val="1"/>
    </w:lvl>
  </w:abstractNum>
  <w:abstractNum w:abstractNumId="537">
    <w:nsid w:val="68D8526B"/>
    <w:multiLevelType w:val="hybridMultilevel"/>
    <w:lvl w:ilvl="0">
      <w:lvlJc w:val="left"/>
      <w:lvlText w:val="%1."/>
      <w:numFmt w:val="decimal"/>
      <w:start w:val="4"/>
    </w:lvl>
  </w:abstractNum>
  <w:abstractNum w:abstractNumId="538">
    <w:nsid w:val="3C8CC138"/>
    <w:multiLevelType w:val="hybridMultilevel"/>
    <w:lvl w:ilvl="0">
      <w:lvlJc w:val="left"/>
      <w:lvlText w:val="(%1)"/>
      <w:numFmt w:val="decimal"/>
      <w:start w:val="1"/>
    </w:lvl>
  </w:abstractNum>
  <w:abstractNum w:abstractNumId="539">
    <w:nsid w:val="42E8C7BE"/>
    <w:multiLevelType w:val="hybridMultilevel"/>
    <w:lvl w:ilvl="0">
      <w:lvlJc w:val="left"/>
      <w:lvlText w:val="%1."/>
      <w:numFmt w:val="decimal"/>
      <w:start w:val="1"/>
    </w:lvl>
  </w:abstractNum>
  <w:abstractNum w:abstractNumId="540">
    <w:nsid w:val="653CDC22"/>
    <w:multiLevelType w:val="hybridMultilevel"/>
    <w:lvl w:ilvl="0">
      <w:lvlJc w:val="left"/>
      <w:lvlText w:val="(%1)"/>
      <w:numFmt w:val="lowerLetter"/>
      <w:start w:val="1"/>
    </w:lvl>
  </w:abstractNum>
  <w:abstractNum w:abstractNumId="541">
    <w:nsid w:val="103B2716"/>
    <w:multiLevelType w:val="hybridMultilevel"/>
    <w:lvl w:ilvl="0">
      <w:lvlJc w:val="left"/>
      <w:lvlText w:val="(%1)"/>
      <w:numFmt w:val="lowerRoman"/>
      <w:start w:val="1"/>
    </w:lvl>
  </w:abstractNum>
  <w:abstractNum w:abstractNumId="542">
    <w:nsid w:val="156827FB"/>
    <w:multiLevelType w:val="hybridMultilevel"/>
    <w:lvl w:ilvl="0">
      <w:lvlJc w:val="left"/>
      <w:lvlText w:val="(%1)"/>
      <w:numFmt w:val="lowerLetter"/>
      <w:start w:val="1"/>
    </w:lvl>
  </w:abstractNum>
  <w:abstractNum w:abstractNumId="543">
    <w:nsid w:val="6350AC35"/>
    <w:multiLevelType w:val="hybridMultilevel"/>
    <w:lvl w:ilvl="0">
      <w:lvlJc w:val="left"/>
      <w:lvlText w:val="(%1)"/>
      <w:numFmt w:val="lowerLetter"/>
      <w:start w:val="2"/>
    </w:lvl>
    <w:lvl w:ilvl="1">
      <w:lvlJc w:val="left"/>
      <w:lvlText w:val="(%2)"/>
      <w:numFmt w:val="lowerRoman"/>
      <w:start w:val="1"/>
    </w:lvl>
  </w:abstractNum>
  <w:abstractNum w:abstractNumId="544">
    <w:nsid w:val="767725AB"/>
    <w:multiLevelType w:val="hybridMultilevel"/>
    <w:lvl w:ilvl="0">
      <w:lvlJc w:val="left"/>
      <w:lvlText w:val="(%1)"/>
      <w:numFmt w:val="lowerLetter"/>
      <w:start w:val="1"/>
    </w:lvl>
  </w:abstractNum>
  <w:abstractNum w:abstractNumId="545">
    <w:nsid w:val="4748C06A"/>
    <w:multiLevelType w:val="hybridMultilevel"/>
    <w:lvl w:ilvl="0">
      <w:lvlJc w:val="left"/>
      <w:lvlText w:val="(%1)"/>
      <w:numFmt w:val="lowerLetter"/>
      <w:start w:val="2"/>
    </w:lvl>
  </w:abstractNum>
  <w:abstractNum w:abstractNumId="546">
    <w:nsid w:val="254D9EA9"/>
    <w:multiLevelType w:val="hybridMultilevel"/>
    <w:lvl w:ilvl="0">
      <w:lvlJc w:val="left"/>
      <w:lvlText w:val="(%1)"/>
      <w:numFmt w:val="lowerLetter"/>
      <w:start w:val="1"/>
    </w:lvl>
  </w:abstractNum>
  <w:abstractNum w:abstractNumId="547">
    <w:nsid w:val="1FBD3AA3"/>
    <w:multiLevelType w:val="hybridMultilevel"/>
    <w:lvl w:ilvl="0">
      <w:lvlJc w:val="left"/>
      <w:lvlText w:val="(%1)"/>
      <w:numFmt w:val="lowerLetter"/>
      <w:start w:val="1"/>
    </w:lvl>
  </w:abstractNum>
  <w:abstractNum w:abstractNumId="548">
    <w:nsid w:val="18C6B4F2"/>
    <w:multiLevelType w:val="hybridMultilevel"/>
    <w:lvl w:ilvl="0">
      <w:lvlJc w:val="left"/>
      <w:lvlText w:val="(%1)"/>
      <w:numFmt w:val="lowerLetter"/>
      <w:start w:val="2"/>
    </w:lvl>
  </w:abstractNum>
  <w:abstractNum w:abstractNumId="549">
    <w:nsid w:val="40BAD55"/>
    <w:multiLevelType w:val="hybridMultilevel"/>
    <w:lvl w:ilvl="0">
      <w:lvlJc w:val="left"/>
      <w:lvlText w:val="(%1)"/>
      <w:numFmt w:val="lowerLetter"/>
      <w:start w:val="4"/>
    </w:lvl>
  </w:abstractNum>
  <w:abstractNum w:abstractNumId="550">
    <w:nsid w:val="E5B2573"/>
    <w:multiLevelType w:val="hybridMultilevel"/>
    <w:lvl w:ilvl="0">
      <w:lvlJc w:val="left"/>
      <w:lvlText w:val="(%1)"/>
      <w:numFmt w:val="lowerLetter"/>
      <w:start w:val="1"/>
    </w:lvl>
  </w:abstractNum>
  <w:abstractNum w:abstractNumId="551">
    <w:nsid w:val="5D175EF2"/>
    <w:multiLevelType w:val="hybridMultilevel"/>
    <w:lvl w:ilvl="0">
      <w:lvlJc w:val="left"/>
      <w:lvlText w:val="(%1)"/>
      <w:numFmt w:val="lowerLetter"/>
      <w:start w:val="1"/>
    </w:lvl>
  </w:abstractNum>
  <w:abstractNum w:abstractNumId="552">
    <w:nsid w:val="4ED5A137"/>
    <w:multiLevelType w:val="hybridMultilevel"/>
    <w:lvl w:ilvl="0">
      <w:lvlJc w:val="left"/>
      <w:lvlText w:val="(%1)"/>
      <w:numFmt w:val="lowerLetter"/>
      <w:start w:val="3"/>
    </w:lvl>
  </w:abstractNum>
  <w:abstractNum w:abstractNumId="553">
    <w:nsid w:val="1B1BCCF5"/>
    <w:multiLevelType w:val="hybridMultilevel"/>
    <w:lvl w:ilvl="0">
      <w:lvlJc w:val="left"/>
      <w:lvlText w:val="(%1)"/>
      <w:numFmt w:val="lowerLetter"/>
      <w:start w:val="1"/>
    </w:lvl>
  </w:abstractNum>
  <w:abstractNum w:abstractNumId="554">
    <w:nsid w:val="56CDFABB"/>
    <w:multiLevelType w:val="hybridMultilevel"/>
    <w:lvl w:ilvl="0">
      <w:lvlJc w:val="left"/>
      <w:lvlText w:val="(%1)"/>
      <w:numFmt w:val="lowerLetter"/>
      <w:start w:val="5"/>
    </w:lvl>
  </w:abstractNum>
  <w:abstractNum w:abstractNumId="555">
    <w:nsid w:val="78466DAF"/>
    <w:multiLevelType w:val="hybridMultilevel"/>
    <w:lvl w:ilvl="0">
      <w:lvlJc w:val="left"/>
      <w:lvlText w:val="(%1)"/>
      <w:numFmt w:val="lowerLetter"/>
      <w:start w:val="1"/>
    </w:lvl>
    <w:lvl w:ilvl="1">
      <w:lvlJc w:val="left"/>
      <w:lvlText w:val="(%2)"/>
      <w:numFmt w:val="lowerRoman"/>
      <w:start w:val="1"/>
    </w:lvl>
  </w:abstractNum>
  <w:abstractNum w:abstractNumId="556">
    <w:nsid w:val="64E5E036"/>
    <w:multiLevelType w:val="hybridMultilevel"/>
    <w:lvl w:ilvl="0">
      <w:lvlJc w:val="left"/>
      <w:lvlText w:val="(%1)"/>
      <w:numFmt w:val="lowerRoman"/>
      <w:start w:val="3"/>
    </w:lvl>
  </w:abstractNum>
  <w:abstractNum w:abstractNumId="557">
    <w:nsid w:val="5C5B6C3A"/>
    <w:multiLevelType w:val="hybridMultilevel"/>
    <w:lvl w:ilvl="0">
      <w:lvlJc w:val="left"/>
      <w:lvlText w:val="(%1)"/>
      <w:numFmt w:val="lowerLetter"/>
      <w:start w:val="1"/>
    </w:lvl>
  </w:abstractNum>
  <w:abstractNum w:abstractNumId="558">
    <w:nsid w:val="5D094B84"/>
    <w:multiLevelType w:val="hybridMultilevel"/>
    <w:lvl w:ilvl="0">
      <w:lvlJc w:val="left"/>
      <w:lvlText w:val="(%1)"/>
      <w:numFmt w:val="lowerLetter"/>
      <w:start w:val="2"/>
    </w:lvl>
  </w:abstractNum>
  <w:abstractNum w:abstractNumId="559">
    <w:nsid w:val="272A9914"/>
    <w:multiLevelType w:val="hybridMultilevel"/>
    <w:lvl w:ilvl="0">
      <w:lvlJc w:val="left"/>
      <w:lvlText w:val="(%1)"/>
      <w:numFmt w:val="lowerLetter"/>
      <w:start w:val="1"/>
    </w:lvl>
  </w:abstractNum>
  <w:abstractNum w:abstractNumId="560">
    <w:nsid w:val="52A4773B"/>
    <w:multiLevelType w:val="hybridMultilevel"/>
    <w:lvl w:ilvl="0">
      <w:lvlJc w:val="left"/>
      <w:lvlText w:val="(%1)"/>
      <w:numFmt w:val="lowerLetter"/>
      <w:start w:val="2"/>
    </w:lvl>
  </w:abstractNum>
  <w:abstractNum w:abstractNumId="561">
    <w:nsid w:val="13BAE843"/>
    <w:multiLevelType w:val="hybridMultilevel"/>
    <w:lvl w:ilvl="0">
      <w:lvlJc w:val="left"/>
      <w:lvlText w:val="(%1)"/>
      <w:numFmt w:val="lowerLetter"/>
      <w:start w:val="1"/>
    </w:lvl>
  </w:abstractNum>
  <w:abstractNum w:abstractNumId="562">
    <w:nsid w:val="B895EBF"/>
    <w:multiLevelType w:val="hybridMultilevel"/>
    <w:lvl w:ilvl="0">
      <w:lvlJc w:val="left"/>
      <w:lvlText w:val="(%1)"/>
      <w:numFmt w:val="lowerLetter"/>
      <w:start w:val="3"/>
    </w:lvl>
  </w:abstractNum>
  <w:abstractNum w:abstractNumId="563">
    <w:nsid w:val="646A232A"/>
    <w:multiLevelType w:val="hybridMultilevel"/>
    <w:lvl w:ilvl="0">
      <w:lvlJc w:val="left"/>
      <w:lvlText w:val="(%1)"/>
      <w:numFmt w:val="lowerLetter"/>
      <w:start w:val="1"/>
    </w:lvl>
  </w:abstractNum>
  <w:abstractNum w:abstractNumId="564">
    <w:nsid w:val="6E022D01"/>
    <w:multiLevelType w:val="hybridMultilevel"/>
    <w:lvl w:ilvl="0">
      <w:lvlJc w:val="left"/>
      <w:lvlText w:val="(%1)"/>
      <w:numFmt w:val="lowerLetter"/>
      <w:start w:val="6"/>
    </w:lvl>
  </w:abstractNum>
  <w:abstractNum w:abstractNumId="565">
    <w:nsid w:val="294E0FD0"/>
    <w:multiLevelType w:val="hybridMultilevel"/>
    <w:lvl w:ilvl="0">
      <w:lvlJc w:val="left"/>
      <w:lvlText w:val="(%1)"/>
      <w:numFmt w:val="lowerLetter"/>
      <w:start w:val="1"/>
    </w:lvl>
  </w:abstractNum>
  <w:abstractNum w:abstractNumId="566">
    <w:nsid w:val="30D85A55"/>
    <w:multiLevelType w:val="hybridMultilevel"/>
    <w:lvl w:ilvl="0">
      <w:lvlJc w:val="left"/>
      <w:lvlText w:val="(%1)"/>
      <w:numFmt w:val="lowerLetter"/>
      <w:start w:val="4"/>
    </w:lvl>
  </w:abstractNum>
  <w:abstractNum w:abstractNumId="567">
    <w:nsid w:val="6F0463F1"/>
    <w:multiLevelType w:val="hybridMultilevel"/>
    <w:lvl w:ilvl="0">
      <w:lvlJc w:val="left"/>
      <w:lvlText w:val="(%1)"/>
      <w:numFmt w:val="lowerLetter"/>
      <w:start w:val="7"/>
    </w:lvl>
  </w:abstractNum>
  <w:abstractNum w:abstractNumId="568">
    <w:nsid w:val="1226623C"/>
    <w:multiLevelType w:val="hybridMultilevel"/>
    <w:lvl w:ilvl="0">
      <w:lvlJc w:val="left"/>
      <w:lvlText w:val="(%1)"/>
      <w:numFmt w:val="lowerLetter"/>
      <w:start w:val="1"/>
    </w:lvl>
    <w:lvl w:ilvl="1">
      <w:lvlJc w:val="left"/>
      <w:lvlText w:val="(%2)"/>
      <w:numFmt w:val="lowerRoman"/>
      <w:start w:val="1"/>
    </w:lvl>
  </w:abstractNum>
  <w:abstractNum w:abstractNumId="569">
    <w:nsid w:val="6D651B8D"/>
    <w:multiLevelType w:val="hybridMultilevel"/>
    <w:lvl w:ilvl="0">
      <w:lvlJc w:val="left"/>
      <w:lvlText w:val="%1"/>
      <w:numFmt w:val="lowerLetter"/>
      <w:start w:val="1"/>
    </w:lvl>
    <w:lvl w:ilvl="1">
      <w:lvlJc w:val="left"/>
      <w:lvlText w:val="(%2)"/>
      <w:numFmt w:val="lowerRoman"/>
      <w:start w:val="4"/>
    </w:lvl>
  </w:abstractNum>
  <w:abstractNum w:abstractNumId="570">
    <w:nsid w:val="31ED2BAF"/>
    <w:multiLevelType w:val="hybridMultilevel"/>
    <w:lvl w:ilvl="0">
      <w:lvlJc w:val="left"/>
      <w:lvlText w:val="(%1)"/>
      <w:numFmt w:val="lowerLetter"/>
      <w:start w:val="2"/>
    </w:lvl>
    <w:lvl w:ilvl="1">
      <w:lvlJc w:val="left"/>
      <w:lvlText w:val="%2"/>
      <w:numFmt w:val="lowerRoman"/>
      <w:start w:val="1"/>
    </w:lvl>
  </w:abstractNum>
  <w:abstractNum w:abstractNumId="571">
    <w:nsid w:val="77633E5E"/>
    <w:multiLevelType w:val="hybridMultilevel"/>
    <w:lvl w:ilvl="0">
      <w:lvlJc w:val="left"/>
      <w:lvlText w:val="(%1)"/>
      <w:numFmt w:val="lowerLetter"/>
      <w:start w:val="3"/>
    </w:lvl>
  </w:abstractNum>
  <w:abstractNum w:abstractNumId="572">
    <w:nsid w:val="7DA042A3"/>
    <w:multiLevelType w:val="hybridMultilevel"/>
    <w:lvl w:ilvl="0">
      <w:lvlJc w:val="left"/>
      <w:lvlText w:val="(%1)"/>
      <w:numFmt w:val="lowerLetter"/>
      <w:start w:val="1"/>
    </w:lvl>
  </w:abstractNum>
  <w:abstractNum w:abstractNumId="573">
    <w:nsid w:val="475553AB"/>
    <w:multiLevelType w:val="hybridMultilevel"/>
    <w:lvl w:ilvl="0">
      <w:lvlJc w:val="left"/>
      <w:lvlText w:val="(%1)"/>
      <w:numFmt w:val="lowerLetter"/>
      <w:start w:val="3"/>
    </w:lvl>
    <w:lvl w:ilvl="1">
      <w:lvlJc w:val="left"/>
      <w:lvlText w:val="(%2)"/>
      <w:numFmt w:val="lowerRoman"/>
      <w:start w:val="1"/>
    </w:lvl>
  </w:abstractNum>
  <w:abstractNum w:abstractNumId="574">
    <w:nsid w:val="5AB3EA93"/>
    <w:multiLevelType w:val="hybridMultilevel"/>
    <w:lvl w:ilvl="0">
      <w:lvlJc w:val="left"/>
      <w:lvlText w:val="(%1)"/>
      <w:numFmt w:val="lowerLetter"/>
      <w:start w:val="7"/>
    </w:lvl>
  </w:abstractNum>
  <w:abstractNum w:abstractNumId="575">
    <w:nsid w:val="7417684F"/>
    <w:multiLevelType w:val="hybridMultilevel"/>
    <w:lvl w:ilvl="0">
      <w:lvlJc w:val="left"/>
      <w:lvlText w:val="(%1)"/>
      <w:numFmt w:val="lowerLetter"/>
      <w:start w:val="12"/>
    </w:lvl>
  </w:abstractNum>
  <w:abstractNum w:abstractNumId="576">
    <w:nsid w:val="E9E1415"/>
    <w:multiLevelType w:val="hybridMultilevel"/>
    <w:lvl w:ilvl="0">
      <w:lvlJc w:val="left"/>
      <w:lvlText w:val="(%1)"/>
      <w:numFmt w:val="lowerLetter"/>
      <w:start w:val="15"/>
    </w:lvl>
  </w:abstractNum>
  <w:abstractNum w:abstractNumId="577">
    <w:nsid w:val="1893D"/>
    <w:multiLevelType w:val="hybridMultilevel"/>
    <w:lvl w:ilvl="0">
      <w:lvlJc w:val="left"/>
      <w:lvlText w:val="(%1)"/>
      <w:numFmt w:val="lowerLetter"/>
      <w:start w:val="16"/>
    </w:lvl>
  </w:abstractNum>
  <w:abstractNum w:abstractNumId="578">
    <w:nsid w:val="13D4A2F2"/>
    <w:multiLevelType w:val="hybridMultilevel"/>
    <w:lvl w:ilvl="0">
      <w:lvlJc w:val="left"/>
      <w:lvlText w:val="(%1)"/>
      <w:numFmt w:val="lowerLetter"/>
      <w:start w:val="1"/>
    </w:lvl>
  </w:abstractNum>
  <w:abstractNum w:abstractNumId="579">
    <w:nsid w:val="2764C907"/>
    <w:multiLevelType w:val="hybridMultilevel"/>
    <w:lvl w:ilvl="0">
      <w:lvlJc w:val="left"/>
      <w:lvlText w:val="(%1)"/>
      <w:numFmt w:val="lowerLetter"/>
      <w:start w:val="5"/>
    </w:lvl>
  </w:abstractNum>
  <w:abstractNum w:abstractNumId="580">
    <w:nsid w:val="40D3692"/>
    <w:multiLevelType w:val="hybridMultilevel"/>
    <w:lvl w:ilvl="0">
      <w:lvlJc w:val="left"/>
      <w:lvlText w:val="(%1)"/>
      <w:numFmt w:val="lowerLetter"/>
      <w:start w:val="1"/>
    </w:lvl>
    <w:lvl w:ilvl="1">
      <w:lvlJc w:val="left"/>
      <w:lvlText w:val="(%2)"/>
      <w:numFmt w:val="lowerRoman"/>
      <w:start w:val="1"/>
    </w:lvl>
  </w:abstractNum>
  <w:abstractNum w:abstractNumId="581">
    <w:nsid w:val="222FC865"/>
    <w:multiLevelType w:val="hybridMultilevel"/>
    <w:lvl w:ilvl="0">
      <w:lvlJc w:val="left"/>
      <w:lvlText w:val="(%1)"/>
      <w:numFmt w:val="lowerLetter"/>
      <w:start w:val="3"/>
    </w:lvl>
  </w:abstractNum>
  <w:abstractNum w:abstractNumId="582">
    <w:nsid w:val="47C27FA"/>
    <w:multiLevelType w:val="hybridMultilevel"/>
    <w:lvl w:ilvl="0">
      <w:lvlJc w:val="left"/>
      <w:lvlText w:val="%1"/>
      <w:numFmt w:val="upperLetter"/>
      <w:start w:val="1"/>
    </w:lvl>
    <w:lvl w:ilvl="1">
      <w:lvlJc w:val="left"/>
      <w:lvlText w:val="(%2)"/>
      <w:numFmt w:val="lowerLetter"/>
      <w:start w:val="1"/>
    </w:lvl>
  </w:abstractNum>
  <w:abstractNum w:abstractNumId="583">
    <w:nsid w:val="52E2D7C9"/>
    <w:multiLevelType w:val="hybridMultilevel"/>
    <w:lvl w:ilvl="0">
      <w:lvlJc w:val="left"/>
      <w:lvlText w:val="(%1)"/>
      <w:numFmt w:val="upperLetter"/>
      <w:start w:val="1"/>
    </w:lvl>
    <w:lvl w:ilvl="1">
      <w:lvlJc w:val="left"/>
      <w:lvlText w:val="(%2)"/>
      <w:numFmt w:val="lowerLetter"/>
      <w:start w:val="3"/>
    </w:lvl>
  </w:abstractNum>
  <w:abstractNum w:abstractNumId="584">
    <w:nsid w:val="3D4B955A"/>
    <w:multiLevelType w:val="hybridMultilevel"/>
    <w:lvl w:ilvl="0">
      <w:lvlJc w:val="left"/>
      <w:lvlText w:val="(%1)"/>
      <w:numFmt w:val="lowerLetter"/>
      <w:start w:val="4"/>
    </w:lvl>
  </w:abstractNum>
  <w:abstractNum w:abstractNumId="585">
    <w:nsid w:val="5B4A22B5"/>
    <w:multiLevelType w:val="hybridMultilevel"/>
    <w:lvl w:ilvl="0">
      <w:lvlJc w:val="left"/>
      <w:lvlText w:val="(%1)"/>
      <w:numFmt w:val="lowerLetter"/>
      <w:start w:val="1"/>
    </w:lvl>
  </w:abstractNum>
  <w:abstractNum w:abstractNumId="586">
    <w:nsid w:val="4B294578"/>
    <w:multiLevelType w:val="hybridMultilevel"/>
    <w:lvl w:ilvl="0">
      <w:lvlJc w:val="left"/>
      <w:lvlText w:val="%1"/>
      <w:numFmt w:val="lowerLetter"/>
      <w:start w:val="1"/>
    </w:lvl>
    <w:lvl w:ilvl="1">
      <w:lvlJc w:val="left"/>
      <w:lvlText w:val="(%2)"/>
      <w:numFmt w:val="lowerLetter"/>
      <w:start w:val="1"/>
    </w:lvl>
  </w:abstractNum>
  <w:abstractNum w:abstractNumId="587">
    <w:nsid w:val="22317590"/>
    <w:multiLevelType w:val="hybridMultilevel"/>
    <w:lvl w:ilvl="0">
      <w:lvlJc w:val="left"/>
      <w:lvlText w:val="(%1)"/>
      <w:numFmt w:val="lowerLetter"/>
      <w:start w:val="9"/>
    </w:lvl>
    <w:lvl w:ilvl="1">
      <w:lvlJc w:val="left"/>
      <w:lvlText w:val="(%2)"/>
      <w:numFmt w:val="lowerLetter"/>
      <w:start w:val="5"/>
    </w:lvl>
  </w:abstractNum>
  <w:abstractNum w:abstractNumId="588">
    <w:nsid w:val="37A58EEF"/>
    <w:multiLevelType w:val="hybridMultilevel"/>
    <w:lvl w:ilvl="0">
      <w:lvlJc w:val="left"/>
      <w:lvlText w:val="(%1)"/>
      <w:numFmt w:val="lowerLetter"/>
      <w:start w:val="6"/>
    </w:lvl>
  </w:abstractNum>
  <w:abstractNum w:abstractNumId="589">
    <w:nsid w:val="283290FD"/>
    <w:multiLevelType w:val="hybridMultilevel"/>
    <w:lvl w:ilvl="0">
      <w:lvlJc w:val="left"/>
      <w:lvlText w:val="(%1)"/>
      <w:numFmt w:val="lowerLetter"/>
      <w:start w:val="12"/>
    </w:lvl>
  </w:abstractNum>
  <w:abstractNum w:abstractNumId="590">
    <w:nsid w:val="495C0EA5"/>
    <w:multiLevelType w:val="hybridMultilevel"/>
    <w:lvl w:ilvl="0">
      <w:lvlJc w:val="left"/>
      <w:lvlText w:val="(%1)"/>
      <w:numFmt w:val="lowerLetter"/>
      <w:start w:val="17"/>
    </w:lvl>
  </w:abstractNum>
  <w:abstractNum w:abstractNumId="591">
    <w:nsid w:val="A4A062B"/>
    <w:multiLevelType w:val="hybridMultilevel"/>
    <w:lvl w:ilvl="0">
      <w:lvlJc w:val="left"/>
      <w:lvlText w:val="(%1)"/>
      <w:numFmt w:val="lowerLetter"/>
      <w:start w:val="24"/>
    </w:lvl>
  </w:abstractNum>
  <w:abstractNum w:abstractNumId="592">
    <w:nsid w:val="3BED7940"/>
    <w:multiLevelType w:val="hybridMultilevel"/>
    <w:lvl w:ilvl="0">
      <w:lvlJc w:val="left"/>
      <w:lvlText w:val="(%1)"/>
      <w:numFmt w:val="lowerLetter"/>
      <w:start w:val="27"/>
    </w:lvl>
  </w:abstractNum>
  <w:abstractNum w:abstractNumId="593">
    <w:nsid w:val="54E56D64"/>
    <w:multiLevelType w:val="hybridMultilevel"/>
    <w:lvl w:ilvl="0">
      <w:lvlJc w:val="left"/>
      <w:lvlText w:val="(%1)"/>
      <w:numFmt w:val="lowerLetter"/>
      <w:start w:val="29"/>
    </w:lvl>
  </w:abstractNum>
  <w:abstractNum w:abstractNumId="594">
    <w:nsid w:val="6EB42955"/>
    <w:multiLevelType w:val="hybridMultilevel"/>
    <w:lvl w:ilvl="0">
      <w:lvlJc w:val="left"/>
      <w:lvlText w:val="(%1)"/>
      <w:numFmt w:val="lowerLetter"/>
      <w:start w:val="1"/>
    </w:lvl>
    <w:lvl w:ilvl="1">
      <w:lvlJc w:val="left"/>
      <w:lvlText w:val="(%2)"/>
      <w:numFmt w:val="lowerLetter"/>
      <w:start w:val="9"/>
    </w:lvl>
  </w:abstractNum>
  <w:abstractNum w:abstractNumId="595">
    <w:nsid w:val="29EFA642"/>
    <w:multiLevelType w:val="hybridMultilevel"/>
    <w:lvl w:ilvl="0">
      <w:lvlJc w:val="left"/>
      <w:lvlText w:val="%1"/>
      <w:numFmt w:val="lowerLetter"/>
      <w:start w:val="1"/>
    </w:lvl>
    <w:lvl w:ilvl="1">
      <w:lvlJc w:val="left"/>
      <w:lvlText w:val="(%2)"/>
      <w:numFmt w:val="lowerLetter"/>
      <w:start w:val="35"/>
    </w:lvl>
  </w:abstractNum>
  <w:abstractNum w:abstractNumId="596">
    <w:nsid w:val="7E337D35"/>
    <w:multiLevelType w:val="hybridMultilevel"/>
    <w:lvl w:ilvl="0">
      <w:lvlJc w:val="left"/>
      <w:lvlText w:val="(%1)"/>
      <w:numFmt w:val="lowerLetter"/>
      <w:start w:val="4"/>
    </w:lvl>
    <w:lvl w:ilvl="1">
      <w:lvlJc w:val="left"/>
      <w:lvlText w:val="%2"/>
      <w:numFmt w:val="lowerLetter"/>
      <w:start w:val="1"/>
    </w:lvl>
  </w:abstractNum>
  <w:abstractNum w:abstractNumId="597">
    <w:nsid w:val="1F8C83AB"/>
    <w:multiLevelType w:val="hybridMultilevel"/>
    <w:lvl w:ilvl="0">
      <w:lvlJc w:val="left"/>
      <w:lvlText w:val="(%1)"/>
      <w:numFmt w:val="lowerLetter"/>
      <w:start w:val="1"/>
    </w:lvl>
  </w:abstractNum>
  <w:abstractNum w:abstractNumId="598">
    <w:nsid w:val="18F40A33"/>
    <w:multiLevelType w:val="hybridMultilevel"/>
    <w:lvl w:ilvl="0">
      <w:lvlJc w:val="left"/>
      <w:lvlText w:val="%1"/>
      <w:numFmt w:val="lowerLetter"/>
      <w:start w:val="1"/>
    </w:lvl>
    <w:lvl w:ilvl="1">
      <w:lvlJc w:val="left"/>
      <w:lvlText w:val="(%2)"/>
      <w:numFmt w:val="lowerLetter"/>
      <w:start w:val="4"/>
    </w:lvl>
  </w:abstractNum>
  <w:abstractNum w:abstractNumId="599">
    <w:nsid w:val="1059DF71"/>
    <w:multiLevelType w:val="hybridMultilevel"/>
    <w:lvl w:ilvl="0">
      <w:lvlJc w:val="left"/>
      <w:lvlText w:val="(%1)"/>
      <w:numFmt w:val="lowerLetter"/>
      <w:start w:val="9"/>
    </w:lvl>
    <w:lvl w:ilvl="1">
      <w:lvlJc w:val="left"/>
      <w:lvlText w:val="(%2)"/>
      <w:numFmt w:val="lowerLetter"/>
      <w:start w:val="6"/>
    </w:lvl>
  </w:abstractNum>
  <w:abstractNum w:abstractNumId="600">
    <w:nsid w:val="CF19F38"/>
    <w:multiLevelType w:val="hybridMultilevel"/>
    <w:lvl w:ilvl="0">
      <w:lvlJc w:val="left"/>
      <w:lvlText w:val="(%1)"/>
      <w:numFmt w:val="lowerLetter"/>
      <w:start w:val="11"/>
    </w:lvl>
  </w:abstractNum>
  <w:abstractNum w:abstractNumId="601">
    <w:nsid w:val="4AE135E2"/>
    <w:multiLevelType w:val="hybridMultilevel"/>
    <w:lvl w:ilvl="0">
      <w:lvlJc w:val="left"/>
      <w:lvlText w:val="(%1)"/>
      <w:numFmt w:val="lowerLetter"/>
      <w:start w:val="16"/>
    </w:lvl>
  </w:abstractNum>
  <w:abstractNum w:abstractNumId="602">
    <w:nsid w:val="7BD1DCF"/>
    <w:multiLevelType w:val="hybridMultilevel"/>
    <w:lvl w:ilvl="0">
      <w:lvlJc w:val="left"/>
      <w:lvlText w:val="(%1)"/>
      <w:numFmt w:val="lowerLetter"/>
      <w:start w:val="1"/>
    </w:lvl>
  </w:abstractNum>
  <w:abstractNum w:abstractNumId="603">
    <w:nsid w:val="A91E1DC"/>
    <w:multiLevelType w:val="hybridMultilevel"/>
    <w:lvl w:ilvl="0">
      <w:lvlJc w:val="left"/>
      <w:lvlText w:val="(%1)"/>
      <w:numFmt w:val="lowerLetter"/>
      <w:start w:val="4"/>
    </w:lvl>
  </w:abstractNum>
  <w:abstractNum w:abstractNumId="604">
    <w:nsid w:val="1236898D"/>
    <w:multiLevelType w:val="hybridMultilevel"/>
    <w:lvl w:ilvl="0">
      <w:lvlJc w:val="left"/>
      <w:lvlText w:val="(%1)"/>
      <w:numFmt w:val="lowerLetter"/>
      <w:start w:val="1"/>
    </w:lvl>
  </w:abstractNum>
  <w:abstractNum w:abstractNumId="605">
    <w:nsid w:val="62710862"/>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606">
    <w:nsid w:val="7EA94A2B"/>
    <w:multiLevelType w:val="hybridMultilevel"/>
    <w:lvl w:ilvl="0">
      <w:lvlJc w:val="left"/>
      <w:lvlText w:val="(%1)"/>
      <w:numFmt w:val="lowerLetter"/>
      <w:start w:val="9"/>
    </w:lvl>
    <w:lvl w:ilvl="1">
      <w:lvlJc w:val="left"/>
      <w:lvlText w:val="(%2)"/>
      <w:numFmt w:val="lowerLetter"/>
      <w:start w:val="10"/>
    </w:lvl>
    <w:lvl w:ilvl="2">
      <w:lvlJc w:val="left"/>
      <w:lvlText w:val="(%3)"/>
      <w:numFmt w:val="lowerLetter"/>
      <w:start w:val="9"/>
    </w:lvl>
  </w:abstractNum>
  <w:abstractNum w:abstractNumId="607">
    <w:nsid w:val="20D49DA3"/>
    <w:multiLevelType w:val="hybridMultilevel"/>
    <w:lvl w:ilvl="0">
      <w:lvlJc w:val="left"/>
      <w:lvlText w:val="(%1)"/>
      <w:numFmt w:val="lowerRoman"/>
      <w:start w:val="2"/>
    </w:lvl>
  </w:abstractNum>
  <w:abstractNum w:abstractNumId="608">
    <w:nsid w:val="6272919F"/>
    <w:multiLevelType w:val="hybridMultilevel"/>
    <w:lvl w:ilvl="0">
      <w:lvlJc w:val="left"/>
      <w:lvlText w:val="(%1)"/>
      <w:numFmt w:val="lowerLetter"/>
      <w:start w:val="14"/>
    </w:lvl>
  </w:abstractNum>
  <w:abstractNum w:abstractNumId="609">
    <w:nsid w:val="127DED1D"/>
    <w:multiLevelType w:val="hybridMultilevel"/>
    <w:lvl w:ilvl="0">
      <w:lvlJc w:val="left"/>
      <w:lvlText w:val="(%1)"/>
      <w:numFmt w:val="lowerLetter"/>
      <w:start w:val="1"/>
    </w:lvl>
  </w:abstractNum>
  <w:abstractNum w:abstractNumId="610">
    <w:nsid w:val="483966AA"/>
    <w:multiLevelType w:val="hybridMultilevel"/>
    <w:lvl w:ilvl="0">
      <w:lvlJc w:val="left"/>
      <w:lvlText w:val="(%1)"/>
      <w:numFmt w:val="lowerLetter"/>
      <w:start w:val="4"/>
    </w:lvl>
  </w:abstractNum>
  <w:abstractNum w:abstractNumId="611">
    <w:nsid w:val="667FC831"/>
    <w:multiLevelType w:val="hybridMultilevel"/>
    <w:lvl w:ilvl="0">
      <w:lvlJc w:val="left"/>
      <w:lvlText w:val="(%1)"/>
      <w:numFmt w:val="lowerLetter"/>
      <w:start w:val="9"/>
    </w:lvl>
    <w:lvl w:ilvl="1">
      <w:lvlJc w:val="left"/>
      <w:lvlText w:val="(%2)"/>
      <w:numFmt w:val="lowerRoman"/>
      <w:start w:val="1"/>
    </w:lvl>
  </w:abstractNum>
  <w:abstractNum w:abstractNumId="612">
    <w:nsid w:val="34ADB582"/>
    <w:multiLevelType w:val="hybridMultilevel"/>
    <w:lvl w:ilvl="0">
      <w:lvlJc w:val="left"/>
      <w:lvlText w:val="(%1)"/>
      <w:numFmt w:val="lowerRoman"/>
      <w:start w:val="5"/>
    </w:lvl>
  </w:abstractNum>
  <w:abstractNum w:abstractNumId="613">
    <w:nsid w:val="4CB58EA4"/>
    <w:multiLevelType w:val="hybridMultilevel"/>
    <w:lvl w:ilvl="0">
      <w:lvlJc w:val="left"/>
      <w:lvlText w:val="(%1)"/>
      <w:numFmt w:val="lowerRoman"/>
      <w:start w:val="17"/>
    </w:lvl>
  </w:abstractNum>
  <w:abstractNum w:abstractNumId="614">
    <w:nsid w:val="39629FFA"/>
    <w:multiLevelType w:val="hybridMultilevel"/>
    <w:lvl w:ilvl="0">
      <w:lvlJc w:val="left"/>
      <w:lvlText w:val="%1"/>
      <w:numFmt w:val="lowerLetter"/>
      <w:start w:val="1"/>
    </w:lvl>
    <w:lvl w:ilvl="1">
      <w:lvlJc w:val="left"/>
      <w:lvlText w:val="(%2)"/>
      <w:numFmt w:val="lowerRoman"/>
      <w:start w:val="29"/>
    </w:lvl>
  </w:abstractNum>
  <w:abstractNum w:abstractNumId="615">
    <w:nsid w:val="71F94ADC"/>
    <w:multiLevelType w:val="hybridMultilevel"/>
    <w:lvl w:ilvl="0">
      <w:lvlJc w:val="left"/>
      <w:lvlText w:val="(%1)"/>
      <w:numFmt w:val="lowerLetter"/>
      <w:start w:val="15"/>
    </w:lvl>
    <w:lvl w:ilvl="1">
      <w:lvlJc w:val="left"/>
      <w:lvlText w:val="%2"/>
      <w:numFmt w:val="lowerRoman"/>
      <w:start w:val="1"/>
    </w:lvl>
  </w:abstractNum>
  <w:abstractNum w:abstractNumId="616">
    <w:nsid w:val="27FFB15A"/>
    <w:multiLevelType w:val="hybridMultilevel"/>
    <w:lvl w:ilvl="0">
      <w:lvlJc w:val="left"/>
      <w:lvlText w:val="(%1)"/>
      <w:numFmt w:val="lowerLetter"/>
      <w:start w:val="1"/>
    </w:lvl>
  </w:abstractNum>
  <w:abstractNum w:abstractNumId="617">
    <w:nsid w:val="48BE573"/>
    <w:multiLevelType w:val="hybridMultilevel"/>
    <w:lvl w:ilvl="0">
      <w:lvlJc w:val="left"/>
      <w:lvlText w:val="(%1)"/>
      <w:numFmt w:val="lowerLetter"/>
      <w:start w:val="2"/>
    </w:lvl>
  </w:abstractNum>
  <w:abstractNum w:abstractNumId="618">
    <w:nsid w:val="142AC06C"/>
    <w:multiLevelType w:val="hybridMultilevel"/>
    <w:lvl w:ilvl="0">
      <w:lvlJc w:val="left"/>
      <w:lvlText w:val="(%1)"/>
      <w:numFmt w:val="lowerLetter"/>
      <w:start w:val="10"/>
    </w:lvl>
  </w:abstractNum>
  <w:abstractNum w:abstractNumId="619">
    <w:nsid w:val="5FA54049"/>
    <w:multiLevelType w:val="hybridMultilevel"/>
    <w:lvl w:ilvl="0">
      <w:lvlJc w:val="left"/>
      <w:lvlText w:val="(%1)"/>
      <w:numFmt w:val="lowerLetter"/>
      <w:start w:val="14"/>
    </w:lvl>
  </w:abstractNum>
  <w:abstractNum w:abstractNumId="620">
    <w:nsid w:val="2CBE7670"/>
    <w:multiLevelType w:val="hybridMultilevel"/>
    <w:lvl w:ilvl="0">
      <w:lvlJc w:val="left"/>
      <w:lvlText w:val="(%1)"/>
      <w:numFmt w:val="lowerLetter"/>
      <w:start w:val="1"/>
    </w:lvl>
  </w:abstractNum>
  <w:abstractNum w:abstractNumId="621">
    <w:nsid w:val="5D86CF11"/>
    <w:multiLevelType w:val="hybridMultilevel"/>
    <w:lvl w:ilvl="0">
      <w:lvlJc w:val="left"/>
      <w:lvlText w:val="(%1)"/>
      <w:numFmt w:val="lowerLetter"/>
      <w:start w:val="2"/>
    </w:lvl>
  </w:abstractNum>
  <w:abstractNum w:abstractNumId="622">
    <w:nsid w:val="69EF4674"/>
    <w:multiLevelType w:val="hybridMultilevel"/>
    <w:lvl w:ilvl="0">
      <w:lvlJc w:val="left"/>
      <w:lvlText w:val="%1"/>
      <w:numFmt w:val="lowerRoman"/>
      <w:start w:val="1"/>
    </w:lvl>
    <w:lvl w:ilvl="1">
      <w:lvlJc w:val="left"/>
      <w:lvlText w:val="(%2)"/>
      <w:numFmt w:val="lowerLetter"/>
      <w:start w:val="8"/>
    </w:lvl>
  </w:abstractNum>
  <w:abstractNum w:abstractNumId="623">
    <w:nsid w:val="68ABEFB0"/>
    <w:multiLevelType w:val="hybridMultilevel"/>
    <w:lvl w:ilvl="0">
      <w:lvlJc w:val="left"/>
      <w:lvlText w:val="(%1)"/>
      <w:numFmt w:val="lowerRoman"/>
      <w:start w:val="7"/>
    </w:lvl>
    <w:lvl w:ilvl="1">
      <w:lvlJc w:val="left"/>
      <w:lvlText w:val="%2"/>
      <w:numFmt w:val="lowerLetter"/>
      <w:start w:val="1"/>
    </w:lvl>
  </w:abstractNum>
  <w:abstractNum w:abstractNumId="624">
    <w:nsid w:val="326C3C76"/>
    <w:multiLevelType w:val="hybridMultilevel"/>
    <w:lvl w:ilvl="0">
      <w:lvlJc w:val="left"/>
      <w:lvlText w:val="(%1)"/>
      <w:numFmt w:val="lowerRoman"/>
      <w:start w:val="14"/>
    </w:lvl>
    <w:lvl w:ilvl="1">
      <w:lvlJc w:val="left"/>
      <w:lvlText w:val="%2"/>
      <w:numFmt w:val="lowerLetter"/>
      <w:start w:val="1"/>
    </w:lvl>
  </w:abstractNum>
  <w:abstractNum w:abstractNumId="625">
    <w:nsid w:val="58A36FCA"/>
    <w:multiLevelType w:val="hybridMultilevel"/>
    <w:lvl w:ilvl="0">
      <w:lvlJc w:val="left"/>
      <w:lvlText w:val="(%1)"/>
      <w:numFmt w:val="lowerLetter"/>
      <w:start w:val="9"/>
    </w:lvl>
  </w:abstractNum>
  <w:abstractNum w:abstractNumId="626">
    <w:nsid w:val="129B95F2"/>
    <w:multiLevelType w:val="hybridMultilevel"/>
    <w:lvl w:ilvl="0">
      <w:lvlJc w:val="left"/>
      <w:lvlText w:val="(%1)"/>
      <w:numFmt w:val="lowerLetter"/>
      <w:start w:val="1"/>
    </w:lvl>
    <w:lvl w:ilvl="1">
      <w:lvlJc w:val="left"/>
      <w:lvlText w:val="(%2)"/>
      <w:numFmt w:val="lowerLetter"/>
      <w:start w:val="9"/>
    </w:lvl>
  </w:abstractNum>
  <w:abstractNum w:abstractNumId="627">
    <w:nsid w:val="309FB9AB"/>
    <w:multiLevelType w:val="hybridMultilevel"/>
    <w:lvl w:ilvl="0">
      <w:lvlJc w:val="left"/>
      <w:lvlText w:val="%1"/>
      <w:numFmt w:val="lowerLetter"/>
      <w:start w:val="1"/>
    </w:lvl>
    <w:lvl w:ilvl="1">
      <w:lvlJc w:val="left"/>
      <w:lvlText w:val="(%2)"/>
      <w:numFmt w:val="lowerRoman"/>
      <w:start w:val="2"/>
    </w:lvl>
  </w:abstractNum>
  <w:abstractNum w:abstractNumId="628">
    <w:nsid w:val="782FF375"/>
    <w:multiLevelType w:val="hybridMultilevel"/>
    <w:lvl w:ilvl="0">
      <w:lvlJc w:val="left"/>
      <w:lvlText w:val="(%1)"/>
      <w:numFmt w:val="lowerLetter"/>
      <w:start w:val="4"/>
    </w:lvl>
    <w:lvl w:ilvl="1">
      <w:lvlJc w:val="left"/>
      <w:lvlText w:val="%2"/>
      <w:numFmt w:val="lowerRoman"/>
      <w:start w:val="1"/>
    </w:lvl>
  </w:abstractNum>
  <w:abstractNum w:abstractNumId="629">
    <w:nsid w:val="2B8FA025"/>
    <w:multiLevelType w:val="hybridMultilevel"/>
    <w:lvl w:ilvl="0">
      <w:lvlJc w:val="left"/>
      <w:lvlText w:val="(%1)"/>
      <w:numFmt w:val="lowerLetter"/>
      <w:start w:val="5"/>
    </w:lvl>
    <w:lvl w:ilvl="1">
      <w:lvlJc w:val="left"/>
      <w:lvlText w:val="(%2)"/>
      <w:numFmt w:val="lowerRoman"/>
      <w:start w:val="1"/>
    </w:lvl>
  </w:abstractNum>
  <w:abstractNum w:abstractNumId="630">
    <w:nsid w:val="40F9991C"/>
    <w:multiLevelType w:val="hybridMultilevel"/>
    <w:lvl w:ilvl="0">
      <w:lvlJc w:val="left"/>
      <w:lvlText w:val="(%1)"/>
      <w:numFmt w:val="lowerLetter"/>
      <w:start w:val="7"/>
    </w:lvl>
  </w:abstractNum>
  <w:abstractNum w:abstractNumId="631">
    <w:nsid w:val="52192AD"/>
    <w:multiLevelType w:val="hybridMultilevel"/>
    <w:lvl w:ilvl="0">
      <w:lvlJc w:val="left"/>
      <w:lvlText w:val="(%1)"/>
      <w:numFmt w:val="lowerLetter"/>
      <w:start w:val="9"/>
    </w:lvl>
    <w:lvl w:ilvl="1">
      <w:lvlJc w:val="left"/>
      <w:lvlText w:val="(%2)"/>
      <w:numFmt w:val="lowerRoman"/>
      <w:start w:val="1"/>
    </w:lvl>
  </w:abstractNum>
  <w:abstractNum w:abstractNumId="632">
    <w:nsid w:val="7670D608"/>
    <w:multiLevelType w:val="hybridMultilevel"/>
    <w:lvl w:ilvl="0">
      <w:lvlJc w:val="left"/>
      <w:lvlText w:val="(%1)"/>
      <w:numFmt w:val="lowerLetter"/>
      <w:start w:val="1"/>
    </w:lvl>
  </w:abstractNum>
  <w:abstractNum w:abstractNumId="633">
    <w:nsid w:val="48B6B6EB"/>
    <w:multiLevelType w:val="hybridMultilevel"/>
    <w:lvl w:ilvl="0">
      <w:lvlJc w:val="left"/>
      <w:lvlText w:val="(%1)"/>
      <w:numFmt w:val="lowerLetter"/>
      <w:start w:val="3"/>
    </w:lvl>
  </w:abstractNum>
  <w:abstractNum w:abstractNumId="634">
    <w:nsid w:val="FB37489"/>
    <w:multiLevelType w:val="hybridMultilevel"/>
    <w:lvl w:ilvl="0">
      <w:lvlJc w:val="left"/>
      <w:lvlText w:val="(%1)"/>
      <w:numFmt w:val="lowerLetter"/>
      <w:start w:val="1"/>
    </w:lvl>
  </w:abstractNum>
  <w:abstractNum w:abstractNumId="635">
    <w:nsid w:val="8A75F95"/>
    <w:multiLevelType w:val="hybridMultilevel"/>
    <w:lvl w:ilvl="0">
      <w:lvlJc w:val="left"/>
      <w:lvlText w:val="(%1)"/>
      <w:numFmt w:val="lowerLetter"/>
      <w:start w:val="1"/>
    </w:lvl>
  </w:abstractNum>
  <w:abstractNum w:abstractNumId="636">
    <w:nsid w:val="2B27BF4D"/>
    <w:multiLevelType w:val="hybridMultilevel"/>
    <w:lvl w:ilvl="0">
      <w:lvlJc w:val="left"/>
      <w:lvlText w:val="%1"/>
      <w:numFmt w:val="upperLetter"/>
      <w:start w:val="1"/>
    </w:lvl>
    <w:lvl w:ilvl="1">
      <w:lvlJc w:val="left"/>
      <w:lvlText w:val="(%2)"/>
      <w:numFmt w:val="lowerLetter"/>
      <w:start w:val="1"/>
    </w:lvl>
  </w:abstractNum>
  <w:abstractNum w:abstractNumId="637">
    <w:nsid w:val="E5CBEB4"/>
    <w:multiLevelType w:val="hybridMultilevel"/>
    <w:lvl w:ilvl="0">
      <w:lvlJc w:val="left"/>
      <w:lvlText w:val="(%1)"/>
      <w:numFmt w:val="upperLetter"/>
      <w:start w:val="1"/>
    </w:lvl>
    <w:lvl w:ilvl="1">
      <w:lvlJc w:val="left"/>
      <w:lvlText w:val="(%2)"/>
      <w:numFmt w:val="lowerLetter"/>
      <w:start w:val="2"/>
    </w:lvl>
  </w:abstractNum>
  <w:abstractNum w:abstractNumId="638">
    <w:nsid w:val="297BFD38"/>
    <w:multiLevelType w:val="hybridMultilevel"/>
    <w:lvl w:ilvl="0">
      <w:lvlJc w:val="left"/>
      <w:lvlText w:val="(%1)"/>
      <w:numFmt w:val="lowerLetter"/>
      <w:start w:val="3"/>
    </w:lvl>
  </w:abstractNum>
  <w:abstractNum w:abstractNumId="639">
    <w:nsid w:val="D9A50ED"/>
    <w:multiLevelType w:val="hybridMultilevel"/>
    <w:lvl w:ilvl="0">
      <w:lvlJc w:val="left"/>
      <w:lvlText w:val="(%1)"/>
      <w:numFmt w:val="lowerRoman"/>
      <w:start w:val="1"/>
    </w:lvl>
  </w:abstractNum>
  <w:abstractNum w:abstractNumId="640">
    <w:nsid w:val="20DAABD1"/>
    <w:multiLevelType w:val="hybridMultilevel"/>
    <w:lvl w:ilvl="0">
      <w:lvlJc w:val="left"/>
      <w:lvlText w:val="(%1)"/>
      <w:numFmt w:val="lowerLetter"/>
      <w:start w:val="1"/>
    </w:lvl>
  </w:abstractNum>
  <w:abstractNum w:abstractNumId="641">
    <w:nsid w:val="71B563E3"/>
    <w:multiLevelType w:val="hybridMultilevel"/>
    <w:lvl w:ilvl="0">
      <w:lvlJc w:val="left"/>
      <w:lvlText w:val="(%1)"/>
      <w:numFmt w:val="lowerLetter"/>
      <w:start w:val="1"/>
    </w:lvl>
  </w:abstractNum>
  <w:abstractNum w:abstractNumId="642">
    <w:nsid w:val="741A191E"/>
    <w:multiLevelType w:val="hybridMultilevel"/>
    <w:lvl w:ilvl="0">
      <w:lvlJc w:val="left"/>
      <w:lvlText w:val="%1"/>
      <w:numFmt w:val="lowerLetter"/>
      <w:start w:val="1"/>
    </w:lvl>
    <w:lvl w:ilvl="1">
      <w:lvlJc w:val="left"/>
      <w:lvlText w:val="(%2)"/>
      <w:numFmt w:val="lowerLetter"/>
      <w:start w:val="2"/>
    </w:lvl>
  </w:abstractNum>
  <w:abstractNum w:abstractNumId="643">
    <w:nsid w:val="55886153"/>
    <w:multiLevelType w:val="hybridMultilevel"/>
    <w:lvl w:ilvl="0">
      <w:lvlJc w:val="left"/>
      <w:lvlText w:val="(%1)"/>
      <w:numFmt w:val="lowerLetter"/>
      <w:start w:val="61"/>
    </w:lvl>
    <w:lvl w:ilvl="1">
      <w:lvlJc w:val="left"/>
      <w:lvlText w:val="(%2)"/>
      <w:numFmt w:val="lowerLetter"/>
      <w:start w:val="4"/>
    </w:lvl>
  </w:abstractNum>
  <w:abstractNum w:abstractNumId="644">
    <w:nsid w:val="3E6AF287"/>
    <w:multiLevelType w:val="hybridMultilevel"/>
    <w:lvl w:ilvl="0">
      <w:lvlJc w:val="left"/>
      <w:lvlText w:val="%1"/>
      <w:numFmt w:val="lowerLetter"/>
      <w:start w:val="1"/>
    </w:lvl>
    <w:lvl w:ilvl="1">
      <w:lvlJc w:val="left"/>
      <w:lvlText w:val="(%2)"/>
      <w:numFmt w:val="lowerLetter"/>
      <w:start w:val="5"/>
    </w:lvl>
  </w:abstractNum>
  <w:abstractNum w:abstractNumId="645">
    <w:nsid w:val="2D7CB919"/>
    <w:multiLevelType w:val="hybridMultilevel"/>
    <w:lvl w:ilvl="0">
      <w:lvlJc w:val="left"/>
      <w:lvlText w:val="(%1)"/>
      <w:numFmt w:val="lowerLetter"/>
      <w:start w:val="35"/>
    </w:lvl>
    <w:lvl w:ilvl="1">
      <w:lvlJc w:val="left"/>
      <w:lvlText w:val="(%2)"/>
      <w:numFmt w:val="lowerLetter"/>
      <w:start w:val="6"/>
    </w:lvl>
  </w:abstractNum>
  <w:abstractNum w:abstractNumId="646">
    <w:nsid w:val="4781AC2F"/>
    <w:multiLevelType w:val="hybridMultilevel"/>
    <w:lvl w:ilvl="0">
      <w:lvlJc w:val="left"/>
      <w:lvlText w:val="(%1)"/>
      <w:numFmt w:val="lowerLetter"/>
      <w:start w:val="10"/>
    </w:lvl>
  </w:abstractNum>
  <w:abstractNum w:abstractNumId="647">
    <w:nsid w:val="666AA3E1"/>
    <w:multiLevelType w:val="hybridMultilevel"/>
    <w:lvl w:ilvl="0">
      <w:lvlJc w:val="left"/>
      <w:lvlText w:val="(%1)"/>
      <w:numFmt w:val="lowerLetter"/>
      <w:start w:val="1"/>
    </w:lvl>
  </w:abstractNum>
  <w:abstractNum w:abstractNumId="648">
    <w:nsid w:val="32089E8C"/>
    <w:multiLevelType w:val="hybridMultilevel"/>
    <w:lvl w:ilvl="0">
      <w:lvlJc w:val="left"/>
      <w:lvlText w:val="(%1)"/>
      <w:numFmt w:val="lowerLetter"/>
      <w:start w:val="2"/>
    </w:lvl>
  </w:abstractNum>
  <w:abstractNum w:abstractNumId="649">
    <w:nsid w:val="5BAC6C9C"/>
    <w:multiLevelType w:val="hybridMultilevel"/>
    <w:lvl w:ilvl="0">
      <w:lvlJc w:val="left"/>
      <w:lvlText w:val="(%1)"/>
      <w:numFmt w:val="lowerLetter"/>
      <w:start w:val="6"/>
    </w:lvl>
  </w:abstractNum>
  <w:abstractNum w:abstractNumId="650">
    <w:nsid w:val="460FE42B"/>
    <w:multiLevelType w:val="hybridMultilevel"/>
    <w:lvl w:ilvl="0">
      <w:lvlJc w:val="left"/>
      <w:lvlText w:val="(%1)"/>
      <w:numFmt w:val="lowerLetter"/>
      <w:start w:val="1"/>
    </w:lvl>
    <w:lvl w:ilvl="1">
      <w:lvlJc w:val="left"/>
      <w:lvlText w:val="(%2)"/>
      <w:numFmt w:val="lowerLetter"/>
      <w:start w:val="9"/>
    </w:lvl>
  </w:abstractNum>
  <w:abstractNum w:abstractNumId="651">
    <w:nsid w:val="5EC714FC"/>
    <w:multiLevelType w:val="hybridMultilevel"/>
    <w:lvl w:ilvl="0">
      <w:lvlJc w:val="left"/>
      <w:lvlText w:val="(%1)"/>
      <w:numFmt w:val="lowerLetter"/>
      <w:start w:val="1"/>
    </w:lvl>
  </w:abstractNum>
  <w:abstractNum w:abstractNumId="652">
    <w:nsid w:val="39333BAD"/>
    <w:multiLevelType w:val="hybridMultilevel"/>
    <w:lvl w:ilvl="0">
      <w:lvlJc w:val="left"/>
      <w:lvlText w:val="(%1)"/>
      <w:numFmt w:val="lowerLetter"/>
      <w:start w:val="2"/>
    </w:lvl>
    <w:lvl w:ilvl="1">
      <w:lvlJc w:val="left"/>
      <w:lvlText w:val="(%2)"/>
      <w:numFmt w:val="lowerRoman"/>
      <w:start w:val="1"/>
    </w:lvl>
  </w:abstractNum>
  <w:abstractNum w:abstractNumId="653">
    <w:nsid w:val="2FFF2A9F"/>
    <w:multiLevelType w:val="hybridMultilevel"/>
    <w:lvl w:ilvl="0">
      <w:lvlJc w:val="left"/>
      <w:lvlText w:val="(%1)"/>
      <w:numFmt w:val="lowerRoman"/>
      <w:start w:val="5"/>
    </w:lvl>
  </w:abstractNum>
  <w:abstractNum w:abstractNumId="654">
    <w:nsid w:val="477304AC"/>
    <w:multiLevelType w:val="hybridMultilevel"/>
    <w:lvl w:ilvl="0">
      <w:lvlJc w:val="left"/>
      <w:lvlText w:val="(%1)"/>
      <w:numFmt w:val="lowerRoman"/>
      <w:start w:val="1"/>
    </w:lvl>
  </w:abstractNum>
  <w:abstractNum w:abstractNumId="655">
    <w:nsid w:val="6B9F7823"/>
    <w:multiLevelType w:val="hybridMultilevel"/>
    <w:lvl w:ilvl="0">
      <w:lvlJc w:val="left"/>
      <w:lvlText w:val="(%1)"/>
      <w:numFmt w:val="lowerLetter"/>
      <w:start w:val="2"/>
    </w:lvl>
  </w:abstractNum>
  <w:abstractNum w:abstractNumId="656">
    <w:nsid w:val="8A29A69"/>
    <w:multiLevelType w:val="hybridMultilevel"/>
    <w:lvl w:ilvl="0">
      <w:lvlJc w:val="left"/>
      <w:lvlText w:val="(%1)"/>
      <w:numFmt w:val="lowerLetter"/>
      <w:start w:val="1"/>
    </w:lvl>
  </w:abstractNum>
  <w:abstractNum w:abstractNumId="657">
    <w:nsid w:val="5A0E9A9F"/>
    <w:multiLevelType w:val="hybridMultilevel"/>
    <w:lvl w:ilvl="0">
      <w:lvlJc w:val="left"/>
      <w:lvlText w:val="(%1)"/>
      <w:numFmt w:val="lowerLetter"/>
      <w:start w:val="1"/>
    </w:lvl>
  </w:abstractNum>
  <w:abstractNum w:abstractNumId="658">
    <w:nsid w:val="1C3F31CE"/>
    <w:multiLevelType w:val="hybridMultilevel"/>
    <w:lvl w:ilvl="0">
      <w:lvlJc w:val="left"/>
      <w:lvlText w:val="(%1)"/>
      <w:numFmt w:val="lowerLetter"/>
      <w:start w:val="1"/>
    </w:lvl>
  </w:abstractNum>
  <w:abstractNum w:abstractNumId="659">
    <w:nsid w:val="D28DDE"/>
    <w:multiLevelType w:val="hybridMultilevel"/>
    <w:lvl w:ilvl="0">
      <w:lvlJc w:val="left"/>
      <w:lvlText w:val="%1"/>
      <w:numFmt w:val="lowerLetter"/>
      <w:start w:val="1"/>
    </w:lvl>
    <w:lvl w:ilvl="1">
      <w:lvlJc w:val="left"/>
      <w:lvlText w:val="(%2)"/>
      <w:numFmt w:val="lowerLetter"/>
      <w:start w:val="2"/>
    </w:lvl>
  </w:abstractNum>
  <w:abstractNum w:abstractNumId="660">
    <w:nsid w:val="59E3AC4"/>
    <w:multiLevelType w:val="hybridMultilevel"/>
    <w:lvl w:ilvl="0">
      <w:lvlJc w:val="left"/>
      <w:lvlText w:val="(%1)"/>
      <w:numFmt w:val="lowerLetter"/>
      <w:start w:val="24"/>
    </w:lvl>
    <w:lvl w:ilvl="1">
      <w:lvlJc w:val="left"/>
      <w:lvlText w:val="(%2)"/>
      <w:numFmt w:val="lowerLetter"/>
      <w:start w:val="3"/>
    </w:lvl>
  </w:abstractNum>
  <w:abstractNum w:abstractNumId="661">
    <w:nsid w:val="5D38CAEA"/>
    <w:multiLevelType w:val="hybridMultilevel"/>
    <w:lvl w:ilvl="0">
      <w:lvlJc w:val="left"/>
      <w:lvlText w:val="(%1)"/>
      <w:numFmt w:val="lowerLetter"/>
      <w:start w:val="1"/>
    </w:lvl>
  </w:abstractNum>
  <w:abstractNum w:abstractNumId="662">
    <w:nsid w:val="5F4208C"/>
    <w:multiLevelType w:val="hybridMultilevel"/>
    <w:lvl w:ilvl="0">
      <w:lvlJc w:val="left"/>
      <w:lvlText w:val="(%1)"/>
      <w:numFmt w:val="lowerRoman"/>
      <w:start w:val="7"/>
    </w:lvl>
    <w:lvl w:ilvl="1">
      <w:lvlJc w:val="left"/>
      <w:lvlText w:val="(%2)"/>
      <w:numFmt w:val="lowerLetter"/>
      <w:start w:val="3"/>
    </w:lvl>
  </w:abstractNum>
  <w:abstractNum w:abstractNumId="663">
    <w:nsid w:val="7C0F10CC"/>
    <w:multiLevelType w:val="hybridMultilevel"/>
    <w:lvl w:ilvl="0">
      <w:lvlJc w:val="left"/>
      <w:lvlText w:val="(%1)"/>
      <w:numFmt w:val="lowerLetter"/>
      <w:start w:val="4"/>
    </w:lvl>
  </w:abstractNum>
  <w:abstractNum w:abstractNumId="664">
    <w:nsid w:val="25EF81D5"/>
    <w:multiLevelType w:val="hybridMultilevel"/>
    <w:lvl w:ilvl="0">
      <w:lvlJc w:val="left"/>
      <w:lvlText w:val="(%1)"/>
      <w:numFmt w:val="lowerLetter"/>
      <w:start w:val="7"/>
    </w:lvl>
  </w:abstractNum>
  <w:abstractNum w:abstractNumId="665">
    <w:nsid w:val="15A79515"/>
    <w:multiLevelType w:val="hybridMultilevel"/>
    <w:lvl w:ilvl="0">
      <w:lvlJc w:val="left"/>
      <w:lvlText w:val="(%1)"/>
      <w:numFmt w:val="lowerLetter"/>
      <w:start w:val="1"/>
    </w:lvl>
  </w:abstractNum>
  <w:abstractNum w:abstractNumId="666">
    <w:nsid w:val="4B67062"/>
    <w:multiLevelType w:val="hybridMultilevel"/>
    <w:lvl w:ilvl="0">
      <w:lvlJc w:val="left"/>
      <w:lvlText w:val="(%1)"/>
      <w:numFmt w:val="lowerLetter"/>
      <w:start w:val="1"/>
    </w:lvl>
  </w:abstractNum>
  <w:abstractNum w:abstractNumId="667">
    <w:nsid w:val="51174123"/>
    <w:multiLevelType w:val="hybridMultilevel"/>
    <w:lvl w:ilvl="0">
      <w:lvlJc w:val="left"/>
      <w:lvlText w:val="(%1)"/>
      <w:numFmt w:val="lowerLetter"/>
      <w:start w:val="5"/>
    </w:lvl>
  </w:abstractNum>
  <w:abstractNum w:abstractNumId="668">
    <w:nsid w:val="240453CA"/>
    <w:multiLevelType w:val="hybridMultilevel"/>
    <w:lvl w:ilvl="0">
      <w:lvlJc w:val="left"/>
      <w:lvlText w:val="(%1)"/>
      <w:numFmt w:val="lowerLetter"/>
      <w:start w:val="1"/>
    </w:lvl>
    <w:lvl w:ilvl="1">
      <w:lvlJc w:val="left"/>
      <w:lvlText w:val="(%2)"/>
      <w:numFmt w:val="lowerRoman"/>
      <w:start w:val="1"/>
    </w:lvl>
  </w:abstractNum>
  <w:abstractNum w:abstractNumId="669">
    <w:nsid w:val="2E326D9A"/>
    <w:multiLevelType w:val="hybridMultilevel"/>
    <w:lvl w:ilvl="0">
      <w:lvlJc w:val="left"/>
      <w:lvlText w:val="(%1)"/>
      <w:numFmt w:val="lowerLetter"/>
      <w:start w:val="3"/>
    </w:lvl>
  </w:abstractNum>
  <w:abstractNum w:abstractNumId="670">
    <w:nsid w:val="5EB19210"/>
    <w:multiLevelType w:val="hybridMultilevel"/>
    <w:lvl w:ilvl="0">
      <w:lvlJc w:val="left"/>
      <w:lvlText w:val="(%1)"/>
      <w:numFmt w:val="lowerLetter"/>
      <w:start w:val="1"/>
    </w:lvl>
  </w:abstractNum>
  <w:abstractNum w:abstractNumId="671">
    <w:nsid w:val="44DEFF9B"/>
    <w:multiLevelType w:val="hybridMultilevel"/>
    <w:lvl w:ilvl="0">
      <w:lvlJc w:val="left"/>
      <w:lvlText w:val="(%1)"/>
      <w:numFmt w:val="lowerLetter"/>
      <w:start w:val="2"/>
    </w:lvl>
  </w:abstractNum>
  <w:abstractNum w:abstractNumId="672">
    <w:nsid w:val="1FE7D17D"/>
    <w:multiLevelType w:val="hybridMultilevel"/>
    <w:lvl w:ilvl="0">
      <w:lvlJc w:val="left"/>
      <w:lvlText w:val="(%1)"/>
      <w:numFmt w:val="lowerLetter"/>
      <w:start w:val="1"/>
    </w:lvl>
  </w:abstractNum>
  <w:abstractNum w:abstractNumId="673">
    <w:nsid w:val="52CBAB2E"/>
    <w:multiLevelType w:val="hybridMultilevel"/>
    <w:lvl w:ilvl="0">
      <w:lvlJc w:val="left"/>
      <w:lvlText w:val="(%1)"/>
      <w:numFmt w:val="lowerLetter"/>
      <w:start w:val="2"/>
    </w:lvl>
  </w:abstractNum>
  <w:abstractNum w:abstractNumId="674">
    <w:nsid w:val="1A6760EF"/>
    <w:multiLevelType w:val="hybridMultilevel"/>
    <w:lvl w:ilvl="0">
      <w:lvlJc w:val="left"/>
      <w:lvlText w:val="(%1)"/>
      <w:numFmt w:val="lowerRoman"/>
      <w:start w:val="1"/>
    </w:lvl>
  </w:abstractNum>
  <w:abstractNum w:abstractNumId="675">
    <w:nsid w:val="5E52C405"/>
    <w:multiLevelType w:val="hybridMultilevel"/>
    <w:lvl w:ilvl="0">
      <w:lvlJc w:val="left"/>
      <w:lvlText w:val="(%1)"/>
      <w:numFmt w:val="lowerRoman"/>
      <w:start w:val="1"/>
    </w:lvl>
  </w:abstractNum>
  <w:abstractNum w:abstractNumId="676">
    <w:nsid w:val="486447"/>
    <w:multiLevelType w:val="hybridMultilevel"/>
    <w:lvl w:ilvl="0">
      <w:lvlJc w:val="left"/>
      <w:lvlText w:val="(%1)"/>
      <w:numFmt w:val="lowerRoman"/>
      <w:start w:val="10"/>
    </w:lvl>
  </w:abstractNum>
  <w:abstractNum w:abstractNumId="677">
    <w:nsid w:val="61E90D1E"/>
    <w:multiLevelType w:val="hybridMultilevel"/>
    <w:lvl w:ilvl="0">
      <w:lvlJc w:val="left"/>
      <w:lvlText w:val="(%1)"/>
      <w:numFmt w:val="lowerRoman"/>
      <w:start w:val="18"/>
    </w:lvl>
  </w:abstractNum>
  <w:abstractNum w:abstractNumId="678">
    <w:nsid w:val="44BD67E6"/>
    <w:multiLevelType w:val="hybridMultilevel"/>
    <w:lvl w:ilvl="0">
      <w:lvlJc w:val="left"/>
      <w:lvlText w:val="(%1)"/>
      <w:numFmt w:val="lowerRoman"/>
      <w:start w:val="25"/>
    </w:lvl>
  </w:abstractNum>
  <w:abstractNum w:abstractNumId="679">
    <w:nsid w:val="325102D3"/>
    <w:multiLevelType w:val="hybridMultilevel"/>
    <w:lvl w:ilvl="0">
      <w:lvlJc w:val="left"/>
      <w:lvlText w:val="(%1)"/>
      <w:numFmt w:val="lowerLetter"/>
      <w:start w:val="5"/>
    </w:lvl>
    <w:lvl w:ilvl="1">
      <w:lvlJc w:val="left"/>
      <w:lvlText w:val="(%2)"/>
      <w:numFmt w:val="lowerRoman"/>
      <w:start w:val="29"/>
    </w:lvl>
  </w:abstractNum>
  <w:abstractNum w:abstractNumId="680">
    <w:nsid w:val="3D9579BA"/>
    <w:multiLevelType w:val="hybridMultilevel"/>
    <w:lvl w:ilvl="0">
      <w:lvlJc w:val="left"/>
      <w:lvlText w:val="(%1)"/>
      <w:numFmt w:val="lowerRoman"/>
      <w:start w:val="37"/>
    </w:lvl>
  </w:abstractNum>
  <w:abstractNum w:abstractNumId="681">
    <w:nsid w:val="ACD4C11"/>
    <w:multiLevelType w:val="hybridMultilevel"/>
    <w:lvl w:ilvl="0">
      <w:lvlJc w:val="left"/>
      <w:lvlText w:val="(%1)"/>
      <w:numFmt w:val="decimal"/>
      <w:start w:val="1"/>
    </w:lvl>
  </w:abstractNum>
  <w:abstractNum w:abstractNumId="682">
    <w:nsid w:val="111817CF"/>
    <w:multiLevelType w:val="hybridMultilevel"/>
    <w:lvl w:ilvl="0">
      <w:lvlJc w:val="left"/>
      <w:lvlText w:val="%1"/>
      <w:numFmt w:val="decimal"/>
      <w:start w:val="1"/>
    </w:lvl>
    <w:lvl w:ilvl="1">
      <w:lvlJc w:val="left"/>
      <w:lvlText w:val="(%2)"/>
      <w:numFmt w:val="lowerLetter"/>
      <w:start w:val="1"/>
    </w:lvl>
  </w:abstractNum>
  <w:abstractNum w:abstractNumId="683">
    <w:nsid w:val="76C8B568"/>
    <w:multiLevelType w:val="hybridMultilevel"/>
    <w:lvl w:ilvl="0">
      <w:lvlJc w:val="left"/>
      <w:lvlText w:val="(%1)"/>
      <w:numFmt w:val="decimal"/>
      <w:start w:val="3"/>
    </w:lvl>
    <w:lvl w:ilvl="1">
      <w:lvlJc w:val="left"/>
      <w:lvlText w:val="%2"/>
      <w:numFmt w:val="lowerLetter"/>
      <w:start w:val="1"/>
    </w:lvl>
  </w:abstractNum>
  <w:abstractNum w:abstractNumId="684">
    <w:nsid w:val="3ACC76B1"/>
    <w:multiLevelType w:val="hybridMultilevel"/>
    <w:lvl w:ilvl="0">
      <w:lvlJc w:val="left"/>
      <w:lvlText w:val="%1."/>
      <w:numFmt w:val="decimal"/>
      <w:start w:val="1"/>
    </w:lvl>
  </w:abstractNum>
  <w:abstractNum w:abstractNumId="685">
    <w:nsid w:val="588B1C7C"/>
    <w:multiLevelType w:val="hybridMultilevel"/>
    <w:lvl w:ilvl="0">
      <w:lvlJc w:val="left"/>
      <w:lvlText w:val="%1."/>
      <w:numFmt w:val="decimal"/>
      <w:start w:val="4"/>
    </w:lvl>
  </w:abstractNum>
  <w:abstractNum w:abstractNumId="686">
    <w:nsid w:val="62682D8B"/>
    <w:multiLevelType w:val="hybridMultilevel"/>
    <w:lvl w:ilvl="0">
      <w:lvlJc w:val="left"/>
      <w:lvlText w:val="(%1)"/>
      <w:numFmt w:val="lowerRoman"/>
      <w:start w:val="10"/>
    </w:lvl>
  </w:abstractNum>
  <w:abstractNum w:abstractNumId="687">
    <w:nsid w:val="436F111A"/>
    <w:multiLevelType w:val="hybridMultilevel"/>
    <w:lvl w:ilvl="0">
      <w:lvlJc w:val="left"/>
      <w:lvlText w:val="(%1)"/>
      <w:numFmt w:val="lowerLetter"/>
      <w:start w:val="1"/>
    </w:lvl>
  </w:abstractNum>
  <w:abstractNum w:abstractNumId="688">
    <w:nsid w:val="3299B71B"/>
    <w:multiLevelType w:val="hybridMultilevel"/>
    <w:lvl w:ilvl="0">
      <w:lvlJc w:val="left"/>
      <w:lvlText w:val="(%1)"/>
      <w:numFmt w:val="lowerLetter"/>
      <w:start w:val="1"/>
    </w:lvl>
  </w:abstractNum>
  <w:abstractNum w:abstractNumId="689">
    <w:nsid w:val="7EA75F5A"/>
    <w:multiLevelType w:val="hybridMultilevel"/>
    <w:lvl w:ilvl="0">
      <w:lvlJc w:val="left"/>
      <w:lvlText w:val="%1."/>
      <w:numFmt w:val="decimal"/>
      <w:start w:val="1"/>
    </w:lvl>
    <w:lvl w:ilvl="1">
      <w:lvlJc w:val="left"/>
      <w:lvlText w:val="(%2)"/>
      <w:numFmt w:val="lowerLetter"/>
      <w:start w:val="1"/>
    </w:lvl>
  </w:abstractNum>
  <w:abstractNum w:abstractNumId="690">
    <w:nsid w:val="44419EF9"/>
    <w:multiLevelType w:val="hybridMultilevel"/>
    <w:lvl w:ilvl="0">
      <w:lvlJc w:val="left"/>
      <w:lvlText w:val="%1."/>
      <w:numFmt w:val="decimal"/>
      <w:start w:val="1"/>
    </w:lvl>
    <w:lvl w:ilvl="1">
      <w:lvlJc w:val="left"/>
      <w:lvlText w:val="(%2)"/>
      <w:numFmt w:val="lowerLetter"/>
      <w:start w:val="1"/>
    </w:lvl>
  </w:abstractNum>
  <w:abstractNum w:abstractNumId="691">
    <w:nsid w:val="3837F1DF"/>
    <w:multiLevelType w:val="hybridMultilevel"/>
    <w:lvl w:ilvl="0">
      <w:lvlJc w:val="left"/>
      <w:lvlText w:val="(%1)"/>
      <w:numFmt w:val="decimal"/>
      <w:start w:val="1"/>
    </w:lvl>
  </w:abstractNum>
  <w:abstractNum w:abstractNumId="692">
    <w:nsid w:val="5BE02A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5" Type="http://schemas.openxmlformats.org/officeDocument/2006/relationships/image" Target="media/image561.png"/><Relationship Id="rId576" Type="http://schemas.openxmlformats.org/officeDocument/2006/relationships/image" Target="media/image562.png"/><Relationship Id="rId577" Type="http://schemas.openxmlformats.org/officeDocument/2006/relationships/image" Target="media/image563.png"/><Relationship Id="rId578" Type="http://schemas.openxmlformats.org/officeDocument/2006/relationships/image" Target="media/image564.png"/><Relationship Id="rId579" Type="http://schemas.openxmlformats.org/officeDocument/2006/relationships/image" Target="media/image565.png"/><Relationship Id="rId580" Type="http://schemas.openxmlformats.org/officeDocument/2006/relationships/image" Target="media/image566.png"/><Relationship Id="rId581"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6" Type="http://schemas.openxmlformats.org/officeDocument/2006/relationships/image" Target="media/image572.png"/><Relationship Id="rId587" Type="http://schemas.openxmlformats.org/officeDocument/2006/relationships/image" Target="media/image573.png"/><Relationship Id="rId588" Type="http://schemas.openxmlformats.org/officeDocument/2006/relationships/image" Target="media/image574.png"/><Relationship Id="rId589" Type="http://schemas.openxmlformats.org/officeDocument/2006/relationships/image" Target="media/image575.png"/><Relationship Id="rId590"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593" Type="http://schemas.openxmlformats.org/officeDocument/2006/relationships/image" Target="media/image579.png"/><Relationship Id="rId594" Type="http://schemas.openxmlformats.org/officeDocument/2006/relationships/image" Target="media/image580.png"/><Relationship Id="rId595" Type="http://schemas.openxmlformats.org/officeDocument/2006/relationships/image" Target="media/image581.png"/><Relationship Id="rId596" Type="http://schemas.openxmlformats.org/officeDocument/2006/relationships/image" Target="media/image582.png"/><Relationship Id="rId597" Type="http://schemas.openxmlformats.org/officeDocument/2006/relationships/image" Target="media/image583.png"/><Relationship Id="rId598" Type="http://schemas.openxmlformats.org/officeDocument/2006/relationships/image" Target="media/image584.png"/><Relationship Id="rId599" Type="http://schemas.openxmlformats.org/officeDocument/2006/relationships/image" Target="media/image585.png"/><Relationship Id="rId600" Type="http://schemas.openxmlformats.org/officeDocument/2006/relationships/image" Target="media/image586.png"/><Relationship Id="rId601" Type="http://schemas.openxmlformats.org/officeDocument/2006/relationships/image" Target="media/image587.png"/><Relationship Id="rId602" Type="http://schemas.openxmlformats.org/officeDocument/2006/relationships/image" Target="media/image588.png"/><Relationship Id="rId603" Type="http://schemas.openxmlformats.org/officeDocument/2006/relationships/image" Target="media/image589.png"/><Relationship Id="rId604" Type="http://schemas.openxmlformats.org/officeDocument/2006/relationships/image" Target="media/image590.png"/><Relationship Id="rId605"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09" Type="http://schemas.openxmlformats.org/officeDocument/2006/relationships/image" Target="media/image595.png"/><Relationship Id="rId610" Type="http://schemas.openxmlformats.org/officeDocument/2006/relationships/image" Target="media/image596.png"/><Relationship Id="rId611" Type="http://schemas.openxmlformats.org/officeDocument/2006/relationships/image" Target="media/image597.png"/><Relationship Id="rId612" Type="http://schemas.openxmlformats.org/officeDocument/2006/relationships/image" Target="media/image598.png"/><Relationship Id="rId613" Type="http://schemas.openxmlformats.org/officeDocument/2006/relationships/image" Target="media/image599.png"/><Relationship Id="rId614" Type="http://schemas.openxmlformats.org/officeDocument/2006/relationships/image" Target="media/image600.png"/><Relationship Id="rId615" Type="http://schemas.openxmlformats.org/officeDocument/2006/relationships/image" Target="media/image601.png"/><Relationship Id="rId616"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19" Type="http://schemas.openxmlformats.org/officeDocument/2006/relationships/image" Target="media/image605.png"/><Relationship Id="rId620" Type="http://schemas.openxmlformats.org/officeDocument/2006/relationships/image" Target="media/image606.png"/><Relationship Id="rId621" Type="http://schemas.openxmlformats.org/officeDocument/2006/relationships/image" Target="media/image607.png"/><Relationship Id="rId622" Type="http://schemas.openxmlformats.org/officeDocument/2006/relationships/image" Target="media/image608.png"/><Relationship Id="rId623" Type="http://schemas.openxmlformats.org/officeDocument/2006/relationships/image" Target="media/image609.png"/><Relationship Id="rId624" Type="http://schemas.openxmlformats.org/officeDocument/2006/relationships/image" Target="media/image610.png"/><Relationship Id="rId625" Type="http://schemas.openxmlformats.org/officeDocument/2006/relationships/image" Target="media/image611.png"/><Relationship Id="rId626" Type="http://schemas.openxmlformats.org/officeDocument/2006/relationships/image" Target="media/image612.png"/><Relationship Id="rId627" Type="http://schemas.openxmlformats.org/officeDocument/2006/relationships/image" Target="media/image613.png"/><Relationship Id="rId628"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31" Type="http://schemas.openxmlformats.org/officeDocument/2006/relationships/image" Target="media/image617.png"/><Relationship Id="rId632" Type="http://schemas.openxmlformats.org/officeDocument/2006/relationships/image" Target="media/image618.png"/><Relationship Id="rId633" Type="http://schemas.openxmlformats.org/officeDocument/2006/relationships/image" Target="media/image619.png"/><Relationship Id="rId634" Type="http://schemas.openxmlformats.org/officeDocument/2006/relationships/image" Target="media/image620.png"/><Relationship Id="rId635" Type="http://schemas.openxmlformats.org/officeDocument/2006/relationships/image" Target="media/image621.png"/><Relationship Id="rId636" Type="http://schemas.openxmlformats.org/officeDocument/2006/relationships/image" Target="media/image622.png"/><Relationship Id="rId637" Type="http://schemas.openxmlformats.org/officeDocument/2006/relationships/image" Target="media/image623.png"/><Relationship Id="rId638" Type="http://schemas.openxmlformats.org/officeDocument/2006/relationships/image" Target="media/image624.png"/><Relationship Id="rId639"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668" Type="http://schemas.openxmlformats.org/officeDocument/2006/relationships/image" Target="media/image654.png"/><Relationship Id="rId669" Type="http://schemas.openxmlformats.org/officeDocument/2006/relationships/image" Target="media/image655.png"/><Relationship Id="rId670" Type="http://schemas.openxmlformats.org/officeDocument/2006/relationships/image" Target="media/image656.png"/><Relationship Id="rId671" Type="http://schemas.openxmlformats.org/officeDocument/2006/relationships/image" Target="media/image657.png"/><Relationship Id="rId672" Type="http://schemas.openxmlformats.org/officeDocument/2006/relationships/image" Target="media/image658.png"/><Relationship Id="rId673" Type="http://schemas.openxmlformats.org/officeDocument/2006/relationships/image" Target="media/image659.png"/><Relationship Id="rId674" Type="http://schemas.openxmlformats.org/officeDocument/2006/relationships/image" Target="media/image660.png"/><Relationship Id="rId675" Type="http://schemas.openxmlformats.org/officeDocument/2006/relationships/image" Target="media/image661.png"/><Relationship Id="rId676" Type="http://schemas.openxmlformats.org/officeDocument/2006/relationships/image" Target="media/image662.png"/><Relationship Id="rId677" Type="http://schemas.openxmlformats.org/officeDocument/2006/relationships/image" Target="media/image663.png"/><Relationship Id="rId678" Type="http://schemas.openxmlformats.org/officeDocument/2006/relationships/image" Target="media/image664.png"/><Relationship Id="rId679" Type="http://schemas.openxmlformats.org/officeDocument/2006/relationships/image" Target="media/image665.png"/><Relationship Id="rId680" Type="http://schemas.openxmlformats.org/officeDocument/2006/relationships/image" Target="media/image666.png"/><Relationship Id="rId681" Type="http://schemas.openxmlformats.org/officeDocument/2006/relationships/image" Target="media/image667.png"/><Relationship Id="rId682" Type="http://schemas.openxmlformats.org/officeDocument/2006/relationships/image" Target="media/image668.png"/><Relationship Id="rId683" Type="http://schemas.openxmlformats.org/officeDocument/2006/relationships/image" Target="media/image669.png"/><Relationship Id="rId684" Type="http://schemas.openxmlformats.org/officeDocument/2006/relationships/image" Target="media/image670.png"/><Relationship Id="rId685" Type="http://schemas.openxmlformats.org/officeDocument/2006/relationships/image" Target="media/image671.png"/><Relationship Id="rId686" Type="http://schemas.openxmlformats.org/officeDocument/2006/relationships/image" Target="media/image672.png"/><Relationship Id="rId687" Type="http://schemas.openxmlformats.org/officeDocument/2006/relationships/image" Target="media/image673.png"/><Relationship Id="rId688" Type="http://schemas.openxmlformats.org/officeDocument/2006/relationships/image" Target="media/image674.png"/><Relationship Id="rId689" Type="http://schemas.openxmlformats.org/officeDocument/2006/relationships/image" Target="media/image675.png"/><Relationship Id="rId690" Type="http://schemas.openxmlformats.org/officeDocument/2006/relationships/image" Target="media/image676.png"/><Relationship Id="rId691" Type="http://schemas.openxmlformats.org/officeDocument/2006/relationships/image" Target="media/image677.png"/><Relationship Id="rId692" Type="http://schemas.openxmlformats.org/officeDocument/2006/relationships/image" Target="media/image678.png"/><Relationship Id="rId693" Type="http://schemas.openxmlformats.org/officeDocument/2006/relationships/image" Target="media/image679.png"/><Relationship Id="rId694" Type="http://schemas.openxmlformats.org/officeDocument/2006/relationships/image" Target="media/image680.png"/><Relationship Id="rId695" Type="http://schemas.openxmlformats.org/officeDocument/2006/relationships/image" Target="media/image681.png"/><Relationship Id="rId696" Type="http://schemas.openxmlformats.org/officeDocument/2006/relationships/image" Target="media/image682.png"/><Relationship Id="rId697" Type="http://schemas.openxmlformats.org/officeDocument/2006/relationships/image" Target="media/image683.png"/><Relationship Id="rId698" Type="http://schemas.openxmlformats.org/officeDocument/2006/relationships/image" Target="media/image684.png"/><Relationship Id="rId699" Type="http://schemas.openxmlformats.org/officeDocument/2006/relationships/image" Target="media/image685.png"/><Relationship Id="rId700" Type="http://schemas.openxmlformats.org/officeDocument/2006/relationships/image" Target="media/image686.png"/><Relationship Id="rId701" Type="http://schemas.openxmlformats.org/officeDocument/2006/relationships/image" Target="media/image687.png"/><Relationship Id="rId702" Type="http://schemas.openxmlformats.org/officeDocument/2006/relationships/image" Target="media/image688.png"/><Relationship Id="rId703" Type="http://schemas.openxmlformats.org/officeDocument/2006/relationships/image" Target="media/image689.png"/><Relationship Id="rId704" Type="http://schemas.openxmlformats.org/officeDocument/2006/relationships/image" Target="media/image690.png"/><Relationship Id="rId705" Type="http://schemas.openxmlformats.org/officeDocument/2006/relationships/image" Target="media/image691.png"/><Relationship Id="rId706" Type="http://schemas.openxmlformats.org/officeDocument/2006/relationships/image" Target="media/image692.png"/><Relationship Id="rId707" Type="http://schemas.openxmlformats.org/officeDocument/2006/relationships/image" Target="media/image693.png"/><Relationship Id="rId708" Type="http://schemas.openxmlformats.org/officeDocument/2006/relationships/image" Target="media/image694.png"/><Relationship Id="rId709" Type="http://schemas.openxmlformats.org/officeDocument/2006/relationships/image" Target="media/image695.png"/><Relationship Id="rId710" Type="http://schemas.openxmlformats.org/officeDocument/2006/relationships/image" Target="media/image696.png"/><Relationship Id="rId711" Type="http://schemas.openxmlformats.org/officeDocument/2006/relationships/image" Target="media/image697.png"/><Relationship Id="rId712" Type="http://schemas.openxmlformats.org/officeDocument/2006/relationships/image" Target="media/image698.png"/><Relationship Id="rId713" Type="http://schemas.openxmlformats.org/officeDocument/2006/relationships/image" Target="media/image699.png"/><Relationship Id="rId714" Type="http://schemas.openxmlformats.org/officeDocument/2006/relationships/image" Target="media/image700.png"/><Relationship Id="rId715" Type="http://schemas.openxmlformats.org/officeDocument/2006/relationships/image" Target="media/image701.png"/><Relationship Id="rId716" Type="http://schemas.openxmlformats.org/officeDocument/2006/relationships/image" Target="media/image702.png"/><Relationship Id="rId717" Type="http://schemas.openxmlformats.org/officeDocument/2006/relationships/image" Target="media/image703.png"/><Relationship Id="rId718" Type="http://schemas.openxmlformats.org/officeDocument/2006/relationships/image" Target="media/image704.png"/><Relationship Id="rId719" Type="http://schemas.openxmlformats.org/officeDocument/2006/relationships/image" Target="media/image705.png"/><Relationship Id="rId720" Type="http://schemas.openxmlformats.org/officeDocument/2006/relationships/image" Target="media/image706.png"/><Relationship Id="rId721" Type="http://schemas.openxmlformats.org/officeDocument/2006/relationships/image" Target="media/image707.png"/><Relationship Id="rId722" Type="http://schemas.openxmlformats.org/officeDocument/2006/relationships/image" Target="media/image708.png"/><Relationship Id="rId723" Type="http://schemas.openxmlformats.org/officeDocument/2006/relationships/image" Target="media/image709.png"/><Relationship Id="rId724" Type="http://schemas.openxmlformats.org/officeDocument/2006/relationships/image" Target="media/image710.png"/><Relationship Id="rId725" Type="http://schemas.openxmlformats.org/officeDocument/2006/relationships/image" Target="media/image711.png"/><Relationship Id="rId726" Type="http://schemas.openxmlformats.org/officeDocument/2006/relationships/image" Target="media/image712.png"/><Relationship Id="rId727" Type="http://schemas.openxmlformats.org/officeDocument/2006/relationships/image" Target="media/image713.png"/><Relationship Id="rId728" Type="http://schemas.openxmlformats.org/officeDocument/2006/relationships/image" Target="media/image714.png"/><Relationship Id="rId729" Type="http://schemas.openxmlformats.org/officeDocument/2006/relationships/image" Target="media/image715.png"/><Relationship Id="rId730" Type="http://schemas.openxmlformats.org/officeDocument/2006/relationships/image" Target="media/image716.png"/><Relationship Id="rId731" Type="http://schemas.openxmlformats.org/officeDocument/2006/relationships/image" Target="media/image717.png"/><Relationship Id="rId732" Type="http://schemas.openxmlformats.org/officeDocument/2006/relationships/image" Target="media/image718.png"/><Relationship Id="rId733" Type="http://schemas.openxmlformats.org/officeDocument/2006/relationships/image" Target="media/image719.png"/><Relationship Id="rId734" Type="http://schemas.openxmlformats.org/officeDocument/2006/relationships/image" Target="media/image720.png"/><Relationship Id="rId735" Type="http://schemas.openxmlformats.org/officeDocument/2006/relationships/image" Target="media/image721.png"/><Relationship Id="rId736" Type="http://schemas.openxmlformats.org/officeDocument/2006/relationships/image" Target="media/image722.png"/><Relationship Id="rId737" Type="http://schemas.openxmlformats.org/officeDocument/2006/relationships/image" Target="media/image723.png"/><Relationship Id="rId738" Type="http://schemas.openxmlformats.org/officeDocument/2006/relationships/image" Target="media/image724.png"/><Relationship Id="rId739" Type="http://schemas.openxmlformats.org/officeDocument/2006/relationships/image" Target="media/image725.png"/><Relationship Id="rId740" Type="http://schemas.openxmlformats.org/officeDocument/2006/relationships/image" Target="media/image726.png"/><Relationship Id="rId741" Type="http://schemas.openxmlformats.org/officeDocument/2006/relationships/image" Target="media/image727.png"/><Relationship Id="rId742" Type="http://schemas.openxmlformats.org/officeDocument/2006/relationships/image" Target="media/image728.png"/><Relationship Id="rId743" Type="http://schemas.openxmlformats.org/officeDocument/2006/relationships/image" Target="media/image729.png"/><Relationship Id="rId744" Type="http://schemas.openxmlformats.org/officeDocument/2006/relationships/image" Target="media/image730.png"/><Relationship Id="rId745" Type="http://schemas.openxmlformats.org/officeDocument/2006/relationships/image" Target="media/image731.png"/><Relationship Id="rId746" Type="http://schemas.openxmlformats.org/officeDocument/2006/relationships/image" Target="media/image732.png"/><Relationship Id="rId747" Type="http://schemas.openxmlformats.org/officeDocument/2006/relationships/image" Target="media/image733.png"/><Relationship Id="rId748" Type="http://schemas.openxmlformats.org/officeDocument/2006/relationships/image" Target="media/image734.png"/><Relationship Id="rId749" Type="http://schemas.openxmlformats.org/officeDocument/2006/relationships/image" Target="media/image735.png"/><Relationship Id="rId750" Type="http://schemas.openxmlformats.org/officeDocument/2006/relationships/image" Target="media/image736.png"/><Relationship Id="rId751" Type="http://schemas.openxmlformats.org/officeDocument/2006/relationships/image" Target="media/image737.png"/><Relationship Id="rId752" Type="http://schemas.openxmlformats.org/officeDocument/2006/relationships/image" Target="media/image738.png"/><Relationship Id="rId753" Type="http://schemas.openxmlformats.org/officeDocument/2006/relationships/image" Target="media/image739.png"/><Relationship Id="rId754" Type="http://schemas.openxmlformats.org/officeDocument/2006/relationships/image" Target="media/image740.png"/><Relationship Id="rId755" Type="http://schemas.openxmlformats.org/officeDocument/2006/relationships/image" Target="media/image741.png"/><Relationship Id="rId756" Type="http://schemas.openxmlformats.org/officeDocument/2006/relationships/image" Target="media/image742.png"/><Relationship Id="rId757" Type="http://schemas.openxmlformats.org/officeDocument/2006/relationships/image" Target="media/image743.png"/><Relationship Id="rId758" Type="http://schemas.openxmlformats.org/officeDocument/2006/relationships/image" Target="media/image744.png"/><Relationship Id="rId759" Type="http://schemas.openxmlformats.org/officeDocument/2006/relationships/image" Target="media/image745.png"/><Relationship Id="rId760" Type="http://schemas.openxmlformats.org/officeDocument/2006/relationships/image" Target="media/image746.png"/><Relationship Id="rId761" Type="http://schemas.openxmlformats.org/officeDocument/2006/relationships/image" Target="media/image747.png"/><Relationship Id="rId762" Type="http://schemas.openxmlformats.org/officeDocument/2006/relationships/image" Target="media/image748.png"/><Relationship Id="rId763" Type="http://schemas.openxmlformats.org/officeDocument/2006/relationships/image" Target="media/image749.png"/><Relationship Id="rId764" Type="http://schemas.openxmlformats.org/officeDocument/2006/relationships/image" Target="media/image750.png"/><Relationship Id="rId765" Type="http://schemas.openxmlformats.org/officeDocument/2006/relationships/image" Target="media/image751.png"/><Relationship Id="rId766" Type="http://schemas.openxmlformats.org/officeDocument/2006/relationships/image" Target="media/image752.png"/><Relationship Id="rId767" Type="http://schemas.openxmlformats.org/officeDocument/2006/relationships/image" Target="media/image753.png"/><Relationship Id="rId768" Type="http://schemas.openxmlformats.org/officeDocument/2006/relationships/image" Target="media/image754.png"/><Relationship Id="rId769" Type="http://schemas.openxmlformats.org/officeDocument/2006/relationships/image" Target="media/image755.png"/><Relationship Id="rId770" Type="http://schemas.openxmlformats.org/officeDocument/2006/relationships/image" Target="media/image756.png"/><Relationship Id="rId771" Type="http://schemas.openxmlformats.org/officeDocument/2006/relationships/image" Target="media/image757.png"/><Relationship Id="rId772" Type="http://schemas.openxmlformats.org/officeDocument/2006/relationships/image" Target="media/image758.png"/><Relationship Id="rId773" Type="http://schemas.openxmlformats.org/officeDocument/2006/relationships/image" Target="media/image759.png"/><Relationship Id="rId774" Type="http://schemas.openxmlformats.org/officeDocument/2006/relationships/image" Target="media/image760.png"/><Relationship Id="rId775" Type="http://schemas.openxmlformats.org/officeDocument/2006/relationships/image" Target="media/image761.png"/><Relationship Id="rId776" Type="http://schemas.openxmlformats.org/officeDocument/2006/relationships/image" Target="media/image762.png"/><Relationship Id="rId777" Type="http://schemas.openxmlformats.org/officeDocument/2006/relationships/image" Target="media/image763.png"/><Relationship Id="rId778" Type="http://schemas.openxmlformats.org/officeDocument/2006/relationships/image" Target="media/image764.png"/><Relationship Id="rId779" Type="http://schemas.openxmlformats.org/officeDocument/2006/relationships/image" Target="media/image765.png"/><Relationship Id="rId780" Type="http://schemas.openxmlformats.org/officeDocument/2006/relationships/image" Target="media/image766.png"/><Relationship Id="rId781" Type="http://schemas.openxmlformats.org/officeDocument/2006/relationships/image" Target="media/image767.png"/><Relationship Id="rId782" Type="http://schemas.openxmlformats.org/officeDocument/2006/relationships/image" Target="media/image768.png"/><Relationship Id="rId783" Type="http://schemas.openxmlformats.org/officeDocument/2006/relationships/image" Target="media/image769.png"/><Relationship Id="rId784" Type="http://schemas.openxmlformats.org/officeDocument/2006/relationships/image" Target="media/image770.png"/><Relationship Id="rId785" Type="http://schemas.openxmlformats.org/officeDocument/2006/relationships/image" Target="media/image771.png"/><Relationship Id="rId786" Type="http://schemas.openxmlformats.org/officeDocument/2006/relationships/image" Target="media/image772.png"/><Relationship Id="rId787" Type="http://schemas.openxmlformats.org/officeDocument/2006/relationships/image" Target="media/image773.png"/><Relationship Id="rId788" Type="http://schemas.openxmlformats.org/officeDocument/2006/relationships/image" Target="media/image774.png"/><Relationship Id="rId789" Type="http://schemas.openxmlformats.org/officeDocument/2006/relationships/image" Target="media/image775.png"/><Relationship Id="rId790" Type="http://schemas.openxmlformats.org/officeDocument/2006/relationships/image" Target="media/image776.png"/><Relationship Id="rId791" Type="http://schemas.openxmlformats.org/officeDocument/2006/relationships/image" Target="media/image777.png"/><Relationship Id="rId792" Type="http://schemas.openxmlformats.org/officeDocument/2006/relationships/image" Target="media/image778.png"/><Relationship Id="rId793" Type="http://schemas.openxmlformats.org/officeDocument/2006/relationships/image" Target="media/image779.png"/><Relationship Id="rId794" Type="http://schemas.openxmlformats.org/officeDocument/2006/relationships/image" Target="media/image780.png"/><Relationship Id="rId795" Type="http://schemas.openxmlformats.org/officeDocument/2006/relationships/image" Target="media/image781.png"/><Relationship Id="rId796" Type="http://schemas.openxmlformats.org/officeDocument/2006/relationships/image" Target="media/image782.png"/><Relationship Id="rId797" Type="http://schemas.openxmlformats.org/officeDocument/2006/relationships/image" Target="media/image783.png"/><Relationship Id="rId798" Type="http://schemas.openxmlformats.org/officeDocument/2006/relationships/image" Target="media/image784.png"/><Relationship Id="rId799" Type="http://schemas.openxmlformats.org/officeDocument/2006/relationships/image" Target="media/image785.png"/><Relationship Id="rId800" Type="http://schemas.openxmlformats.org/officeDocument/2006/relationships/image" Target="media/image786.png"/><Relationship Id="rId801" Type="http://schemas.openxmlformats.org/officeDocument/2006/relationships/image" Target="media/image787.png"/><Relationship Id="rId802" Type="http://schemas.openxmlformats.org/officeDocument/2006/relationships/image" Target="media/image788.png"/><Relationship Id="rId803" Type="http://schemas.openxmlformats.org/officeDocument/2006/relationships/image" Target="media/image789.png"/><Relationship Id="rId804" Type="http://schemas.openxmlformats.org/officeDocument/2006/relationships/image" Target="media/image790.png"/><Relationship Id="rId805" Type="http://schemas.openxmlformats.org/officeDocument/2006/relationships/image" Target="media/image791.png"/><Relationship Id="rId806" Type="http://schemas.openxmlformats.org/officeDocument/2006/relationships/image" Target="media/image792.png"/><Relationship Id="rId807" Type="http://schemas.openxmlformats.org/officeDocument/2006/relationships/image" Target="media/image793.png"/><Relationship Id="rId808" Type="http://schemas.openxmlformats.org/officeDocument/2006/relationships/image" Target="media/image794.png"/><Relationship Id="rId809" Type="http://schemas.openxmlformats.org/officeDocument/2006/relationships/image" Target="media/image795.png"/><Relationship Id="rId810" Type="http://schemas.openxmlformats.org/officeDocument/2006/relationships/image" Target="media/image796.png"/><Relationship Id="rId811" Type="http://schemas.openxmlformats.org/officeDocument/2006/relationships/image" Target="media/image797.png"/><Relationship Id="rId812" Type="http://schemas.openxmlformats.org/officeDocument/2006/relationships/image" Target="media/image798.png"/><Relationship Id="rId813" Type="http://schemas.openxmlformats.org/officeDocument/2006/relationships/image" Target="media/image799.png"/><Relationship Id="rId814" Type="http://schemas.openxmlformats.org/officeDocument/2006/relationships/image" Target="media/image800.png"/><Relationship Id="rId815" Type="http://schemas.openxmlformats.org/officeDocument/2006/relationships/image" Target="media/image801.png"/><Relationship Id="rId816" Type="http://schemas.openxmlformats.org/officeDocument/2006/relationships/image" Target="media/image802.png"/><Relationship Id="rId817" Type="http://schemas.openxmlformats.org/officeDocument/2006/relationships/image" Target="media/image803.png"/><Relationship Id="rId818" Type="http://schemas.openxmlformats.org/officeDocument/2006/relationships/image" Target="media/image804.png"/><Relationship Id="rId819" Type="http://schemas.openxmlformats.org/officeDocument/2006/relationships/image" Target="media/image805.png"/><Relationship Id="rId820" Type="http://schemas.openxmlformats.org/officeDocument/2006/relationships/image" Target="media/image806.png"/><Relationship Id="rId821" Type="http://schemas.openxmlformats.org/officeDocument/2006/relationships/image" Target="media/image807.png"/><Relationship Id="rId822" Type="http://schemas.openxmlformats.org/officeDocument/2006/relationships/image" Target="media/image808.png"/><Relationship Id="rId823" Type="http://schemas.openxmlformats.org/officeDocument/2006/relationships/image" Target="media/image809.png"/><Relationship Id="rId824" Type="http://schemas.openxmlformats.org/officeDocument/2006/relationships/image" Target="media/image810.png"/><Relationship Id="rId825" Type="http://schemas.openxmlformats.org/officeDocument/2006/relationships/image" Target="media/image811.png"/><Relationship Id="rId826" Type="http://schemas.openxmlformats.org/officeDocument/2006/relationships/image" Target="media/image812.png"/><Relationship Id="rId827" Type="http://schemas.openxmlformats.org/officeDocument/2006/relationships/image" Target="media/image813.png"/><Relationship Id="rId828" Type="http://schemas.openxmlformats.org/officeDocument/2006/relationships/image" Target="media/image814.png"/><Relationship Id="rId829" Type="http://schemas.openxmlformats.org/officeDocument/2006/relationships/image" Target="media/image815.png"/><Relationship Id="rId830" Type="http://schemas.openxmlformats.org/officeDocument/2006/relationships/image" Target="media/image816.png"/><Relationship Id="rId831" Type="http://schemas.openxmlformats.org/officeDocument/2006/relationships/image" Target="media/image817.png"/><Relationship Id="rId832" Type="http://schemas.openxmlformats.org/officeDocument/2006/relationships/image" Target="media/image818.png"/><Relationship Id="rId833" Type="http://schemas.openxmlformats.org/officeDocument/2006/relationships/image" Target="media/image819.png"/><Relationship Id="rId834" Type="http://schemas.openxmlformats.org/officeDocument/2006/relationships/image" Target="media/image820.png"/><Relationship Id="rId835" Type="http://schemas.openxmlformats.org/officeDocument/2006/relationships/image" Target="media/image821.png"/><Relationship Id="rId836" Type="http://schemas.openxmlformats.org/officeDocument/2006/relationships/image" Target="media/image822.png"/><Relationship Id="rId837" Type="http://schemas.openxmlformats.org/officeDocument/2006/relationships/image" Target="media/image823.png"/><Relationship Id="rId838" Type="http://schemas.openxmlformats.org/officeDocument/2006/relationships/image" Target="media/image824.png"/><Relationship Id="rId839" Type="http://schemas.openxmlformats.org/officeDocument/2006/relationships/image" Target="media/image825.png"/><Relationship Id="rId840" Type="http://schemas.openxmlformats.org/officeDocument/2006/relationships/image" Target="media/image826.png"/><Relationship Id="rId841" Type="http://schemas.openxmlformats.org/officeDocument/2006/relationships/image" Target="media/image827.png"/><Relationship Id="rId842" Type="http://schemas.openxmlformats.org/officeDocument/2006/relationships/image" Target="media/image828.png"/><Relationship Id="rId843" Type="http://schemas.openxmlformats.org/officeDocument/2006/relationships/image" Target="media/image829.png"/><Relationship Id="rId844" Type="http://schemas.openxmlformats.org/officeDocument/2006/relationships/image" Target="media/image830.png"/><Relationship Id="rId845" Type="http://schemas.openxmlformats.org/officeDocument/2006/relationships/image" Target="media/image831.png"/><Relationship Id="rId846" Type="http://schemas.openxmlformats.org/officeDocument/2006/relationships/image" Target="media/image832.png"/><Relationship Id="rId847" Type="http://schemas.openxmlformats.org/officeDocument/2006/relationships/image" Target="media/image833.png"/><Relationship Id="rId848" Type="http://schemas.openxmlformats.org/officeDocument/2006/relationships/image" Target="media/image834.png"/><Relationship Id="rId849" Type="http://schemas.openxmlformats.org/officeDocument/2006/relationships/image" Target="media/image835.png"/><Relationship Id="rId850" Type="http://schemas.openxmlformats.org/officeDocument/2006/relationships/image" Target="media/image836.png"/><Relationship Id="rId851" Type="http://schemas.openxmlformats.org/officeDocument/2006/relationships/image" Target="media/image837.png"/><Relationship Id="rId852" Type="http://schemas.openxmlformats.org/officeDocument/2006/relationships/image" Target="media/image838.png"/><Relationship Id="rId853" Type="http://schemas.openxmlformats.org/officeDocument/2006/relationships/image" Target="media/image839.png"/><Relationship Id="rId854" Type="http://schemas.openxmlformats.org/officeDocument/2006/relationships/image" Target="media/image840.png"/><Relationship Id="rId855" Type="http://schemas.openxmlformats.org/officeDocument/2006/relationships/image" Target="media/image841.png"/><Relationship Id="rId856" Type="http://schemas.openxmlformats.org/officeDocument/2006/relationships/image" Target="media/image842.png"/><Relationship Id="rId857" Type="http://schemas.openxmlformats.org/officeDocument/2006/relationships/image" Target="media/image843.png"/><Relationship Id="rId858" Type="http://schemas.openxmlformats.org/officeDocument/2006/relationships/image" Target="media/image844.png"/><Relationship Id="rId859" Type="http://schemas.openxmlformats.org/officeDocument/2006/relationships/image" Target="media/image845.png"/><Relationship Id="rId860" Type="http://schemas.openxmlformats.org/officeDocument/2006/relationships/image" Target="media/image846.png"/><Relationship Id="rId861" Type="http://schemas.openxmlformats.org/officeDocument/2006/relationships/image" Target="media/image847.png"/><Relationship Id="rId862" Type="http://schemas.openxmlformats.org/officeDocument/2006/relationships/image" Target="media/image848.png"/><Relationship Id="rId863" Type="http://schemas.openxmlformats.org/officeDocument/2006/relationships/image" Target="media/image849.png"/><Relationship Id="rId864" Type="http://schemas.openxmlformats.org/officeDocument/2006/relationships/image" Target="media/image850.png"/><Relationship Id="rId865" Type="http://schemas.openxmlformats.org/officeDocument/2006/relationships/image" Target="media/image851.png"/><Relationship Id="rId866" Type="http://schemas.openxmlformats.org/officeDocument/2006/relationships/image" Target="media/image852.png"/><Relationship Id="rId867" Type="http://schemas.openxmlformats.org/officeDocument/2006/relationships/image" Target="media/image853.png"/><Relationship Id="rId868" Type="http://schemas.openxmlformats.org/officeDocument/2006/relationships/image" Target="media/image854.png"/><Relationship Id="rId869" Type="http://schemas.openxmlformats.org/officeDocument/2006/relationships/image" Target="media/image855.png"/><Relationship Id="rId870" Type="http://schemas.openxmlformats.org/officeDocument/2006/relationships/image" Target="media/image856.png"/><Relationship Id="rId871" Type="http://schemas.openxmlformats.org/officeDocument/2006/relationships/image" Target="media/image857.png"/><Relationship Id="rId872" Type="http://schemas.openxmlformats.org/officeDocument/2006/relationships/image" Target="media/image858.png"/><Relationship Id="rId873" Type="http://schemas.openxmlformats.org/officeDocument/2006/relationships/image" Target="media/image859.png"/><Relationship Id="rId874" Type="http://schemas.openxmlformats.org/officeDocument/2006/relationships/image" Target="media/image860.png"/><Relationship Id="rId875" Type="http://schemas.openxmlformats.org/officeDocument/2006/relationships/image" Target="media/image861.png"/><Relationship Id="rId876" Type="http://schemas.openxmlformats.org/officeDocument/2006/relationships/image" Target="media/image862.png"/><Relationship Id="rId877" Type="http://schemas.openxmlformats.org/officeDocument/2006/relationships/image" Target="media/image863.png"/><Relationship Id="rId878" Type="http://schemas.openxmlformats.org/officeDocument/2006/relationships/image" Target="media/image864.png"/><Relationship Id="rId879" Type="http://schemas.openxmlformats.org/officeDocument/2006/relationships/image" Target="media/image865.png"/><Relationship Id="rId880" Type="http://schemas.openxmlformats.org/officeDocument/2006/relationships/image" Target="media/image866.png"/><Relationship Id="rId881" Type="http://schemas.openxmlformats.org/officeDocument/2006/relationships/image" Target="media/image867.png"/><Relationship Id="rId882" Type="http://schemas.openxmlformats.org/officeDocument/2006/relationships/image" Target="media/image868.png"/><Relationship Id="rId883" Type="http://schemas.openxmlformats.org/officeDocument/2006/relationships/image" Target="media/image869.png"/><Relationship Id="rId884" Type="http://schemas.openxmlformats.org/officeDocument/2006/relationships/image" Target="media/image870.png"/><Relationship Id="rId885" Type="http://schemas.openxmlformats.org/officeDocument/2006/relationships/image" Target="media/image871.png"/><Relationship Id="rId886" Type="http://schemas.openxmlformats.org/officeDocument/2006/relationships/image" Target="media/image872.png"/><Relationship Id="rId887" Type="http://schemas.openxmlformats.org/officeDocument/2006/relationships/image" Target="media/image873.png"/><Relationship Id="rId888" Type="http://schemas.openxmlformats.org/officeDocument/2006/relationships/image" Target="media/image874.png"/><Relationship Id="rId889" Type="http://schemas.openxmlformats.org/officeDocument/2006/relationships/image" Target="media/image875.png"/><Relationship Id="rId890" Type="http://schemas.openxmlformats.org/officeDocument/2006/relationships/image" Target="media/image876.png"/><Relationship Id="rId891" Type="http://schemas.openxmlformats.org/officeDocument/2006/relationships/image" Target="media/image877.png"/><Relationship Id="rId892" Type="http://schemas.openxmlformats.org/officeDocument/2006/relationships/image" Target="media/image878.png"/><Relationship Id="rId893" Type="http://schemas.openxmlformats.org/officeDocument/2006/relationships/image" Target="media/image879.png"/><Relationship Id="rId894" Type="http://schemas.openxmlformats.org/officeDocument/2006/relationships/image" Target="media/image880.png"/><Relationship Id="rId895" Type="http://schemas.openxmlformats.org/officeDocument/2006/relationships/image" Target="media/image881.png"/><Relationship Id="rId896" Type="http://schemas.openxmlformats.org/officeDocument/2006/relationships/image" Target="media/image882.png"/><Relationship Id="rId897" Type="http://schemas.openxmlformats.org/officeDocument/2006/relationships/image" Target="media/image883.png"/><Relationship Id="rId898" Type="http://schemas.openxmlformats.org/officeDocument/2006/relationships/image" Target="media/image884.png"/><Relationship Id="rId899" Type="http://schemas.openxmlformats.org/officeDocument/2006/relationships/image" Target="media/image885.png"/><Relationship Id="rId900" Type="http://schemas.openxmlformats.org/officeDocument/2006/relationships/image" Target="media/image886.png"/><Relationship Id="rId901" Type="http://schemas.openxmlformats.org/officeDocument/2006/relationships/image" Target="media/image887.png"/><Relationship Id="rId902" Type="http://schemas.openxmlformats.org/officeDocument/2006/relationships/image" Target="media/image888.png"/><Relationship Id="rId903" Type="http://schemas.openxmlformats.org/officeDocument/2006/relationships/image" Target="media/image889.png"/><Relationship Id="rId904" Type="http://schemas.openxmlformats.org/officeDocument/2006/relationships/image" Target="media/image890.png"/><Relationship Id="rId905" Type="http://schemas.openxmlformats.org/officeDocument/2006/relationships/image" Target="media/image891.png"/><Relationship Id="rId906" Type="http://schemas.openxmlformats.org/officeDocument/2006/relationships/image" Target="media/image892.png"/><Relationship Id="rId907" Type="http://schemas.openxmlformats.org/officeDocument/2006/relationships/image" Target="media/image893.png"/><Relationship Id="rId908" Type="http://schemas.openxmlformats.org/officeDocument/2006/relationships/image" Target="media/image894.png"/><Relationship Id="rId909" Type="http://schemas.openxmlformats.org/officeDocument/2006/relationships/image" Target="media/image895.png"/><Relationship Id="rId910" Type="http://schemas.openxmlformats.org/officeDocument/2006/relationships/image" Target="media/image896.png"/><Relationship Id="rId911" Type="http://schemas.openxmlformats.org/officeDocument/2006/relationships/image" Target="media/image897.png"/><Relationship Id="rId912" Type="http://schemas.openxmlformats.org/officeDocument/2006/relationships/image" Target="media/image898.png"/><Relationship Id="rId913" Type="http://schemas.openxmlformats.org/officeDocument/2006/relationships/image" Target="media/image899.png"/><Relationship Id="rId914" Type="http://schemas.openxmlformats.org/officeDocument/2006/relationships/image" Target="media/image900.png"/><Relationship Id="rId915" Type="http://schemas.openxmlformats.org/officeDocument/2006/relationships/image" Target="media/image901.png"/><Relationship Id="rId916" Type="http://schemas.openxmlformats.org/officeDocument/2006/relationships/image" Target="media/image902.png"/><Relationship Id="rId917" Type="http://schemas.openxmlformats.org/officeDocument/2006/relationships/image" Target="media/image903.png"/><Relationship Id="rId918" Type="http://schemas.openxmlformats.org/officeDocument/2006/relationships/image" Target="media/image904.png"/><Relationship Id="rId919" Type="http://schemas.openxmlformats.org/officeDocument/2006/relationships/image" Target="media/image905.png"/><Relationship Id="rId920" Type="http://schemas.openxmlformats.org/officeDocument/2006/relationships/image" Target="media/image906.png"/><Relationship Id="rId921" Type="http://schemas.openxmlformats.org/officeDocument/2006/relationships/image" Target="media/image907.png"/><Relationship Id="rId922" Type="http://schemas.openxmlformats.org/officeDocument/2006/relationships/image" Target="media/image908.png"/><Relationship Id="rId923" Type="http://schemas.openxmlformats.org/officeDocument/2006/relationships/image" Target="media/image909.png"/><Relationship Id="rId924" Type="http://schemas.openxmlformats.org/officeDocument/2006/relationships/image" Target="media/image910.png"/><Relationship Id="rId925" Type="http://schemas.openxmlformats.org/officeDocument/2006/relationships/image" Target="media/image911.png"/><Relationship Id="rId926" Type="http://schemas.openxmlformats.org/officeDocument/2006/relationships/image" Target="media/image912.png"/><Relationship Id="rId927" Type="http://schemas.openxmlformats.org/officeDocument/2006/relationships/image" Target="media/image913.png"/><Relationship Id="rId928" Type="http://schemas.openxmlformats.org/officeDocument/2006/relationships/image" Target="media/image914.png"/><Relationship Id="rId929" Type="http://schemas.openxmlformats.org/officeDocument/2006/relationships/image" Target="media/image915.png"/><Relationship Id="rId930" Type="http://schemas.openxmlformats.org/officeDocument/2006/relationships/image" Target="media/image916.png"/><Relationship Id="rId931" Type="http://schemas.openxmlformats.org/officeDocument/2006/relationships/image" Target="media/image917.png"/><Relationship Id="rId932" Type="http://schemas.openxmlformats.org/officeDocument/2006/relationships/image" Target="media/image918.png"/><Relationship Id="rId933" Type="http://schemas.openxmlformats.org/officeDocument/2006/relationships/image" Target="media/image919.png"/><Relationship Id="rId934" Type="http://schemas.openxmlformats.org/officeDocument/2006/relationships/image" Target="media/image920.png"/><Relationship Id="rId935" Type="http://schemas.openxmlformats.org/officeDocument/2006/relationships/image" Target="media/image921.png"/><Relationship Id="rId936" Type="http://schemas.openxmlformats.org/officeDocument/2006/relationships/image" Target="media/image922.png"/><Relationship Id="rId937" Type="http://schemas.openxmlformats.org/officeDocument/2006/relationships/image" Target="media/image923.png"/><Relationship Id="rId938" Type="http://schemas.openxmlformats.org/officeDocument/2006/relationships/image" Target="media/image924.png"/><Relationship Id="rId939" Type="http://schemas.openxmlformats.org/officeDocument/2006/relationships/image" Target="media/image925.png"/><Relationship Id="rId940" Type="http://schemas.openxmlformats.org/officeDocument/2006/relationships/image" Target="media/image926.png"/><Relationship Id="rId941" Type="http://schemas.openxmlformats.org/officeDocument/2006/relationships/image" Target="media/image927.png"/><Relationship Id="rId942" Type="http://schemas.openxmlformats.org/officeDocument/2006/relationships/image" Target="media/image928.png"/><Relationship Id="rId943" Type="http://schemas.openxmlformats.org/officeDocument/2006/relationships/image" Target="media/image929.png"/><Relationship Id="rId944" Type="http://schemas.openxmlformats.org/officeDocument/2006/relationships/image" Target="media/image930.png"/><Relationship Id="rId945" Type="http://schemas.openxmlformats.org/officeDocument/2006/relationships/image" Target="media/image931.png"/><Relationship Id="rId946" Type="http://schemas.openxmlformats.org/officeDocument/2006/relationships/image" Target="media/image932.png"/><Relationship Id="rId947" Type="http://schemas.openxmlformats.org/officeDocument/2006/relationships/image" Target="media/image933.png"/><Relationship Id="rId948" Type="http://schemas.openxmlformats.org/officeDocument/2006/relationships/image" Target="media/image934.png"/><Relationship Id="rId949" Type="http://schemas.openxmlformats.org/officeDocument/2006/relationships/image" Target="media/image935.png"/><Relationship Id="rId950" Type="http://schemas.openxmlformats.org/officeDocument/2006/relationships/image" Target="media/image936.png"/><Relationship Id="rId951" Type="http://schemas.openxmlformats.org/officeDocument/2006/relationships/image" Target="media/image937.png"/><Relationship Id="rId952" Type="http://schemas.openxmlformats.org/officeDocument/2006/relationships/image" Target="media/image938.png"/><Relationship Id="rId953" Type="http://schemas.openxmlformats.org/officeDocument/2006/relationships/image" Target="media/image939.png"/><Relationship Id="rId954" Type="http://schemas.openxmlformats.org/officeDocument/2006/relationships/image" Target="media/image940.png"/><Relationship Id="rId955" Type="http://schemas.openxmlformats.org/officeDocument/2006/relationships/image" Target="media/image941.png"/><Relationship Id="rId956" Type="http://schemas.openxmlformats.org/officeDocument/2006/relationships/image" Target="media/image942.png"/><Relationship Id="rId957" Type="http://schemas.openxmlformats.org/officeDocument/2006/relationships/image" Target="media/image943.png"/><Relationship Id="rId958" Type="http://schemas.openxmlformats.org/officeDocument/2006/relationships/image" Target="media/image944.png"/><Relationship Id="rId959" Type="http://schemas.openxmlformats.org/officeDocument/2006/relationships/image" Target="media/image945.png"/><Relationship Id="rId960" Type="http://schemas.openxmlformats.org/officeDocument/2006/relationships/image" Target="media/image946.png"/><Relationship Id="rId961" Type="http://schemas.openxmlformats.org/officeDocument/2006/relationships/image" Target="media/image947.png"/><Relationship Id="rId962" Type="http://schemas.openxmlformats.org/officeDocument/2006/relationships/image" Target="media/image948.png"/><Relationship Id="rId963" Type="http://schemas.openxmlformats.org/officeDocument/2006/relationships/image" Target="media/image949.png"/><Relationship Id="rId964" Type="http://schemas.openxmlformats.org/officeDocument/2006/relationships/image" Target="media/image950.png"/><Relationship Id="rId965" Type="http://schemas.openxmlformats.org/officeDocument/2006/relationships/image" Target="media/image951.png"/><Relationship Id="rId966" Type="http://schemas.openxmlformats.org/officeDocument/2006/relationships/image" Target="media/image952.png"/><Relationship Id="rId967" Type="http://schemas.openxmlformats.org/officeDocument/2006/relationships/image" Target="media/image953.png"/><Relationship Id="rId968" Type="http://schemas.openxmlformats.org/officeDocument/2006/relationships/image" Target="media/image954.png"/><Relationship Id="rId969" Type="http://schemas.openxmlformats.org/officeDocument/2006/relationships/image" Target="media/image955.png"/><Relationship Id="rId970" Type="http://schemas.openxmlformats.org/officeDocument/2006/relationships/image" Target="media/image956.png"/><Relationship Id="rId971" Type="http://schemas.openxmlformats.org/officeDocument/2006/relationships/image" Target="media/image957.png"/><Relationship Id="rId972" Type="http://schemas.openxmlformats.org/officeDocument/2006/relationships/image" Target="media/image958.png"/><Relationship Id="rId973" Type="http://schemas.openxmlformats.org/officeDocument/2006/relationships/image" Target="media/image959.png"/><Relationship Id="rId974" Type="http://schemas.openxmlformats.org/officeDocument/2006/relationships/image" Target="media/image960.png"/><Relationship Id="rId975" Type="http://schemas.openxmlformats.org/officeDocument/2006/relationships/image" Target="media/image961.png"/><Relationship Id="rId976" Type="http://schemas.openxmlformats.org/officeDocument/2006/relationships/image" Target="media/image962.png"/><Relationship Id="rId977" Type="http://schemas.openxmlformats.org/officeDocument/2006/relationships/image" Target="media/image963.png"/><Relationship Id="rId978" Type="http://schemas.openxmlformats.org/officeDocument/2006/relationships/image" Target="media/image964.png"/><Relationship Id="rId979" Type="http://schemas.openxmlformats.org/officeDocument/2006/relationships/image" Target="media/image965.png"/><Relationship Id="rId980" Type="http://schemas.openxmlformats.org/officeDocument/2006/relationships/image" Target="media/image966.png"/><Relationship Id="rId981" Type="http://schemas.openxmlformats.org/officeDocument/2006/relationships/image" Target="media/image967.png"/><Relationship Id="rId982" Type="http://schemas.openxmlformats.org/officeDocument/2006/relationships/image" Target="media/image968.png"/><Relationship Id="rId983" Type="http://schemas.openxmlformats.org/officeDocument/2006/relationships/image" Target="media/image969.png"/><Relationship Id="rId984" Type="http://schemas.openxmlformats.org/officeDocument/2006/relationships/image" Target="media/image970.png"/><Relationship Id="rId985" Type="http://schemas.openxmlformats.org/officeDocument/2006/relationships/image" Target="media/image971.png"/><Relationship Id="rId986" Type="http://schemas.openxmlformats.org/officeDocument/2006/relationships/image" Target="media/image972.png"/><Relationship Id="rId987" Type="http://schemas.openxmlformats.org/officeDocument/2006/relationships/image" Target="media/image973.png"/><Relationship Id="rId988" Type="http://schemas.openxmlformats.org/officeDocument/2006/relationships/image" Target="media/image974.png"/><Relationship Id="rId989" Type="http://schemas.openxmlformats.org/officeDocument/2006/relationships/image" Target="media/image975.png"/><Relationship Id="rId990" Type="http://schemas.openxmlformats.org/officeDocument/2006/relationships/image" Target="media/image976.png"/><Relationship Id="rId991" Type="http://schemas.openxmlformats.org/officeDocument/2006/relationships/image" Target="media/image977.png"/><Relationship Id="rId992" Type="http://schemas.openxmlformats.org/officeDocument/2006/relationships/image" Target="media/image978.png"/><Relationship Id="rId993" Type="http://schemas.openxmlformats.org/officeDocument/2006/relationships/image" Target="media/image979.png"/><Relationship Id="rId994" Type="http://schemas.openxmlformats.org/officeDocument/2006/relationships/image" Target="media/image980.png"/><Relationship Id="rId995" Type="http://schemas.openxmlformats.org/officeDocument/2006/relationships/image" Target="media/image981.png"/><Relationship Id="rId996" Type="http://schemas.openxmlformats.org/officeDocument/2006/relationships/image" Target="media/image982.png"/><Relationship Id="rId997" Type="http://schemas.openxmlformats.org/officeDocument/2006/relationships/image" Target="media/image983.png"/><Relationship Id="rId998" Type="http://schemas.openxmlformats.org/officeDocument/2006/relationships/image" Target="media/image984.png"/><Relationship Id="rId999" Type="http://schemas.openxmlformats.org/officeDocument/2006/relationships/image" Target="media/image985.png"/><Relationship Id="rId1000" Type="http://schemas.openxmlformats.org/officeDocument/2006/relationships/image" Target="media/image986.png"/><Relationship Id="rId1001" Type="http://schemas.openxmlformats.org/officeDocument/2006/relationships/image" Target="media/image987.png"/><Relationship Id="rId1002" Type="http://schemas.openxmlformats.org/officeDocument/2006/relationships/image" Target="media/image988.png"/><Relationship Id="rId1003" Type="http://schemas.openxmlformats.org/officeDocument/2006/relationships/image" Target="media/image989.png"/><Relationship Id="rId1004" Type="http://schemas.openxmlformats.org/officeDocument/2006/relationships/image" Target="media/image990.png"/><Relationship Id="rId1005" Type="http://schemas.openxmlformats.org/officeDocument/2006/relationships/image" Target="media/image991.png"/><Relationship Id="rId1006" Type="http://schemas.openxmlformats.org/officeDocument/2006/relationships/image" Target="media/image992.png"/><Relationship Id="rId1007" Type="http://schemas.openxmlformats.org/officeDocument/2006/relationships/image" Target="media/image993.png"/><Relationship Id="rId1008" Type="http://schemas.openxmlformats.org/officeDocument/2006/relationships/image" Target="media/image994.png"/><Relationship Id="rId1009" Type="http://schemas.openxmlformats.org/officeDocument/2006/relationships/image" Target="media/image995.png"/><Relationship Id="rId1010" Type="http://schemas.openxmlformats.org/officeDocument/2006/relationships/image" Target="media/image996.png"/><Relationship Id="rId1011" Type="http://schemas.openxmlformats.org/officeDocument/2006/relationships/image" Target="media/image997.png"/><Relationship Id="rId1012" Type="http://schemas.openxmlformats.org/officeDocument/2006/relationships/image" Target="media/image998.png"/><Relationship Id="rId1013" Type="http://schemas.openxmlformats.org/officeDocument/2006/relationships/image" Target="media/image999.png"/><Relationship Id="rId1014" Type="http://schemas.openxmlformats.org/officeDocument/2006/relationships/image" Target="media/image1000.png"/><Relationship Id="rId1015" Type="http://schemas.openxmlformats.org/officeDocument/2006/relationships/image" Target="media/image1001.png"/><Relationship Id="rId1016" Type="http://schemas.openxmlformats.org/officeDocument/2006/relationships/image" Target="media/image1002.png"/><Relationship Id="rId1017" Type="http://schemas.openxmlformats.org/officeDocument/2006/relationships/image" Target="media/image1003.png"/><Relationship Id="rId1018" Type="http://schemas.openxmlformats.org/officeDocument/2006/relationships/image" Target="media/image1004.png"/><Relationship Id="rId1019" Type="http://schemas.openxmlformats.org/officeDocument/2006/relationships/image" Target="media/image1005.png"/><Relationship Id="rId1020" Type="http://schemas.openxmlformats.org/officeDocument/2006/relationships/image" Target="media/image1006.png"/><Relationship Id="rId1021" Type="http://schemas.openxmlformats.org/officeDocument/2006/relationships/image" Target="media/image1007.png"/><Relationship Id="rId1022" Type="http://schemas.openxmlformats.org/officeDocument/2006/relationships/image" Target="media/image1008.png"/><Relationship Id="rId1023" Type="http://schemas.openxmlformats.org/officeDocument/2006/relationships/image" Target="media/image1009.png"/><Relationship Id="rId1024" Type="http://schemas.openxmlformats.org/officeDocument/2006/relationships/image" Target="media/image1010.png"/><Relationship Id="rId1025" Type="http://schemas.openxmlformats.org/officeDocument/2006/relationships/image" Target="media/image1011.png"/><Relationship Id="rId1026" Type="http://schemas.openxmlformats.org/officeDocument/2006/relationships/image" Target="media/image1012.png"/><Relationship Id="rId1027" Type="http://schemas.openxmlformats.org/officeDocument/2006/relationships/image" Target="media/image1013.png"/><Relationship Id="rId1028" Type="http://schemas.openxmlformats.org/officeDocument/2006/relationships/image" Target="media/image1014.png"/><Relationship Id="rId1029" Type="http://schemas.openxmlformats.org/officeDocument/2006/relationships/image" Target="media/image1015.png"/><Relationship Id="rId1030" Type="http://schemas.openxmlformats.org/officeDocument/2006/relationships/image" Target="media/image1016.png"/><Relationship Id="rId1031" Type="http://schemas.openxmlformats.org/officeDocument/2006/relationships/image" Target="media/image1017.png"/><Relationship Id="rId1032" Type="http://schemas.openxmlformats.org/officeDocument/2006/relationships/image" Target="media/image1018.png"/><Relationship Id="rId1033" Type="http://schemas.openxmlformats.org/officeDocument/2006/relationships/image" Target="media/image1019.png"/><Relationship Id="rId1034" Type="http://schemas.openxmlformats.org/officeDocument/2006/relationships/image" Target="media/image1020.png"/><Relationship Id="rId1035" Type="http://schemas.openxmlformats.org/officeDocument/2006/relationships/image" Target="media/image1021.png"/><Relationship Id="rId1036" Type="http://schemas.openxmlformats.org/officeDocument/2006/relationships/image" Target="media/image1022.png"/><Relationship Id="rId1037" Type="http://schemas.openxmlformats.org/officeDocument/2006/relationships/image" Target="media/image1023.png"/><Relationship Id="rId1038" Type="http://schemas.openxmlformats.org/officeDocument/2006/relationships/image" Target="media/image1024.png"/><Relationship Id="rId1039" Type="http://schemas.openxmlformats.org/officeDocument/2006/relationships/image" Target="media/image1025.png"/><Relationship Id="rId1040" Type="http://schemas.openxmlformats.org/officeDocument/2006/relationships/image" Target="media/image1026.png"/><Relationship Id="rId1041" Type="http://schemas.openxmlformats.org/officeDocument/2006/relationships/image" Target="media/image1027.png"/><Relationship Id="rId1042" Type="http://schemas.openxmlformats.org/officeDocument/2006/relationships/image" Target="media/image1028.png"/><Relationship Id="rId1043" Type="http://schemas.openxmlformats.org/officeDocument/2006/relationships/image" Target="media/image1029.png"/><Relationship Id="rId1044" Type="http://schemas.openxmlformats.org/officeDocument/2006/relationships/image" Target="media/image1030.png"/><Relationship Id="rId1045" Type="http://schemas.openxmlformats.org/officeDocument/2006/relationships/image" Target="media/image1031.png"/><Relationship Id="rId1046" Type="http://schemas.openxmlformats.org/officeDocument/2006/relationships/image" Target="media/image1032.png"/><Relationship Id="rId1047" Type="http://schemas.openxmlformats.org/officeDocument/2006/relationships/image" Target="media/image1033.png"/><Relationship Id="rId1048" Type="http://schemas.openxmlformats.org/officeDocument/2006/relationships/image" Target="media/image1034.png"/><Relationship Id="rId1049" Type="http://schemas.openxmlformats.org/officeDocument/2006/relationships/image" Target="media/image1035.png"/><Relationship Id="rId1050" Type="http://schemas.openxmlformats.org/officeDocument/2006/relationships/image" Target="media/image1036.png"/><Relationship Id="rId1051" Type="http://schemas.openxmlformats.org/officeDocument/2006/relationships/image" Target="media/image1037.png"/><Relationship Id="rId1052" Type="http://schemas.openxmlformats.org/officeDocument/2006/relationships/image" Target="media/image1038.png"/><Relationship Id="rId1053" Type="http://schemas.openxmlformats.org/officeDocument/2006/relationships/image" Target="media/image1039.png"/><Relationship Id="rId1054" Type="http://schemas.openxmlformats.org/officeDocument/2006/relationships/image" Target="media/image1040.png"/><Relationship Id="rId1055" Type="http://schemas.openxmlformats.org/officeDocument/2006/relationships/image" Target="media/image1041.png"/><Relationship Id="rId1056" Type="http://schemas.openxmlformats.org/officeDocument/2006/relationships/image" Target="media/image1042.png"/><Relationship Id="rId1057" Type="http://schemas.openxmlformats.org/officeDocument/2006/relationships/image" Target="media/image1043.png"/><Relationship Id="rId1058" Type="http://schemas.openxmlformats.org/officeDocument/2006/relationships/image" Target="media/image1044.png"/><Relationship Id="rId1059" Type="http://schemas.openxmlformats.org/officeDocument/2006/relationships/image" Target="media/image1045.png"/><Relationship Id="rId1060" Type="http://schemas.openxmlformats.org/officeDocument/2006/relationships/image" Target="media/image1046.png"/><Relationship Id="rId1061" Type="http://schemas.openxmlformats.org/officeDocument/2006/relationships/image" Target="media/image1047.png"/><Relationship Id="rId1062" Type="http://schemas.openxmlformats.org/officeDocument/2006/relationships/image" Target="media/image1048.png"/><Relationship Id="rId1063" Type="http://schemas.openxmlformats.org/officeDocument/2006/relationships/image" Target="media/image1049.png"/><Relationship Id="rId1064" Type="http://schemas.openxmlformats.org/officeDocument/2006/relationships/image" Target="media/image1050.png"/><Relationship Id="rId1065" Type="http://schemas.openxmlformats.org/officeDocument/2006/relationships/image" Target="media/image1051.png"/><Relationship Id="rId1066" Type="http://schemas.openxmlformats.org/officeDocument/2006/relationships/image" Target="media/image1052.png"/><Relationship Id="rId1067" Type="http://schemas.openxmlformats.org/officeDocument/2006/relationships/image" Target="media/image1053.png"/><Relationship Id="rId1068" Type="http://schemas.openxmlformats.org/officeDocument/2006/relationships/image" Target="media/image1054.png"/><Relationship Id="rId1069" Type="http://schemas.openxmlformats.org/officeDocument/2006/relationships/image" Target="media/image1055.png"/><Relationship Id="rId1070" Type="http://schemas.openxmlformats.org/officeDocument/2006/relationships/image" Target="media/image1056.png"/><Relationship Id="rId1071" Type="http://schemas.openxmlformats.org/officeDocument/2006/relationships/image" Target="media/image1057.png"/><Relationship Id="rId1072" Type="http://schemas.openxmlformats.org/officeDocument/2006/relationships/image" Target="media/image1058.png"/><Relationship Id="rId1073" Type="http://schemas.openxmlformats.org/officeDocument/2006/relationships/image" Target="media/image1059.png"/><Relationship Id="rId1074" Type="http://schemas.openxmlformats.org/officeDocument/2006/relationships/image" Target="media/image1060.png"/><Relationship Id="rId1075" Type="http://schemas.openxmlformats.org/officeDocument/2006/relationships/image" Target="media/image1061.png"/><Relationship Id="rId1076" Type="http://schemas.openxmlformats.org/officeDocument/2006/relationships/image" Target="media/image1062.png"/><Relationship Id="rId1077" Type="http://schemas.openxmlformats.org/officeDocument/2006/relationships/image" Target="media/image1063.png"/><Relationship Id="rId1078" Type="http://schemas.openxmlformats.org/officeDocument/2006/relationships/image" Target="media/image1064.png"/><Relationship Id="rId1079" Type="http://schemas.openxmlformats.org/officeDocument/2006/relationships/image" Target="media/image1065.png"/><Relationship Id="rId1080" Type="http://schemas.openxmlformats.org/officeDocument/2006/relationships/image" Target="media/image1066.png"/><Relationship Id="rId1081" Type="http://schemas.openxmlformats.org/officeDocument/2006/relationships/image" Target="media/image1067.png"/><Relationship Id="rId1082" Type="http://schemas.openxmlformats.org/officeDocument/2006/relationships/image" Target="media/image1068.png"/><Relationship Id="rId1083" Type="http://schemas.openxmlformats.org/officeDocument/2006/relationships/image" Target="media/image1069.png"/><Relationship Id="rId1084" Type="http://schemas.openxmlformats.org/officeDocument/2006/relationships/image" Target="media/image1070.png"/><Relationship Id="rId1085" Type="http://schemas.openxmlformats.org/officeDocument/2006/relationships/image" Target="media/image1071.png"/><Relationship Id="rId1086" Type="http://schemas.openxmlformats.org/officeDocument/2006/relationships/image" Target="media/image1072.png"/><Relationship Id="rId1087" Type="http://schemas.openxmlformats.org/officeDocument/2006/relationships/image" Target="media/image1073.png"/><Relationship Id="rId1088" Type="http://schemas.openxmlformats.org/officeDocument/2006/relationships/image" Target="media/image1074.png"/><Relationship Id="rId1089" Type="http://schemas.openxmlformats.org/officeDocument/2006/relationships/image" Target="media/image1075.png"/><Relationship Id="rId1090" Type="http://schemas.openxmlformats.org/officeDocument/2006/relationships/image" Target="media/image1076.png"/><Relationship Id="rId1091" Type="http://schemas.openxmlformats.org/officeDocument/2006/relationships/image" Target="media/image1077.png"/><Relationship Id="rId1092" Type="http://schemas.openxmlformats.org/officeDocument/2006/relationships/image" Target="media/image1078.png"/><Relationship Id="rId1093" Type="http://schemas.openxmlformats.org/officeDocument/2006/relationships/image" Target="media/image1079.png"/><Relationship Id="rId1094" Type="http://schemas.openxmlformats.org/officeDocument/2006/relationships/image" Target="media/image1080.png"/><Relationship Id="rId1095" Type="http://schemas.openxmlformats.org/officeDocument/2006/relationships/image" Target="media/image1081.png"/><Relationship Id="rId1096" Type="http://schemas.openxmlformats.org/officeDocument/2006/relationships/image" Target="media/image1082.png"/><Relationship Id="rId1097" Type="http://schemas.openxmlformats.org/officeDocument/2006/relationships/image" Target="media/image1083.png"/><Relationship Id="rId1098" Type="http://schemas.openxmlformats.org/officeDocument/2006/relationships/image" Target="media/image1084.png"/><Relationship Id="rId1099" Type="http://schemas.openxmlformats.org/officeDocument/2006/relationships/image" Target="media/image1085.png"/><Relationship Id="rId1100" Type="http://schemas.openxmlformats.org/officeDocument/2006/relationships/image" Target="media/image1086.png"/><Relationship Id="rId1101" Type="http://schemas.openxmlformats.org/officeDocument/2006/relationships/image" Target="media/image1087.png"/><Relationship Id="rId1102" Type="http://schemas.openxmlformats.org/officeDocument/2006/relationships/image" Target="media/image1088.png"/><Relationship Id="rId1103" Type="http://schemas.openxmlformats.org/officeDocument/2006/relationships/image" Target="media/image1089.png"/><Relationship Id="rId1104" Type="http://schemas.openxmlformats.org/officeDocument/2006/relationships/image" Target="media/image1090.png"/><Relationship Id="rId1105" Type="http://schemas.openxmlformats.org/officeDocument/2006/relationships/image" Target="media/image1091.png"/><Relationship Id="rId1106" Type="http://schemas.openxmlformats.org/officeDocument/2006/relationships/image" Target="media/image1092.png"/><Relationship Id="rId1107" Type="http://schemas.openxmlformats.org/officeDocument/2006/relationships/image" Target="media/image1093.png"/><Relationship Id="rId1108" Type="http://schemas.openxmlformats.org/officeDocument/2006/relationships/image" Target="media/image1094.png"/><Relationship Id="rId1109" Type="http://schemas.openxmlformats.org/officeDocument/2006/relationships/image" Target="media/image1095.png"/><Relationship Id="rId1110" Type="http://schemas.openxmlformats.org/officeDocument/2006/relationships/image" Target="media/image1096.png"/><Relationship Id="rId1111" Type="http://schemas.openxmlformats.org/officeDocument/2006/relationships/image" Target="media/image1097.png"/><Relationship Id="rId1112" Type="http://schemas.openxmlformats.org/officeDocument/2006/relationships/image" Target="media/image1098.png"/><Relationship Id="rId1113" Type="http://schemas.openxmlformats.org/officeDocument/2006/relationships/image" Target="media/image1099.png"/><Relationship Id="rId1114" Type="http://schemas.openxmlformats.org/officeDocument/2006/relationships/image" Target="media/image1100.png"/><Relationship Id="rId1115" Type="http://schemas.openxmlformats.org/officeDocument/2006/relationships/image" Target="media/image1101.png"/><Relationship Id="rId1116" Type="http://schemas.openxmlformats.org/officeDocument/2006/relationships/image" Target="media/image1102.png"/><Relationship Id="rId1117" Type="http://schemas.openxmlformats.org/officeDocument/2006/relationships/image" Target="media/image1103.png"/><Relationship Id="rId1118" Type="http://schemas.openxmlformats.org/officeDocument/2006/relationships/image" Target="media/image1104.png"/><Relationship Id="rId1119" Type="http://schemas.openxmlformats.org/officeDocument/2006/relationships/image" Target="media/image1105.png"/><Relationship Id="rId1120" Type="http://schemas.openxmlformats.org/officeDocument/2006/relationships/image" Target="media/image1106.png"/><Relationship Id="rId1121" Type="http://schemas.openxmlformats.org/officeDocument/2006/relationships/image" Target="media/image1107.png"/><Relationship Id="rId1122" Type="http://schemas.openxmlformats.org/officeDocument/2006/relationships/image" Target="media/image1108.png"/><Relationship Id="rId1123" Type="http://schemas.openxmlformats.org/officeDocument/2006/relationships/image" Target="media/image1109.png"/><Relationship Id="rId1124" Type="http://schemas.openxmlformats.org/officeDocument/2006/relationships/image" Target="media/image1110.png"/><Relationship Id="rId1125" Type="http://schemas.openxmlformats.org/officeDocument/2006/relationships/image" Target="media/image1111.png"/><Relationship Id="rId1126" Type="http://schemas.openxmlformats.org/officeDocument/2006/relationships/image" Target="media/image1112.png"/><Relationship Id="rId1127" Type="http://schemas.openxmlformats.org/officeDocument/2006/relationships/image" Target="media/image1113.png"/><Relationship Id="rId1128" Type="http://schemas.openxmlformats.org/officeDocument/2006/relationships/image" Target="media/image1114.png"/><Relationship Id="rId1129" Type="http://schemas.openxmlformats.org/officeDocument/2006/relationships/image" Target="media/image1115.png"/><Relationship Id="rId1130" Type="http://schemas.openxmlformats.org/officeDocument/2006/relationships/image" Target="media/image1116.png"/><Relationship Id="rId1131" Type="http://schemas.openxmlformats.org/officeDocument/2006/relationships/image" Target="media/image1117.png"/><Relationship Id="rId1132" Type="http://schemas.openxmlformats.org/officeDocument/2006/relationships/image" Target="media/image1118.png"/><Relationship Id="rId1133" Type="http://schemas.openxmlformats.org/officeDocument/2006/relationships/image" Target="media/image1119.png"/><Relationship Id="rId1134" Type="http://schemas.openxmlformats.org/officeDocument/2006/relationships/image" Target="media/image1120.png"/><Relationship Id="rId1135" Type="http://schemas.openxmlformats.org/officeDocument/2006/relationships/image" Target="media/image1121.png"/><Relationship Id="rId1136" Type="http://schemas.openxmlformats.org/officeDocument/2006/relationships/image" Target="media/image1122.png"/><Relationship Id="rId1137" Type="http://schemas.openxmlformats.org/officeDocument/2006/relationships/image" Target="media/image1123.png"/><Relationship Id="rId1138" Type="http://schemas.openxmlformats.org/officeDocument/2006/relationships/image" Target="media/image1124.png"/><Relationship Id="rId1139" Type="http://schemas.openxmlformats.org/officeDocument/2006/relationships/image" Target="media/image1125.png"/><Relationship Id="rId1140" Type="http://schemas.openxmlformats.org/officeDocument/2006/relationships/image" Target="media/image1126.png"/><Relationship Id="rId1141" Type="http://schemas.openxmlformats.org/officeDocument/2006/relationships/image" Target="media/image1127.png"/><Relationship Id="rId1142" Type="http://schemas.openxmlformats.org/officeDocument/2006/relationships/image" Target="media/image1128.png"/><Relationship Id="rId1143" Type="http://schemas.openxmlformats.org/officeDocument/2006/relationships/image" Target="media/image1129.png"/><Relationship Id="rId1144" Type="http://schemas.openxmlformats.org/officeDocument/2006/relationships/image" Target="media/image1130.png"/><Relationship Id="rId1145" Type="http://schemas.openxmlformats.org/officeDocument/2006/relationships/image" Target="media/image1131.png"/><Relationship Id="rId1146" Type="http://schemas.openxmlformats.org/officeDocument/2006/relationships/image" Target="media/image1132.png"/><Relationship Id="rId1147" Type="http://schemas.openxmlformats.org/officeDocument/2006/relationships/image" Target="media/image1133.png"/><Relationship Id="rId1148" Type="http://schemas.openxmlformats.org/officeDocument/2006/relationships/image" Target="media/image1134.png"/><Relationship Id="rId1149" Type="http://schemas.openxmlformats.org/officeDocument/2006/relationships/image" Target="media/image1135.png"/><Relationship Id="rId1150" Type="http://schemas.openxmlformats.org/officeDocument/2006/relationships/image" Target="media/image1136.png"/><Relationship Id="rId1151" Type="http://schemas.openxmlformats.org/officeDocument/2006/relationships/image" Target="media/image1137.png"/><Relationship Id="rId1152" Type="http://schemas.openxmlformats.org/officeDocument/2006/relationships/image" Target="media/image1138.png"/><Relationship Id="rId1153" Type="http://schemas.openxmlformats.org/officeDocument/2006/relationships/image" Target="media/image1139.png"/><Relationship Id="rId1154" Type="http://schemas.openxmlformats.org/officeDocument/2006/relationships/image" Target="media/image1140.png"/><Relationship Id="rId1155" Type="http://schemas.openxmlformats.org/officeDocument/2006/relationships/image" Target="media/image1141.png"/><Relationship Id="rId1156" Type="http://schemas.openxmlformats.org/officeDocument/2006/relationships/image" Target="media/image1142.png"/><Relationship Id="rId1157" Type="http://schemas.openxmlformats.org/officeDocument/2006/relationships/image" Target="media/image1143.png"/><Relationship Id="rId1158" Type="http://schemas.openxmlformats.org/officeDocument/2006/relationships/image" Target="media/image1144.png"/><Relationship Id="rId1159" Type="http://schemas.openxmlformats.org/officeDocument/2006/relationships/image" Target="media/image1145.png"/><Relationship Id="rId1160" Type="http://schemas.openxmlformats.org/officeDocument/2006/relationships/image" Target="media/image1146.png"/><Relationship Id="rId1161" Type="http://schemas.openxmlformats.org/officeDocument/2006/relationships/image" Target="media/image1147.png"/><Relationship Id="rId1162" Type="http://schemas.openxmlformats.org/officeDocument/2006/relationships/image" Target="media/image1148.png"/><Relationship Id="rId1163" Type="http://schemas.openxmlformats.org/officeDocument/2006/relationships/image" Target="media/image1149.png"/><Relationship Id="rId1164" Type="http://schemas.openxmlformats.org/officeDocument/2006/relationships/image" Target="media/image1150.png"/><Relationship Id="rId1165" Type="http://schemas.openxmlformats.org/officeDocument/2006/relationships/image" Target="media/image1151.png"/><Relationship Id="rId1166" Type="http://schemas.openxmlformats.org/officeDocument/2006/relationships/image" Target="media/image1152.png"/><Relationship Id="rId1167" Type="http://schemas.openxmlformats.org/officeDocument/2006/relationships/image" Target="media/image1153.png"/><Relationship Id="rId1168" Type="http://schemas.openxmlformats.org/officeDocument/2006/relationships/image" Target="media/image1154.png"/><Relationship Id="rId1169" Type="http://schemas.openxmlformats.org/officeDocument/2006/relationships/image" Target="media/image1155.png"/><Relationship Id="rId1170" Type="http://schemas.openxmlformats.org/officeDocument/2006/relationships/image" Target="media/image1156.png"/><Relationship Id="rId1171" Type="http://schemas.openxmlformats.org/officeDocument/2006/relationships/image" Target="media/image1157.png"/><Relationship Id="rId1172" Type="http://schemas.openxmlformats.org/officeDocument/2006/relationships/image" Target="media/image1158.png"/><Relationship Id="rId1173" Type="http://schemas.openxmlformats.org/officeDocument/2006/relationships/image" Target="media/image1159.png"/><Relationship Id="rId1174" Type="http://schemas.openxmlformats.org/officeDocument/2006/relationships/image" Target="media/image1160.png"/><Relationship Id="rId1175" Type="http://schemas.openxmlformats.org/officeDocument/2006/relationships/image" Target="media/image1161.png"/><Relationship Id="rId1176" Type="http://schemas.openxmlformats.org/officeDocument/2006/relationships/image" Target="media/image1162.png"/><Relationship Id="rId1177" Type="http://schemas.openxmlformats.org/officeDocument/2006/relationships/image" Target="media/image1163.png"/><Relationship Id="rId1178" Type="http://schemas.openxmlformats.org/officeDocument/2006/relationships/image" Target="media/image1164.png"/><Relationship Id="rId1179" Type="http://schemas.openxmlformats.org/officeDocument/2006/relationships/image" Target="media/image1165.png"/><Relationship Id="rId1180" Type="http://schemas.openxmlformats.org/officeDocument/2006/relationships/image" Target="media/image1166.png"/><Relationship Id="rId1181" Type="http://schemas.openxmlformats.org/officeDocument/2006/relationships/image" Target="media/image1167.png"/><Relationship Id="rId1182" Type="http://schemas.openxmlformats.org/officeDocument/2006/relationships/image" Target="media/image1168.png"/><Relationship Id="rId1183" Type="http://schemas.openxmlformats.org/officeDocument/2006/relationships/image" Target="media/image1169.png"/><Relationship Id="rId1184" Type="http://schemas.openxmlformats.org/officeDocument/2006/relationships/image" Target="media/image1170.png"/><Relationship Id="rId1185" Type="http://schemas.openxmlformats.org/officeDocument/2006/relationships/image" Target="media/image1171.png"/><Relationship Id="rId1186" Type="http://schemas.openxmlformats.org/officeDocument/2006/relationships/image" Target="media/image1172.png"/><Relationship Id="rId1187" Type="http://schemas.openxmlformats.org/officeDocument/2006/relationships/image" Target="media/image1173.png"/><Relationship Id="rId1188" Type="http://schemas.openxmlformats.org/officeDocument/2006/relationships/image" Target="media/image1174.png"/><Relationship Id="rId1189" Type="http://schemas.openxmlformats.org/officeDocument/2006/relationships/image" Target="media/image1175.png"/><Relationship Id="rId1190" Type="http://schemas.openxmlformats.org/officeDocument/2006/relationships/image" Target="media/image1176.png"/><Relationship Id="rId1191" Type="http://schemas.openxmlformats.org/officeDocument/2006/relationships/image" Target="media/image1177.png"/><Relationship Id="rId1192" Type="http://schemas.openxmlformats.org/officeDocument/2006/relationships/image" Target="media/image1178.png"/><Relationship Id="rId1193" Type="http://schemas.openxmlformats.org/officeDocument/2006/relationships/image" Target="media/image1179.png"/><Relationship Id="rId1194" Type="http://schemas.openxmlformats.org/officeDocument/2006/relationships/image" Target="media/image1180.png"/><Relationship Id="rId1195" Type="http://schemas.openxmlformats.org/officeDocument/2006/relationships/image" Target="media/image1181.png"/><Relationship Id="rId1196" Type="http://schemas.openxmlformats.org/officeDocument/2006/relationships/image" Target="media/image1182.png"/><Relationship Id="rId1197" Type="http://schemas.openxmlformats.org/officeDocument/2006/relationships/image" Target="media/image1183.png"/><Relationship Id="rId1198" Type="http://schemas.openxmlformats.org/officeDocument/2006/relationships/image" Target="media/image1184.png"/><Relationship Id="rId1199" Type="http://schemas.openxmlformats.org/officeDocument/2006/relationships/image" Target="media/image1185.png"/><Relationship Id="rId1200" Type="http://schemas.openxmlformats.org/officeDocument/2006/relationships/image" Target="media/image1186.png"/><Relationship Id="rId1201" Type="http://schemas.openxmlformats.org/officeDocument/2006/relationships/image" Target="media/image1187.png"/><Relationship Id="rId1202" Type="http://schemas.openxmlformats.org/officeDocument/2006/relationships/image" Target="media/image1188.png"/><Relationship Id="rId1203" Type="http://schemas.openxmlformats.org/officeDocument/2006/relationships/image" Target="media/image1189.png"/><Relationship Id="rId1204" Type="http://schemas.openxmlformats.org/officeDocument/2006/relationships/image" Target="media/image1190.png"/><Relationship Id="rId1205" Type="http://schemas.openxmlformats.org/officeDocument/2006/relationships/image" Target="media/image1191.png"/><Relationship Id="rId1206" Type="http://schemas.openxmlformats.org/officeDocument/2006/relationships/image" Target="media/image1192.png"/><Relationship Id="rId1207" Type="http://schemas.openxmlformats.org/officeDocument/2006/relationships/image" Target="media/image1193.png"/><Relationship Id="rId1208" Type="http://schemas.openxmlformats.org/officeDocument/2006/relationships/image" Target="media/image1194.png"/><Relationship Id="rId1209" Type="http://schemas.openxmlformats.org/officeDocument/2006/relationships/image" Target="media/image1195.png"/><Relationship Id="rId1210" Type="http://schemas.openxmlformats.org/officeDocument/2006/relationships/image" Target="media/image1196.png"/><Relationship Id="rId1211" Type="http://schemas.openxmlformats.org/officeDocument/2006/relationships/image" Target="media/image1197.png"/><Relationship Id="rId1212" Type="http://schemas.openxmlformats.org/officeDocument/2006/relationships/image" Target="media/image1198.png"/><Relationship Id="rId1213" Type="http://schemas.openxmlformats.org/officeDocument/2006/relationships/image" Target="media/image1199.png"/><Relationship Id="rId1214" Type="http://schemas.openxmlformats.org/officeDocument/2006/relationships/image" Target="media/image1200.png"/><Relationship Id="rId1215" Type="http://schemas.openxmlformats.org/officeDocument/2006/relationships/image" Target="media/image1201.png"/><Relationship Id="rId1216" Type="http://schemas.openxmlformats.org/officeDocument/2006/relationships/image" Target="media/image1202.png"/><Relationship Id="rId1217" Type="http://schemas.openxmlformats.org/officeDocument/2006/relationships/image" Target="media/image1203.png"/><Relationship Id="rId1218" Type="http://schemas.openxmlformats.org/officeDocument/2006/relationships/image" Target="media/image1204.png"/><Relationship Id="rId1219" Type="http://schemas.openxmlformats.org/officeDocument/2006/relationships/image" Target="media/image1205.png"/><Relationship Id="rId1220" Type="http://schemas.openxmlformats.org/officeDocument/2006/relationships/image" Target="media/image1206.png"/><Relationship Id="rId1221" Type="http://schemas.openxmlformats.org/officeDocument/2006/relationships/image" Target="media/image1207.png"/><Relationship Id="rId1222" Type="http://schemas.openxmlformats.org/officeDocument/2006/relationships/image" Target="media/image1208.png"/><Relationship Id="rId1223" Type="http://schemas.openxmlformats.org/officeDocument/2006/relationships/image" Target="media/image1209.png"/><Relationship Id="rId1224" Type="http://schemas.openxmlformats.org/officeDocument/2006/relationships/image" Target="media/image1210.png"/><Relationship Id="rId1225" Type="http://schemas.openxmlformats.org/officeDocument/2006/relationships/image" Target="media/image1211.png"/><Relationship Id="rId1226" Type="http://schemas.openxmlformats.org/officeDocument/2006/relationships/image" Target="media/image1212.png"/><Relationship Id="rId1227" Type="http://schemas.openxmlformats.org/officeDocument/2006/relationships/image" Target="media/image1213.png"/><Relationship Id="rId1228" Type="http://schemas.openxmlformats.org/officeDocument/2006/relationships/image" Target="media/image1214.png"/><Relationship Id="rId1229" Type="http://schemas.openxmlformats.org/officeDocument/2006/relationships/image" Target="media/image1215.png"/><Relationship Id="rId1230" Type="http://schemas.openxmlformats.org/officeDocument/2006/relationships/image" Target="media/image1216.png"/><Relationship Id="rId1231" Type="http://schemas.openxmlformats.org/officeDocument/2006/relationships/image" Target="media/image1217.png"/><Relationship Id="rId1232" Type="http://schemas.openxmlformats.org/officeDocument/2006/relationships/image" Target="media/image1218.png"/><Relationship Id="rId1233" Type="http://schemas.openxmlformats.org/officeDocument/2006/relationships/image" Target="media/image1219.png"/><Relationship Id="rId1234" Type="http://schemas.openxmlformats.org/officeDocument/2006/relationships/image" Target="media/image1220.png"/><Relationship Id="rId1235" Type="http://schemas.openxmlformats.org/officeDocument/2006/relationships/image" Target="media/image1221.png"/><Relationship Id="rId1236" Type="http://schemas.openxmlformats.org/officeDocument/2006/relationships/image" Target="media/image1222.png"/><Relationship Id="rId1237" Type="http://schemas.openxmlformats.org/officeDocument/2006/relationships/image" Target="media/image1223.png"/><Relationship Id="rId1238" Type="http://schemas.openxmlformats.org/officeDocument/2006/relationships/image" Target="media/image1224.png"/><Relationship Id="rId1239" Type="http://schemas.openxmlformats.org/officeDocument/2006/relationships/image" Target="media/image1225.png"/><Relationship Id="rId1240" Type="http://schemas.openxmlformats.org/officeDocument/2006/relationships/image" Target="media/image1226.png"/><Relationship Id="rId1241" Type="http://schemas.openxmlformats.org/officeDocument/2006/relationships/image" Target="media/image1227.png"/><Relationship Id="rId1242" Type="http://schemas.openxmlformats.org/officeDocument/2006/relationships/image" Target="media/image1228.png"/><Relationship Id="rId1243" Type="http://schemas.openxmlformats.org/officeDocument/2006/relationships/image" Target="media/image1229.png"/><Relationship Id="rId1244" Type="http://schemas.openxmlformats.org/officeDocument/2006/relationships/image" Target="media/image1230.png"/><Relationship Id="rId1245" Type="http://schemas.openxmlformats.org/officeDocument/2006/relationships/image" Target="media/image1231.png"/><Relationship Id="rId1246" Type="http://schemas.openxmlformats.org/officeDocument/2006/relationships/image" Target="media/image1232.png"/><Relationship Id="rId1247" Type="http://schemas.openxmlformats.org/officeDocument/2006/relationships/image" Target="media/image1233.png"/><Relationship Id="rId1248" Type="http://schemas.openxmlformats.org/officeDocument/2006/relationships/image" Target="media/image1234.png"/><Relationship Id="rId1249" Type="http://schemas.openxmlformats.org/officeDocument/2006/relationships/image" Target="media/image1235.png"/><Relationship Id="rId1250" Type="http://schemas.openxmlformats.org/officeDocument/2006/relationships/image" Target="media/image1236.png"/><Relationship Id="rId1251" Type="http://schemas.openxmlformats.org/officeDocument/2006/relationships/image" Target="media/image1237.png"/><Relationship Id="rId1252" Type="http://schemas.openxmlformats.org/officeDocument/2006/relationships/image" Target="media/image1238.png"/><Relationship Id="rId1253" Type="http://schemas.openxmlformats.org/officeDocument/2006/relationships/image" Target="media/image1239.png"/><Relationship Id="rId1254" Type="http://schemas.openxmlformats.org/officeDocument/2006/relationships/image" Target="media/image1240.png"/><Relationship Id="rId1255" Type="http://schemas.openxmlformats.org/officeDocument/2006/relationships/image" Target="media/image1241.png"/><Relationship Id="rId1256" Type="http://schemas.openxmlformats.org/officeDocument/2006/relationships/image" Target="media/image1242.png"/><Relationship Id="rId1257" Type="http://schemas.openxmlformats.org/officeDocument/2006/relationships/image" Target="media/image1243.png"/><Relationship Id="rId1258" Type="http://schemas.openxmlformats.org/officeDocument/2006/relationships/image" Target="media/image1244.png"/><Relationship Id="rId1259" Type="http://schemas.openxmlformats.org/officeDocument/2006/relationships/image" Target="media/image1245.png"/><Relationship Id="rId1260" Type="http://schemas.openxmlformats.org/officeDocument/2006/relationships/image" Target="media/image1246.png"/><Relationship Id="rId1261" Type="http://schemas.openxmlformats.org/officeDocument/2006/relationships/image" Target="media/image1247.png"/><Relationship Id="rId1262" Type="http://schemas.openxmlformats.org/officeDocument/2006/relationships/image" Target="media/image1248.png"/><Relationship Id="rId1263" Type="http://schemas.openxmlformats.org/officeDocument/2006/relationships/image" Target="media/image1249.png"/><Relationship Id="rId1264" Type="http://schemas.openxmlformats.org/officeDocument/2006/relationships/image" Target="media/image1250.png"/><Relationship Id="rId1265" Type="http://schemas.openxmlformats.org/officeDocument/2006/relationships/image" Target="media/image1251.png"/><Relationship Id="rId1266" Type="http://schemas.openxmlformats.org/officeDocument/2006/relationships/image" Target="media/image1252.png"/><Relationship Id="rId1267" Type="http://schemas.openxmlformats.org/officeDocument/2006/relationships/image" Target="media/image1253.png"/><Relationship Id="rId1268" Type="http://schemas.openxmlformats.org/officeDocument/2006/relationships/image" Target="media/image1254.png"/><Relationship Id="rId1269" Type="http://schemas.openxmlformats.org/officeDocument/2006/relationships/image" Target="media/image1255.png"/><Relationship Id="rId1270" Type="http://schemas.openxmlformats.org/officeDocument/2006/relationships/image" Target="media/image1256.png"/><Relationship Id="rId1271" Type="http://schemas.openxmlformats.org/officeDocument/2006/relationships/image" Target="media/image1257.png"/><Relationship Id="rId1272" Type="http://schemas.openxmlformats.org/officeDocument/2006/relationships/image" Target="media/image1258.png"/><Relationship Id="rId1273" Type="http://schemas.openxmlformats.org/officeDocument/2006/relationships/image" Target="media/image1259.png"/><Relationship Id="rId1274" Type="http://schemas.openxmlformats.org/officeDocument/2006/relationships/image" Target="media/image1260.png"/><Relationship Id="rId1275" Type="http://schemas.openxmlformats.org/officeDocument/2006/relationships/image" Target="media/image1261.png"/><Relationship Id="rId1276" Type="http://schemas.openxmlformats.org/officeDocument/2006/relationships/image" Target="media/image1262.png"/><Relationship Id="rId1277" Type="http://schemas.openxmlformats.org/officeDocument/2006/relationships/image" Target="media/image1263.png"/><Relationship Id="rId1278" Type="http://schemas.openxmlformats.org/officeDocument/2006/relationships/image" Target="media/image1264.png"/><Relationship Id="rId1279" Type="http://schemas.openxmlformats.org/officeDocument/2006/relationships/image" Target="media/image1265.png"/><Relationship Id="rId1280" Type="http://schemas.openxmlformats.org/officeDocument/2006/relationships/image" Target="media/image1266.png"/><Relationship Id="rId1281" Type="http://schemas.openxmlformats.org/officeDocument/2006/relationships/image" Target="media/image1267.png"/><Relationship Id="rId1282" Type="http://schemas.openxmlformats.org/officeDocument/2006/relationships/image" Target="media/image1268.png"/><Relationship Id="rId1283" Type="http://schemas.openxmlformats.org/officeDocument/2006/relationships/image" Target="media/image1269.png"/><Relationship Id="rId1284" Type="http://schemas.openxmlformats.org/officeDocument/2006/relationships/image" Target="media/image1270.png"/><Relationship Id="rId1285" Type="http://schemas.openxmlformats.org/officeDocument/2006/relationships/image" Target="media/image1271.png"/><Relationship Id="rId1286" Type="http://schemas.openxmlformats.org/officeDocument/2006/relationships/image" Target="media/image1272.png"/><Relationship Id="rId1287" Type="http://schemas.openxmlformats.org/officeDocument/2006/relationships/image" Target="media/image1273.png"/><Relationship Id="rId1288" Type="http://schemas.openxmlformats.org/officeDocument/2006/relationships/image" Target="media/image1274.png"/><Relationship Id="rId1289" Type="http://schemas.openxmlformats.org/officeDocument/2006/relationships/image" Target="media/image1275.png"/><Relationship Id="rId1290" Type="http://schemas.openxmlformats.org/officeDocument/2006/relationships/image" Target="media/image1276.png"/><Relationship Id="rId1291" Type="http://schemas.openxmlformats.org/officeDocument/2006/relationships/image" Target="media/image1277.png"/><Relationship Id="rId1292" Type="http://schemas.openxmlformats.org/officeDocument/2006/relationships/image" Target="media/image1278.png"/><Relationship Id="rId1293" Type="http://schemas.openxmlformats.org/officeDocument/2006/relationships/image" Target="media/image1279.png"/><Relationship Id="rId1294" Type="http://schemas.openxmlformats.org/officeDocument/2006/relationships/image" Target="media/image1280.png"/><Relationship Id="rId1295" Type="http://schemas.openxmlformats.org/officeDocument/2006/relationships/image" Target="media/image1281.png"/><Relationship Id="rId1296" Type="http://schemas.openxmlformats.org/officeDocument/2006/relationships/image" Target="media/image1282.png"/><Relationship Id="rId1297" Type="http://schemas.openxmlformats.org/officeDocument/2006/relationships/image" Target="media/image1283.png"/><Relationship Id="rId1298" Type="http://schemas.openxmlformats.org/officeDocument/2006/relationships/image" Target="media/image1284.png"/><Relationship Id="rId1299" Type="http://schemas.openxmlformats.org/officeDocument/2006/relationships/image" Target="media/image1285.png"/><Relationship Id="rId1300" Type="http://schemas.openxmlformats.org/officeDocument/2006/relationships/image" Target="media/image1286.png"/><Relationship Id="rId1301" Type="http://schemas.openxmlformats.org/officeDocument/2006/relationships/image" Target="media/image1287.png"/><Relationship Id="rId1302" Type="http://schemas.openxmlformats.org/officeDocument/2006/relationships/image" Target="media/image1288.png"/><Relationship Id="rId1303" Type="http://schemas.openxmlformats.org/officeDocument/2006/relationships/image" Target="media/image1289.png"/><Relationship Id="rId1304" Type="http://schemas.openxmlformats.org/officeDocument/2006/relationships/image" Target="media/image1290.png"/><Relationship Id="rId1305" Type="http://schemas.openxmlformats.org/officeDocument/2006/relationships/image" Target="media/image1291.png"/><Relationship Id="rId1306" Type="http://schemas.openxmlformats.org/officeDocument/2006/relationships/image" Target="media/image1292.png"/><Relationship Id="rId1307" Type="http://schemas.openxmlformats.org/officeDocument/2006/relationships/image" Target="media/image1293.png"/><Relationship Id="rId1308" Type="http://schemas.openxmlformats.org/officeDocument/2006/relationships/image" Target="media/image1294.png"/><Relationship Id="rId1309" Type="http://schemas.openxmlformats.org/officeDocument/2006/relationships/image" Target="media/image1295.png"/><Relationship Id="rId1310" Type="http://schemas.openxmlformats.org/officeDocument/2006/relationships/image" Target="media/image1296.png"/><Relationship Id="rId1311" Type="http://schemas.openxmlformats.org/officeDocument/2006/relationships/image" Target="media/image1297.png"/><Relationship Id="rId1312" Type="http://schemas.openxmlformats.org/officeDocument/2006/relationships/image" Target="media/image1298.png"/><Relationship Id="rId1313" Type="http://schemas.openxmlformats.org/officeDocument/2006/relationships/image" Target="media/image1299.png"/><Relationship Id="rId1314" Type="http://schemas.openxmlformats.org/officeDocument/2006/relationships/image" Target="media/image1300.png"/><Relationship Id="rId1315" Type="http://schemas.openxmlformats.org/officeDocument/2006/relationships/image" Target="media/image1301.png"/><Relationship Id="rId1316" Type="http://schemas.openxmlformats.org/officeDocument/2006/relationships/image" Target="media/image1302.png"/><Relationship Id="rId1317" Type="http://schemas.openxmlformats.org/officeDocument/2006/relationships/image" Target="media/image1303.png"/><Relationship Id="rId1318" Type="http://schemas.openxmlformats.org/officeDocument/2006/relationships/image" Target="media/image1304.png"/><Relationship Id="rId1319" Type="http://schemas.openxmlformats.org/officeDocument/2006/relationships/image" Target="media/image1305.png"/><Relationship Id="rId1320" Type="http://schemas.openxmlformats.org/officeDocument/2006/relationships/image" Target="media/image1306.png"/><Relationship Id="rId1321" Type="http://schemas.openxmlformats.org/officeDocument/2006/relationships/image" Target="media/image1307.png"/><Relationship Id="rId1322" Type="http://schemas.openxmlformats.org/officeDocument/2006/relationships/image" Target="media/image1308.png"/><Relationship Id="rId1323" Type="http://schemas.openxmlformats.org/officeDocument/2006/relationships/image" Target="media/image1309.png"/><Relationship Id="rId1324" Type="http://schemas.openxmlformats.org/officeDocument/2006/relationships/image" Target="media/image1310.png"/><Relationship Id="rId1325" Type="http://schemas.openxmlformats.org/officeDocument/2006/relationships/image" Target="media/image1311.png"/><Relationship Id="rId1326" Type="http://schemas.openxmlformats.org/officeDocument/2006/relationships/image" Target="media/image1312.png"/><Relationship Id="rId1327" Type="http://schemas.openxmlformats.org/officeDocument/2006/relationships/image" Target="media/image1313.png"/><Relationship Id="rId1328" Type="http://schemas.openxmlformats.org/officeDocument/2006/relationships/image" Target="media/image1314.png"/><Relationship Id="rId1329" Type="http://schemas.openxmlformats.org/officeDocument/2006/relationships/image" Target="media/image1315.png"/><Relationship Id="rId543" Type="http://schemas.openxmlformats.org/officeDocument/2006/relationships/hyperlink" Target="https://www.sec.gov/Archives/edgar/data/1580864/000095017021002077/vrm-ex2_1.htm" TargetMode="External"/><Relationship Id="rId544" Type="http://schemas.openxmlformats.org/officeDocument/2006/relationships/hyperlink" Target="https://www.sec.gov/Archives/edgar/data/1580864/000156459020039778/vrm-ex31_460.htm" TargetMode="External"/><Relationship Id="rId545" Type="http://schemas.openxmlformats.org/officeDocument/2006/relationships/hyperlink" Target="https://www.sec.gov/Archives/edgar/data/1580864/000095017024014928/vrm-ex3_1.htm" TargetMode="External"/><Relationship Id="rId551" Type="http://schemas.openxmlformats.org/officeDocument/2006/relationships/hyperlink" Target="https://www.sec.gov/Archives/edgar/data/1580864/000156459020039778/vrm-ex32_234.htm" TargetMode="External"/><Relationship Id="rId552" Type="http://schemas.openxmlformats.org/officeDocument/2006/relationships/hyperlink" Target="https://www.sec.gov/Archives/edgar/data/1580864/000119312520157158/d801274dex41.htm" TargetMode="External"/><Relationship Id="rId553" Type="http://schemas.openxmlformats.org/officeDocument/2006/relationships/hyperlink" Target="https://www.sec.gov/Archives/edgar/data/1580864/000119312521195245/d93781dex41.htm" TargetMode="External"/><Relationship Id="rId554" Type="http://schemas.openxmlformats.org/officeDocument/2006/relationships/hyperlink" Target="https://www.sec.gov/Archives/edgar/data/1580864/000119312520145219/d80127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2024-05-10T17:06:29Z</dcterms:created>
  <dcterms:modified xsi:type="dcterms:W3CDTF">2024-05-10T17:06:29Z</dcterms:modified>
</cp:coreProperties>
</file>