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9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8-K/A</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(Amendment No. 1)</w:t>
      </w: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2024</w:t>
      </w:r>
    </w:p>
    <w:p>
      <w:pPr>
        <w:spacing w:after="0" w:line="12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VROOM, INC.</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4"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21"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3220" w:type="dxa"/>
            <w:vAlign w:val="bottom"/>
          </w:tcPr>
          <w:p>
            <w:pPr>
              <w:jc w:val="center"/>
              <w:ind w:left="56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001-39315</w:t>
            </w:r>
          </w:p>
        </w:tc>
        <w:tc>
          <w:tcPr>
            <w:tcW w:w="2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90-1112566</w:t>
            </w:r>
          </w:p>
        </w:tc>
        <w:tc>
          <w:tcPr>
            <w:tcW w:w="0" w:type="dxa"/>
            <w:vAlign w:val="bottom"/>
          </w:tcPr>
          <w:p>
            <w:pPr>
              <w:spacing w:after="0"/>
              <w:rPr>
                <w:sz w:val="1"/>
                <w:szCs w:val="1"/>
                <w:color w:val="auto"/>
              </w:rPr>
            </w:pPr>
          </w:p>
        </w:tc>
      </w:tr>
      <w:tr>
        <w:trPr>
          <w:trHeight w:val="27"/>
        </w:trPr>
        <w:tc>
          <w:tcPr>
            <w:tcW w:w="3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3220" w:type="dxa"/>
            <w:vAlign w:val="bottom"/>
          </w:tcPr>
          <w:p>
            <w:pPr>
              <w:jc w:val="center"/>
              <w:ind w:left="565"/>
              <w:spacing w:after="0" w:line="104" w:lineRule="exact"/>
              <w:rPr>
                <w:sz w:val="20"/>
                <w:szCs w:val="20"/>
                <w:color w:val="auto"/>
              </w:rPr>
            </w:pPr>
            <w:r>
              <w:rPr>
                <w:rFonts w:ascii="Times New Roman" w:cs="Times New Roman" w:eastAsia="Times New Roman" w:hAnsi="Times New Roman"/>
                <w:sz w:val="12"/>
                <w:szCs w:val="12"/>
                <w:b w:val="1"/>
                <w:bCs w:val="1"/>
                <w:color w:val="auto"/>
              </w:rPr>
              <w:t>(State or other jurisdiction</w:t>
            </w:r>
          </w:p>
        </w:tc>
        <w:tc>
          <w:tcPr>
            <w:tcW w:w="6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040" w:type="dxa"/>
            <w:vAlign w:val="bottom"/>
          </w:tcPr>
          <w:p>
            <w:pPr>
              <w:ind w:left="1120"/>
              <w:spacing w:after="0" w:line="104" w:lineRule="exact"/>
              <w:rPr>
                <w:sz w:val="20"/>
                <w:szCs w:val="20"/>
                <w:color w:val="auto"/>
              </w:rPr>
            </w:pPr>
            <w:r>
              <w:rPr>
                <w:rFonts w:ascii="Times New Roman" w:cs="Times New Roman" w:eastAsia="Times New Roman" w:hAnsi="Times New Roman"/>
                <w:sz w:val="12"/>
                <w:szCs w:val="12"/>
                <w:b w:val="1"/>
                <w:bCs w:val="1"/>
                <w:color w:val="auto"/>
              </w:rPr>
              <w:t>(Commission</w:t>
            </w:r>
          </w:p>
        </w:tc>
        <w:tc>
          <w:tcPr>
            <w:tcW w:w="200" w:type="dxa"/>
            <w:vAlign w:val="bottom"/>
            <w:vMerge w:val="continue"/>
          </w:tcPr>
          <w:p>
            <w:pPr>
              <w:spacing w:after="0"/>
              <w:rPr>
                <w:sz w:val="9"/>
                <w:szCs w:val="9"/>
                <w:color w:val="auto"/>
              </w:rPr>
            </w:pPr>
          </w:p>
        </w:tc>
        <w:tc>
          <w:tcPr>
            <w:tcW w:w="3620" w:type="dxa"/>
            <w:vAlign w:val="bottom"/>
          </w:tcPr>
          <w:p>
            <w:pPr>
              <w:jc w:val="center"/>
              <w:spacing w:after="0" w:line="104"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90"/>
        </w:trPr>
        <w:tc>
          <w:tcPr>
            <w:tcW w:w="3220" w:type="dxa"/>
            <w:vAlign w:val="bottom"/>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2"/>
        </w:trPr>
        <w:tc>
          <w:tcPr>
            <w:tcW w:w="3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3600 W Sam Houston Pkwy S, Floor 4</w:t>
            </w:r>
          </w:p>
        </w:tc>
        <w:tc>
          <w:tcPr>
            <w:tcW w:w="3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Houston, Texas 77042</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3220" w:type="dxa"/>
            <w:vAlign w:val="bottom"/>
          </w:tcPr>
          <w:p>
            <w:pPr>
              <w:spacing w:after="0"/>
              <w:rPr>
                <w:sz w:val="24"/>
                <w:szCs w:val="24"/>
                <w:color w:val="auto"/>
              </w:rPr>
            </w:pPr>
          </w:p>
        </w:tc>
        <w:tc>
          <w:tcPr>
            <w:tcW w:w="3880" w:type="dxa"/>
            <w:vAlign w:val="bottom"/>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(518) 535-9125</w:t>
            </w:r>
          </w:p>
        </w:tc>
        <w:tc>
          <w:tcPr>
            <w:tcW w:w="2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4080" w:type="dxa"/>
            <w:vAlign w:val="bottom"/>
            <w:gridSpan w:val="4"/>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4080" w:type="dxa"/>
            <w:vAlign w:val="bottom"/>
            <w:gridSpan w:val="4"/>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94" w:lineRule="exact"/>
        <w:rPr>
          <w:sz w:val="24"/>
          <w:szCs w:val="24"/>
          <w:color w:val="auto"/>
        </w:rPr>
      </w:pPr>
    </w:p>
    <w:p>
      <w:pPr>
        <w:ind w:right="600" w:firstLine="374"/>
        <w:spacing w:after="0" w:line="224" w:lineRule="exact"/>
        <w:rPr>
          <w:sz w:val="20"/>
          <w:szCs w:val="20"/>
          <w:color w:val="auto"/>
        </w:rPr>
      </w:pPr>
      <w:r>
        <w:rPr>
          <w:rFonts w:ascii="Times New Roman" w:cs="Times New Roman" w:eastAsia="Times New Roman" w:hAnsi="Times New Roman"/>
          <w:sz w:val="16"/>
          <w:szCs w:val="16"/>
          <w:color w:val="auto"/>
        </w:rPr>
        <w:t>Check the appropriate box below if the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filing is intended to simultaneously satisfy the filing obligation of the registrant under any of the following provisions:</w:t>
      </w:r>
    </w:p>
    <w:p>
      <w:pPr>
        <w:spacing w:after="0" w:line="209" w:lineRule="exact"/>
        <w:rPr>
          <w:sz w:val="24"/>
          <w:szCs w:val="24"/>
          <w:color w:val="auto"/>
        </w:rPr>
      </w:pPr>
    </w:p>
    <w:p>
      <w:pPr>
        <w:ind w:left="1020" w:hanging="463"/>
        <w:spacing w:after="0"/>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0" w:lineRule="exact"/>
        <w:rPr>
          <w:rFonts w:ascii="MS PGothic" w:cs="MS PGothic" w:eastAsia="MS PGothic" w:hAnsi="MS PGothic"/>
          <w:sz w:val="16"/>
          <w:szCs w:val="16"/>
          <w:color w:val="auto"/>
        </w:rPr>
      </w:pPr>
    </w:p>
    <w:p>
      <w:pPr>
        <w:ind w:left="1020" w:hanging="463"/>
        <w:spacing w:after="0" w:line="184" w:lineRule="exact"/>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 under the Exchange Act (17 CFR 240.14a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12)</w:t>
      </w:r>
    </w:p>
    <w:p>
      <w:pPr>
        <w:spacing w:after="0" w:line="126" w:lineRule="exact"/>
        <w:rPr>
          <w:rFonts w:ascii="MS PGothic" w:cs="MS PGothic" w:eastAsia="MS PGothic" w:hAnsi="MS PGothic"/>
          <w:sz w:val="16"/>
          <w:szCs w:val="16"/>
          <w:color w:val="auto"/>
        </w:rPr>
      </w:pPr>
    </w:p>
    <w:p>
      <w:pPr>
        <w:ind w:left="1020" w:hanging="463"/>
        <w:spacing w:after="0" w:line="184" w:lineRule="exact"/>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commencement communications pursuant to Rule 14d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2(b) under the Exchange Act (17 CFR 240.14d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2(b))</w:t>
      </w:r>
    </w:p>
    <w:p>
      <w:pPr>
        <w:spacing w:after="0" w:line="126" w:lineRule="exact"/>
        <w:rPr>
          <w:rFonts w:ascii="MS PGothic" w:cs="MS PGothic" w:eastAsia="MS PGothic" w:hAnsi="MS PGothic"/>
          <w:sz w:val="16"/>
          <w:szCs w:val="16"/>
          <w:color w:val="auto"/>
        </w:rPr>
      </w:pPr>
    </w:p>
    <w:p>
      <w:pPr>
        <w:ind w:left="1020" w:hanging="463"/>
        <w:spacing w:after="0" w:line="184" w:lineRule="exact"/>
        <w:tabs>
          <w:tab w:leader="none" w:pos="10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commencement communications pursuant to Rule 13e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4(c) under the Exchange Act (17 CFR 240.13e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4(c))</w:t>
      </w:r>
    </w:p>
    <w:p>
      <w:pPr>
        <w:spacing w:after="0" w:line="1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530" w:type="dxa"/>
        <w:tblCellMar>
          <w:top w:w="0" w:type="dxa"/>
          <w:left w:w="0" w:type="dxa"/>
          <w:bottom w:w="0" w:type="dxa"/>
          <w:right w:w="0" w:type="dxa"/>
        </w:tblCellMar>
      </w:tblPr>
      <w:tr>
        <w:trPr>
          <w:trHeight w:val="215"/>
        </w:trPr>
        <w:tc>
          <w:tcPr>
            <w:tcW w:w="3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0" w:type="dxa"/>
            <w:vAlign w:val="bottom"/>
            <w:tcBorders>
              <w:top w:val="single" w:sz="8" w:color="auto"/>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Borders>
              <w:top w:val="single" w:sz="8" w:color="auto"/>
              <w:right w:val="single" w:sz="8" w:color="auto"/>
            </w:tcBorders>
          </w:tcPr>
          <w:p>
            <w:pPr>
              <w:spacing w:after="0"/>
              <w:rPr>
                <w:sz w:val="18"/>
                <w:szCs w:val="18"/>
                <w:color w:val="auto"/>
              </w:rPr>
            </w:pP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25"/>
        </w:trPr>
        <w:tc>
          <w:tcPr>
            <w:tcW w:w="3940" w:type="dxa"/>
            <w:vAlign w:val="bottom"/>
            <w:tcBorders>
              <w:left w:val="single" w:sz="8" w:color="auto"/>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6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tcPr>
          <w:p>
            <w:pPr>
              <w:spacing w:after="0"/>
              <w:rPr>
                <w:sz w:val="10"/>
                <w:szCs w:val="10"/>
                <w:color w:val="auto"/>
              </w:rPr>
            </w:pPr>
          </w:p>
        </w:tc>
      </w:tr>
      <w:tr>
        <w:trPr>
          <w:trHeight w:val="190"/>
        </w:trPr>
        <w:tc>
          <w:tcPr>
            <w:tcW w:w="3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0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VRM</w:t>
            </w:r>
          </w:p>
        </w:tc>
        <w:tc>
          <w:tcPr>
            <w:tcW w:w="100" w:type="dxa"/>
            <w:vAlign w:val="bottom"/>
            <w:tcBorders>
              <w:right w:val="single" w:sz="8" w:color="auto"/>
            </w:tcBorders>
          </w:tcPr>
          <w:p>
            <w:pPr>
              <w:spacing w:after="0"/>
              <w:rPr>
                <w:sz w:val="16"/>
                <w:szCs w:val="16"/>
                <w:color w:val="auto"/>
              </w:rPr>
            </w:pP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110"/>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4220" w:type="dxa"/>
            <w:vAlign w:val="bottom"/>
            <w:tcBorders>
              <w:bottom w:val="single" w:sz="8" w:color="auto"/>
              <w:right w:val="single" w:sz="8" w:color="auto"/>
            </w:tcBorders>
          </w:tcPr>
          <w:p>
            <w:pPr>
              <w:spacing w:after="0"/>
              <w:rPr>
                <w:sz w:val="9"/>
                <w:szCs w:val="9"/>
                <w:color w:val="auto"/>
              </w:rPr>
            </w:pPr>
          </w:p>
        </w:tc>
      </w:tr>
    </w:tbl>
    <w:p>
      <w:pPr>
        <w:ind w:right="20" w:firstLine="374"/>
        <w:spacing w:after="0" w:line="213" w:lineRule="exact"/>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this chapter).</w:t>
      </w:r>
    </w:p>
    <w:p>
      <w:pPr>
        <w:spacing w:after="0" w:line="146" w:lineRule="exact"/>
        <w:rPr>
          <w:sz w:val="24"/>
          <w:szCs w:val="24"/>
          <w:color w:val="auto"/>
        </w:rPr>
      </w:pPr>
    </w:p>
    <w:p>
      <w:pPr>
        <w:ind w:left="38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 w:name="page2"/>
    <w:bookmarkEnd w:id="1"/>
    <w:p>
      <w:pPr>
        <w:ind w:right="180" w:firstLine="37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Current Report on Form 8-K/A (the “Current Report”) amends the Current Report on Form 8-K filed by Vroom, Inc. (the “Company”) with the Securities and Exchange Commission (the “SEC”) on January 22, 2024 (the “Original Report”) and is being filed solely in order to amend and supplement the Company’s disclosure contained in Item 2.05 of the Original Report. The Original Report otherwise remains unchanged.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As previously announced, on January 19, 2024, the Board of Directors (the “Board”) of the Company approved a </w:t>
      </w:r>
      <w:r>
        <w:rPr>
          <w:rFonts w:ascii="Times New Roman" w:cs="Times New Roman" w:eastAsia="Times New Roman" w:hAnsi="Times New Roman"/>
          <w:sz w:val="18"/>
          <w:szCs w:val="18"/>
          <w:color w:val="041022"/>
        </w:rPr>
        <w:t>value maximization plan,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41022"/>
        </w:rPr>
        <w:t>which the Company is discontinuing its ecommerce operations and winding down its used vehicle dealership business in order to preserve liquidity and enable the Company to maximize stakeholder value through its remaining businesses (the “Value Maximization Plan”). At the time of the Original Report, the Company was not able to make a good faith estimate of the costs it would incur in connection with the Value Maximization Plan. The Company now estimates it will incur approximately $31.5 million in one-time expenses in connection with the Plan. Included in this amount are approximately $15.0 million in costs attributable to contract and lease terminations and approximately $16.5 million of expenses the Company expects to incur relating to employee severance and benefits costs. Although the Company anticipates the ecommerce wind down to be substantially complete by March 31, 2024, additional wind-down costs may be incurred through the end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without limitation statements regarding the potential impacts of the execution of and the expected benefits and cost-savings, if any, from our Value Maximization Plan, any anticipated costs and charges related to the Value Maximization Plan and the anticipated timeline of such costs, charges, implementation or completion of the Value Maximization Plan, our expectations regarding United Auto Credit Corporation and CarStory; our ability to successfully wind down and halt our ecommerce operations, liquidate our used vehicle inventory in an efficient manner and implement the reduction-in-force; and future results of operations and financial position of our remaining businesses. These statements are based on management’s current assumptions and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For other important factors that could cause actual results to differ materially from the forward-looking statements in this Current Report on Form 8-K, please see the risks and uncertainties identified under the heading “Risk Factors” in our Annual Report on Form 10-K for the year ended December 31, 2023, which is available on the Company’s Investor Relations website at ir.vroom.com and on the SEC website at www.sec.gov. All forward-looking statements reflect the Company’s beliefs and assumptions only as of the date of this Current Report on Form 8-K/A. The Company undertakes no obligation to update forward-looking statements to reflect future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20"/>
        <w:spacing w:after="0"/>
        <w:tabs>
          <w:tab w:leader="none" w:pos="4160" w:val="left"/>
        </w:tabs>
        <w:rPr>
          <w:sz w:val="20"/>
          <w:szCs w:val="20"/>
          <w:color w:val="auto"/>
        </w:rPr>
      </w:pPr>
      <w:r>
        <w:rPr>
          <w:rFonts w:ascii="Times New Roman" w:cs="Times New Roman" w:eastAsia="Times New Roman" w:hAnsi="Times New Roman"/>
          <w:sz w:val="18"/>
          <w:szCs w:val="18"/>
          <w:color w:val="auto"/>
        </w:rPr>
        <w:t>Dated: March 13, 2024</w:t>
      </w:r>
      <w:r>
        <w:rPr>
          <w:sz w:val="20"/>
          <w:szCs w:val="20"/>
          <w:color w:val="auto"/>
        </w:rPr>
        <w:tab/>
      </w:r>
      <w:r>
        <w:rPr>
          <w:rFonts w:ascii="Times New Roman" w:cs="Times New Roman" w:eastAsia="Times New Roman" w:hAnsi="Times New Roman"/>
          <w:sz w:val="18"/>
          <w:szCs w:val="18"/>
          <w:b w:val="1"/>
          <w:bCs w:val="1"/>
          <w:color w:val="auto"/>
        </w:rPr>
        <w:t>VROOM, INC.</w:t>
      </w:r>
    </w:p>
    <w:p>
      <w:pPr>
        <w:spacing w:after="0" w:line="200" w:lineRule="exact"/>
        <w:rPr>
          <w:sz w:val="20"/>
          <w:szCs w:val="20"/>
          <w:color w:val="auto"/>
        </w:rPr>
      </w:pPr>
    </w:p>
    <w:p>
      <w:pPr>
        <w:spacing w:after="0" w:line="245" w:lineRule="exact"/>
        <w:rPr>
          <w:sz w:val="20"/>
          <w:szCs w:val="20"/>
          <w:color w:val="auto"/>
        </w:rPr>
      </w:pPr>
    </w:p>
    <w:p>
      <w:pPr>
        <w:ind w:left="4180"/>
        <w:spacing w:after="0"/>
        <w:tabs>
          <w:tab w:leader="none" w:pos="4660" w:val="left"/>
        </w:tabs>
        <w:rPr>
          <w:sz w:val="20"/>
          <w:szCs w:val="20"/>
          <w:color w:val="auto"/>
        </w:rPr>
      </w:pPr>
      <w:r>
        <w:rPr>
          <w:rFonts w:ascii="Times New Roman" w:cs="Times New Roman" w:eastAsia="Times New Roman" w:hAnsi="Times New Roman"/>
          <w:sz w:val="18"/>
          <w:szCs w:val="18"/>
          <w:color w:val="auto"/>
        </w:rPr>
        <w:t>By:</w:t>
        <w:tab/>
        <w:t>/s/ Robert R. Krakowiak</w:t>
      </w:r>
    </w:p>
    <w:p>
      <w:pPr>
        <w:spacing w:after="0" w:line="36"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R. Krakowiak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-127635</wp:posOffset>
            </wp:positionV>
            <wp:extent cx="413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7" w:lineRule="exact"/>
        <w:rPr>
          <w:sz w:val="20"/>
          <w:szCs w:val="20"/>
          <w:color w:val="auto"/>
        </w:rPr>
      </w:pPr>
    </w:p>
    <w:p>
      <w:pPr>
        <w:jc w:val="center"/>
        <w:ind w:left="4320"/>
        <w:spacing w:after="0"/>
        <w:tabs>
          <w:tab w:leader="none" w:pos="2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13"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2024-03-13T15:33:17Z</dcterms:created>
  <dcterms:modified xsi:type="dcterms:W3CDTF">2024-03-13T15:33:17Z</dcterms:modified>
</cp:coreProperties>
</file>