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Shortt Thomas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VROOM,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4700 MERCANTILE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Vroom, Inc.</w:t>
              </w:r>
            </w:hyperlink>
            <w:r>
              <w:rPr/>
              <w:t xml:space="preserve"> [ </w:t>
            </w:r>
            <w:r>
              <w:rPr>
                <w:rFonts w:ascii="Times;serif" w:hAnsi="Times;serif"/>
                <w:color w:val="0000FF"/>
                <w:sz w:val="24"/>
                <w:shd w:fill="FFFFFF" w:val="clear"/>
              </w:rPr>
              <w:t>VRM</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13.68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stock options which will vest in 22 equal installments of 9,221 options from January 16, 2029 through March 28, 2029 with one installment of 2,138 options on February 26, 2029, subject to Reporting Person's continued service on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Anna-Lisa Corrales, Attorney-in-Fact for Thomas H. Shortt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61101" TargetMode="External"/><Relationship Id="rId5" Type="http://schemas.openxmlformats.org/officeDocument/2006/relationships/hyperlink" Target="http://www.sec.gov/cgi-bin/browse-edgar?action=getcompany&amp;CIK=00015808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624</Words>
  <Characters>3393</Characters>
  <CharactersWithSpaces>3944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