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915035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8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8"/>
          <w:szCs w:val="38"/>
          <w:b w:val="1"/>
          <w:bCs w:val="1"/>
          <w:color w:val="auto"/>
        </w:rPr>
        <w:t>VROOM,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44" w:lineRule="exact"/>
        <w:rPr>
          <w:sz w:val="24"/>
          <w:szCs w:val="24"/>
          <w:color w:val="auto"/>
        </w:rPr>
      </w:pPr>
    </w:p>
    <w:tbl>
      <w:tblPr>
        <w:tblLayout w:type="fixed"/>
        <w:tblInd w:w="920" w:type="dxa"/>
        <w:tblCellMar>
          <w:top w:w="0" w:type="dxa"/>
          <w:left w:w="0" w:type="dxa"/>
          <w:bottom w:w="0" w:type="dxa"/>
          <w:right w:w="0" w:type="dxa"/>
        </w:tblCellMar>
      </w:tblPr>
      <w:tr>
        <w:trPr>
          <w:trHeight w:val="186"/>
        </w:trPr>
        <w:tc>
          <w:tcPr>
            <w:tcW w:w="2340" w:type="dxa"/>
            <w:vAlign w:val="bottom"/>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492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001-39315</w:t>
            </w:r>
          </w:p>
        </w:tc>
        <w:tc>
          <w:tcPr>
            <w:tcW w:w="1760" w:type="dxa"/>
            <w:vAlign w:val="bottom"/>
          </w:tcPr>
          <w:p>
            <w:pPr>
              <w:jc w:val="center"/>
              <w:ind w:left="692"/>
              <w:spacing w:after="0"/>
              <w:rPr>
                <w:sz w:val="20"/>
                <w:szCs w:val="20"/>
                <w:color w:val="auto"/>
              </w:rPr>
            </w:pPr>
            <w:r>
              <w:rPr>
                <w:rFonts w:ascii="Times New Roman" w:cs="Times New Roman" w:eastAsia="Times New Roman" w:hAnsi="Times New Roman"/>
                <w:sz w:val="16"/>
                <w:szCs w:val="16"/>
                <w:b w:val="1"/>
                <w:bCs w:val="1"/>
                <w:color w:val="auto"/>
                <w:w w:val="98"/>
              </w:rPr>
              <w:t>90-1112566</w:t>
            </w:r>
          </w:p>
        </w:tc>
      </w:tr>
      <w:tr>
        <w:trPr>
          <w:trHeight w:val="130"/>
        </w:trPr>
        <w:tc>
          <w:tcPr>
            <w:tcW w:w="2340" w:type="dxa"/>
            <w:vAlign w:val="bottom"/>
          </w:tcPr>
          <w:p>
            <w:pPr>
              <w:jc w:val="center"/>
              <w:ind w:right="492"/>
              <w:spacing w:after="0" w:line="130"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920" w:type="dxa"/>
            <w:vAlign w:val="bottom"/>
          </w:tcPr>
          <w:p>
            <w:pPr>
              <w:ind w:left="2020"/>
              <w:spacing w:after="0" w:line="130"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760" w:type="dxa"/>
            <w:vAlign w:val="bottom"/>
          </w:tcPr>
          <w:p>
            <w:pPr>
              <w:jc w:val="center"/>
              <w:ind w:left="692"/>
              <w:spacing w:after="0" w:line="130"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340" w:type="dxa"/>
            <w:vAlign w:val="bottom"/>
          </w:tcPr>
          <w:p>
            <w:pPr>
              <w:jc w:val="center"/>
              <w:ind w:right="492"/>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4920" w:type="dxa"/>
            <w:vAlign w:val="bottom"/>
          </w:tcPr>
          <w:p>
            <w:pPr>
              <w:ind w:left="20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760" w:type="dxa"/>
            <w:vAlign w:val="bottom"/>
          </w:tcPr>
          <w:p>
            <w:pPr>
              <w:jc w:val="center"/>
              <w:ind w:left="71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8"/>
        </w:trPr>
        <w:tc>
          <w:tcPr>
            <w:tcW w:w="2340" w:type="dxa"/>
            <w:vAlign w:val="bottom"/>
          </w:tcPr>
          <w:p>
            <w:pPr>
              <w:spacing w:after="0"/>
              <w:rPr>
                <w:sz w:val="22"/>
                <w:szCs w:val="22"/>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9"/>
              </w:rPr>
              <w:t>4700 Mercantile Dr.</w:t>
            </w:r>
          </w:p>
        </w:tc>
        <w:tc>
          <w:tcPr>
            <w:tcW w:w="1760" w:type="dxa"/>
            <w:vAlign w:val="bottom"/>
          </w:tcPr>
          <w:p>
            <w:pPr>
              <w:spacing w:after="0"/>
              <w:rPr>
                <w:sz w:val="22"/>
                <w:szCs w:val="22"/>
                <w:color w:val="auto"/>
              </w:rPr>
            </w:pPr>
          </w:p>
        </w:tc>
      </w:tr>
      <w:tr>
        <w:trPr>
          <w:trHeight w:val="226"/>
        </w:trPr>
        <w:tc>
          <w:tcPr>
            <w:tcW w:w="2340" w:type="dxa"/>
            <w:vAlign w:val="bottom"/>
          </w:tcPr>
          <w:p>
            <w:pPr>
              <w:spacing w:after="0"/>
              <w:rPr>
                <w:sz w:val="19"/>
                <w:szCs w:val="19"/>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8"/>
              </w:rPr>
              <w:t>Fort Worth, TX 76137</w:t>
            </w:r>
          </w:p>
        </w:tc>
        <w:tc>
          <w:tcPr>
            <w:tcW w:w="1760" w:type="dxa"/>
            <w:vAlign w:val="bottom"/>
          </w:tcPr>
          <w:p>
            <w:pPr>
              <w:spacing w:after="0"/>
              <w:rPr>
                <w:sz w:val="19"/>
                <w:szCs w:val="19"/>
                <w:color w:val="auto"/>
              </w:rPr>
            </w:pPr>
          </w:p>
        </w:tc>
      </w:tr>
      <w:tr>
        <w:trPr>
          <w:trHeight w:val="166"/>
        </w:trPr>
        <w:tc>
          <w:tcPr>
            <w:tcW w:w="2340" w:type="dxa"/>
            <w:vAlign w:val="bottom"/>
          </w:tcPr>
          <w:p>
            <w:pPr>
              <w:spacing w:after="0"/>
              <w:rPr>
                <w:sz w:val="14"/>
                <w:szCs w:val="14"/>
                <w:color w:val="auto"/>
              </w:rPr>
            </w:pPr>
          </w:p>
        </w:tc>
        <w:tc>
          <w:tcPr>
            <w:tcW w:w="49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760" w:type="dxa"/>
            <w:vAlign w:val="bottom"/>
          </w:tcPr>
          <w:p>
            <w:pPr>
              <w:spacing w:after="0"/>
              <w:rPr>
                <w:sz w:val="14"/>
                <w:szCs w:val="14"/>
                <w:color w:val="auto"/>
              </w:rPr>
            </w:pPr>
          </w:p>
        </w:tc>
      </w:tr>
      <w:tr>
        <w:trPr>
          <w:trHeight w:val="224"/>
        </w:trPr>
        <w:tc>
          <w:tcPr>
            <w:tcW w:w="2340" w:type="dxa"/>
            <w:vAlign w:val="bottom"/>
          </w:tcPr>
          <w:p>
            <w:pPr>
              <w:spacing w:after="0"/>
              <w:rPr>
                <w:sz w:val="19"/>
                <w:szCs w:val="19"/>
                <w:color w:val="auto"/>
              </w:rPr>
            </w:pPr>
          </w:p>
        </w:tc>
        <w:tc>
          <w:tcPr>
            <w:tcW w:w="492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7"/>
              </w:rPr>
              <w:t>(518) 535-9125</w:t>
            </w:r>
          </w:p>
        </w:tc>
        <w:tc>
          <w:tcPr>
            <w:tcW w:w="1760" w:type="dxa"/>
            <w:vAlign w:val="bottom"/>
          </w:tcPr>
          <w:p>
            <w:pPr>
              <w:spacing w:after="0"/>
              <w:rPr>
                <w:sz w:val="19"/>
                <w:szCs w:val="19"/>
                <w:color w:val="auto"/>
              </w:rPr>
            </w:pPr>
          </w:p>
        </w:tc>
      </w:tr>
      <w:tr>
        <w:trPr>
          <w:trHeight w:val="166"/>
        </w:trPr>
        <w:tc>
          <w:tcPr>
            <w:tcW w:w="2340" w:type="dxa"/>
            <w:vAlign w:val="bottom"/>
          </w:tcPr>
          <w:p>
            <w:pPr>
              <w:spacing w:after="0"/>
              <w:rPr>
                <w:sz w:val="14"/>
                <w:szCs w:val="14"/>
                <w:color w:val="auto"/>
              </w:rPr>
            </w:pPr>
          </w:p>
        </w:tc>
        <w:tc>
          <w:tcPr>
            <w:tcW w:w="492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include area code)</w:t>
            </w:r>
          </w:p>
        </w:tc>
        <w:tc>
          <w:tcPr>
            <w:tcW w:w="1760" w:type="dxa"/>
            <w:vAlign w:val="bottom"/>
          </w:tcPr>
          <w:p>
            <w:pPr>
              <w:spacing w:after="0"/>
              <w:rPr>
                <w:sz w:val="14"/>
                <w:szCs w:val="14"/>
                <w:color w:val="auto"/>
              </w:rPr>
            </w:pPr>
          </w:p>
        </w:tc>
      </w:tr>
      <w:tr>
        <w:trPr>
          <w:trHeight w:val="212"/>
        </w:trPr>
        <w:tc>
          <w:tcPr>
            <w:tcW w:w="2340" w:type="dxa"/>
            <w:vAlign w:val="bottom"/>
          </w:tcPr>
          <w:p>
            <w:pPr>
              <w:spacing w:after="0"/>
              <w:rPr>
                <w:sz w:val="18"/>
                <w:szCs w:val="18"/>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rPr>
              <w:t>N/A</w:t>
            </w:r>
          </w:p>
        </w:tc>
        <w:tc>
          <w:tcPr>
            <w:tcW w:w="1760" w:type="dxa"/>
            <w:vAlign w:val="bottom"/>
          </w:tcPr>
          <w:p>
            <w:pPr>
              <w:spacing w:after="0"/>
              <w:rPr>
                <w:sz w:val="18"/>
                <w:szCs w:val="18"/>
                <w:color w:val="auto"/>
              </w:rPr>
            </w:pPr>
          </w:p>
        </w:tc>
      </w:tr>
      <w:tr>
        <w:trPr>
          <w:trHeight w:val="166"/>
        </w:trPr>
        <w:tc>
          <w:tcPr>
            <w:tcW w:w="2340" w:type="dxa"/>
            <w:vAlign w:val="bottom"/>
          </w:tcPr>
          <w:p>
            <w:pPr>
              <w:spacing w:after="0"/>
              <w:rPr>
                <w:sz w:val="14"/>
                <w:szCs w:val="14"/>
                <w:color w:val="auto"/>
              </w:rPr>
            </w:pPr>
          </w:p>
        </w:tc>
        <w:tc>
          <w:tcPr>
            <w:tcW w:w="492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640" w:hanging="34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6" w:lineRule="exact"/>
        <w:rPr>
          <w:rFonts w:ascii="MS PGothic" w:cs="MS PGothic" w:eastAsia="MS PGothic" w:hAnsi="MS PGothic"/>
          <w:sz w:val="16"/>
          <w:szCs w:val="16"/>
          <w:color w:val="auto"/>
        </w:rPr>
      </w:pPr>
    </w:p>
    <w:p>
      <w:pPr>
        <w:ind w:left="660" w:hanging="368"/>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6" w:lineRule="exact"/>
        <w:rPr>
          <w:rFonts w:ascii="MS PGothic" w:cs="MS PGothic" w:eastAsia="MS PGothic" w:hAnsi="MS PGothic"/>
          <w:sz w:val="16"/>
          <w:szCs w:val="16"/>
          <w:color w:val="auto"/>
        </w:rPr>
      </w:pPr>
    </w:p>
    <w:p>
      <w:pPr>
        <w:ind w:left="640" w:hanging="34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6" w:lineRule="exact"/>
        <w:rPr>
          <w:rFonts w:ascii="MS PGothic" w:cs="MS PGothic" w:eastAsia="MS PGothic" w:hAnsi="MS PGothic"/>
          <w:sz w:val="16"/>
          <w:szCs w:val="16"/>
          <w:color w:val="auto"/>
        </w:rPr>
      </w:pPr>
    </w:p>
    <w:p>
      <w:pPr>
        <w:ind w:left="640" w:hanging="34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62" w:lineRule="exact"/>
        <w:rPr>
          <w:rFonts w:ascii="MS PGothic" w:cs="MS PGothic" w:eastAsia="MS PGothic" w:hAnsi="MS PGothic"/>
          <w:sz w:val="16"/>
          <w:szCs w:val="16"/>
          <w:color w:val="auto"/>
        </w:rPr>
      </w:pPr>
    </w:p>
    <w:p>
      <w:pPr>
        <w:ind w:left="37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96"/>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80"/>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VRM</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r>
    </w:tbl>
    <w:p>
      <w:pPr>
        <w:spacing w:after="0" w:line="54"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4"/>
          <w:szCs w:val="14"/>
          <w:color w:val="auto"/>
        </w:rPr>
        <w:t>☐</w:t>
      </w:r>
    </w:p>
    <w:p>
      <w:pPr>
        <w:spacing w:after="0" w:line="80" w:lineRule="exact"/>
        <w:rPr>
          <w:sz w:val="24"/>
          <w:szCs w:val="24"/>
          <w:color w:val="auto"/>
        </w:rPr>
      </w:pPr>
    </w:p>
    <w:p>
      <w:pPr>
        <w:ind w:right="30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930910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34925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60" w:firstLine="542"/>
        <w:spacing w:after="0" w:line="276" w:lineRule="auto"/>
        <w:rPr>
          <w:sz w:val="20"/>
          <w:szCs w:val="20"/>
          <w:color w:val="auto"/>
        </w:rPr>
      </w:pPr>
      <w:r>
        <w:rPr>
          <w:rFonts w:ascii="Times New Roman" w:cs="Times New Roman" w:eastAsia="Times New Roman" w:hAnsi="Times New Roman"/>
          <w:sz w:val="16"/>
          <w:szCs w:val="16"/>
          <w:color w:val="auto"/>
        </w:rPr>
        <w:t>On May 14, 2026, Vroom, Inc. (the “Company”) issued a press release announcing its financial results for the quarter ended March 31, 2026. A copy of the press release is furnished as Exhibit 99.1 to this Current Report on Form 8-K.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80" w:firstLine="542"/>
        <w:spacing w:after="0" w:line="261" w:lineRule="auto"/>
        <w:rPr>
          <w:sz w:val="20"/>
          <w:szCs w:val="20"/>
          <w:color w:val="auto"/>
        </w:rPr>
      </w:pPr>
      <w:r>
        <w:rPr>
          <w:rFonts w:ascii="Times New Roman" w:cs="Times New Roman" w:eastAsia="Times New Roman" w:hAnsi="Times New Roman"/>
          <w:sz w:val="16"/>
          <w:szCs w:val="16"/>
          <w:color w:val="auto"/>
        </w:rPr>
        <w:t>On May 14, 2026, the Company posted a corporate slide presentation with financial results for the quarter ended March 31, 2026 on its investor relations website, https://ir.vroom.com/news-events/events-and-presentations. The presentation is furnished as Exhibit 99.2 to this Current Report on Form 8-K and will accompany management’s comments.</w:t>
      </w:r>
    </w:p>
    <w:p>
      <w:pPr>
        <w:spacing w:after="0" w:line="192" w:lineRule="exact"/>
        <w:rPr>
          <w:sz w:val="20"/>
          <w:szCs w:val="20"/>
          <w:color w:val="auto"/>
        </w:rPr>
      </w:pPr>
    </w:p>
    <w:p>
      <w:pPr>
        <w:ind w:firstLine="542"/>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2.02, including Exhibit 99.1 hereto, and in Item 7.01, including Exhibit 99.2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relating to Item 2.02 and Item 7.01 shall be deemed to be furnished, and not filed: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6020" w:type="dxa"/>
            <w:vAlign w:val="bottom"/>
            <w:shd w:val="clear" w:color="auto" w:fill="000000"/>
          </w:tcPr>
          <w:p>
            <w:pPr>
              <w:spacing w:after="0"/>
              <w:rPr>
                <w:sz w:val="2"/>
                <w:szCs w:val="2"/>
                <w:color w:val="auto"/>
              </w:rPr>
            </w:pPr>
          </w:p>
        </w:tc>
      </w:tr>
      <w:tr>
        <w:trPr>
          <w:trHeight w:val="260"/>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40" w:type="dxa"/>
            <w:vAlign w:val="bottom"/>
          </w:tcPr>
          <w:p>
            <w:pPr>
              <w:spacing w:after="0"/>
              <w:rPr>
                <w:sz w:val="22"/>
                <w:szCs w:val="22"/>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dated May 14, 2026.</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169"/>
        </w:trPr>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14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Earnings Presentation for the Quarter Ended March 31, 2026.</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05"/>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422"/>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6"/>
          <w:szCs w:val="16"/>
          <w:color w:val="auto"/>
        </w:rPr>
        <w:t>SIGNATURES</w:t>
      </w:r>
    </w:p>
    <w:p>
      <w:pPr>
        <w:spacing w:after="0" w:line="19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VROOM, INC.</w:t>
      </w:r>
    </w:p>
    <w:p>
      <w:pPr>
        <w:spacing w:after="0" w:line="112" w:lineRule="exact"/>
        <w:rPr>
          <w:sz w:val="20"/>
          <w:szCs w:val="20"/>
          <w:color w:val="auto"/>
        </w:rPr>
      </w:pPr>
    </w:p>
    <w:p>
      <w:pPr>
        <w:spacing w:after="0"/>
        <w:tabs>
          <w:tab w:leader="none" w:pos="6860" w:val="left"/>
          <w:tab w:leader="none" w:pos="7300" w:val="left"/>
        </w:tabs>
        <w:rPr>
          <w:sz w:val="20"/>
          <w:szCs w:val="20"/>
          <w:color w:val="auto"/>
        </w:rPr>
      </w:pPr>
      <w:r>
        <w:rPr>
          <w:rFonts w:ascii="Times New Roman" w:cs="Times New Roman" w:eastAsia="Times New Roman" w:hAnsi="Times New Roman"/>
          <w:sz w:val="16"/>
          <w:szCs w:val="16"/>
          <w:color w:val="auto"/>
        </w:rPr>
        <w:t>Date: May 14,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Tom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13970</wp:posOffset>
            </wp:positionV>
            <wp:extent cx="25006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Tom Shortt</w:t>
      </w:r>
    </w:p>
    <w:p>
      <w:pPr>
        <w:spacing w:after="0" w:line="2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891540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58"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37414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74140" cy="300355"/>
                    </a:xfrm>
                    <a:prstGeom prst="rect">
                      <a:avLst/>
                    </a:prstGeom>
                    <a:noFill/>
                  </pic:spPr>
                </pic:pic>
              </a:graphicData>
            </a:graphic>
          </wp:anchor>
        </w:drawing>
        <w:t>Exhibit 99.1</w:t>
      </w:r>
    </w:p>
    <w:p>
      <w:pPr>
        <w:spacing w:after="0" w:line="200" w:lineRule="exact"/>
        <w:rPr>
          <w:sz w:val="20"/>
          <w:szCs w:val="20"/>
          <w:color w:val="auto"/>
        </w:rPr>
      </w:pPr>
    </w:p>
    <w:p>
      <w:pPr>
        <w:spacing w:after="0" w:line="216" w:lineRule="exact"/>
        <w:rPr>
          <w:sz w:val="20"/>
          <w:szCs w:val="20"/>
          <w:color w:val="auto"/>
        </w:rPr>
      </w:pPr>
    </w:p>
    <w:p>
      <w:pPr>
        <w:ind w:left="3925"/>
        <w:spacing w:after="0"/>
        <w:rPr>
          <w:sz w:val="20"/>
          <w:szCs w:val="20"/>
          <w:color w:val="auto"/>
        </w:rPr>
      </w:pPr>
      <w:r>
        <w:rPr>
          <w:rFonts w:ascii="Arial" w:cs="Arial" w:eastAsia="Arial" w:hAnsi="Arial"/>
          <w:sz w:val="16"/>
          <w:szCs w:val="16"/>
          <w:b w:val="1"/>
          <w:bCs w:val="1"/>
          <w:i w:val="1"/>
          <w:iCs w:val="1"/>
          <w:color w:val="auto"/>
        </w:rPr>
        <w:t>Vroom Announces First Quarter 2026 Results</w:t>
      </w:r>
    </w:p>
    <w:p>
      <w:pPr>
        <w:spacing w:after="0" w:line="88" w:lineRule="exact"/>
        <w:rPr>
          <w:sz w:val="20"/>
          <w:szCs w:val="20"/>
          <w:color w:val="auto"/>
        </w:rPr>
      </w:pPr>
    </w:p>
    <w:p>
      <w:pPr>
        <w:ind w:left="3585"/>
        <w:spacing w:after="0"/>
        <w:rPr>
          <w:sz w:val="20"/>
          <w:szCs w:val="20"/>
          <w:color w:val="auto"/>
        </w:rPr>
      </w:pPr>
      <w:r>
        <w:rPr>
          <w:rFonts w:ascii="Arial" w:cs="Arial" w:eastAsia="Arial" w:hAnsi="Arial"/>
          <w:sz w:val="16"/>
          <w:szCs w:val="16"/>
          <w:b w:val="1"/>
          <w:bCs w:val="1"/>
          <w:i w:val="1"/>
          <w:iCs w:val="1"/>
          <w:color w:val="auto"/>
        </w:rPr>
        <w:t>$98.4 million stockholders' equity as of March 31, 2026</w:t>
      </w:r>
    </w:p>
    <w:p>
      <w:pPr>
        <w:spacing w:after="0" w:line="88" w:lineRule="exact"/>
        <w:rPr>
          <w:sz w:val="20"/>
          <w:szCs w:val="20"/>
          <w:color w:val="auto"/>
        </w:rPr>
      </w:pPr>
    </w:p>
    <w:p>
      <w:pPr>
        <w:ind w:left="5"/>
        <w:spacing w:after="0"/>
        <w:rPr>
          <w:sz w:val="20"/>
          <w:szCs w:val="20"/>
          <w:color w:val="auto"/>
        </w:rPr>
      </w:pPr>
      <w:r>
        <w:rPr>
          <w:rFonts w:ascii="Arial" w:cs="Arial" w:eastAsia="Arial" w:hAnsi="Arial"/>
          <w:sz w:val="16"/>
          <w:szCs w:val="16"/>
          <w:color w:val="auto"/>
        </w:rPr>
        <w:t>NEW YORK – May 14, 2026 – Vroom, Inc. (Nasdaq:VRM) today announced financial results for the first quarter ended March 31, 2026.</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HIGHLIGHTS OF FIRST QUARTER 2026</w:t>
      </w:r>
    </w:p>
    <w:p>
      <w:pPr>
        <w:spacing w:after="0" w:line="94" w:lineRule="exact"/>
        <w:rPr>
          <w:sz w:val="20"/>
          <w:szCs w:val="20"/>
          <w:color w:val="auto"/>
        </w:rPr>
      </w:pPr>
    </w:p>
    <w:p>
      <w:pPr>
        <w:ind w:left="745" w:hanging="370"/>
        <w:spacing w:after="0"/>
        <w:tabs>
          <w:tab w:leader="none" w:pos="74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$98.4 million stockholders' equity as of March 31, 2026 and $86.5 million tangible book value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as of March 31, 2026</w:t>
      </w:r>
    </w:p>
    <w:p>
      <w:pPr>
        <w:spacing w:after="0" w:line="66"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$56.4 million consolidated total available liquidity</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as of March 31, 2026, consisting of:</w:t>
      </w:r>
    </w:p>
    <w:p>
      <w:pPr>
        <w:spacing w:after="0" w:line="62" w:lineRule="exact"/>
        <w:rPr>
          <w:sz w:val="20"/>
          <w:szCs w:val="20"/>
          <w:color w:val="auto"/>
        </w:rPr>
      </w:pPr>
    </w:p>
    <w:p>
      <w:pPr>
        <w:ind w:left="1525" w:hanging="505"/>
        <w:spacing w:after="0"/>
        <w:tabs>
          <w:tab w:leader="none" w:pos="1525" w:val="left"/>
        </w:tabs>
        <w:numPr>
          <w:ilvl w:val="2"/>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$14.5 million cash and cash equivalents</w:t>
      </w:r>
    </w:p>
    <w:p>
      <w:pPr>
        <w:spacing w:after="0" w:line="9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2"/>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$14.9 million of liquidity available to UACC under the warehouse credit facilities</w:t>
      </w:r>
    </w:p>
    <w:p>
      <w:pPr>
        <w:spacing w:after="0" w:line="99" w:lineRule="exact"/>
        <w:rPr>
          <w:rFonts w:ascii="Times New Roman" w:cs="Times New Roman" w:eastAsia="Times New Roman" w:hAnsi="Times New Roman"/>
          <w:sz w:val="16"/>
          <w:szCs w:val="16"/>
          <w:color w:val="auto"/>
        </w:rPr>
      </w:pPr>
    </w:p>
    <w:p>
      <w:pPr>
        <w:ind w:left="1525" w:hanging="505"/>
        <w:spacing w:after="0"/>
        <w:tabs>
          <w:tab w:leader="none" w:pos="1525" w:val="left"/>
        </w:tabs>
        <w:numPr>
          <w:ilvl w:val="2"/>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$27.0 million of available liquidity from delayed draw facility, further strengthening our liquidity position to execute our long-term strategy</w:t>
      </w:r>
    </w:p>
    <w:p>
      <w:pPr>
        <w:spacing w:after="0" w:line="99"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$22.5 million preferred stock issued by Vroom Automotive LLC to SPE Holdings in January 2026</w:t>
      </w:r>
    </w:p>
    <w:p>
      <w:pPr>
        <w:spacing w:after="0" w:line="99"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$(19.6) million net loss attributable to controlling interest and common shareholders for the first quarter 2026</w:t>
      </w:r>
    </w:p>
    <w:p>
      <w:pPr>
        <w:spacing w:after="0" w:line="102"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$(18.2) million adjusted net loss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for the first quarter 2026</w:t>
      </w:r>
    </w:p>
    <w:p>
      <w:pPr>
        <w:spacing w:after="0" w:line="66" w:lineRule="exact"/>
        <w:rPr>
          <w:rFonts w:ascii="Times New Roman" w:cs="Times New Roman" w:eastAsia="Times New Roman" w:hAnsi="Times New Roman"/>
          <w:sz w:val="16"/>
          <w:szCs w:val="16"/>
          <w:color w:val="auto"/>
        </w:rPr>
      </w:pPr>
    </w:p>
    <w:p>
      <w:pPr>
        <w:ind w:left="745" w:right="200" w:hanging="370"/>
        <w:spacing w:after="0" w:line="227" w:lineRule="auto"/>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$11.7 million increase in net loss and $20.6 million decrease in adjusted net loss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for the trailing twelve months ended March 31, 2026 compared to trailing twelve months ended March 31, 2025</w:t>
      </w:r>
    </w:p>
    <w:p>
      <w:pPr>
        <w:spacing w:after="0" w:line="70"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$25.0 to $30.0 million updated full year adjusted net loss guidance</w:t>
      </w:r>
      <w:r>
        <w:rPr>
          <w:rFonts w:ascii="Arial" w:cs="Arial" w:eastAsia="Arial" w:hAnsi="Arial"/>
          <w:sz w:val="21"/>
          <w:szCs w:val="21"/>
          <w:color w:val="auto"/>
          <w:vertAlign w:val="superscript"/>
        </w:rPr>
        <w:t>(4)</w:t>
      </w:r>
    </w:p>
    <w:p>
      <w:pPr>
        <w:spacing w:after="0" w:line="62" w:lineRule="exact"/>
        <w:rPr>
          <w:rFonts w:ascii="Times New Roman" w:cs="Times New Roman" w:eastAsia="Times New Roman" w:hAnsi="Times New Roman"/>
          <w:sz w:val="16"/>
          <w:szCs w:val="16"/>
          <w:color w:val="auto"/>
        </w:rPr>
      </w:pPr>
    </w:p>
    <w:p>
      <w:pPr>
        <w:ind w:left="745" w:right="260" w:hanging="370"/>
        <w:spacing w:after="0" w:line="254" w:lineRule="auto"/>
        <w:tabs>
          <w:tab w:leader="none" w:pos="745" w:val="left"/>
        </w:tabs>
        <w:numPr>
          <w:ilvl w:val="1"/>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$28.5 million existing notes expected to be exchanged for $50.0 million new Senior Secured Delayed Draw Convertible Note due 2032, expected to close in June 2026</w:t>
      </w:r>
    </w:p>
    <w:p>
      <w:pPr>
        <w:spacing w:after="0" w:line="36" w:lineRule="exact"/>
        <w:rPr>
          <w:rFonts w:ascii="Times New Roman" w:cs="Times New Roman" w:eastAsia="Times New Roman" w:hAnsi="Times New Roman"/>
          <w:sz w:val="16"/>
          <w:szCs w:val="16"/>
          <w:color w:val="auto"/>
        </w:rPr>
      </w:pPr>
    </w:p>
    <w:p>
      <w:pPr>
        <w:ind w:left="245" w:hanging="245"/>
        <w:spacing w:after="0"/>
        <w:tabs>
          <w:tab w:leader="none" w:pos="245"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Tangible book value is a non-GAAP measure and represents total stockholders' equity of $98.4 million, excluding intangible assets of $11.9 million as of March 31, 2026.</w:t>
      </w:r>
    </w:p>
    <w:p>
      <w:pPr>
        <w:spacing w:after="0" w:line="28" w:lineRule="exact"/>
        <w:rPr>
          <w:rFonts w:ascii="Arial" w:cs="Arial" w:eastAsia="Arial" w:hAnsi="Arial"/>
          <w:sz w:val="17"/>
          <w:szCs w:val="17"/>
          <w:color w:val="auto"/>
          <w:vertAlign w:val="superscript"/>
        </w:rPr>
      </w:pPr>
    </w:p>
    <w:p>
      <w:pPr>
        <w:ind w:left="245" w:hanging="245"/>
        <w:spacing w:after="0"/>
        <w:tabs>
          <w:tab w:leader="none" w:pos="24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Total available liquidity is a non-GAAP measure and represents $14.5 million of unrestricted cash and cash equivalents, as well as $14.9 million of availability from warehouse credit facilities and</w:t>
      </w:r>
    </w:p>
    <w:p>
      <w:pPr>
        <w:ind w:left="245" w:hanging="245"/>
        <w:spacing w:after="0" w:line="185" w:lineRule="auto"/>
        <w:tabs>
          <w:tab w:leader="none" w:pos="245" w:val="left"/>
        </w:tabs>
        <w:numPr>
          <w:ilvl w:val="0"/>
          <w:numId w:val="3"/>
        </w:numPr>
        <w:rPr>
          <w:rFonts w:ascii="Arial" w:cs="Arial" w:eastAsia="Arial" w:hAnsi="Arial"/>
          <w:sz w:val="16"/>
          <w:szCs w:val="16"/>
          <w:color w:val="auto"/>
          <w:vertAlign w:val="subscript"/>
        </w:rPr>
      </w:pPr>
      <w:r>
        <w:rPr>
          <w:rFonts w:ascii="Arial" w:cs="Arial" w:eastAsia="Arial" w:hAnsi="Arial"/>
          <w:sz w:val="12"/>
          <w:szCs w:val="12"/>
          <w:color w:val="auto"/>
        </w:rPr>
        <w:t>$27.0 million of availability from delayed draw facility.</w:t>
      </w:r>
    </w:p>
    <w:p>
      <w:pPr>
        <w:ind w:left="245" w:hanging="245"/>
        <w:spacing w:after="0" w:line="185" w:lineRule="auto"/>
        <w:tabs>
          <w:tab w:leader="none" w:pos="245" w:val="left"/>
        </w:tabs>
        <w:numPr>
          <w:ilvl w:val="0"/>
          <w:numId w:val="3"/>
        </w:numPr>
        <w:rPr>
          <w:rFonts w:ascii="Arial" w:cs="Arial" w:eastAsia="Arial" w:hAnsi="Arial"/>
          <w:sz w:val="16"/>
          <w:szCs w:val="16"/>
          <w:color w:val="auto"/>
          <w:vertAlign w:val="subscript"/>
        </w:rPr>
      </w:pPr>
      <w:r>
        <w:rPr>
          <w:rFonts w:ascii="Arial" w:cs="Arial" w:eastAsia="Arial" w:hAnsi="Arial"/>
          <w:sz w:val="12"/>
          <w:szCs w:val="12"/>
          <w:color w:val="auto"/>
        </w:rPr>
        <w:t>Adjusted net income (loss) is a non-GAAP measure. For definitions and a reconciliation to the most comparable GAAP measure, please see Non-GAAP Financial Measures section below.</w:t>
      </w:r>
    </w:p>
    <w:p>
      <w:pPr>
        <w:ind w:left="245" w:right="200"/>
        <w:spacing w:after="0" w:line="234" w:lineRule="auto"/>
        <w:rPr>
          <w:rFonts w:ascii="Arial" w:cs="Arial" w:eastAsia="Arial" w:hAnsi="Arial"/>
          <w:sz w:val="16"/>
          <w:szCs w:val="16"/>
          <w:color w:val="auto"/>
          <w:vertAlign w:val="subscript"/>
        </w:rPr>
      </w:pPr>
      <w:r>
        <w:rPr>
          <w:rFonts w:ascii="Arial" w:cs="Arial" w:eastAsia="Arial" w:hAnsi="Arial"/>
          <w:sz w:val="13"/>
          <w:szCs w:val="13"/>
          <w:color w:val="auto"/>
        </w:rPr>
        <w:t>A reconciliation of non-GAAP guidance measures to corresponding GAAP measures for the full year 2026 Financial Outlook is not available on a forward-looking basis without unreasonable effort due to the uncertainty regarding, and the potential variability of, the costs and expenses that may be incurred in the future. We have provided a reconciliation of GAAP to non-GAAP financial measures for historical periods in the reconciliation table in the Non-GAAP Financial Measures above.</w:t>
      </w:r>
    </w:p>
    <w:p>
      <w:pPr>
        <w:spacing w:after="0" w:line="52" w:lineRule="exact"/>
        <w:rPr>
          <w:sz w:val="20"/>
          <w:szCs w:val="20"/>
          <w:color w:val="auto"/>
        </w:rPr>
      </w:pPr>
    </w:p>
    <w:p>
      <w:pPr>
        <w:ind w:left="5" w:right="260"/>
        <w:spacing w:after="0" w:line="241" w:lineRule="auto"/>
        <w:rPr>
          <w:sz w:val="20"/>
          <w:szCs w:val="20"/>
          <w:color w:val="auto"/>
        </w:rPr>
      </w:pPr>
      <w:r>
        <w:rPr>
          <w:rFonts w:ascii="Arial" w:cs="Arial" w:eastAsia="Arial" w:hAnsi="Arial"/>
          <w:sz w:val="16"/>
          <w:szCs w:val="16"/>
          <w:color w:val="auto"/>
        </w:rPr>
        <w:t>Tom Shortt, Chief Executive Officer of Vroom, said, “During the first quarter 2026 we introduced our new dealer portal Fast Lane, on the same state-of-the-art technology platform as our Credit Decision Engine which was implemented in 2025. We continue to make technology investments and are excited about the additional value we can bring to dealers and consumers as we continue to add new functionality to this platform. Early performance indicators and multivariate loss projections indicate strong performance from vintages underwritten since Q3 2025 under this new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556260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74"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Fresh Start Accounting</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As a result of emerging from a voluntary proceeding (the “Prepackaged Chapter 11 Case”) under Chapter 11 of the United States Code, 11 U.S.C. §§ 101-1532, as amended from time to time, on January 14, 2025, (the "Effective Date") and qualifying for the application of fresh-start accounting, at the Effective Date, Vroom’s assets and liabilities were recorded at their estimated fair values which, in some cases, are significantly different than amounts included in our financial statements prior to the Effective Date. Accordingly, our consolidated financial statements after the Effective Date are not comparable with our consolidated financial statements on or before that date. References to “Successor” relate to our financial position and results of operations after the Effective Date. References to “Predecessor” refer to our financial position and results of operations on or before the Effective Date.</w:t>
      </w:r>
    </w:p>
    <w:p>
      <w:pPr>
        <w:spacing w:after="0" w:line="8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combined results (referenced as “Non-GAAP Combined” or “Combined”) for the three months ended March 31, 2025, represent the sum of the reported amounts for the Predecessor period from January 1, 2025, through January 14, 2025, and the Successor period from January 15, 2025, through March 31, 2025. These combined results are not considered to be prepared in accordance with U.S. generally accepted accounting principles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three months ended March 31, 2025, (prepared on a Non-GAAP basis) and three months ended March 31, 2026, (prepared on a GAAP basis) may not be comparable, particularly for statement of operations line items significantly impacted by the reorganization transactions and the impact of fresh start accounting.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403860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FIRST QUARTER 2026 FINANCIAL DISCUSSION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gridSpan w:val="12"/>
          </w:tcPr>
          <w:p>
            <w:pPr>
              <w:spacing w:after="0"/>
              <w:rPr>
                <w:sz w:val="20"/>
                <w:szCs w:val="20"/>
                <w:color w:val="auto"/>
              </w:rPr>
            </w:pPr>
            <w:r>
              <w:rPr>
                <w:rFonts w:ascii="Arial" w:cs="Arial" w:eastAsia="Arial" w:hAnsi="Arial"/>
                <w:sz w:val="13"/>
                <w:szCs w:val="13"/>
                <w:i w:val="1"/>
                <w:iCs w:val="1"/>
                <w:color w:val="auto"/>
              </w:rPr>
              <w:t>All financial comparisons are on a year-over-year basis unless otherwise noted. The following financial information is unaudited.</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8"/>
              </w:rPr>
              <w:t>Non-GAAP</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Borders>
              <w:right w:val="single" w:sz="8" w:color="auto"/>
            </w:tcBorders>
            <w:gridSpan w:val="5"/>
          </w:tcPr>
          <w:p>
            <w:pPr>
              <w:jc w:val="right"/>
              <w:ind w:right="1100"/>
              <w:spacing w:after="0"/>
              <w:rPr>
                <w:sz w:val="20"/>
                <w:szCs w:val="20"/>
                <w:color w:val="auto"/>
              </w:rPr>
            </w:pPr>
            <w:r>
              <w:rPr>
                <w:rFonts w:ascii="Arial" w:cs="Arial" w:eastAsia="Arial" w:hAnsi="Arial"/>
                <w:sz w:val="13"/>
                <w:szCs w:val="13"/>
                <w:b w:val="1"/>
                <w:bCs w:val="1"/>
                <w:color w:val="auto"/>
              </w:rPr>
              <w:t>Successor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Predecessor</w:t>
            </w: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Combined</w:t>
            </w:r>
          </w:p>
        </w:tc>
        <w:tc>
          <w:tcPr>
            <w:tcW w:w="104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Non-GAAP</w:t>
            </w: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Non-GAAP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0"/>
              <w:spacing w:after="0" w:line="126" w:lineRule="exact"/>
              <w:rPr>
                <w:sz w:val="20"/>
                <w:szCs w:val="20"/>
                <w:color w:val="auto"/>
              </w:rPr>
            </w:pPr>
            <w:r>
              <w:rPr>
                <w:rFonts w:ascii="Arial" w:cs="Arial" w:eastAsia="Arial" w:hAnsi="Arial"/>
                <w:sz w:val="13"/>
                <w:szCs w:val="13"/>
                <w:b w:val="1"/>
                <w:bCs w:val="1"/>
                <w:color w:val="auto"/>
                <w:w w:val="95"/>
              </w:rPr>
              <w:t>Period from</w:t>
            </w:r>
          </w:p>
        </w:tc>
        <w:tc>
          <w:tcPr>
            <w:tcW w:w="2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70"/>
              <w:spacing w:after="0" w:line="126" w:lineRule="exact"/>
              <w:rPr>
                <w:sz w:val="20"/>
                <w:szCs w:val="20"/>
                <w:color w:val="auto"/>
              </w:rPr>
            </w:pPr>
            <w:r>
              <w:rPr>
                <w:rFonts w:ascii="Arial" w:cs="Arial" w:eastAsia="Arial" w:hAnsi="Arial"/>
                <w:sz w:val="13"/>
                <w:szCs w:val="13"/>
                <w:b w:val="1"/>
                <w:bCs w:val="1"/>
                <w:color w:val="auto"/>
                <w:w w:val="95"/>
              </w:rPr>
              <w:t>Period from</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420"/>
              <w:spacing w:after="0" w:line="142" w:lineRule="exact"/>
              <w:rPr>
                <w:sz w:val="20"/>
                <w:szCs w:val="20"/>
                <w:color w:val="auto"/>
              </w:rPr>
            </w:pPr>
            <w:r>
              <w:rPr>
                <w:rFonts w:ascii="Arial" w:cs="Arial" w:eastAsia="Arial" w:hAnsi="Arial"/>
                <w:sz w:val="13"/>
                <w:szCs w:val="13"/>
                <w:b w:val="1"/>
                <w:bCs w:val="1"/>
                <w:color w:val="auto"/>
                <w:w w:val="97"/>
              </w:rPr>
              <w:t>January 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00"/>
              <w:spacing w:after="0" w:line="142" w:lineRule="exact"/>
              <w:rPr>
                <w:sz w:val="20"/>
                <w:szCs w:val="20"/>
                <w:color w:val="auto"/>
              </w:rPr>
            </w:pPr>
            <w:r>
              <w:rPr>
                <w:rFonts w:ascii="Arial" w:cs="Arial" w:eastAsia="Arial" w:hAnsi="Arial"/>
                <w:sz w:val="13"/>
                <w:szCs w:val="13"/>
                <w:b w:val="1"/>
                <w:bCs w:val="1"/>
                <w:color w:val="auto"/>
                <w:w w:val="95"/>
              </w:rPr>
              <w:t>January 1</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20" w:type="dxa"/>
            <w:vAlign w:val="bottom"/>
            <w:gridSpan w:val="3"/>
          </w:tcPr>
          <w:p>
            <w:pPr>
              <w:jc w:val="right"/>
              <w:ind w:right="420"/>
              <w:spacing w:after="0" w:line="142" w:lineRule="exact"/>
              <w:rPr>
                <w:sz w:val="20"/>
                <w:szCs w:val="20"/>
                <w:color w:val="auto"/>
              </w:rPr>
            </w:pPr>
            <w:r>
              <w:rPr>
                <w:rFonts w:ascii="Arial" w:cs="Arial" w:eastAsia="Arial" w:hAnsi="Arial"/>
                <w:sz w:val="13"/>
                <w:szCs w:val="13"/>
                <w:b w:val="1"/>
                <w:bCs w:val="1"/>
                <w:color w:val="auto"/>
              </w:rPr>
              <w:t>Three months</w:t>
            </w:r>
          </w:p>
        </w:tc>
        <w:tc>
          <w:tcPr>
            <w:tcW w:w="1260" w:type="dxa"/>
            <w:vAlign w:val="bottom"/>
            <w:tcBorders>
              <w:right w:val="single" w:sz="8" w:color="auto"/>
            </w:tcBorders>
            <w:gridSpan w:val="3"/>
          </w:tcPr>
          <w:p>
            <w:pPr>
              <w:jc w:val="center"/>
              <w:ind w:right="300"/>
              <w:spacing w:after="0" w:line="142" w:lineRule="exact"/>
              <w:rPr>
                <w:sz w:val="20"/>
                <w:szCs w:val="20"/>
                <w:color w:val="auto"/>
              </w:rPr>
            </w:pPr>
            <w:r>
              <w:rPr>
                <w:rFonts w:ascii="Arial" w:cs="Arial" w:eastAsia="Arial" w:hAnsi="Arial"/>
                <w:sz w:val="13"/>
                <w:szCs w:val="13"/>
                <w:b w:val="1"/>
                <w:bCs w:val="1"/>
                <w:color w:val="auto"/>
                <w:w w:val="96"/>
              </w:rPr>
              <w:t>through March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00"/>
              <w:spacing w:after="0" w:line="142" w:lineRule="exact"/>
              <w:rPr>
                <w:sz w:val="20"/>
                <w:szCs w:val="20"/>
                <w:color w:val="auto"/>
              </w:rPr>
            </w:pPr>
            <w:r>
              <w:rPr>
                <w:rFonts w:ascii="Arial" w:cs="Arial" w:eastAsia="Arial" w:hAnsi="Arial"/>
                <w:sz w:val="13"/>
                <w:szCs w:val="13"/>
                <w:b w:val="1"/>
                <w:bCs w:val="1"/>
                <w:color w:val="auto"/>
                <w:w w:val="93"/>
              </w:rPr>
              <w:t>through</w:t>
            </w:r>
          </w:p>
        </w:tc>
        <w:tc>
          <w:tcPr>
            <w:tcW w:w="1240" w:type="dxa"/>
            <w:vAlign w:val="bottom"/>
            <w:gridSpan w:val="3"/>
          </w:tcPr>
          <w:p>
            <w:pPr>
              <w:jc w:val="center"/>
              <w:ind w:right="280"/>
              <w:spacing w:after="0" w:line="142" w:lineRule="exact"/>
              <w:rPr>
                <w:sz w:val="20"/>
                <w:szCs w:val="20"/>
                <w:color w:val="auto"/>
              </w:rPr>
            </w:pPr>
            <w:r>
              <w:rPr>
                <w:rFonts w:ascii="Arial" w:cs="Arial" w:eastAsia="Arial" w:hAnsi="Arial"/>
                <w:sz w:val="13"/>
                <w:szCs w:val="13"/>
                <w:b w:val="1"/>
                <w:bCs w:val="1"/>
                <w:color w:val="auto"/>
                <w:w w:val="97"/>
              </w:rPr>
              <w:t>Three months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Arial" w:cs="Arial" w:eastAsia="Arial" w:hAnsi="Arial"/>
                <w:sz w:val="13"/>
                <w:szCs w:val="13"/>
                <w:b w:val="1"/>
                <w:bCs w:val="1"/>
                <w:color w:val="auto"/>
              </w:rPr>
              <w:t>ended March 31,</w:t>
            </w:r>
          </w:p>
        </w:tc>
        <w:tc>
          <w:tcPr>
            <w:tcW w:w="100" w:type="dxa"/>
            <w:vAlign w:val="bottom"/>
          </w:tcPr>
          <w:p>
            <w:pPr>
              <w:spacing w:after="0"/>
              <w:rPr>
                <w:sz w:val="13"/>
                <w:szCs w:val="13"/>
                <w:color w:val="auto"/>
              </w:rPr>
            </w:pPr>
          </w:p>
        </w:tc>
        <w:tc>
          <w:tcPr>
            <w:tcW w:w="900" w:type="dxa"/>
            <w:vAlign w:val="bottom"/>
          </w:tcPr>
          <w:p>
            <w:pPr>
              <w:jc w:val="right"/>
              <w:ind w:right="350"/>
              <w:spacing w:after="0"/>
              <w:rPr>
                <w:sz w:val="20"/>
                <w:szCs w:val="20"/>
                <w:color w:val="auto"/>
              </w:rPr>
            </w:pPr>
            <w:r>
              <w:rPr>
                <w:rFonts w:ascii="Arial" w:cs="Arial" w:eastAsia="Arial" w:hAnsi="Arial"/>
                <w:sz w:val="13"/>
                <w:szCs w:val="13"/>
                <w:b w:val="1"/>
                <w:bCs w:val="1"/>
                <w:color w:val="auto"/>
              </w:rPr>
              <w:t>31,</w:t>
            </w: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January 14,</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ended March 31,</w:t>
            </w:r>
          </w:p>
        </w:tc>
        <w:tc>
          <w:tcPr>
            <w:tcW w:w="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6"/>
              </w:rPr>
              <w:t>Change</w:t>
            </w:r>
          </w:p>
        </w:tc>
        <w:tc>
          <w:tcPr>
            <w:tcW w:w="200" w:type="dxa"/>
            <w:vAlign w:val="bottom"/>
            <w:vMerge w:val="restart"/>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2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0"/>
              <w:spacing w:after="0" w:line="134" w:lineRule="exact"/>
              <w:rPr>
                <w:sz w:val="20"/>
                <w:szCs w:val="20"/>
                <w:color w:val="auto"/>
              </w:rPr>
            </w:pPr>
            <w:r>
              <w:rPr>
                <w:rFonts w:ascii="Arial" w:cs="Arial" w:eastAsia="Arial" w:hAnsi="Arial"/>
                <w:sz w:val="13"/>
                <w:szCs w:val="13"/>
                <w:b w:val="1"/>
                <w:bCs w:val="1"/>
                <w:color w:val="auto"/>
              </w:rPr>
              <w:t>2026</w:t>
            </w:r>
          </w:p>
        </w:tc>
        <w:tc>
          <w:tcPr>
            <w:tcW w:w="3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0"/>
              <w:spacing w:after="0" w:line="134" w:lineRule="exact"/>
              <w:rPr>
                <w:sz w:val="20"/>
                <w:szCs w:val="20"/>
                <w:color w:val="auto"/>
              </w:rPr>
            </w:pPr>
            <w:r>
              <w:rPr>
                <w:rFonts w:ascii="Arial" w:cs="Arial" w:eastAsia="Arial" w:hAnsi="Arial"/>
                <w:sz w:val="13"/>
                <w:szCs w:val="13"/>
                <w:b w:val="1"/>
                <w:bCs w:val="1"/>
                <w:color w:val="auto"/>
              </w:rPr>
              <w:t>2025</w:t>
            </w:r>
          </w:p>
        </w:tc>
        <w:tc>
          <w:tcPr>
            <w:tcW w:w="2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50"/>
              <w:spacing w:after="0" w:line="134" w:lineRule="exact"/>
              <w:rPr>
                <w:sz w:val="20"/>
                <w:szCs w:val="20"/>
                <w:color w:val="auto"/>
              </w:rPr>
            </w:pPr>
            <w:r>
              <w:rPr>
                <w:rFonts w:ascii="Arial" w:cs="Arial" w:eastAsia="Arial" w:hAnsi="Arial"/>
                <w:sz w:val="13"/>
                <w:szCs w:val="13"/>
                <w:b w:val="1"/>
                <w:bCs w:val="1"/>
                <w:color w:val="auto"/>
                <w:w w:val="96"/>
              </w:rPr>
              <w:t>2025</w:t>
            </w:r>
          </w:p>
        </w:tc>
        <w:tc>
          <w:tcPr>
            <w:tcW w:w="2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center"/>
              <w:ind w:right="50"/>
              <w:spacing w:after="0" w:line="134" w:lineRule="exact"/>
              <w:rPr>
                <w:sz w:val="20"/>
                <w:szCs w:val="20"/>
                <w:color w:val="auto"/>
              </w:rPr>
            </w:pPr>
            <w:r>
              <w:rPr>
                <w:rFonts w:ascii="Arial" w:cs="Arial" w:eastAsia="Arial" w:hAnsi="Arial"/>
                <w:sz w:val="13"/>
                <w:szCs w:val="13"/>
                <w:b w:val="1"/>
                <w:bCs w:val="1"/>
                <w:color w:val="auto"/>
                <w:w w:val="96"/>
              </w:rPr>
              <w:t>2025</w:t>
            </w:r>
          </w:p>
        </w:tc>
        <w:tc>
          <w:tcPr>
            <w:tcW w:w="24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w w:val="95"/>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2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42,476</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37,157</w:t>
            </w: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7,183</w:t>
            </w:r>
          </w:p>
        </w:tc>
        <w:tc>
          <w:tcPr>
            <w:tcW w:w="2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44,340</w:t>
            </w:r>
          </w:p>
        </w:tc>
        <w:tc>
          <w:tcPr>
            <w:tcW w:w="24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(1,864)</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Warehouse credit facility</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3,439</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4,618</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(2,196)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Securitization debt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8,620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6,548</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7,726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894</w:t>
            </w:r>
          </w:p>
        </w:tc>
        <w:tc>
          <w:tcPr>
            <w:tcW w:w="2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interest expense</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12,059</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11,166</w:t>
            </w:r>
          </w:p>
        </w:tc>
        <w:tc>
          <w:tcPr>
            <w:tcW w:w="2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2,195</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13,361</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(1,302)</w:t>
            </w:r>
          </w:p>
        </w:tc>
        <w:tc>
          <w:tcPr>
            <w:tcW w:w="114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00" w:type="dxa"/>
            <w:vAlign w:val="bottom"/>
          </w:tcPr>
          <w:p>
            <w:pPr>
              <w:spacing w:after="0" w:line="157" w:lineRule="exact"/>
              <w:rPr>
                <w:sz w:val="20"/>
                <w:szCs w:val="20"/>
                <w:color w:val="auto"/>
              </w:rPr>
            </w:pPr>
            <w:r>
              <w:rPr>
                <w:rFonts w:ascii="Arial" w:cs="Arial" w:eastAsia="Arial" w:hAnsi="Arial"/>
                <w:sz w:val="14"/>
                <w:szCs w:val="14"/>
                <w:color w:val="auto"/>
              </w:rPr>
              <w:t>Net interest income</w:t>
            </w: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30,417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25,991</w:t>
            </w: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4,988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30,979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(562)</w:t>
            </w: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Realized and unrealized losses, net of recoveries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24,683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11,100</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6,792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17,892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6,791</w:t>
            </w:r>
          </w:p>
        </w:tc>
        <w:tc>
          <w:tcPr>
            <w:tcW w:w="2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 (loss) after losses and recoveries</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5,734</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14,891</w:t>
            </w:r>
          </w:p>
        </w:tc>
        <w:tc>
          <w:tcPr>
            <w:tcW w:w="2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(1,804)</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13,087</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(7,353)</w:t>
            </w:r>
          </w:p>
        </w:tc>
        <w:tc>
          <w:tcPr>
            <w:tcW w:w="114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9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CFF0FC"/>
              <w:right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Noninterest income:</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Servicing income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1,254</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(307)</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Warranties and GAP income, net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2,686</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4,079</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(1,700)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CarStory revenue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2,392</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(1,491)</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2,481</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(553)</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00" w:type="dxa"/>
            <w:vAlign w:val="bottom"/>
          </w:tcPr>
          <w:p>
            <w:pPr>
              <w:spacing w:after="0" w:line="157" w:lineRule="exact"/>
              <w:rPr>
                <w:sz w:val="20"/>
                <w:szCs w:val="20"/>
                <w:color w:val="auto"/>
              </w:rPr>
            </w:pPr>
            <w:r>
              <w:rPr>
                <w:rFonts w:ascii="Arial" w:cs="Arial" w:eastAsia="Arial" w:hAnsi="Arial"/>
                <w:sz w:val="14"/>
                <w:szCs w:val="14"/>
                <w:color w:val="auto"/>
              </w:rPr>
              <w:t>Total noninterest income</w:t>
            </w: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7,199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10,206</w:t>
            </w: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1,044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11,250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(4,051)</w:t>
            </w: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Expenses: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Compensation and benefits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19,146</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16,067</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18,890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Professional fees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4,520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5,347</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5,644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(1,124)</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Software and IT costs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2,402</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575</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(292)</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on corporate debt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Impairment charges</w:t>
            </w:r>
          </w:p>
        </w:tc>
        <w:tc>
          <w:tcPr>
            <w:tcW w:w="2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4,156</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(4,156)</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2,408</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2,370</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2,741</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(333)</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0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31,787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31,397</w:t>
            </w: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5,181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36,578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(4,791)</w:t>
            </w: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90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900" w:type="dxa"/>
            <w:vAlign w:val="bottom"/>
          </w:tcPr>
          <w:p>
            <w:pPr>
              <w:spacing w:after="0" w:line="153" w:lineRule="exact"/>
              <w:rPr>
                <w:sz w:val="20"/>
                <w:szCs w:val="20"/>
                <w:color w:val="auto"/>
              </w:rPr>
            </w:pPr>
            <w:r>
              <w:rPr>
                <w:rFonts w:ascii="Arial" w:cs="Arial" w:eastAsia="Arial" w:hAnsi="Arial"/>
                <w:sz w:val="14"/>
                <w:szCs w:val="14"/>
                <w:color w:val="auto"/>
              </w:rPr>
              <w:t>Loss from continuing operations before reorganization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920" w:type="dxa"/>
            <w:vAlign w:val="bottom"/>
            <w:gridSpan w:val="2"/>
          </w:tcPr>
          <w:p>
            <w:pPr>
              <w:spacing w:after="0"/>
              <w:rPr>
                <w:sz w:val="20"/>
                <w:szCs w:val="20"/>
                <w:color w:val="auto"/>
              </w:rPr>
            </w:pPr>
            <w:r>
              <w:rPr>
                <w:rFonts w:ascii="Arial" w:cs="Arial" w:eastAsia="Arial" w:hAnsi="Arial"/>
                <w:sz w:val="14"/>
                <w:szCs w:val="14"/>
                <w:color w:val="auto"/>
              </w:rPr>
              <w:t>items and provision for income taxes</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(18,854)</w:t>
            </w:r>
          </w:p>
        </w:tc>
        <w:tc>
          <w:tcPr>
            <w:tcW w:w="100" w:type="dxa"/>
            <w:vAlign w:val="bottom"/>
          </w:tcPr>
          <w:p>
            <w:pPr>
              <w:spacing w:after="0"/>
              <w:rPr>
                <w:sz w:val="15"/>
                <w:szCs w:val="15"/>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(6,300)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(12,241)</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(6,613)</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Reorganization items, net</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51,036</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51,036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(51,036)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tcPr>
          <w:p>
            <w:pPr>
              <w:spacing w:after="0" w:line="153" w:lineRule="exact"/>
              <w:rPr>
                <w:sz w:val="20"/>
                <w:szCs w:val="20"/>
                <w:color w:val="auto"/>
              </w:rPr>
            </w:pPr>
            <w:r>
              <w:rPr>
                <w:rFonts w:ascii="Arial" w:cs="Arial" w:eastAsia="Arial" w:hAnsi="Arial"/>
                <w:sz w:val="14"/>
                <w:szCs w:val="14"/>
                <w:color w:val="auto"/>
              </w:rPr>
              <w:t>(Loss) income from continuing operations before provision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920" w:type="dxa"/>
            <w:vAlign w:val="bottom"/>
            <w:gridSpan w:val="2"/>
          </w:tcPr>
          <w:p>
            <w:pPr>
              <w:spacing w:after="0"/>
              <w:rPr>
                <w:sz w:val="20"/>
                <w:szCs w:val="20"/>
                <w:color w:val="auto"/>
              </w:rPr>
            </w:pPr>
            <w:r>
              <w:rPr>
                <w:rFonts w:ascii="Arial" w:cs="Arial" w:eastAsia="Arial" w:hAnsi="Arial"/>
                <w:sz w:val="14"/>
                <w:szCs w:val="14"/>
                <w:color w:val="auto"/>
              </w:rPr>
              <w:t>for income taxes</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(18,854)</w:t>
            </w:r>
          </w:p>
        </w:tc>
        <w:tc>
          <w:tcPr>
            <w:tcW w:w="100" w:type="dxa"/>
            <w:vAlign w:val="bottom"/>
          </w:tcPr>
          <w:p>
            <w:pPr>
              <w:spacing w:after="0"/>
              <w:rPr>
                <w:sz w:val="15"/>
                <w:szCs w:val="15"/>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(6,300)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45,095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38,795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(57,649)</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00" w:type="dxa"/>
            <w:vAlign w:val="bottom"/>
          </w:tcPr>
          <w:p>
            <w:pPr>
              <w:spacing w:after="0" w:line="157" w:lineRule="exact"/>
              <w:rPr>
                <w:sz w:val="20"/>
                <w:szCs w:val="20"/>
                <w:color w:val="auto"/>
              </w:rPr>
            </w:pPr>
            <w:r>
              <w:rPr>
                <w:rFonts w:ascii="Arial" w:cs="Arial" w:eastAsia="Arial" w:hAnsi="Arial"/>
                <w:sz w:val="14"/>
                <w:szCs w:val="14"/>
                <w:color w:val="auto"/>
              </w:rPr>
              <w:t>Net (loss) income from continuing operations</w:t>
            </w:r>
          </w:p>
        </w:tc>
        <w:tc>
          <w:tcPr>
            <w:tcW w:w="2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(19,046)</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(6,450)</w:t>
            </w:r>
          </w:p>
        </w:tc>
        <w:tc>
          <w:tcPr>
            <w:tcW w:w="16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45,090</w:t>
            </w:r>
          </w:p>
        </w:tc>
        <w:tc>
          <w:tcPr>
            <w:tcW w:w="260" w:type="dxa"/>
            <w:vAlign w:val="bottom"/>
          </w:tcPr>
          <w:p>
            <w:pPr>
              <w:spacing w:after="0"/>
              <w:rPr>
                <w:sz w:val="13"/>
                <w:szCs w:val="13"/>
                <w:color w:val="auto"/>
              </w:rPr>
            </w:pPr>
          </w:p>
        </w:tc>
        <w:tc>
          <w:tcPr>
            <w:tcW w:w="12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38,640</w:t>
            </w:r>
          </w:p>
        </w:tc>
        <w:tc>
          <w:tcPr>
            <w:tcW w:w="240" w:type="dxa"/>
            <w:vAlign w:val="bottom"/>
          </w:tcPr>
          <w:p>
            <w:pPr>
              <w:spacing w:after="0"/>
              <w:rPr>
                <w:sz w:val="13"/>
                <w:szCs w:val="13"/>
                <w:color w:val="auto"/>
              </w:rPr>
            </w:pPr>
          </w:p>
        </w:tc>
        <w:tc>
          <w:tcPr>
            <w:tcW w:w="220" w:type="dxa"/>
            <w:vAlign w:val="bottom"/>
          </w:tcPr>
          <w:p>
            <w:pPr>
              <w:jc w:val="right"/>
              <w:ind w:right="71"/>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(57,686)</w:t>
            </w: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(loss) income from discontinued operations</w:t>
            </w:r>
          </w:p>
        </w:tc>
        <w:tc>
          <w:tcPr>
            <w:tcW w:w="22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240"/>
              <w:spacing w:after="0" w:line="141" w:lineRule="exact"/>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99</w:t>
            </w:r>
          </w:p>
        </w:tc>
        <w:tc>
          <w:tcPr>
            <w:tcW w:w="260" w:type="dxa"/>
            <w:vAlign w:val="bottom"/>
            <w:tcBorders>
              <w:right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20"/>
              <w:spacing w:after="0" w:line="141" w:lineRule="exact"/>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95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1"/>
              <w:spacing w:after="0" w:line="141"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60"/>
              <w:spacing w:after="0" w:line="141" w:lineRule="exact"/>
              <w:rPr>
                <w:sz w:val="20"/>
                <w:szCs w:val="20"/>
                <w:color w:val="auto"/>
              </w:rPr>
            </w:pPr>
            <w:r>
              <w:rPr>
                <w:rFonts w:ascii="Arial" w:cs="Arial" w:eastAsia="Arial" w:hAnsi="Arial"/>
                <w:sz w:val="14"/>
                <w:szCs w:val="14"/>
                <w:color w:val="auto"/>
              </w:rPr>
              <w:t>(107)</w:t>
            </w:r>
          </w:p>
        </w:tc>
        <w:tc>
          <w:tcPr>
            <w:tcW w:w="1140" w:type="dxa"/>
            <w:vAlign w:val="bottom"/>
            <w:gridSpan w:val="2"/>
            <w:shd w:val="clear" w:color="auto" w:fill="CFF0FC"/>
          </w:tcPr>
          <w:p>
            <w:pPr>
              <w:jc w:val="right"/>
              <w:ind w:right="20"/>
              <w:spacing w:after="0" w:line="141" w:lineRule="exact"/>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color w:val="auto"/>
              </w:rPr>
              <w:t>Net (loss) income</w:t>
            </w:r>
          </w:p>
        </w:tc>
        <w:tc>
          <w:tcPr>
            <w:tcW w:w="22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41" w:lineRule="exact"/>
              <w:rPr>
                <w:sz w:val="20"/>
                <w:szCs w:val="20"/>
                <w:color w:val="auto"/>
              </w:rPr>
            </w:pPr>
            <w:r>
              <w:rPr>
                <w:rFonts w:ascii="Arial" w:cs="Arial" w:eastAsia="Arial" w:hAnsi="Arial"/>
                <w:sz w:val="14"/>
                <w:szCs w:val="14"/>
                <w:color w:val="auto"/>
              </w:rPr>
              <w:t>(19,058)</w:t>
            </w:r>
          </w:p>
        </w:tc>
        <w:tc>
          <w:tcPr>
            <w:tcW w:w="100" w:type="dxa"/>
            <w:vAlign w:val="bottom"/>
          </w:tcPr>
          <w:p>
            <w:pPr>
              <w:jc w:val="right"/>
              <w:spacing w:after="0" w:line="141" w:lineRule="exact"/>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color w:val="auto"/>
              </w:rPr>
              <w:t>(6,351)</w:t>
            </w:r>
          </w:p>
        </w:tc>
        <w:tc>
          <w:tcPr>
            <w:tcW w:w="160" w:type="dxa"/>
            <w:vAlign w:val="bottom"/>
          </w:tcPr>
          <w:p>
            <w:pPr>
              <w:spacing w:after="0"/>
              <w:rPr>
                <w:sz w:val="12"/>
                <w:szCs w:val="12"/>
                <w:color w:val="auto"/>
              </w:rPr>
            </w:pPr>
          </w:p>
        </w:tc>
        <w:tc>
          <w:tcPr>
            <w:tcW w:w="80" w:type="dxa"/>
            <w:vAlign w:val="bottom"/>
          </w:tcPr>
          <w:p>
            <w:pPr>
              <w:jc w:val="right"/>
              <w:spacing w:after="0" w:line="141"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45,086</w:t>
            </w:r>
          </w:p>
        </w:tc>
        <w:tc>
          <w:tcPr>
            <w:tcW w:w="26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1" w:lineRule="exact"/>
              <w:rPr>
                <w:sz w:val="20"/>
                <w:szCs w:val="20"/>
                <w:color w:val="auto"/>
              </w:rPr>
            </w:pPr>
            <w:r>
              <w:rPr>
                <w:rFonts w:ascii="Arial" w:cs="Arial" w:eastAsia="Arial" w:hAnsi="Arial"/>
                <w:sz w:val="14"/>
                <w:szCs w:val="14"/>
                <w:color w:val="auto"/>
              </w:rPr>
              <w:t>38,735</w:t>
            </w:r>
          </w:p>
        </w:tc>
        <w:tc>
          <w:tcPr>
            <w:tcW w:w="240" w:type="dxa"/>
            <w:vAlign w:val="bottom"/>
          </w:tcPr>
          <w:p>
            <w:pPr>
              <w:spacing w:after="0"/>
              <w:rPr>
                <w:sz w:val="12"/>
                <w:szCs w:val="12"/>
                <w:color w:val="auto"/>
              </w:rPr>
            </w:pPr>
          </w:p>
        </w:tc>
        <w:tc>
          <w:tcPr>
            <w:tcW w:w="220" w:type="dxa"/>
            <w:vAlign w:val="bottom"/>
          </w:tcPr>
          <w:p>
            <w:pPr>
              <w:jc w:val="right"/>
              <w:ind w:right="71"/>
              <w:spacing w:after="0" w:line="141"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(57,793)</w:t>
            </w:r>
          </w:p>
        </w:tc>
        <w:tc>
          <w:tcPr>
            <w:tcW w:w="114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shd w:val="clear" w:color="auto" w:fill="CFF0FC"/>
          </w:tcPr>
          <w:p>
            <w:pPr>
              <w:spacing w:after="0" w:line="129" w:lineRule="exact"/>
              <w:rPr>
                <w:sz w:val="20"/>
                <w:szCs w:val="20"/>
                <w:color w:val="auto"/>
              </w:rPr>
            </w:pPr>
            <w:r>
              <w:rPr>
                <w:rFonts w:ascii="Arial" w:cs="Arial" w:eastAsia="Arial" w:hAnsi="Arial"/>
                <w:sz w:val="14"/>
                <w:szCs w:val="14"/>
                <w:color w:val="auto"/>
              </w:rPr>
              <w:t>Preferred stock dividends attributable to noncontrolling</w:t>
            </w:r>
          </w:p>
        </w:tc>
        <w:tc>
          <w:tcPr>
            <w:tcW w:w="22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FF0FC"/>
          </w:tcPr>
          <w:p>
            <w:pPr>
              <w:spacing w:after="0"/>
              <w:rPr>
                <w:sz w:val="11"/>
                <w:szCs w:val="11"/>
                <w:color w:val="auto"/>
              </w:rPr>
            </w:pPr>
          </w:p>
        </w:tc>
        <w:tc>
          <w:tcPr>
            <w:tcW w:w="1160" w:type="dxa"/>
            <w:vAlign w:val="bottom"/>
            <w:tcBorders>
              <w:right w:val="single" w:sz="8" w:color="auto"/>
            </w:tcBorders>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1"/>
                <w:szCs w:val="11"/>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(571)</w:t>
            </w:r>
          </w:p>
        </w:tc>
        <w:tc>
          <w:tcPr>
            <w:tcW w:w="11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interests of subsidiary</w:t>
            </w:r>
          </w:p>
        </w:tc>
        <w:tc>
          <w:tcPr>
            <w:tcW w:w="22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tcBorders>
              <w:right w:val="single" w:sz="8" w:color="auto"/>
            </w:tcBorders>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3900" w:type="dxa"/>
            <w:vAlign w:val="bottom"/>
          </w:tcPr>
          <w:p>
            <w:pPr>
              <w:spacing w:after="0" w:line="145" w:lineRule="exact"/>
              <w:rPr>
                <w:sz w:val="20"/>
                <w:szCs w:val="20"/>
                <w:color w:val="auto"/>
              </w:rPr>
            </w:pPr>
            <w:r>
              <w:rPr>
                <w:rFonts w:ascii="Arial" w:cs="Arial" w:eastAsia="Arial" w:hAnsi="Arial"/>
                <w:sz w:val="14"/>
                <w:szCs w:val="14"/>
                <w:color w:val="auto"/>
              </w:rPr>
              <w:t>Net (loss) income attributable to controlling interest and</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(19,629)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4"/>
                <w:szCs w:val="14"/>
                <w:color w:val="auto"/>
              </w:rPr>
              <w:t>(6,351)</w:t>
            </w:r>
          </w:p>
        </w:tc>
        <w:tc>
          <w:tcPr>
            <w:tcW w:w="1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45,086</w:t>
            </w:r>
          </w:p>
        </w:tc>
        <w:tc>
          <w:tcPr>
            <w:tcW w:w="26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38,735</w:t>
            </w:r>
          </w:p>
        </w:tc>
        <w:tc>
          <w:tcPr>
            <w:tcW w:w="240" w:type="dxa"/>
            <w:vAlign w:val="bottom"/>
          </w:tcPr>
          <w:p>
            <w:pPr>
              <w:spacing w:after="0"/>
              <w:rPr>
                <w:sz w:val="12"/>
                <w:szCs w:val="12"/>
                <w:color w:val="auto"/>
              </w:rPr>
            </w:pPr>
          </w:p>
        </w:tc>
        <w:tc>
          <w:tcPr>
            <w:tcW w:w="220" w:type="dxa"/>
            <w:vAlign w:val="bottom"/>
            <w:vMerge w:val="restart"/>
          </w:tcPr>
          <w:p>
            <w:pPr>
              <w:jc w:val="right"/>
              <w:ind w:right="71"/>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(58,364)</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23" w:lineRule="exact"/>
              <w:rPr>
                <w:sz w:val="20"/>
                <w:szCs w:val="20"/>
                <w:color w:val="auto"/>
              </w:rPr>
            </w:pPr>
            <w:r>
              <w:rPr>
                <w:rFonts w:ascii="Arial" w:cs="Arial" w:eastAsia="Arial" w:hAnsi="Arial"/>
                <w:sz w:val="14"/>
                <w:szCs w:val="14"/>
                <w:color w:val="auto"/>
              </w:rPr>
              <w:t>common shareholders</w:t>
            </w:r>
          </w:p>
        </w:tc>
        <w:tc>
          <w:tcPr>
            <w:tcW w:w="2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6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-3799205</wp:posOffset>
            </wp:positionV>
            <wp:extent cx="74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-3799205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-3799205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-3799205</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-3799205</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-3799205</wp:posOffset>
            </wp:positionV>
            <wp:extent cx="1200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-3363595</wp:posOffset>
            </wp:positionV>
            <wp:extent cx="749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-3363595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-3363595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-3363595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-3363595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-3363595</wp:posOffset>
            </wp:positionV>
            <wp:extent cx="1200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-2725420</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-2725420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-2725420</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-2725420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-2725420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-2725420</wp:posOffset>
            </wp:positionV>
            <wp:extent cx="1200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-1666240</wp:posOffset>
            </wp:positionV>
            <wp:extent cx="749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-1666240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-1666240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-1666240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-1666240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-1666240</wp:posOffset>
            </wp:positionV>
            <wp:extent cx="1200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-810260</wp:posOffset>
            </wp:positionV>
            <wp:extent cx="749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-810260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-810260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-810260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-810260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-810260</wp:posOffset>
            </wp:positionV>
            <wp:extent cx="12001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-570230</wp:posOffset>
            </wp:positionV>
            <wp:extent cx="749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-554990</wp:posOffset>
            </wp:positionV>
            <wp:extent cx="749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-570230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-554990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-570230</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-554990</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-570230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-554990</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-570230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-554990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-570230</wp:posOffset>
            </wp:positionV>
            <wp:extent cx="12001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-554990</wp:posOffset>
            </wp:positionV>
            <wp:extent cx="12001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-217170</wp:posOffset>
            </wp:positionV>
            <wp:extent cx="749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-217170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-217170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-217170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-217170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-217170</wp:posOffset>
            </wp:positionV>
            <wp:extent cx="12001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76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Results by Segment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UACC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vMerge w:val="restart"/>
          </w:tcPr>
          <w:p>
            <w:pPr>
              <w:ind w:left="840"/>
              <w:spacing w:after="0"/>
              <w:rPr>
                <w:sz w:val="20"/>
                <w:szCs w:val="20"/>
                <w:color w:val="auto"/>
              </w:rPr>
            </w:pPr>
            <w:r>
              <w:rPr>
                <w:rFonts w:ascii="Arial" w:cs="Arial" w:eastAsia="Arial" w:hAnsi="Arial"/>
                <w:sz w:val="12"/>
                <w:szCs w:val="12"/>
                <w:b w:val="1"/>
                <w:bCs w:val="1"/>
                <w:color w:val="auto"/>
              </w:rPr>
              <w:t>Successor</w:t>
            </w:r>
          </w:p>
        </w:tc>
        <w:tc>
          <w:tcPr>
            <w:tcW w:w="10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auto"/>
                <w:w w:val="97"/>
              </w:rPr>
              <w:t>Predecessor</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Non-GAAP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2"/>
                <w:szCs w:val="12"/>
                <w:b w:val="1"/>
                <w:bCs w:val="1"/>
                <w:color w:val="auto"/>
                <w:w w:val="96"/>
              </w:rPr>
              <w:t>Non-GAAP</w:t>
            </w:r>
          </w:p>
        </w:tc>
        <w:tc>
          <w:tcPr>
            <w:tcW w:w="240" w:type="dxa"/>
            <w:vAlign w:val="bottom"/>
            <w:vMerge w:val="restart"/>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Non-GAAP</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8"/>
              </w:rPr>
              <w:t>Combined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right w:val="single" w:sz="8" w:color="auto"/>
            </w:tcBorders>
            <w:gridSpan w:val="4"/>
            <w:vMerge w:val="restart"/>
          </w:tcPr>
          <w:p>
            <w:pPr>
              <w:ind w:left="140"/>
              <w:spacing w:after="0"/>
              <w:rPr>
                <w:sz w:val="20"/>
                <w:szCs w:val="20"/>
                <w:color w:val="auto"/>
              </w:rPr>
            </w:pPr>
            <w:r>
              <w:rPr>
                <w:rFonts w:ascii="Arial" w:cs="Arial" w:eastAsia="Arial" w:hAnsi="Arial"/>
                <w:sz w:val="12"/>
                <w:szCs w:val="12"/>
                <w:b w:val="1"/>
                <w:bCs w:val="1"/>
                <w:color w:val="auto"/>
              </w:rPr>
              <w:t>Period from January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52"/>
              <w:spacing w:after="0" w:line="110" w:lineRule="exact"/>
              <w:rPr>
                <w:sz w:val="20"/>
                <w:szCs w:val="20"/>
                <w:color w:val="auto"/>
              </w:rPr>
            </w:pPr>
            <w:r>
              <w:rPr>
                <w:rFonts w:ascii="Arial" w:cs="Arial" w:eastAsia="Arial" w:hAnsi="Arial"/>
                <w:sz w:val="12"/>
                <w:szCs w:val="12"/>
                <w:b w:val="1"/>
                <w:bCs w:val="1"/>
                <w:color w:val="auto"/>
                <w:w w:val="97"/>
              </w:rPr>
              <w:t>Period from</w:t>
            </w:r>
          </w:p>
        </w:tc>
        <w:tc>
          <w:tcPr>
            <w:tcW w:w="220" w:type="dxa"/>
            <w:vAlign w:val="bottom"/>
          </w:tcPr>
          <w:p>
            <w:pPr>
              <w:spacing w:after="0"/>
              <w:rPr>
                <w:sz w:val="9"/>
                <w:szCs w:val="9"/>
                <w:color w:val="auto"/>
              </w:rPr>
            </w:pP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98"/>
              </w:rPr>
              <w:t>Three months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Three months ended</w:t>
            </w:r>
          </w:p>
        </w:tc>
        <w:tc>
          <w:tcPr>
            <w:tcW w:w="1540" w:type="dxa"/>
            <w:vAlign w:val="bottom"/>
            <w:tcBorders>
              <w:right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w w:val="96"/>
              </w:rPr>
              <w:t>January 1</w:t>
            </w: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right w:val="single" w:sz="8" w:color="auto"/>
            </w:tcBorders>
            <w:gridSpan w:val="3"/>
          </w:tcPr>
          <w:p>
            <w:pPr>
              <w:jc w:val="right"/>
              <w:ind w:right="340"/>
              <w:spacing w:after="0" w:line="130" w:lineRule="exact"/>
              <w:rPr>
                <w:sz w:val="20"/>
                <w:szCs w:val="20"/>
                <w:color w:val="auto"/>
              </w:rPr>
            </w:pPr>
            <w:r>
              <w:rPr>
                <w:rFonts w:ascii="Arial" w:cs="Arial" w:eastAsia="Arial" w:hAnsi="Arial"/>
                <w:sz w:val="12"/>
                <w:szCs w:val="12"/>
                <w:b w:val="1"/>
                <w:bCs w:val="1"/>
                <w:color w:val="auto"/>
              </w:rPr>
              <w:t>15 through March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rPr>
              <w:t>through</w:t>
            </w:r>
          </w:p>
        </w:tc>
        <w:tc>
          <w:tcPr>
            <w:tcW w:w="10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9"/>
              </w:rPr>
              <w:t>ended March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450"/>
              <w:spacing w:after="0"/>
              <w:rPr>
                <w:sz w:val="20"/>
                <w:szCs w:val="20"/>
                <w:color w:val="auto"/>
              </w:rPr>
            </w:pPr>
            <w:r>
              <w:rPr>
                <w:rFonts w:ascii="Arial" w:cs="Arial" w:eastAsia="Arial" w:hAnsi="Arial"/>
                <w:sz w:val="12"/>
                <w:szCs w:val="12"/>
                <w:b w:val="1"/>
                <w:bCs w:val="1"/>
                <w:color w:val="auto"/>
              </w:rPr>
              <w:t>31,</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January 14,</w:t>
            </w:r>
          </w:p>
        </w:tc>
        <w:tc>
          <w:tcPr>
            <w:tcW w:w="100" w:type="dxa"/>
            <w:vAlign w:val="bottom"/>
          </w:tcPr>
          <w:p>
            <w:pPr>
              <w:spacing w:after="0"/>
              <w:rPr>
                <w:sz w:val="12"/>
                <w:szCs w:val="12"/>
                <w:color w:val="auto"/>
              </w:rPr>
            </w:pPr>
          </w:p>
        </w:tc>
        <w:tc>
          <w:tcPr>
            <w:tcW w:w="800" w:type="dxa"/>
            <w:vAlign w:val="bottom"/>
          </w:tcPr>
          <w:p>
            <w:pPr>
              <w:jc w:val="right"/>
              <w:ind w:right="311"/>
              <w:spacing w:after="0"/>
              <w:rPr>
                <w:sz w:val="20"/>
                <w:szCs w:val="20"/>
                <w:color w:val="auto"/>
              </w:rPr>
            </w:pPr>
            <w:r>
              <w:rPr>
                <w:rFonts w:ascii="Arial" w:cs="Arial" w:eastAsia="Arial" w:hAnsi="Arial"/>
                <w:sz w:val="12"/>
                <w:szCs w:val="12"/>
                <w:b w:val="1"/>
                <w:bCs w:val="1"/>
                <w:color w:val="auto"/>
              </w:rPr>
              <w:t>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Change</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411"/>
              <w:spacing w:after="0" w:line="110" w:lineRule="exact"/>
              <w:rPr>
                <w:sz w:val="20"/>
                <w:szCs w:val="20"/>
                <w:color w:val="auto"/>
              </w:rPr>
            </w:pPr>
            <w:r>
              <w:rPr>
                <w:rFonts w:ascii="Arial" w:cs="Arial" w:eastAsia="Arial" w:hAnsi="Arial"/>
                <w:sz w:val="11"/>
                <w:szCs w:val="11"/>
                <w:b w:val="1"/>
                <w:bCs w:val="1"/>
                <w:color w:val="auto"/>
              </w:rPr>
              <w:t>2026</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410"/>
              <w:spacing w:after="0" w:line="110" w:lineRule="exact"/>
              <w:rPr>
                <w:sz w:val="20"/>
                <w:szCs w:val="20"/>
                <w:color w:val="auto"/>
              </w:rPr>
            </w:pPr>
            <w:r>
              <w:rPr>
                <w:rFonts w:ascii="Arial" w:cs="Arial" w:eastAsia="Arial" w:hAnsi="Arial"/>
                <w:sz w:val="11"/>
                <w:szCs w:val="11"/>
                <w:b w:val="1"/>
                <w:bCs w:val="1"/>
                <w:color w:val="auto"/>
              </w:rPr>
              <w:t>2025</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32"/>
              <w:spacing w:after="0" w:line="110" w:lineRule="exact"/>
              <w:rPr>
                <w:sz w:val="20"/>
                <w:szCs w:val="20"/>
                <w:color w:val="auto"/>
              </w:rPr>
            </w:pPr>
            <w:r>
              <w:rPr>
                <w:rFonts w:ascii="Arial" w:cs="Arial" w:eastAsia="Arial" w:hAnsi="Arial"/>
                <w:sz w:val="11"/>
                <w:szCs w:val="11"/>
                <w:b w:val="1"/>
                <w:bCs w:val="1"/>
                <w:color w:val="auto"/>
                <w:w w:val="97"/>
              </w:rPr>
              <w:t>2025</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271"/>
              <w:spacing w:after="0" w:line="110" w:lineRule="exact"/>
              <w:rPr>
                <w:sz w:val="20"/>
                <w:szCs w:val="20"/>
                <w:color w:val="auto"/>
              </w:rPr>
            </w:pPr>
            <w:r>
              <w:rPr>
                <w:rFonts w:ascii="Arial" w:cs="Arial" w:eastAsia="Arial" w:hAnsi="Arial"/>
                <w:sz w:val="11"/>
                <w:szCs w:val="11"/>
                <w:b w:val="1"/>
                <w:bCs w:val="1"/>
                <w:color w:val="auto"/>
              </w:rPr>
              <w:t>2025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42,476</w:t>
            </w:r>
          </w:p>
        </w:tc>
        <w:tc>
          <w:tcPr>
            <w:tcW w:w="18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37,157</w:t>
            </w:r>
          </w:p>
        </w:tc>
        <w:tc>
          <w:tcPr>
            <w:tcW w:w="220" w:type="dxa"/>
            <w:vAlign w:val="bottom"/>
            <w:tcBorders>
              <w:right w:val="single" w:sz="8" w:color="auto"/>
            </w:tcBorders>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44,411</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(1,935)</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Warehouse credit facility</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3,439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4,618</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(2,196)</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Securitization debt</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6,548</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12,059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11,166</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2,195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13,361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(1,302)</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30,417</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25,991</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5,059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31,050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(633)</w:t>
            </w:r>
          </w:p>
        </w:tc>
        <w:tc>
          <w:tcPr>
            <w:tcW w:w="1080" w:type="dxa"/>
            <w:vAlign w:val="bottom"/>
            <w:gridSpan w:val="2"/>
            <w:shd w:val="clear" w:color="auto" w:fill="CFF0FC"/>
          </w:tcPr>
          <w:p>
            <w:pPr>
              <w:jc w:val="right"/>
              <w:ind w:right="40"/>
              <w:spacing w:after="0" w:line="157"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net of recoveries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24,823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12,691</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20,338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4,485</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Net interest income (loss) after losses and recoveries</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5,594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13,300</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(2,588)</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10,712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(5,118)</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Noninterest income: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Servicing income</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(307)</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Warranties and GAP income, net</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2,765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3,571</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(1,196)</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2,235</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(294)</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Total noninterest income</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5,911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7,060</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648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7,708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(1,797)</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16,737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13,694</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3,364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3,069</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w:t>
            </w:r>
          </w:p>
        </w:tc>
        <w:tc>
          <w:tcPr>
            <w:tcW w:w="2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Software and IT costs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2,086</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479</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(61)</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on corporate debt</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3,479</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(3,479)</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1,670</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27,029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24,957</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4,101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29,058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(2,029)</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Provision for income taxes from continuing operations</w:t>
            </w: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(39)</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860" w:type="dxa"/>
            <w:vAlign w:val="bottom"/>
          </w:tcPr>
          <w:p>
            <w:pPr>
              <w:spacing w:after="0" w:line="153" w:lineRule="exact"/>
              <w:rPr>
                <w:sz w:val="20"/>
                <w:szCs w:val="20"/>
                <w:color w:val="auto"/>
              </w:rPr>
            </w:pPr>
            <w:r>
              <w:rPr>
                <w:rFonts w:ascii="Arial" w:cs="Arial" w:eastAsia="Arial" w:hAnsi="Arial"/>
                <w:sz w:val="14"/>
                <w:szCs w:val="14"/>
                <w:color w:val="auto"/>
              </w:rPr>
              <w:t>Preferred stock dividends attributable to noncontrolling</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80" w:type="dxa"/>
            <w:vAlign w:val="bottom"/>
            <w:gridSpan w:val="2"/>
          </w:tcPr>
          <w:p>
            <w:pPr>
              <w:spacing w:after="0"/>
              <w:rPr>
                <w:sz w:val="20"/>
                <w:szCs w:val="20"/>
                <w:color w:val="auto"/>
              </w:rPr>
            </w:pPr>
            <w:r>
              <w:rPr>
                <w:rFonts w:ascii="Arial" w:cs="Arial" w:eastAsia="Arial" w:hAnsi="Arial"/>
                <w:sz w:val="14"/>
                <w:szCs w:val="14"/>
                <w:color w:val="auto"/>
              </w:rPr>
              <w:t>interests of subsidiary</w:t>
            </w:r>
          </w:p>
        </w:tc>
        <w:tc>
          <w:tcPr>
            <w:tcW w:w="2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(571)</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Adjusted net loss</w:t>
            </w:r>
          </w:p>
        </w:tc>
        <w:tc>
          <w:tcPr>
            <w:tcW w:w="2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(14,976)</w:t>
            </w:r>
          </w:p>
        </w:tc>
        <w:tc>
          <w:tcPr>
            <w:tcW w:w="30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(834)</w:t>
            </w: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(5,910)</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(6,744)</w:t>
            </w:r>
          </w:p>
        </w:tc>
        <w:tc>
          <w:tcPr>
            <w:tcW w:w="1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(8,232)</w:t>
            </w: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1,118</w:t>
            </w:r>
          </w:p>
        </w:tc>
        <w:tc>
          <w:tcPr>
            <w:tcW w:w="180" w:type="dxa"/>
            <w:vAlign w:val="bottom"/>
          </w:tcPr>
          <w:p>
            <w:pPr>
              <w:spacing w:after="0"/>
              <w:rPr>
                <w:sz w:val="14"/>
                <w:szCs w:val="14"/>
                <w:color w:val="auto"/>
              </w:rPr>
            </w:pP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302</w:t>
            </w:r>
          </w:p>
        </w:tc>
        <w:tc>
          <w:tcPr>
            <w:tcW w:w="220" w:type="dxa"/>
            <w:vAlign w:val="bottom"/>
            <w:tcBorders>
              <w:right w:val="single" w:sz="8" w:color="auto"/>
            </w:tcBorders>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429</w:t>
            </w:r>
          </w:p>
        </w:tc>
        <w:tc>
          <w:tcPr>
            <w:tcW w:w="1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689</w:t>
            </w:r>
          </w:p>
        </w:tc>
        <w:tc>
          <w:tcPr>
            <w:tcW w:w="2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Severance</w:t>
            </w: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right w:val="single" w:sz="8" w:color="auto"/>
            </w:tcBorders>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-3333750</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-3333750</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-3333750</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-3333750</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-3333750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-3333750</wp:posOffset>
            </wp:positionV>
            <wp:extent cx="12763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-2898140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-2898140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-2898140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-2898140</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-2898140</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-2898140</wp:posOffset>
            </wp:positionV>
            <wp:extent cx="1276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-2252345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-2252345</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-2252345</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-2252345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-2252345</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-2252345</wp:posOffset>
            </wp:positionV>
            <wp:extent cx="1276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-1186180</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-1186180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-1186180</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-1186180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-1186180</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-1186180</wp:posOffset>
            </wp:positionV>
            <wp:extent cx="1276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-434975</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-434975</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-434975</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-434975</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-434975</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-434975</wp:posOffset>
            </wp:positionV>
            <wp:extent cx="12763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CarStory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vMerge w:val="restart"/>
          </w:tcPr>
          <w:p>
            <w:pPr>
              <w:ind w:left="840"/>
              <w:spacing w:after="0"/>
              <w:rPr>
                <w:sz w:val="20"/>
                <w:szCs w:val="20"/>
                <w:color w:val="auto"/>
              </w:rPr>
            </w:pPr>
            <w:r>
              <w:rPr>
                <w:rFonts w:ascii="Arial" w:cs="Arial" w:eastAsia="Arial" w:hAnsi="Arial"/>
                <w:sz w:val="12"/>
                <w:szCs w:val="12"/>
                <w:b w:val="1"/>
                <w:bCs w:val="1"/>
                <w:color w:val="auto"/>
              </w:rPr>
              <w:t>Successor</w:t>
            </w:r>
          </w:p>
        </w:tc>
        <w:tc>
          <w:tcPr>
            <w:tcW w:w="10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w w:val="97"/>
              </w:rPr>
              <w:t>Predecessor</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9"/>
              </w:rPr>
              <w:t>Non-GAAP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2"/>
                <w:szCs w:val="12"/>
                <w:b w:val="1"/>
                <w:bCs w:val="1"/>
                <w:color w:val="auto"/>
                <w:w w:val="96"/>
              </w:rPr>
              <w:t>Non-GAAP</w:t>
            </w:r>
          </w:p>
        </w:tc>
        <w:tc>
          <w:tcPr>
            <w:tcW w:w="240" w:type="dxa"/>
            <w:vAlign w:val="bottom"/>
            <w:vMerge w:val="restart"/>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rPr>
              <w:t>Non-GAAP</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8"/>
              </w:rPr>
              <w:t>Combined</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right w:val="single" w:sz="8" w:color="auto"/>
            </w:tcBorders>
            <w:gridSpan w:val="4"/>
            <w:vMerge w:val="restart"/>
          </w:tcPr>
          <w:p>
            <w:pPr>
              <w:ind w:left="140"/>
              <w:spacing w:after="0"/>
              <w:rPr>
                <w:sz w:val="20"/>
                <w:szCs w:val="20"/>
                <w:color w:val="auto"/>
              </w:rPr>
            </w:pPr>
            <w:r>
              <w:rPr>
                <w:rFonts w:ascii="Arial" w:cs="Arial" w:eastAsia="Arial" w:hAnsi="Arial"/>
                <w:sz w:val="12"/>
                <w:szCs w:val="12"/>
                <w:b w:val="1"/>
                <w:bCs w:val="1"/>
                <w:color w:val="auto"/>
              </w:rPr>
              <w:t>Period from January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53"/>
              <w:spacing w:after="0" w:line="110" w:lineRule="exact"/>
              <w:rPr>
                <w:sz w:val="20"/>
                <w:szCs w:val="20"/>
                <w:color w:val="auto"/>
              </w:rPr>
            </w:pPr>
            <w:r>
              <w:rPr>
                <w:rFonts w:ascii="Arial" w:cs="Arial" w:eastAsia="Arial" w:hAnsi="Arial"/>
                <w:sz w:val="12"/>
                <w:szCs w:val="12"/>
                <w:b w:val="1"/>
                <w:bCs w:val="1"/>
                <w:color w:val="auto"/>
                <w:w w:val="97"/>
              </w:rPr>
              <w:t>Period from</w:t>
            </w:r>
          </w:p>
        </w:tc>
        <w:tc>
          <w:tcPr>
            <w:tcW w:w="220" w:type="dxa"/>
            <w:vAlign w:val="bottom"/>
          </w:tcPr>
          <w:p>
            <w:pPr>
              <w:spacing w:after="0"/>
              <w:rPr>
                <w:sz w:val="9"/>
                <w:szCs w:val="9"/>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8"/>
              </w:rPr>
              <w:t>Three months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Three months ended</w:t>
            </w:r>
          </w:p>
        </w:tc>
        <w:tc>
          <w:tcPr>
            <w:tcW w:w="1540" w:type="dxa"/>
            <w:vAlign w:val="bottom"/>
            <w:tcBorders>
              <w:right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w w:val="96"/>
              </w:rPr>
              <w:t>January 1</w:t>
            </w: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right w:val="single" w:sz="8" w:color="auto"/>
            </w:tcBorders>
            <w:gridSpan w:val="3"/>
          </w:tcPr>
          <w:p>
            <w:pPr>
              <w:jc w:val="right"/>
              <w:ind w:right="340"/>
              <w:spacing w:after="0" w:line="130" w:lineRule="exact"/>
              <w:rPr>
                <w:sz w:val="20"/>
                <w:szCs w:val="20"/>
                <w:color w:val="auto"/>
              </w:rPr>
            </w:pPr>
            <w:r>
              <w:rPr>
                <w:rFonts w:ascii="Arial" w:cs="Arial" w:eastAsia="Arial" w:hAnsi="Arial"/>
                <w:sz w:val="12"/>
                <w:szCs w:val="12"/>
                <w:b w:val="1"/>
                <w:bCs w:val="1"/>
                <w:color w:val="auto"/>
              </w:rPr>
              <w:t>15 through March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rPr>
              <w:t>through</w:t>
            </w:r>
          </w:p>
        </w:tc>
        <w:tc>
          <w:tcPr>
            <w:tcW w:w="90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9"/>
              </w:rPr>
              <w:t>ended March</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451"/>
              <w:spacing w:after="0"/>
              <w:rPr>
                <w:sz w:val="20"/>
                <w:szCs w:val="20"/>
                <w:color w:val="auto"/>
              </w:rPr>
            </w:pPr>
            <w:r>
              <w:rPr>
                <w:rFonts w:ascii="Arial" w:cs="Arial" w:eastAsia="Arial" w:hAnsi="Arial"/>
                <w:sz w:val="12"/>
                <w:szCs w:val="12"/>
                <w:b w:val="1"/>
                <w:bCs w:val="1"/>
                <w:color w:val="auto"/>
              </w:rPr>
              <w:t>31,</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January 14,</w:t>
            </w:r>
          </w:p>
        </w:tc>
        <w:tc>
          <w:tcPr>
            <w:tcW w:w="100" w:type="dxa"/>
            <w:vAlign w:val="bottom"/>
          </w:tcPr>
          <w:p>
            <w:pPr>
              <w:spacing w:after="0"/>
              <w:rPr>
                <w:sz w:val="12"/>
                <w:szCs w:val="12"/>
                <w:color w:val="auto"/>
              </w:rPr>
            </w:pPr>
          </w:p>
        </w:tc>
        <w:tc>
          <w:tcPr>
            <w:tcW w:w="800" w:type="dxa"/>
            <w:vAlign w:val="bottom"/>
          </w:tcPr>
          <w:p>
            <w:pPr>
              <w:jc w:val="right"/>
              <w:ind w:right="312"/>
              <w:spacing w:after="0"/>
              <w:rPr>
                <w:sz w:val="20"/>
                <w:szCs w:val="20"/>
                <w:color w:val="auto"/>
              </w:rPr>
            </w:pPr>
            <w:r>
              <w:rPr>
                <w:rFonts w:ascii="Arial" w:cs="Arial" w:eastAsia="Arial" w:hAnsi="Arial"/>
                <w:sz w:val="12"/>
                <w:szCs w:val="12"/>
                <w:b w:val="1"/>
                <w:bCs w:val="1"/>
                <w:color w:val="auto"/>
              </w:rPr>
              <w:t>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Change</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412"/>
              <w:spacing w:after="0" w:line="110" w:lineRule="exact"/>
              <w:rPr>
                <w:sz w:val="20"/>
                <w:szCs w:val="20"/>
                <w:color w:val="auto"/>
              </w:rPr>
            </w:pPr>
            <w:r>
              <w:rPr>
                <w:rFonts w:ascii="Arial" w:cs="Arial" w:eastAsia="Arial" w:hAnsi="Arial"/>
                <w:sz w:val="11"/>
                <w:szCs w:val="11"/>
                <w:b w:val="1"/>
                <w:bCs w:val="1"/>
                <w:color w:val="auto"/>
              </w:rPr>
              <w:t>2026</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411"/>
              <w:spacing w:after="0" w:line="110" w:lineRule="exact"/>
              <w:rPr>
                <w:sz w:val="20"/>
                <w:szCs w:val="20"/>
                <w:color w:val="auto"/>
              </w:rPr>
            </w:pPr>
            <w:r>
              <w:rPr>
                <w:rFonts w:ascii="Arial" w:cs="Arial" w:eastAsia="Arial" w:hAnsi="Arial"/>
                <w:sz w:val="11"/>
                <w:szCs w:val="11"/>
                <w:b w:val="1"/>
                <w:bCs w:val="1"/>
                <w:color w:val="auto"/>
              </w:rPr>
              <w:t>2025</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33"/>
              <w:spacing w:after="0" w:line="110" w:lineRule="exact"/>
              <w:rPr>
                <w:sz w:val="20"/>
                <w:szCs w:val="20"/>
                <w:color w:val="auto"/>
              </w:rPr>
            </w:pPr>
            <w:r>
              <w:rPr>
                <w:rFonts w:ascii="Arial" w:cs="Arial" w:eastAsia="Arial" w:hAnsi="Arial"/>
                <w:sz w:val="11"/>
                <w:szCs w:val="11"/>
                <w:b w:val="1"/>
                <w:bCs w:val="1"/>
                <w:color w:val="auto"/>
                <w:w w:val="97"/>
              </w:rPr>
              <w:t>2025</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272"/>
              <w:spacing w:after="0" w:line="110" w:lineRule="exact"/>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Noninterest income:</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CarStory revenue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1,333</w:t>
            </w:r>
          </w:p>
        </w:tc>
        <w:tc>
          <w:tcPr>
            <w:tcW w:w="180" w:type="dxa"/>
            <w:vAlign w:val="bottom"/>
          </w:tcPr>
          <w:p>
            <w:pPr>
              <w:spacing w:after="0"/>
              <w:rPr>
                <w:sz w:val="14"/>
                <w:szCs w:val="14"/>
                <w:color w:val="auto"/>
              </w:rPr>
            </w:pP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2,392</w:t>
            </w:r>
          </w:p>
        </w:tc>
        <w:tc>
          <w:tcPr>
            <w:tcW w:w="220" w:type="dxa"/>
            <w:vAlign w:val="bottom"/>
            <w:tcBorders>
              <w:right w:val="single" w:sz="8" w:color="auto"/>
            </w:tcBorders>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2,824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(1,491)</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(41)</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Total noninterest income</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1,367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2,454</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445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2,899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(1,532)</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1,360</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(443)</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Software and IT costs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(231)</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(65)</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1,495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1,594</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2,195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(700)</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right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16</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right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Adjusted net income (loss)</w:t>
            </w:r>
          </w:p>
        </w:tc>
        <w:tc>
          <w:tcPr>
            <w:tcW w:w="2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(130)</w:t>
            </w:r>
          </w:p>
        </w:tc>
        <w:tc>
          <w:tcPr>
            <w:tcW w:w="30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839</w:t>
            </w:r>
          </w:p>
        </w:tc>
        <w:tc>
          <w:tcPr>
            <w:tcW w:w="220" w:type="dxa"/>
            <w:vAlign w:val="bottom"/>
            <w:tcBorders>
              <w:right w:val="single" w:sz="8" w:color="auto"/>
            </w:tcBorders>
          </w:tcPr>
          <w:p>
            <w:pPr>
              <w:spacing w:after="0"/>
              <w:rPr>
                <w:sz w:val="13"/>
                <w:szCs w:val="13"/>
                <w:color w:val="auto"/>
              </w:rPr>
            </w:pP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(153)</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686</w:t>
            </w:r>
          </w:p>
        </w:tc>
        <w:tc>
          <w:tcPr>
            <w:tcW w:w="3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(816)</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4"/>
                <w:szCs w:val="14"/>
                <w:color w:val="auto"/>
              </w:rPr>
            </w:pP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698.8%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-1636395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-1636395</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-1636395</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-1636395</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-1636395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-1636395</wp:posOffset>
            </wp:positionV>
            <wp:extent cx="12763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-780415</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-780415</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-780415</wp:posOffset>
            </wp:positionV>
            <wp:extent cx="67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-780415</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-780415</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-780415</wp:posOffset>
            </wp:positionV>
            <wp:extent cx="1276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-554990</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-554990</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-554990</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-554990</wp:posOffset>
            </wp:positionV>
            <wp:extent cx="673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-554990</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-554990</wp:posOffset>
            </wp:positionV>
            <wp:extent cx="1276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-329565</wp:posOffset>
            </wp:positionV>
            <wp:extent cx="673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-329565</wp:posOffset>
            </wp:positionV>
            <wp:extent cx="673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-329565</wp:posOffset>
            </wp:positionV>
            <wp:extent cx="673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-329565</wp:posOffset>
            </wp:positionV>
            <wp:extent cx="673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-329565</wp:posOffset>
            </wp:positionV>
            <wp:extent cx="673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-329565</wp:posOffset>
            </wp:positionV>
            <wp:extent cx="12763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Corporate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vMerge w:val="restart"/>
          </w:tcPr>
          <w:p>
            <w:pPr>
              <w:ind w:left="840"/>
              <w:spacing w:after="0"/>
              <w:rPr>
                <w:sz w:val="20"/>
                <w:szCs w:val="20"/>
                <w:color w:val="auto"/>
              </w:rPr>
            </w:pPr>
            <w:r>
              <w:rPr>
                <w:rFonts w:ascii="Arial" w:cs="Arial" w:eastAsia="Arial" w:hAnsi="Arial"/>
                <w:sz w:val="12"/>
                <w:szCs w:val="12"/>
                <w:b w:val="1"/>
                <w:bCs w:val="1"/>
                <w:color w:val="auto"/>
              </w:rPr>
              <w:t>Successor</w:t>
            </w:r>
          </w:p>
        </w:tc>
        <w:tc>
          <w:tcPr>
            <w:tcW w:w="10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w w:val="97"/>
              </w:rPr>
              <w:t>Predecessor</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Non-GAAP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2"/>
                <w:szCs w:val="12"/>
                <w:b w:val="1"/>
                <w:bCs w:val="1"/>
                <w:color w:val="auto"/>
                <w:w w:val="96"/>
              </w:rPr>
              <w:t>Non-GAAP</w:t>
            </w:r>
          </w:p>
        </w:tc>
        <w:tc>
          <w:tcPr>
            <w:tcW w:w="240" w:type="dxa"/>
            <w:vAlign w:val="bottom"/>
            <w:vMerge w:val="restart"/>
          </w:tcPr>
          <w:p>
            <w:pPr>
              <w:spacing w:after="0"/>
              <w:rPr>
                <w:sz w:val="12"/>
                <w:szCs w:val="12"/>
                <w:color w:val="auto"/>
              </w:rPr>
            </w:pPr>
          </w:p>
        </w:tc>
        <w:tc>
          <w:tcPr>
            <w:tcW w:w="88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rPr>
              <w:t>Non-GAAP</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8"/>
              </w:rPr>
              <w:t>Combined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right w:val="single" w:sz="8" w:color="auto"/>
            </w:tcBorders>
            <w:gridSpan w:val="4"/>
            <w:vMerge w:val="restart"/>
          </w:tcPr>
          <w:p>
            <w:pPr>
              <w:ind w:left="140"/>
              <w:spacing w:after="0"/>
              <w:rPr>
                <w:sz w:val="20"/>
                <w:szCs w:val="20"/>
                <w:color w:val="auto"/>
              </w:rPr>
            </w:pPr>
            <w:r>
              <w:rPr>
                <w:rFonts w:ascii="Arial" w:cs="Arial" w:eastAsia="Arial" w:hAnsi="Arial"/>
                <w:sz w:val="12"/>
                <w:szCs w:val="12"/>
                <w:b w:val="1"/>
                <w:bCs w:val="1"/>
                <w:color w:val="auto"/>
              </w:rPr>
              <w:t>Period from January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53"/>
              <w:spacing w:after="0" w:line="110" w:lineRule="exact"/>
              <w:rPr>
                <w:sz w:val="20"/>
                <w:szCs w:val="20"/>
                <w:color w:val="auto"/>
              </w:rPr>
            </w:pPr>
            <w:r>
              <w:rPr>
                <w:rFonts w:ascii="Arial" w:cs="Arial" w:eastAsia="Arial" w:hAnsi="Arial"/>
                <w:sz w:val="12"/>
                <w:szCs w:val="12"/>
                <w:b w:val="1"/>
                <w:bCs w:val="1"/>
                <w:color w:val="auto"/>
                <w:w w:val="97"/>
              </w:rPr>
              <w:t>Period from</w:t>
            </w:r>
          </w:p>
        </w:tc>
        <w:tc>
          <w:tcPr>
            <w:tcW w:w="220" w:type="dxa"/>
            <w:vAlign w:val="bottom"/>
          </w:tcPr>
          <w:p>
            <w:pPr>
              <w:spacing w:after="0"/>
              <w:rPr>
                <w:sz w:val="9"/>
                <w:szCs w:val="9"/>
                <w:color w:val="auto"/>
              </w:rPr>
            </w:pP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98"/>
              </w:rPr>
              <w:t>Three months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8"/>
              </w:rPr>
              <w:t>Three months ended</w:t>
            </w:r>
          </w:p>
        </w:tc>
        <w:tc>
          <w:tcPr>
            <w:tcW w:w="1540" w:type="dxa"/>
            <w:vAlign w:val="bottom"/>
            <w:tcBorders>
              <w:right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w w:val="96"/>
              </w:rPr>
              <w:t>January 1</w:t>
            </w: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right w:val="single" w:sz="8" w:color="auto"/>
            </w:tcBorders>
            <w:gridSpan w:val="3"/>
          </w:tcPr>
          <w:p>
            <w:pPr>
              <w:jc w:val="right"/>
              <w:ind w:right="340"/>
              <w:spacing w:after="0" w:line="130" w:lineRule="exact"/>
              <w:rPr>
                <w:sz w:val="20"/>
                <w:szCs w:val="20"/>
                <w:color w:val="auto"/>
              </w:rPr>
            </w:pPr>
            <w:r>
              <w:rPr>
                <w:rFonts w:ascii="Arial" w:cs="Arial" w:eastAsia="Arial" w:hAnsi="Arial"/>
                <w:sz w:val="12"/>
                <w:szCs w:val="12"/>
                <w:b w:val="1"/>
                <w:bCs w:val="1"/>
                <w:color w:val="auto"/>
              </w:rPr>
              <w:t>15 through March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rPr>
              <w:t>through</w:t>
            </w:r>
          </w:p>
        </w:tc>
        <w:tc>
          <w:tcPr>
            <w:tcW w:w="10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9"/>
              </w:rPr>
              <w:t>ended March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7"/>
              </w:rPr>
              <w:t>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451"/>
              <w:spacing w:after="0"/>
              <w:rPr>
                <w:sz w:val="20"/>
                <w:szCs w:val="20"/>
                <w:color w:val="auto"/>
              </w:rPr>
            </w:pPr>
            <w:r>
              <w:rPr>
                <w:rFonts w:ascii="Arial" w:cs="Arial" w:eastAsia="Arial" w:hAnsi="Arial"/>
                <w:sz w:val="12"/>
                <w:szCs w:val="12"/>
                <w:b w:val="1"/>
                <w:bCs w:val="1"/>
                <w:color w:val="auto"/>
              </w:rPr>
              <w:t>31,</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January 14,</w:t>
            </w:r>
          </w:p>
        </w:tc>
        <w:tc>
          <w:tcPr>
            <w:tcW w:w="100" w:type="dxa"/>
            <w:vAlign w:val="bottom"/>
          </w:tcPr>
          <w:p>
            <w:pPr>
              <w:spacing w:after="0"/>
              <w:rPr>
                <w:sz w:val="12"/>
                <w:szCs w:val="12"/>
                <w:color w:val="auto"/>
              </w:rPr>
            </w:pPr>
          </w:p>
        </w:tc>
        <w:tc>
          <w:tcPr>
            <w:tcW w:w="800" w:type="dxa"/>
            <w:vAlign w:val="bottom"/>
          </w:tcPr>
          <w:p>
            <w:pPr>
              <w:jc w:val="right"/>
              <w:ind w:right="312"/>
              <w:spacing w:after="0"/>
              <w:rPr>
                <w:sz w:val="20"/>
                <w:szCs w:val="20"/>
                <w:color w:val="auto"/>
              </w:rPr>
            </w:pPr>
            <w:r>
              <w:rPr>
                <w:rFonts w:ascii="Arial" w:cs="Arial" w:eastAsia="Arial" w:hAnsi="Arial"/>
                <w:sz w:val="12"/>
                <w:szCs w:val="12"/>
                <w:b w:val="1"/>
                <w:bCs w:val="1"/>
                <w:color w:val="auto"/>
              </w:rPr>
              <w:t>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Change</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31"/>
              <w:spacing w:after="0" w:line="110" w:lineRule="exact"/>
              <w:rPr>
                <w:sz w:val="20"/>
                <w:szCs w:val="20"/>
                <w:color w:val="auto"/>
              </w:rPr>
            </w:pPr>
            <w:r>
              <w:rPr>
                <w:rFonts w:ascii="Arial" w:cs="Arial" w:eastAsia="Arial" w:hAnsi="Arial"/>
                <w:sz w:val="11"/>
                <w:szCs w:val="11"/>
                <w:b w:val="1"/>
                <w:bCs w:val="1"/>
                <w:color w:val="auto"/>
                <w:w w:val="97"/>
              </w:rPr>
              <w:t>2026</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411"/>
              <w:spacing w:after="0" w:line="110" w:lineRule="exact"/>
              <w:rPr>
                <w:sz w:val="20"/>
                <w:szCs w:val="20"/>
                <w:color w:val="auto"/>
              </w:rPr>
            </w:pPr>
            <w:r>
              <w:rPr>
                <w:rFonts w:ascii="Arial" w:cs="Arial" w:eastAsia="Arial" w:hAnsi="Arial"/>
                <w:sz w:val="11"/>
                <w:szCs w:val="11"/>
                <w:b w:val="1"/>
                <w:bCs w:val="1"/>
                <w:color w:val="auto"/>
              </w:rPr>
              <w:t>2025</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33"/>
              <w:spacing w:after="0" w:line="110" w:lineRule="exact"/>
              <w:rPr>
                <w:sz w:val="20"/>
                <w:szCs w:val="20"/>
                <w:color w:val="auto"/>
              </w:rPr>
            </w:pPr>
            <w:r>
              <w:rPr>
                <w:rFonts w:ascii="Arial" w:cs="Arial" w:eastAsia="Arial" w:hAnsi="Arial"/>
                <w:sz w:val="11"/>
                <w:szCs w:val="11"/>
                <w:b w:val="1"/>
                <w:bCs w:val="1"/>
                <w:color w:val="auto"/>
                <w:w w:val="97"/>
              </w:rPr>
              <w:t>2025</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272"/>
              <w:spacing w:after="0" w:line="110" w:lineRule="exact"/>
              <w:rPr>
                <w:sz w:val="20"/>
                <w:szCs w:val="20"/>
                <w:color w:val="auto"/>
              </w:rPr>
            </w:pPr>
            <w:r>
              <w:rPr>
                <w:rFonts w:ascii="Arial" w:cs="Arial" w:eastAsia="Arial" w:hAnsi="Arial"/>
                <w:sz w:val="11"/>
                <w:szCs w:val="11"/>
                <w:b w:val="1"/>
                <w:bCs w:val="1"/>
                <w:color w:val="auto"/>
              </w:rPr>
              <w:t>2025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 (expense)</w:t>
            </w:r>
          </w:p>
        </w:tc>
        <w:tc>
          <w:tcPr>
            <w:tcW w:w="200" w:type="dxa"/>
            <w:vAlign w:val="bottom"/>
            <w:shd w:val="clear" w:color="auto" w:fill="CFF0FC"/>
          </w:tcPr>
          <w:p>
            <w:pPr>
              <w:jc w:val="right"/>
              <w:ind w:right="55"/>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losses (gains), net of recoveries</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(1,591)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(2,446)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2,306</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Net interest income after losses and recoveries</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140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1,591</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784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2,375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(2,235)</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Noninterest (loss) income: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Warranties and GAP income (loss), net</w:t>
            </w:r>
          </w:p>
        </w:tc>
        <w:tc>
          <w:tcPr>
            <w:tcW w:w="2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(79)</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(504)</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(218)</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(loss) income</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(79)</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692</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(49)</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643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(722)</w:t>
            </w:r>
          </w:p>
        </w:tc>
        <w:tc>
          <w:tcPr>
            <w:tcW w:w="1080" w:type="dxa"/>
            <w:vAlign w:val="bottom"/>
            <w:gridSpan w:val="2"/>
            <w:shd w:val="clear" w:color="auto" w:fill="CFF0FC"/>
          </w:tcPr>
          <w:p>
            <w:pPr>
              <w:jc w:val="right"/>
              <w:ind w:right="40"/>
              <w:spacing w:after="0" w:line="157" w:lineRule="exact"/>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8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1,013</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fees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2,278</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(1,286)</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Software and IT costs</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316</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(210)</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on corporate debt</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395.6%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677</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(677)</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(303)</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Total expenses</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3,263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4,846</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479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5,325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(2,062)</w:t>
            </w:r>
          </w:p>
        </w:tc>
        <w:tc>
          <w:tcPr>
            <w:tcW w:w="10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right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166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95</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71</w:t>
            </w:r>
          </w:p>
        </w:tc>
        <w:tc>
          <w:tcPr>
            <w:tcW w:w="240" w:type="dxa"/>
            <w:vAlign w:val="bottom"/>
          </w:tcPr>
          <w:p>
            <w:pPr>
              <w:spacing w:after="0"/>
              <w:rPr>
                <w:sz w:val="13"/>
                <w:szCs w:val="13"/>
                <w:color w:val="auto"/>
              </w:rPr>
            </w:pPr>
          </w:p>
        </w:tc>
        <w:tc>
          <w:tcPr>
            <w:tcW w:w="10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-1846580</wp:posOffset>
            </wp:positionV>
            <wp:extent cx="673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-1846580</wp:posOffset>
            </wp:positionV>
            <wp:extent cx="673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-1846580</wp:posOffset>
            </wp:positionV>
            <wp:extent cx="673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-1846580</wp:posOffset>
            </wp:positionV>
            <wp:extent cx="673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-1846580</wp:posOffset>
            </wp:positionV>
            <wp:extent cx="673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-1846580</wp:posOffset>
            </wp:positionV>
            <wp:extent cx="1276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-1193165</wp:posOffset>
            </wp:positionV>
            <wp:extent cx="673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-1193165</wp:posOffset>
            </wp:positionV>
            <wp:extent cx="673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-1193165</wp:posOffset>
            </wp:positionV>
            <wp:extent cx="6731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-1193165</wp:posOffset>
            </wp:positionV>
            <wp:extent cx="673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-1193165</wp:posOffset>
            </wp:positionV>
            <wp:extent cx="673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-1193165</wp:posOffset>
            </wp:positionV>
            <wp:extent cx="1276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-344805</wp:posOffset>
            </wp:positionV>
            <wp:extent cx="673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-344805</wp:posOffset>
            </wp:positionV>
            <wp:extent cx="673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-344805</wp:posOffset>
            </wp:positionV>
            <wp:extent cx="673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-344805</wp:posOffset>
            </wp:positionV>
            <wp:extent cx="673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-344805</wp:posOffset>
            </wp:positionV>
            <wp:extent cx="673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-344805</wp:posOffset>
            </wp:positionV>
            <wp:extent cx="1276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-119380</wp:posOffset>
            </wp:positionV>
            <wp:extent cx="673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-119380</wp:posOffset>
            </wp:positionV>
            <wp:extent cx="673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-119380</wp:posOffset>
            </wp:positionV>
            <wp:extent cx="673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-119380</wp:posOffset>
            </wp:positionV>
            <wp:extent cx="673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-119380</wp:posOffset>
            </wp:positionV>
            <wp:extent cx="673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-119380</wp:posOffset>
            </wp:positionV>
            <wp:extent cx="12763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7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In addition to our results determined in accordance with GAAP, we believe the following non-GAAP financial measures are useful in evaluating our operating performance: Adjusted net income (loss), total available liquidity, and tangible book value.</w:t>
      </w:r>
    </w:p>
    <w:p>
      <w:pPr>
        <w:spacing w:after="0" w:line="134" w:lineRule="exact"/>
        <w:rPr>
          <w:sz w:val="20"/>
          <w:szCs w:val="20"/>
          <w:color w:val="auto"/>
        </w:rPr>
      </w:pPr>
    </w:p>
    <w:p>
      <w:pPr>
        <w:jc w:val="both"/>
        <w:ind w:right="100"/>
        <w:spacing w:after="0" w:line="246" w:lineRule="auto"/>
        <w:rPr>
          <w:sz w:val="20"/>
          <w:szCs w:val="20"/>
          <w:color w:val="auto"/>
        </w:rPr>
      </w:pPr>
      <w:r>
        <w:rPr>
          <w:rFonts w:ascii="Arial" w:cs="Arial" w:eastAsia="Arial" w:hAnsi="Arial"/>
          <w:sz w:val="16"/>
          <w:szCs w:val="16"/>
          <w:color w:val="auto"/>
        </w:rPr>
        <w:t>Adjusted net income (loss) is a supplemental performance measure that our management uses to assess our operating performance and the operating leverage in our business. Because Adjusted net income (loss) facilitates internal comparisons of our historical operating performance on a more consistent basis, we use this measure for business planning purposes.</w:t>
      </w:r>
    </w:p>
    <w:p>
      <w:pPr>
        <w:spacing w:after="0" w:line="144"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Tangible book value is calculated as stockholders' equity in accordance with GAAP, after subtracting intangible assets. A reconciliation of stockholders' equity to tangible book value is included above.</w:t>
      </w:r>
    </w:p>
    <w:p>
      <w:pPr>
        <w:spacing w:after="0" w:line="8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Total available liquidity represents unrestricted cash and cash equivalents, availability from warehouse credit facilities and available liquidity from delayed draw facility. A reconciliation of unrestricted cash and cash equivalents to total available liquidity is included above.</w:t>
      </w:r>
    </w:p>
    <w:p>
      <w:pPr>
        <w:spacing w:after="0" w:line="74"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These non-GAAP measures have limitations as analytical tools because they do not reflect all of the amounts associated with our results of operations or liquidity as determined in accordance with GAAP. Additionally, they may not be comparable to similarly titled measures of other companies. Other companies, including companies in our industry, may calculate non-GAAP financial measures differently than we do, limiting the usefulness of those measures for those comparative purposes. Because of these limitations, these non-GAAP financial measures should be considered along with other operating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403860</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9" w:right="319" w:bottom="1440" w:gutter="0" w:footer="0" w:header="0"/>
        </w:sectPr>
      </w:pPr>
    </w:p>
    <w:bookmarkStart w:id="9" w:name="page10"/>
    <w:bookmarkEnd w:id="9"/>
    <w:p>
      <w:pPr>
        <w:ind w:right="20"/>
        <w:spacing w:after="0" w:line="246" w:lineRule="auto"/>
        <w:rPr>
          <w:sz w:val="20"/>
          <w:szCs w:val="20"/>
          <w:color w:val="auto"/>
        </w:rPr>
      </w:pPr>
      <w:r>
        <w:rPr>
          <w:rFonts w:ascii="Arial" w:cs="Arial" w:eastAsia="Arial" w:hAnsi="Arial"/>
          <w:sz w:val="16"/>
          <w:szCs w:val="16"/>
          <w:color w:val="auto"/>
        </w:rPr>
        <w:t>financial performance measures presented in accordance with GAAP. The presentation of these non-GAAP financial measures are not intended to be considered in isolation or as a substitute for, or superior to, financial information prepared and presented in accordance with GAAP. We have reconciled these non-GAAP financial measures with the most directly comparable GAAP financial measures elsewhere herein.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Combined Three Months Ended March 31, 2025</w:t>
      </w:r>
    </w:p>
    <w:p>
      <w:pPr>
        <w:spacing w:after="0" w:line="17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Our financial results for the periods from January 1, 2025 through January 14, 2025 and the three months ended March 31, 2025 are referred to as those of the “Predecessor” periods. Our financial results for the periods from January 15, 2025 through March 31, 2025 and the three months ended March 31, 2025 are referred to as those of the “Successor” periods. Our results of operations as reported in our Consolidated Financial Statements for these periods are prepared in accordance with GAAP. Although GAAP requires that we report our results for the period from January 1, 2025 through January 14, 2025 and the period from January 15, 2025 through March 31, 2025, separately, management views our operating results for the three months ended March 31, 2025 by combining the results of the applicable Predecessor and Successor periods because such presentation provides the most meaningful comparison of our results to prior periods. We believe we cannot adequately benchmark the operating results of the period from January 15, 2025 through March 31, 2025 against any of the previous or future periods reported in our Consolidated Financial Statements without combining it with the period from January 1, 2025 through January 14, 2025 and we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Consolidated Financial Statements in accordance with GAAP, the tables and discussion below also present the combined results for the three months ended March 31, 2025. The combined results for the three months ended March 31, 2025 represent the sum of the reported amounts for the Predecessor period from January 1, 2025 through January 14, 2025 and the Successor period from January 15, 2025 through March 31, 2025. These combined results are not considered to be prepared in accordance with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three months ended March 31, 2026 (prepared on a GAAP basis) and three months ended March 31, 2025 (prepared on a Non-GAAP basis) may not be comparable, particularly for statement of operations line items significantly impacted by the reorganization transactions and the impact of fresh start accounting.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loss</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We calculate Adjusted net loss as net income (loss) from continuing operations less preferred stock dividends attributable to noncontrolling interests of subsidiary,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403860</wp:posOffset>
            </wp:positionV>
            <wp:extent cx="717486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The following table presents a reconciliation of Adjusted net income (loss) to net income (loss) from continuing operations, which is the most directly comparable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GAAP measure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Non-GAAP</w:t>
            </w:r>
          </w:p>
        </w:tc>
      </w:tr>
      <w:tr>
        <w:trPr>
          <w:trHeight w:val="178"/>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Borders>
              <w:right w:val="single" w:sz="8" w:color="auto"/>
            </w:tcBorders>
            <w:gridSpan w:val="6"/>
          </w:tcPr>
          <w:p>
            <w:pPr>
              <w:jc w:val="right"/>
              <w:ind w:right="14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Combined</w:t>
            </w:r>
          </w:p>
        </w:tc>
      </w:tr>
      <w:tr>
        <w:trPr>
          <w:trHeight w:val="145"/>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109"/>
              <w:spacing w:after="0" w:line="145" w:lineRule="exact"/>
              <w:rPr>
                <w:sz w:val="20"/>
                <w:szCs w:val="20"/>
                <w:color w:val="auto"/>
              </w:rPr>
            </w:pPr>
            <w:r>
              <w:rPr>
                <w:rFonts w:ascii="Arial" w:cs="Arial" w:eastAsia="Arial" w:hAnsi="Arial"/>
                <w:sz w:val="14"/>
                <w:szCs w:val="14"/>
                <w:b w:val="1"/>
                <w:bCs w:val="1"/>
                <w:color w:val="auto"/>
              </w:rPr>
              <w:t>Period from</w:t>
            </w: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29"/>
              <w:spacing w:after="0" w:line="145" w:lineRule="exact"/>
              <w:rPr>
                <w:sz w:val="20"/>
                <w:szCs w:val="20"/>
                <w:color w:val="auto"/>
              </w:rPr>
            </w:pPr>
            <w:r>
              <w:rPr>
                <w:rFonts w:ascii="Arial" w:cs="Arial" w:eastAsia="Arial" w:hAnsi="Arial"/>
                <w:sz w:val="14"/>
                <w:szCs w:val="14"/>
                <w:b w:val="1"/>
                <w:bCs w:val="1"/>
                <w:color w:val="auto"/>
              </w:rPr>
              <w:t>Period from</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January 15 through</w:t>
            </w:r>
          </w:p>
        </w:tc>
        <w:tc>
          <w:tcPr>
            <w:tcW w:w="14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January 1 through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w:t>
            </w:r>
          </w:p>
        </w:tc>
      </w:tr>
      <w:tr>
        <w:trPr>
          <w:trHeight w:val="178"/>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January 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 March 31,</w:t>
            </w:r>
          </w:p>
        </w:tc>
      </w:tr>
      <w:tr>
        <w:trPr>
          <w:trHeight w:val="157"/>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89"/>
              <w:spacing w:after="0" w:line="157"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center"/>
              <w:ind w:right="89"/>
              <w:spacing w:after="0" w:line="157" w:lineRule="exact"/>
              <w:rPr>
                <w:sz w:val="20"/>
                <w:szCs w:val="20"/>
                <w:color w:val="auto"/>
              </w:rPr>
            </w:pPr>
            <w:r>
              <w:rPr>
                <w:rFonts w:ascii="Arial" w:cs="Arial" w:eastAsia="Arial" w:hAnsi="Arial"/>
                <w:sz w:val="14"/>
                <w:szCs w:val="14"/>
                <w:b w:val="1"/>
                <w:bCs w:val="1"/>
                <w:color w:val="auto"/>
                <w:w w:val="96"/>
              </w:rPr>
              <w:t>2025</w:t>
            </w:r>
          </w:p>
        </w:tc>
        <w:tc>
          <w:tcPr>
            <w:tcW w:w="2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center"/>
              <w:ind w:right="89"/>
              <w:spacing w:after="0" w:line="157"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center"/>
              <w:ind w:right="29"/>
              <w:spacing w:after="0" w:line="157"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r>
      <w:tr>
        <w:trPr>
          <w:trHeight w:val="145"/>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89"/>
              <w:spacing w:after="0" w:line="14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4780" w:type="dxa"/>
            <w:vAlign w:val="bottom"/>
          </w:tcPr>
          <w:p>
            <w:pPr>
              <w:spacing w:after="0"/>
              <w:rPr>
                <w:sz w:val="20"/>
                <w:szCs w:val="20"/>
                <w:color w:val="auto"/>
              </w:rPr>
            </w:pPr>
            <w:r>
              <w:rPr>
                <w:rFonts w:ascii="Arial" w:cs="Arial" w:eastAsia="Arial" w:hAnsi="Arial"/>
                <w:sz w:val="14"/>
                <w:szCs w:val="14"/>
                <w:color w:val="auto"/>
              </w:rPr>
              <w:t>Net (loss) income from continuing operations</w:t>
            </w:r>
          </w:p>
        </w:tc>
        <w:tc>
          <w:tcPr>
            <w:tcW w:w="220" w:type="dxa"/>
            <w:vAlign w:val="bottom"/>
            <w:gridSpan w:val="2"/>
          </w:tcPr>
          <w:p>
            <w:pP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(19,046)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(6,450)</w:t>
            </w:r>
          </w:p>
        </w:tc>
        <w:tc>
          <w:tcPr>
            <w:tcW w:w="14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45,090</w:t>
            </w:r>
          </w:p>
        </w:tc>
        <w:tc>
          <w:tcPr>
            <w:tcW w:w="1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38,640</w:t>
            </w:r>
          </w:p>
        </w:tc>
        <w:tc>
          <w:tcPr>
            <w:tcW w:w="120" w:type="dxa"/>
            <w:vAlign w:val="bottom"/>
          </w:tcPr>
          <w:p>
            <w:pPr>
              <w:spacing w:after="0"/>
              <w:rPr>
                <w:sz w:val="15"/>
                <w:szCs w:val="15"/>
                <w:color w:val="auto"/>
              </w:rPr>
            </w:pPr>
          </w:p>
        </w:tc>
      </w:tr>
      <w:tr>
        <w:trPr>
          <w:trHeight w:val="153"/>
        </w:trPr>
        <w:tc>
          <w:tcPr>
            <w:tcW w:w="47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Preferred stock dividends attributable to noncontrolling interests of</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8"/>
        </w:trPr>
        <w:tc>
          <w:tcPr>
            <w:tcW w:w="4780" w:type="dxa"/>
            <w:vAlign w:val="bottom"/>
            <w:shd w:val="clear" w:color="auto" w:fill="CFF0FC"/>
          </w:tcPr>
          <w:p>
            <w:pPr>
              <w:spacing w:after="0"/>
              <w:rPr>
                <w:sz w:val="20"/>
                <w:szCs w:val="20"/>
                <w:color w:val="auto"/>
              </w:rPr>
            </w:pPr>
            <w:r>
              <w:rPr>
                <w:rFonts w:ascii="Arial" w:cs="Arial" w:eastAsia="Arial" w:hAnsi="Arial"/>
                <w:sz w:val="14"/>
                <w:szCs w:val="14"/>
                <w:color w:val="auto"/>
              </w:rPr>
              <w:t>subsidiary</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6"/>
        </w:trPr>
        <w:tc>
          <w:tcPr>
            <w:tcW w:w="478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478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w:t>
            </w:r>
          </w:p>
        </w:tc>
        <w:tc>
          <w:tcPr>
            <w:tcW w:w="22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FF0FC"/>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Arial" w:cs="Arial" w:eastAsia="Arial" w:hAnsi="Arial"/>
                <w:sz w:val="14"/>
                <w:szCs w:val="14"/>
                <w:color w:val="auto"/>
              </w:rPr>
              <w:t>Severance expense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r>
      <w:tr>
        <w:trPr>
          <w:trHeight w:val="166"/>
        </w:trPr>
        <w:tc>
          <w:tcPr>
            <w:tcW w:w="4780" w:type="dxa"/>
            <w:vAlign w:val="bottom"/>
            <w:shd w:val="clear" w:color="auto" w:fill="CFF0FC"/>
          </w:tcPr>
          <w:p>
            <w:pPr>
              <w:spacing w:after="0"/>
              <w:rPr>
                <w:sz w:val="20"/>
                <w:szCs w:val="20"/>
                <w:color w:val="auto"/>
              </w:rPr>
            </w:pPr>
            <w:r>
              <w:rPr>
                <w:rFonts w:ascii="Arial" w:cs="Arial" w:eastAsia="Arial" w:hAnsi="Arial"/>
                <w:sz w:val="14"/>
                <w:szCs w:val="14"/>
                <w:color w:val="auto"/>
              </w:rPr>
              <w:t>Bankruptcy costs (prepetition filing and post-emergence)</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22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120" w:type="dxa"/>
            <w:vAlign w:val="bottom"/>
            <w:shd w:val="clear" w:color="auto" w:fill="CFF0FC"/>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Arial" w:cs="Arial" w:eastAsia="Arial" w:hAnsi="Arial"/>
                <w:sz w:val="14"/>
                <w:szCs w:val="14"/>
                <w:color w:val="auto"/>
              </w:rPr>
              <w:t>Reorganization items, 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(51,036)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(51,036)</w:t>
            </w:r>
          </w:p>
        </w:tc>
      </w:tr>
      <w:tr>
        <w:trPr>
          <w:trHeight w:val="166"/>
        </w:trPr>
        <w:tc>
          <w:tcPr>
            <w:tcW w:w="4780" w:type="dxa"/>
            <w:vAlign w:val="bottom"/>
            <w:shd w:val="clear" w:color="auto" w:fill="CFF0FC"/>
          </w:tcPr>
          <w:p>
            <w:pPr>
              <w:spacing w:after="0"/>
              <w:rPr>
                <w:sz w:val="20"/>
                <w:szCs w:val="20"/>
                <w:color w:val="auto"/>
              </w:rPr>
            </w:pPr>
            <w:r>
              <w:rPr>
                <w:rFonts w:ascii="Arial" w:cs="Arial" w:eastAsia="Arial" w:hAnsi="Arial"/>
                <w:sz w:val="14"/>
                <w:szCs w:val="14"/>
                <w:color w:val="auto"/>
              </w:rPr>
              <w:t>Impairment charges</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2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120" w:type="dxa"/>
            <w:vAlign w:val="bottom"/>
            <w:shd w:val="clear" w:color="auto" w:fill="CFF0FC"/>
          </w:tcPr>
          <w:p>
            <w:pPr>
              <w:spacing w:after="0"/>
              <w:rPr>
                <w:sz w:val="14"/>
                <w:szCs w:val="14"/>
                <w:color w:val="auto"/>
              </w:rPr>
            </w:pPr>
          </w:p>
        </w:tc>
      </w:tr>
      <w:tr>
        <w:trPr>
          <w:trHeight w:val="157"/>
        </w:trPr>
        <w:tc>
          <w:tcPr>
            <w:tcW w:w="4780" w:type="dxa"/>
            <w:vAlign w:val="bottom"/>
          </w:tcPr>
          <w:p>
            <w:pPr>
              <w:spacing w:after="0" w:line="157" w:lineRule="exact"/>
              <w:rPr>
                <w:sz w:val="20"/>
                <w:szCs w:val="20"/>
                <w:color w:val="auto"/>
              </w:rPr>
            </w:pPr>
            <w:r>
              <w:rPr>
                <w:rFonts w:ascii="Arial" w:cs="Arial" w:eastAsia="Arial" w:hAnsi="Arial"/>
                <w:sz w:val="14"/>
                <w:szCs w:val="14"/>
                <w:color w:val="auto"/>
              </w:rPr>
              <w:t>Adjusted net loss</w:t>
            </w: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(18,190)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(869)</w:t>
            </w:r>
          </w:p>
        </w:tc>
        <w:tc>
          <w:tcPr>
            <w:tcW w:w="2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(5,798)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(6,667)</w:t>
            </w:r>
          </w:p>
        </w:tc>
        <w:tc>
          <w:tcPr>
            <w:tcW w:w="120" w:type="dxa"/>
            <w:vAlign w:val="bottom"/>
          </w:tcPr>
          <w:p>
            <w:pPr>
              <w:spacing w:after="0"/>
              <w:rPr>
                <w:sz w:val="13"/>
                <w:szCs w:val="13"/>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9"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6"/>
        </w:trPr>
        <w:tc>
          <w:tcPr>
            <w:tcW w:w="2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5"/>
              </w:rPr>
              <w:t>Successo</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Successor</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Successor</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Successor</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Successor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Period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81"/>
              <w:spacing w:after="0" w:line="126" w:lineRule="exact"/>
              <w:rPr>
                <w:sz w:val="20"/>
                <w:szCs w:val="20"/>
                <w:color w:val="auto"/>
              </w:rPr>
            </w:pPr>
            <w:r>
              <w:rPr>
                <w:rFonts w:ascii="Arial" w:cs="Arial" w:eastAsia="Arial" w:hAnsi="Arial"/>
                <w:sz w:val="13"/>
                <w:szCs w:val="13"/>
                <w:b w:val="1"/>
                <w:bCs w:val="1"/>
                <w:color w:val="auto"/>
                <w:w w:val="98"/>
              </w:rPr>
              <w:t>Period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Period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restart"/>
          </w:tcPr>
          <w:p>
            <w:pPr>
              <w:jc w:val="center"/>
              <w:ind w:right="280"/>
              <w:spacing w:after="0" w:line="142" w:lineRule="exact"/>
              <w:rPr>
                <w:sz w:val="20"/>
                <w:szCs w:val="20"/>
                <w:color w:val="auto"/>
              </w:rPr>
            </w:pPr>
            <w:r>
              <w:rPr>
                <w:rFonts w:ascii="Arial" w:cs="Arial" w:eastAsia="Arial" w:hAnsi="Arial"/>
                <w:sz w:val="13"/>
                <w:szCs w:val="13"/>
                <w:b w:val="1"/>
                <w:bCs w:val="1"/>
                <w:color w:val="auto"/>
                <w:w w:val="96"/>
              </w:rPr>
              <w:t>from</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8"/>
              </w:rPr>
              <w:t>Period</w:t>
            </w: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from</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from July 1</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3"/>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8"/>
              </w:rPr>
              <w:t>October 1</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6"/>
              </w:rPr>
              <w:t>from April</w:t>
            </w: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January 1</w:t>
            </w:r>
          </w:p>
        </w:tc>
        <w:tc>
          <w:tcPr>
            <w:tcW w:w="1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80"/>
              <w:spacing w:after="0" w:line="142" w:lineRule="exact"/>
              <w:rPr>
                <w:sz w:val="20"/>
                <w:szCs w:val="20"/>
                <w:color w:val="auto"/>
              </w:rPr>
            </w:pPr>
            <w:r>
              <w:rPr>
                <w:rFonts w:ascii="Arial" w:cs="Arial" w:eastAsia="Arial" w:hAnsi="Arial"/>
                <w:sz w:val="13"/>
                <w:szCs w:val="13"/>
                <w:b w:val="1"/>
                <w:bCs w:val="1"/>
                <w:color w:val="auto"/>
                <w:w w:val="97"/>
              </w:rPr>
              <w:t>January 15</w:t>
            </w: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3"/>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1 through</w:t>
            </w: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September</w:t>
            </w: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97"/>
              </w:rPr>
              <w:t>through</w:t>
            </w: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3"/>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December</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March 31,</w:t>
            </w:r>
          </w:p>
        </w:tc>
        <w:tc>
          <w:tcPr>
            <w:tcW w:w="1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40" w:type="dxa"/>
            <w:vAlign w:val="bottom"/>
            <w:gridSpan w:val="2"/>
            <w:vMerge w:val="restart"/>
          </w:tcPr>
          <w:p>
            <w:pPr>
              <w:jc w:val="right"/>
              <w:ind w:right="217"/>
              <w:spacing w:after="0"/>
              <w:rPr>
                <w:sz w:val="20"/>
                <w:szCs w:val="20"/>
                <w:color w:val="auto"/>
              </w:rPr>
            </w:pPr>
            <w:r>
              <w:rPr>
                <w:rFonts w:ascii="Arial" w:cs="Arial" w:eastAsia="Arial" w:hAnsi="Arial"/>
                <w:sz w:val="13"/>
                <w:szCs w:val="13"/>
                <w:b w:val="1"/>
                <w:bCs w:val="1"/>
                <w:color w:val="auto"/>
              </w:rPr>
              <w:t>30,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2026</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3"/>
                <w:szCs w:val="13"/>
                <w:b w:val="1"/>
                <w:bCs w:val="1"/>
                <w:color w:val="auto"/>
                <w:w w:val="96"/>
              </w:rPr>
              <w:t>2025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120" w:type="dxa"/>
            <w:vAlign w:val="bottom"/>
          </w:tcPr>
          <w:p>
            <w:pPr>
              <w:spacing w:after="0"/>
              <w:rPr>
                <w:sz w:val="20"/>
                <w:szCs w:val="20"/>
                <w:color w:val="auto"/>
              </w:rPr>
            </w:pPr>
            <w:r>
              <w:rPr>
                <w:rFonts w:ascii="Arial" w:cs="Arial" w:eastAsia="Arial" w:hAnsi="Arial"/>
                <w:sz w:val="17"/>
                <w:szCs w:val="17"/>
                <w:color w:val="auto"/>
              </w:rPr>
              <w:t>Net income (loss) from</w:t>
            </w:r>
          </w:p>
        </w:tc>
        <w:tc>
          <w:tcPr>
            <w:tcW w:w="600" w:type="dxa"/>
            <w:vAlign w:val="bottom"/>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(11,52</w:t>
            </w: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(27,14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continuing operations</w:t>
            </w: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46)</w:t>
            </w:r>
          </w:p>
        </w:tc>
        <w:tc>
          <w:tcPr>
            <w:tcW w:w="24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96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w:t>
            </w:r>
          </w:p>
        </w:tc>
        <w:tc>
          <w:tcPr>
            <w:tcW w:w="9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(8,932)</w:t>
            </w:r>
          </w:p>
        </w:tc>
        <w:tc>
          <w:tcPr>
            <w:tcW w:w="8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(6,450)</w:t>
            </w: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Preferred stock dividends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attributable to</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noncontrolling interests of</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subsidiary</w:t>
            </w: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Stock compensation</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expense</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1,427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1,410</w:t>
            </w:r>
          </w:p>
        </w:tc>
        <w:tc>
          <w:tcPr>
            <w:tcW w:w="12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1,444</w:t>
            </w:r>
          </w:p>
        </w:tc>
        <w:tc>
          <w:tcPr>
            <w:tcW w:w="12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1,836</w:t>
            </w:r>
          </w:p>
        </w:tc>
        <w:tc>
          <w:tcPr>
            <w:tcW w:w="12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Severance expense</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367</w:t>
            </w:r>
          </w:p>
        </w:tc>
        <w:tc>
          <w:tcPr>
            <w:tcW w:w="12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Bankruptcy costs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(prepetition filing and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7"/>
                <w:szCs w:val="17"/>
                <w:color w:val="auto"/>
              </w:rPr>
              <w:t>post-emergence)</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212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Gain on extinguishment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7"/>
                <w:szCs w:val="17"/>
                <w:color w:val="auto"/>
              </w:rPr>
              <w:t>of debt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tcPr>
          <w:p>
            <w:pPr>
              <w:spacing w:after="0"/>
              <w:rPr>
                <w:sz w:val="20"/>
                <w:szCs w:val="20"/>
                <w:color w:val="auto"/>
              </w:rPr>
            </w:pPr>
            <w:r>
              <w:rPr>
                <w:rFonts w:ascii="Arial" w:cs="Arial" w:eastAsia="Arial" w:hAnsi="Arial"/>
                <w:sz w:val="17"/>
                <w:szCs w:val="17"/>
                <w:color w:val="auto"/>
              </w:rPr>
              <w:t>Impairment charges</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1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(18,19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line="172" w:lineRule="exact"/>
              <w:rPr>
                <w:sz w:val="20"/>
                <w:szCs w:val="20"/>
                <w:color w:val="auto"/>
              </w:rPr>
            </w:pPr>
            <w:r>
              <w:rPr>
                <w:rFonts w:ascii="Arial" w:cs="Arial" w:eastAsia="Arial" w:hAnsi="Arial"/>
                <w:sz w:val="17"/>
                <w:szCs w:val="17"/>
                <w:color w:val="auto"/>
              </w:rPr>
              <w:t>Adjusted Net Loss</w:t>
            </w:r>
          </w:p>
        </w:tc>
        <w:tc>
          <w:tcPr>
            <w:tcW w:w="720" w:type="dxa"/>
            <w:vAlign w:val="bottom"/>
            <w:gridSpan w:val="2"/>
          </w:tcPr>
          <w:p>
            <w:pPr>
              <w:jc w:val="right"/>
              <w:ind w:right="60"/>
              <w:spacing w:after="0" w:line="172" w:lineRule="exact"/>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0"/>
              <w:spacing w:after="0" w:line="172" w:lineRule="exact"/>
              <w:rPr>
                <w:sz w:val="20"/>
                <w:szCs w:val="20"/>
                <w:color w:val="auto"/>
              </w:rPr>
            </w:pPr>
            <w:r>
              <w:rPr>
                <w:rFonts w:ascii="Arial" w:cs="Arial" w:eastAsia="Arial" w:hAnsi="Arial"/>
                <w:sz w:val="16"/>
                <w:szCs w:val="16"/>
                <w:color w:val="auto"/>
              </w:rPr>
              <w:t>(10,111)</w:t>
            </w:r>
          </w:p>
        </w:tc>
        <w:tc>
          <w:tcPr>
            <w:tcW w:w="960" w:type="dxa"/>
            <w:vAlign w:val="bottom"/>
            <w:gridSpan w:val="3"/>
          </w:tcPr>
          <w:p>
            <w:pPr>
              <w:jc w:val="right"/>
              <w:ind w:right="80"/>
              <w:spacing w:after="0" w:line="172" w:lineRule="exact"/>
              <w:rPr>
                <w:sz w:val="20"/>
                <w:szCs w:val="20"/>
                <w:color w:val="auto"/>
              </w:rPr>
            </w:pPr>
            <w:r>
              <w:rPr>
                <w:rFonts w:ascii="Arial" w:cs="Arial" w:eastAsia="Arial" w:hAnsi="Arial"/>
                <w:sz w:val="16"/>
                <w:szCs w:val="16"/>
                <w:color w:val="auto"/>
              </w:rPr>
              <w:t>(25,698)</w:t>
            </w:r>
          </w:p>
        </w:tc>
        <w:tc>
          <w:tcPr>
            <w:tcW w:w="940" w:type="dxa"/>
            <w:vAlign w:val="bottom"/>
            <w:gridSpan w:val="3"/>
          </w:tcPr>
          <w:p>
            <w:pPr>
              <w:jc w:val="right"/>
              <w:ind w:right="60"/>
              <w:spacing w:after="0" w:line="172" w:lineRule="exact"/>
              <w:rPr>
                <w:sz w:val="20"/>
                <w:szCs w:val="20"/>
                <w:color w:val="auto"/>
              </w:rPr>
            </w:pPr>
            <w:r>
              <w:rPr>
                <w:rFonts w:ascii="Arial" w:cs="Arial" w:eastAsia="Arial" w:hAnsi="Arial"/>
                <w:sz w:val="16"/>
                <w:szCs w:val="16"/>
                <w:color w:val="auto"/>
              </w:rPr>
              <w:t>(6,729)</w:t>
            </w:r>
          </w:p>
        </w:tc>
        <w:tc>
          <w:tcPr>
            <w:tcW w:w="860" w:type="dxa"/>
            <w:vAlign w:val="bottom"/>
            <w:gridSpan w:val="3"/>
          </w:tcPr>
          <w:p>
            <w:pPr>
              <w:jc w:val="right"/>
              <w:spacing w:after="0" w:line="172" w:lineRule="exact"/>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669290</wp:posOffset>
            </wp:positionV>
            <wp:extent cx="7162165" cy="32943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165" cy="3294380"/>
                    </a:xfrm>
                    <a:prstGeom prst="rect">
                      <a:avLst/>
                    </a:prstGeom>
                    <a:noFill/>
                  </pic:spPr>
                </pic:pic>
              </a:graphicData>
            </a:graphic>
          </wp:anchor>
        </w:drawing>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80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8"/>
              </w:rPr>
              <w:t>Predecess</w:t>
            </w:r>
          </w:p>
        </w:tc>
        <w:tc>
          <w:tcPr>
            <w:tcW w:w="780" w:type="dxa"/>
            <w:vAlign w:val="bottom"/>
            <w:tcBorders>
              <w:top w:val="single" w:sz="8" w:color="auto"/>
            </w:tcBorders>
            <w:gridSpan w:val="2"/>
          </w:tcPr>
          <w:p>
            <w:pPr>
              <w:jc w:val="center"/>
              <w:spacing w:after="0" w:line="146" w:lineRule="exact"/>
              <w:rPr>
                <w:sz w:val="20"/>
                <w:szCs w:val="20"/>
                <w:color w:val="auto"/>
              </w:rPr>
            </w:pPr>
            <w:r>
              <w:rPr>
                <w:rFonts w:ascii="Arial" w:cs="Arial" w:eastAsia="Arial" w:hAnsi="Arial"/>
                <w:sz w:val="13"/>
                <w:szCs w:val="13"/>
                <w:b w:val="1"/>
                <w:bCs w:val="1"/>
                <w:color w:val="auto"/>
                <w:w w:val="95"/>
              </w:rPr>
              <w:t>Non-GAAP</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Predecess</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5"/>
              </w:rPr>
              <w:t>Predecess</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5"/>
              </w:rPr>
              <w:t>Predecesso</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or</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Combined</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8"/>
              </w:rPr>
              <w:t>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0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Period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Three</w:t>
            </w:r>
          </w:p>
        </w:tc>
        <w:tc>
          <w:tcPr>
            <w:tcW w:w="12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Three</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from</w:t>
            </w:r>
          </w:p>
        </w:tc>
        <w:tc>
          <w:tcPr>
            <w:tcW w:w="100" w:type="dxa"/>
            <w:vAlign w:val="bottom"/>
          </w:tcPr>
          <w:p>
            <w:pPr>
              <w:spacing w:after="0"/>
              <w:rPr>
                <w:sz w:val="6"/>
                <w:szCs w:val="6"/>
                <w:color w:val="auto"/>
              </w:rPr>
            </w:pPr>
          </w:p>
        </w:tc>
        <w:tc>
          <w:tcPr>
            <w:tcW w:w="78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Three</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Three</w:t>
            </w:r>
          </w:p>
        </w:tc>
        <w:tc>
          <w:tcPr>
            <w:tcW w:w="0" w:type="dxa"/>
            <w:vAlign w:val="bottom"/>
          </w:tcPr>
          <w:p>
            <w:pPr>
              <w:spacing w:after="0"/>
              <w:rPr>
                <w:sz w:val="1"/>
                <w:szCs w:val="1"/>
                <w:color w:val="auto"/>
              </w:rPr>
            </w:pPr>
          </w:p>
        </w:tc>
      </w:tr>
      <w:tr>
        <w:trPr>
          <w:trHeight w:val="71"/>
        </w:trPr>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Months</w:t>
            </w:r>
          </w:p>
        </w:tc>
        <w:tc>
          <w:tcPr>
            <w:tcW w:w="120" w:type="dxa"/>
            <w:vAlign w:val="bottom"/>
          </w:tcPr>
          <w:p>
            <w:pPr>
              <w:spacing w:after="0"/>
              <w:rPr>
                <w:sz w:val="6"/>
                <w:szCs w:val="6"/>
                <w:color w:val="auto"/>
              </w:rPr>
            </w:pPr>
          </w:p>
        </w:tc>
        <w:tc>
          <w:tcPr>
            <w:tcW w:w="78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Months</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8"/>
              </w:rPr>
              <w:t>January 1</w:t>
            </w:r>
          </w:p>
        </w:tc>
        <w:tc>
          <w:tcPr>
            <w:tcW w:w="100" w:type="dxa"/>
            <w:vAlign w:val="bottom"/>
          </w:tcPr>
          <w:p>
            <w:pPr>
              <w:spacing w:after="0"/>
              <w:rPr>
                <w:sz w:val="6"/>
                <w:szCs w:val="6"/>
                <w:color w:val="auto"/>
              </w:rPr>
            </w:pPr>
          </w:p>
        </w:tc>
        <w:tc>
          <w:tcPr>
            <w:tcW w:w="78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Months</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95"/>
              </w:rPr>
              <w:t>Months</w:t>
            </w:r>
          </w:p>
        </w:tc>
        <w:tc>
          <w:tcPr>
            <w:tcW w:w="0" w:type="dxa"/>
            <w:vAlign w:val="bottom"/>
          </w:tcPr>
          <w:p>
            <w:pPr>
              <w:spacing w:after="0"/>
              <w:rPr>
                <w:sz w:val="1"/>
                <w:szCs w:val="1"/>
                <w:color w:val="auto"/>
              </w:rPr>
            </w:pPr>
          </w:p>
        </w:tc>
      </w:tr>
      <w:tr>
        <w:trPr>
          <w:trHeight w:val="71"/>
        </w:trPr>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Ended</w:t>
            </w:r>
          </w:p>
        </w:tc>
        <w:tc>
          <w:tcPr>
            <w:tcW w:w="120" w:type="dxa"/>
            <w:vAlign w:val="bottom"/>
          </w:tcPr>
          <w:p>
            <w:pPr>
              <w:spacing w:after="0"/>
              <w:rPr>
                <w:sz w:val="6"/>
                <w:szCs w:val="6"/>
                <w:color w:val="auto"/>
              </w:rPr>
            </w:pPr>
          </w:p>
        </w:tc>
        <w:tc>
          <w:tcPr>
            <w:tcW w:w="78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Ended</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through</w:t>
            </w:r>
          </w:p>
        </w:tc>
        <w:tc>
          <w:tcPr>
            <w:tcW w:w="100" w:type="dxa"/>
            <w:vAlign w:val="bottom"/>
          </w:tcPr>
          <w:p>
            <w:pPr>
              <w:spacing w:after="0"/>
              <w:rPr>
                <w:sz w:val="6"/>
                <w:szCs w:val="6"/>
                <w:color w:val="auto"/>
              </w:rPr>
            </w:pPr>
          </w:p>
        </w:tc>
        <w:tc>
          <w:tcPr>
            <w:tcW w:w="78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Ended</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80"/>
              <w:spacing w:after="0" w:line="142"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71"/>
        </w:trPr>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December</w:t>
            </w:r>
          </w:p>
        </w:tc>
        <w:tc>
          <w:tcPr>
            <w:tcW w:w="120" w:type="dxa"/>
            <w:vAlign w:val="bottom"/>
          </w:tcPr>
          <w:p>
            <w:pPr>
              <w:spacing w:after="0"/>
              <w:rPr>
                <w:sz w:val="6"/>
                <w:szCs w:val="6"/>
                <w:color w:val="auto"/>
              </w:rPr>
            </w:pPr>
          </w:p>
        </w:tc>
        <w:tc>
          <w:tcPr>
            <w:tcW w:w="78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September</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0" w:type="dxa"/>
            <w:vAlign w:val="bottom"/>
            <w:gridSpan w:val="2"/>
            <w:vMerge w:val="restart"/>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January</w:t>
            </w:r>
          </w:p>
        </w:tc>
        <w:tc>
          <w:tcPr>
            <w:tcW w:w="100" w:type="dxa"/>
            <w:vAlign w:val="bottom"/>
          </w:tcPr>
          <w:p>
            <w:pPr>
              <w:spacing w:after="0"/>
              <w:rPr>
                <w:sz w:val="6"/>
                <w:szCs w:val="6"/>
                <w:color w:val="auto"/>
              </w:rPr>
            </w:pPr>
          </w:p>
        </w:tc>
        <w:tc>
          <w:tcPr>
            <w:tcW w:w="78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March 31,</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80"/>
              <w:spacing w:after="0" w:line="142" w:lineRule="exact"/>
              <w:rPr>
                <w:sz w:val="20"/>
                <w:szCs w:val="20"/>
                <w:color w:val="auto"/>
              </w:rPr>
            </w:pPr>
            <w:r>
              <w:rPr>
                <w:rFonts w:ascii="Arial" w:cs="Arial" w:eastAsia="Arial" w:hAnsi="Arial"/>
                <w:sz w:val="13"/>
                <w:szCs w:val="13"/>
                <w:b w:val="1"/>
                <w:bCs w:val="1"/>
                <w:color w:val="auto"/>
                <w:w w:val="96"/>
              </w:rPr>
              <w:t>June 30,</w:t>
            </w:r>
          </w:p>
        </w:tc>
        <w:tc>
          <w:tcPr>
            <w:tcW w:w="0" w:type="dxa"/>
            <w:vAlign w:val="bottom"/>
          </w:tcPr>
          <w:p>
            <w:pPr>
              <w:spacing w:after="0"/>
              <w:rPr>
                <w:sz w:val="1"/>
                <w:szCs w:val="1"/>
                <w:color w:val="auto"/>
              </w:rPr>
            </w:pPr>
          </w:p>
        </w:tc>
      </w:tr>
      <w:tr>
        <w:trPr>
          <w:trHeight w:val="71"/>
        </w:trPr>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gridSpan w:val="2"/>
            <w:vMerge w:val="restart"/>
          </w:tcPr>
          <w:p>
            <w:pPr>
              <w:jc w:val="right"/>
              <w:ind w:right="194"/>
              <w:spacing w:after="0"/>
              <w:rPr>
                <w:sz w:val="20"/>
                <w:szCs w:val="20"/>
                <w:color w:val="auto"/>
              </w:rPr>
            </w:pPr>
            <w:r>
              <w:rPr>
                <w:rFonts w:ascii="Arial" w:cs="Arial" w:eastAsia="Arial" w:hAnsi="Arial"/>
                <w:sz w:val="13"/>
                <w:szCs w:val="13"/>
                <w:b w:val="1"/>
                <w:bCs w:val="1"/>
                <w:color w:val="auto"/>
              </w:rPr>
              <w:t>31,</w:t>
            </w:r>
          </w:p>
        </w:tc>
        <w:tc>
          <w:tcPr>
            <w:tcW w:w="100" w:type="dxa"/>
            <w:vAlign w:val="bottom"/>
          </w:tcPr>
          <w:p>
            <w:pPr>
              <w:spacing w:after="0"/>
              <w:rPr>
                <w:sz w:val="6"/>
                <w:szCs w:val="6"/>
                <w:color w:val="auto"/>
              </w:rPr>
            </w:pPr>
          </w:p>
        </w:tc>
        <w:tc>
          <w:tcPr>
            <w:tcW w:w="800" w:type="dxa"/>
            <w:vAlign w:val="bottom"/>
            <w:gridSpan w:val="2"/>
            <w:vMerge w:val="restart"/>
          </w:tcPr>
          <w:p>
            <w:pPr>
              <w:jc w:val="right"/>
              <w:ind w:right="194"/>
              <w:spacing w:after="0"/>
              <w:rPr>
                <w:sz w:val="20"/>
                <w:szCs w:val="20"/>
                <w:color w:val="auto"/>
              </w:rPr>
            </w:pPr>
            <w:r>
              <w:rPr>
                <w:rFonts w:ascii="Arial" w:cs="Arial" w:eastAsia="Arial" w:hAnsi="Arial"/>
                <w:sz w:val="13"/>
                <w:szCs w:val="13"/>
                <w:b w:val="1"/>
                <w:bCs w:val="1"/>
                <w:color w:val="auto"/>
              </w:rPr>
              <w:t>30,</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80" w:type="dxa"/>
            <w:vAlign w:val="bottom"/>
            <w:vMerge w:val="restart"/>
          </w:tcPr>
          <w:p>
            <w:pPr>
              <w:jc w:val="right"/>
              <w:ind w:right="185"/>
              <w:spacing w:after="0"/>
              <w:rPr>
                <w:sz w:val="20"/>
                <w:szCs w:val="20"/>
                <w:color w:val="auto"/>
              </w:rPr>
            </w:pPr>
            <w:r>
              <w:rPr>
                <w:rFonts w:ascii="Arial" w:cs="Arial" w:eastAsia="Arial" w:hAnsi="Arial"/>
                <w:sz w:val="13"/>
                <w:szCs w:val="13"/>
                <w:b w:val="1"/>
                <w:bCs w:val="1"/>
                <w:color w:val="auto"/>
              </w:rPr>
              <w:t>14,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80" w:type="dxa"/>
            <w:vAlign w:val="bottom"/>
          </w:tcPr>
          <w:p>
            <w:pPr>
              <w:jc w:val="right"/>
              <w:ind w:right="125"/>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18"/>
              <w:spacing w:after="0"/>
              <w:rPr>
                <w:sz w:val="20"/>
                <w:szCs w:val="20"/>
                <w:color w:val="auto"/>
              </w:rPr>
            </w:pPr>
            <w:r>
              <w:rPr>
                <w:rFonts w:ascii="Arial" w:cs="Arial" w:eastAsia="Arial" w:hAnsi="Arial"/>
                <w:sz w:val="13"/>
                <w:szCs w:val="13"/>
                <w:b w:val="1"/>
                <w:bCs w:val="1"/>
                <w:color w:val="auto"/>
                <w:w w:val="96"/>
              </w:rPr>
              <w:t>2025</w:t>
            </w: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left="37"/>
              <w:spacing w:after="0"/>
              <w:rPr>
                <w:sz w:val="20"/>
                <w:szCs w:val="20"/>
                <w:color w:val="auto"/>
              </w:rPr>
            </w:pPr>
            <w:r>
              <w:rPr>
                <w:rFonts w:ascii="Arial" w:cs="Arial" w:eastAsia="Arial" w:hAnsi="Arial"/>
                <w:sz w:val="13"/>
                <w:szCs w:val="13"/>
                <w:b w:val="1"/>
                <w:bCs w:val="1"/>
                <w:color w:val="auto"/>
                <w:w w:val="96"/>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(36,71</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(37,74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0" w:type="dxa"/>
            <w:vAlign w:val="bottom"/>
          </w:tcPr>
          <w:p>
            <w:pPr>
              <w:jc w:val="right"/>
              <w:spacing w:after="0"/>
              <w:rPr>
                <w:sz w:val="20"/>
                <w:szCs w:val="20"/>
                <w:color w:val="auto"/>
              </w:rPr>
            </w:pPr>
            <w:r>
              <w:rPr>
                <w:rFonts w:ascii="Arial" w:cs="Arial" w:eastAsia="Arial" w:hAnsi="Arial"/>
                <w:sz w:val="17"/>
                <w:szCs w:val="17"/>
                <w:color w:val="auto"/>
              </w:rPr>
              <w:t>45,090</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38,640</w:t>
            </w: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(19,104)</w:t>
            </w:r>
          </w:p>
        </w:tc>
        <w:tc>
          <w:tcPr>
            <w:tcW w:w="0" w:type="dxa"/>
            <w:vAlign w:val="bottom"/>
          </w:tcPr>
          <w:p>
            <w:pPr>
              <w:spacing w:after="0"/>
              <w:rPr>
                <w:sz w:val="1"/>
                <w:szCs w:val="1"/>
                <w:color w:val="auto"/>
              </w:rPr>
            </w:pPr>
          </w:p>
        </w:tc>
      </w:tr>
      <w:tr>
        <w:trPr>
          <w:trHeight w:val="757"/>
        </w:trPr>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935</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2,446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763</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913</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3,582</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(51,03</w:t>
            </w:r>
          </w:p>
        </w:tc>
        <w:tc>
          <w:tcPr>
            <w:tcW w:w="12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(51,03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5,564</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(5,798)</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(6,667)</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(26,348)</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(33,330)</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(14,973)</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300"/>
            <w:col w:w="4380"/>
          </w:cols>
          <w:pgMar w:left="320" w:top="10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427355</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054" w:right="379" w:bottom="1440" w:gutter="0" w:footer="0" w:header="0"/>
          <w:type w:val="continuous"/>
        </w:sectPr>
      </w:pPr>
    </w:p>
    <w:bookmarkStart w:id="12" w:name="page13"/>
    <w:bookmarkEnd w:id="12"/>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Outlook</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For the full year 2026 we expect the following updated guidance: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Indirect origination volume</w:t>
      </w:r>
      <w:r>
        <w:rPr>
          <w:rFonts w:ascii="Arial" w:cs="Arial" w:eastAsia="Arial" w:hAnsi="Arial"/>
          <w:sz w:val="21"/>
          <w:szCs w:val="21"/>
          <w:color w:val="auto"/>
          <w:vertAlign w:val="superscript"/>
        </w:rPr>
        <w:t>(5)</w:t>
      </w:r>
      <w:r>
        <w:rPr>
          <w:rFonts w:ascii="Arial" w:cs="Arial" w:eastAsia="Arial" w:hAnsi="Arial"/>
          <w:sz w:val="16"/>
          <w:szCs w:val="16"/>
          <w:color w:val="auto"/>
        </w:rPr>
        <w:t>: $475 - $515 million</w:t>
      </w:r>
    </w:p>
    <w:p>
      <w:pPr>
        <w:spacing w:after="0"/>
        <w:rPr>
          <w:sz w:val="20"/>
          <w:szCs w:val="20"/>
          <w:color w:val="auto"/>
        </w:rPr>
      </w:pPr>
      <w:r>
        <w:rPr>
          <w:rFonts w:ascii="Arial" w:cs="Arial" w:eastAsia="Arial" w:hAnsi="Arial"/>
          <w:sz w:val="16"/>
          <w:szCs w:val="16"/>
          <w:color w:val="auto"/>
        </w:rPr>
        <w:t>Adjusted net income (loss)</w:t>
      </w:r>
      <w:r>
        <w:rPr>
          <w:rFonts w:ascii="Arial" w:cs="Arial" w:eastAsia="Arial" w:hAnsi="Arial"/>
          <w:sz w:val="21"/>
          <w:szCs w:val="21"/>
          <w:color w:val="auto"/>
          <w:vertAlign w:val="superscript"/>
        </w:rPr>
        <w:t>(3)(4)</w:t>
      </w:r>
      <w:r>
        <w:rPr>
          <w:rFonts w:ascii="Arial" w:cs="Arial" w:eastAsia="Arial" w:hAnsi="Arial"/>
          <w:sz w:val="6"/>
          <w:szCs w:val="6"/>
          <w:color w:val="auto"/>
        </w:rPr>
        <w:t>)</w:t>
      </w:r>
      <w:r>
        <w:rPr>
          <w:rFonts w:ascii="Arial" w:cs="Arial" w:eastAsia="Arial" w:hAnsi="Arial"/>
          <w:sz w:val="16"/>
          <w:szCs w:val="16"/>
          <w:color w:val="auto"/>
        </w:rPr>
        <w:t>: ($25) - ($30) million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(5) Represents retail installment sale contracts originated through third-party dealers.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foregoing estimates are forward-looking statements that reflect the Company’s expectations as of May 14, 2026 and are subject to substantial uncertainty.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See “Forward-Looking Statements” below.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Vroom (Nasdaq: VRM)</w:t>
      </w:r>
    </w:p>
    <w:p>
      <w:pPr>
        <w:spacing w:after="0" w:line="173"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Vroom owns and operates United Auto Credit Corporation (UACC), a leading indirect automotive lender serving the independent and franchise dealer market nationwide, and CarStory, a leader in AI-powered analytics and digital services for automotive retail. Prior to January 2024, Vroom also operated an end-to-end ecommerce platform to buy and sell used vehicles. Pursuant to its previously announced Value Maximization Plan, Vroom discontinued its ecommerce operations and used vehicle dealership business.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financial outlook for the full year 2026, including expected indirect origination volume and adjusted net loss guidance, anticipated performance of recently underwritten loan vintages, expected benefits of our technology platform and dealer portal, the restructuring, including its impact and intended benefits, our strategic initiatives and long-term strategy, planned technology investments, future results of operations and financial position, our total available liquidity, our liquidity position and the timing of any of the foregoing. These statements are based on management’s current assumptions and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For factors that could cause actual results to differ materially from the forward-looking statements in this press release, please see the risks and uncertainties identified under the heading "Risk Factors" in our Annual Report on Form 10-K for the year ended December 31, 2025, as updated by our Quarterly Report on Form 10-Q for the quarter ended March 31, 2026, which are available on our Investor Relations website at ir.vroom.com and on the SEC website at www.sec.gov</w:t>
      </w:r>
      <w:r>
        <w:rPr>
          <w:rFonts w:ascii="Arial" w:cs="Arial" w:eastAsia="Arial" w:hAnsi="Arial"/>
          <w:sz w:val="16"/>
          <w:szCs w:val="16"/>
          <w:color w:val="333333"/>
        </w:rPr>
        <w:t>.</w:t>
      </w:r>
      <w:r>
        <w:rPr>
          <w:rFonts w:ascii="Arial" w:cs="Arial" w:eastAsia="Arial" w:hAnsi="Arial"/>
          <w:sz w:val="16"/>
          <w:szCs w:val="16"/>
          <w:color w:val="auto"/>
        </w:rPr>
        <w:t xml:space="preserve"> All forward-looking statements reflect our beliefs and assumptions only as of the date of this press release. We undertake no obligation to update forward-looking statements to reflect future events or circumstances.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Vroom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Jon Sandison</w:t>
      </w:r>
    </w:p>
    <w:p>
      <w:pPr>
        <w:spacing w:after="0"/>
        <w:rPr>
          <w:sz w:val="20"/>
          <w:szCs w:val="20"/>
          <w:color w:val="auto"/>
        </w:rPr>
      </w:pPr>
      <w:r>
        <w:rPr>
          <w:rFonts w:ascii="Arial" w:cs="Arial" w:eastAsia="Arial" w:hAnsi="Arial"/>
          <w:sz w:val="16"/>
          <w:szCs w:val="16"/>
          <w:color w:val="auto"/>
        </w:rPr>
        <w:t>investors@vroom.com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60" w:type="dxa"/>
            <w:vAlign w:val="bottom"/>
          </w:tcPr>
          <w:p>
            <w:pPr>
              <w:jc w:val="center"/>
              <w:ind w:left="454"/>
              <w:spacing w:after="0"/>
              <w:rPr>
                <w:sz w:val="20"/>
                <w:szCs w:val="20"/>
                <w:color w:val="auto"/>
              </w:rPr>
            </w:pPr>
            <w:r>
              <w:rPr>
                <w:rFonts w:ascii="Arial" w:cs="Arial" w:eastAsia="Arial" w:hAnsi="Arial"/>
                <w:sz w:val="13"/>
                <w:szCs w:val="13"/>
                <w:b w:val="1"/>
                <w:bCs w:val="1"/>
                <w:color w:val="auto"/>
                <w:w w:val="98"/>
              </w:rPr>
              <w:t>As of</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60" w:type="dxa"/>
            <w:vAlign w:val="bottom"/>
          </w:tcPr>
          <w:p>
            <w:pPr>
              <w:jc w:val="center"/>
              <w:ind w:left="474"/>
              <w:spacing w:after="0"/>
              <w:rPr>
                <w:sz w:val="20"/>
                <w:szCs w:val="20"/>
                <w:color w:val="auto"/>
              </w:rPr>
            </w:pPr>
            <w:r>
              <w:rPr>
                <w:rFonts w:ascii="Arial" w:cs="Arial" w:eastAsia="Arial" w:hAnsi="Arial"/>
                <w:sz w:val="13"/>
                <w:szCs w:val="13"/>
                <w:b w:val="1"/>
                <w:bCs w:val="1"/>
                <w:color w:val="auto"/>
                <w:w w:val="96"/>
              </w:rPr>
              <w:t>March 31,</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center"/>
              <w:ind w:left="494"/>
              <w:spacing w:after="0" w:line="134" w:lineRule="exact"/>
              <w:rPr>
                <w:sz w:val="20"/>
                <w:szCs w:val="20"/>
                <w:color w:val="auto"/>
              </w:rPr>
            </w:pPr>
            <w:r>
              <w:rPr>
                <w:rFonts w:ascii="Arial" w:cs="Arial" w:eastAsia="Arial" w:hAnsi="Arial"/>
                <w:sz w:val="13"/>
                <w:szCs w:val="13"/>
                <w:b w:val="1"/>
                <w:bCs w:val="1"/>
                <w:color w:val="auto"/>
                <w:w w:val="96"/>
              </w:rPr>
              <w:t>2026</w:t>
            </w:r>
          </w:p>
        </w:tc>
        <w:tc>
          <w:tcPr>
            <w:tcW w:w="54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center"/>
              <w:ind w:right="190"/>
              <w:spacing w:after="0" w:line="134" w:lineRule="exact"/>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40" w:type="dxa"/>
            <w:vAlign w:val="bottom"/>
            <w:shd w:val="clear" w:color="auto" w:fill="CFF0FC"/>
          </w:tcPr>
          <w:p>
            <w:pPr>
              <w:spacing w:after="0" w:line="157" w:lineRule="exact"/>
              <w:rPr>
                <w:sz w:val="20"/>
                <w:szCs w:val="20"/>
                <w:color w:val="auto"/>
              </w:rPr>
            </w:pPr>
            <w:r>
              <w:rPr>
                <w:rFonts w:ascii="Arial" w:cs="Arial" w:eastAsia="Arial" w:hAnsi="Arial"/>
                <w:sz w:val="14"/>
                <w:szCs w:val="14"/>
                <w:b w:val="1"/>
                <w:bCs w:val="1"/>
                <w:color w:val="auto"/>
              </w:rPr>
              <w:t>ASSETS</w:t>
            </w:r>
          </w:p>
        </w:tc>
        <w:tc>
          <w:tcPr>
            <w:tcW w:w="2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840" w:type="dxa"/>
            <w:vAlign w:val="bottom"/>
            <w:gridSpan w:val="2"/>
          </w:tcPr>
          <w:p>
            <w:pPr>
              <w:jc w:val="right"/>
              <w:ind w:right="1014"/>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14,478</w:t>
            </w:r>
          </w:p>
        </w:tc>
        <w:tc>
          <w:tcPr>
            <w:tcW w:w="160" w:type="dxa"/>
            <w:vAlign w:val="bottom"/>
          </w:tcPr>
          <w:p>
            <w:pPr>
              <w:spacing w:after="0"/>
              <w:rPr>
                <w:sz w:val="14"/>
                <w:szCs w:val="14"/>
                <w:color w:val="auto"/>
              </w:rPr>
            </w:pPr>
          </w:p>
        </w:tc>
        <w:tc>
          <w:tcPr>
            <w:tcW w:w="3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10,384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Restricted cash (including restricted cash of consolidated VIEs of $59.1 million and $55.8 million, respectively)</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59,221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580" w:type="dxa"/>
            <w:vAlign w:val="bottom"/>
            <w:gridSpan w:val="3"/>
          </w:tcPr>
          <w:p>
            <w:pPr>
              <w:spacing w:after="0" w:line="153" w:lineRule="exact"/>
              <w:rPr>
                <w:sz w:val="20"/>
                <w:szCs w:val="20"/>
                <w:color w:val="auto"/>
              </w:rPr>
            </w:pPr>
            <w:r>
              <w:rPr>
                <w:rFonts w:ascii="Arial" w:cs="Arial" w:eastAsia="Arial" w:hAnsi="Arial"/>
                <w:sz w:val="14"/>
                <w:szCs w:val="14"/>
                <w:color w:val="auto"/>
              </w:rPr>
              <w:t>Finance receivables at fair value (including finance receivables of consolidated VIEs of $778.5 million and $777.0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760" w:type="dxa"/>
            <w:vAlign w:val="bottom"/>
            <w:gridSpan w:val="2"/>
          </w:tcPr>
          <w:p>
            <w:pPr>
              <w:spacing w:after="0"/>
              <w:rPr>
                <w:sz w:val="20"/>
                <w:szCs w:val="20"/>
                <w:color w:val="auto"/>
              </w:rPr>
            </w:pPr>
            <w:r>
              <w:rPr>
                <w:rFonts w:ascii="Arial" w:cs="Arial" w:eastAsia="Arial" w:hAnsi="Arial"/>
                <w:sz w:val="14"/>
                <w:szCs w:val="14"/>
                <w:color w:val="auto"/>
              </w:rPr>
              <w:t>million, respectively)</w:t>
            </w:r>
          </w:p>
        </w:tc>
        <w:tc>
          <w:tcPr>
            <w:tcW w:w="2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804,613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808,636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58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Interest receivable (including interest receivables of consolidated VIEs of $11.2 million and $12.4 million,</w:t>
            </w: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respectively)</w:t>
            </w:r>
          </w:p>
        </w:tc>
        <w:tc>
          <w:tcPr>
            <w:tcW w:w="26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11,527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net</w:t>
            </w:r>
          </w:p>
        </w:tc>
        <w:tc>
          <w:tcPr>
            <w:tcW w:w="2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11,895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Other assets (including other assets of consolidated VIEs of $10.1 million and $9.8 million, respectively)</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23,144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Assets from discontinued operations</w:t>
            </w:r>
          </w:p>
        </w:tc>
        <w:tc>
          <w:tcPr>
            <w:tcW w:w="26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Total assets</w:t>
            </w:r>
          </w:p>
        </w:tc>
        <w:tc>
          <w:tcPr>
            <w:tcW w:w="26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014"/>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937,823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9"/>
              <w:spacing w:after="0" w:line="157"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937,385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5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LIABILITIES, MEZZANINE EQUITY AND STOCKHOLDERS’ EQUITY (DEFICIT)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Warehouse credit facilities of consolidated VIEs</w:t>
            </w:r>
          </w:p>
        </w:tc>
        <w:tc>
          <w:tcPr>
            <w:tcW w:w="3840" w:type="dxa"/>
            <w:vAlign w:val="bottom"/>
            <w:gridSpan w:val="2"/>
            <w:shd w:val="clear" w:color="auto" w:fill="CFF0FC"/>
          </w:tcPr>
          <w:p>
            <w:pPr>
              <w:jc w:val="right"/>
              <w:ind w:right="1014"/>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159,483</w:t>
            </w:r>
          </w:p>
        </w:tc>
        <w:tc>
          <w:tcPr>
            <w:tcW w:w="1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318,655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Related party line of credit (Note 19)</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Long-term debt (including securitization debt of consolidated VIEs of $551.0 million and $393.2 million, respectively)</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577,968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423,197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Related party note (Note 19)</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liabilities</w:t>
            </w:r>
          </w:p>
        </w:tc>
        <w:tc>
          <w:tcPr>
            <w:tcW w:w="2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80" w:type="dxa"/>
            <w:vAlign w:val="bottom"/>
            <w:gridSpan w:val="3"/>
          </w:tcPr>
          <w:p>
            <w:pPr>
              <w:spacing w:after="0"/>
              <w:rPr>
                <w:sz w:val="20"/>
                <w:szCs w:val="20"/>
                <w:color w:val="auto"/>
              </w:rPr>
            </w:pPr>
            <w:r>
              <w:rPr>
                <w:rFonts w:ascii="Arial" w:cs="Arial" w:eastAsia="Arial" w:hAnsi="Arial"/>
                <w:sz w:val="14"/>
                <w:szCs w:val="14"/>
                <w:color w:val="auto"/>
              </w:rPr>
              <w:t>Other liabilities (including other liabilities of consolidated VIEs of $15.6 million and $15.7 million, respectively)</w:t>
            </w:r>
          </w:p>
        </w:tc>
        <w:tc>
          <w:tcPr>
            <w:tcW w:w="540" w:type="dxa"/>
            <w:vAlign w:val="bottom"/>
          </w:tcPr>
          <w:p>
            <w:pPr>
              <w:jc w:val="right"/>
              <w:spacing w:after="0"/>
              <w:rPr>
                <w:sz w:val="20"/>
                <w:szCs w:val="20"/>
                <w:color w:val="auto"/>
              </w:rPr>
            </w:pPr>
            <w:r>
              <w:rPr>
                <w:rFonts w:ascii="Arial" w:cs="Arial" w:eastAsia="Arial" w:hAnsi="Arial"/>
                <w:sz w:val="14"/>
                <w:szCs w:val="14"/>
                <w:color w:val="auto"/>
              </w:rPr>
              <w:t>43,187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41,149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Liabilities from discontinued operations</w:t>
            </w:r>
          </w:p>
        </w:tc>
        <w:tc>
          <w:tcPr>
            <w:tcW w:w="268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40" w:type="dxa"/>
            <w:vAlign w:val="bottom"/>
          </w:tcPr>
          <w:p>
            <w:pPr>
              <w:spacing w:after="0" w:line="157" w:lineRule="exact"/>
              <w:rPr>
                <w:sz w:val="20"/>
                <w:szCs w:val="20"/>
                <w:color w:val="auto"/>
              </w:rPr>
            </w:pPr>
            <w:r>
              <w:rPr>
                <w:rFonts w:ascii="Arial" w:cs="Arial" w:eastAsia="Arial" w:hAnsi="Arial"/>
                <w:sz w:val="14"/>
                <w:szCs w:val="14"/>
                <w:color w:val="auto"/>
              </w:rPr>
              <w:t>Total liabilities</w:t>
            </w:r>
          </w:p>
        </w:tc>
        <w:tc>
          <w:tcPr>
            <w:tcW w:w="26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818,186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820,767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Commitments and contingencies (Note 12)</w:t>
            </w:r>
          </w:p>
        </w:tc>
        <w:tc>
          <w:tcPr>
            <w:tcW w:w="2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Mezzanine equity</w:t>
            </w:r>
          </w:p>
        </w:tc>
        <w:tc>
          <w:tcPr>
            <w:tcW w:w="2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580" w:type="dxa"/>
            <w:vAlign w:val="bottom"/>
            <w:gridSpan w:val="3"/>
          </w:tcPr>
          <w:p>
            <w:pPr>
              <w:spacing w:after="0" w:line="153" w:lineRule="exact"/>
              <w:rPr>
                <w:sz w:val="20"/>
                <w:szCs w:val="20"/>
                <w:color w:val="auto"/>
              </w:rPr>
            </w:pPr>
            <w:r>
              <w:rPr>
                <w:rFonts w:ascii="Arial" w:cs="Arial" w:eastAsia="Arial" w:hAnsi="Arial"/>
                <w:sz w:val="14"/>
                <w:szCs w:val="14"/>
                <w:color w:val="auto"/>
              </w:rPr>
              <w:t>Preferred units, no par value, 15,000 series A units and 7,500 series B units authorized and issued to noncontrolling</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760" w:type="dxa"/>
            <w:vAlign w:val="bottom"/>
            <w:gridSpan w:val="2"/>
          </w:tcPr>
          <w:p>
            <w:pPr>
              <w:spacing w:after="0"/>
              <w:rPr>
                <w:sz w:val="20"/>
                <w:szCs w:val="20"/>
                <w:color w:val="auto"/>
              </w:rPr>
            </w:pPr>
            <w:r>
              <w:rPr>
                <w:rFonts w:ascii="Arial" w:cs="Arial" w:eastAsia="Arial" w:hAnsi="Arial"/>
                <w:sz w:val="14"/>
                <w:szCs w:val="14"/>
                <w:color w:val="auto"/>
              </w:rPr>
              <w:t>interests of subsidiary (Note 13)</w:t>
            </w:r>
          </w:p>
        </w:tc>
        <w:tc>
          <w:tcPr>
            <w:tcW w:w="2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21,221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740" w:type="dxa"/>
            <w:vAlign w:val="bottom"/>
            <w:shd w:val="clear" w:color="auto" w:fill="CFF0FC"/>
          </w:tcPr>
          <w:p>
            <w:pPr>
              <w:spacing w:after="0"/>
              <w:rPr>
                <w:sz w:val="14"/>
                <w:szCs w:val="14"/>
                <w:color w:val="auto"/>
              </w:rPr>
            </w:pPr>
          </w:p>
        </w:tc>
        <w:tc>
          <w:tcPr>
            <w:tcW w:w="2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580" w:type="dxa"/>
            <w:vAlign w:val="bottom"/>
            <w:gridSpan w:val="3"/>
            <w:shd w:val="clear" w:color="auto" w:fill="CFF0FC"/>
          </w:tcPr>
          <w:p>
            <w:pPr>
              <w:spacing w:after="0" w:line="153" w:lineRule="exact"/>
              <w:rPr>
                <w:sz w:val="20"/>
                <w:szCs w:val="20"/>
                <w:color w:val="auto"/>
              </w:rPr>
            </w:pPr>
            <w:r>
              <w:rPr>
                <w:rFonts w:ascii="Arial" w:cs="Arial" w:eastAsia="Arial" w:hAnsi="Arial"/>
                <w:sz w:val="14"/>
                <w:szCs w:val="14"/>
                <w:color w:val="auto"/>
              </w:rPr>
              <w:t>Common stock, $0.001 par value; 250,000,000 shares authorized as of March 31, 2026 and December 31, 2025,</w:t>
            </w: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respectively; 5,206,492 and 5,199,641 shares issued and outstanding as of</w:t>
            </w:r>
          </w:p>
        </w:tc>
        <w:tc>
          <w:tcPr>
            <w:tcW w:w="3840" w:type="dxa"/>
            <w:vAlign w:val="bottom"/>
            <w:gridSpan w:val="2"/>
            <w:shd w:val="clear" w:color="auto" w:fill="CFF0FC"/>
          </w:tcPr>
          <w:p>
            <w:pPr>
              <w:jc w:val="right"/>
              <w:ind w:right="1554"/>
              <w:spacing w:after="0"/>
              <w:rPr>
                <w:sz w:val="20"/>
                <w:szCs w:val="20"/>
                <w:color w:val="auto"/>
              </w:rPr>
            </w:pPr>
            <w:r>
              <w:rPr>
                <w:rFonts w:ascii="Arial" w:cs="Arial" w:eastAsia="Arial" w:hAnsi="Arial"/>
                <w:sz w:val="14"/>
                <w:szCs w:val="14"/>
                <w:color w:val="auto"/>
              </w:rPr>
              <w:t>March 31, 2026 and December 31,</w:t>
            </w: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2025, respectively</w:t>
            </w:r>
          </w:p>
        </w:tc>
        <w:tc>
          <w:tcPr>
            <w:tcW w:w="26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Additional paid-in-capital</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171,090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169,663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Accumulated deficit</w:t>
            </w:r>
          </w:p>
        </w:tc>
        <w:tc>
          <w:tcPr>
            <w:tcW w:w="2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(72,679)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(53,050)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40" w:type="dxa"/>
            <w:vAlign w:val="bottom"/>
            <w:tcBorders>
              <w:top w:val="single" w:sz="8" w:color="CFF0FC"/>
            </w:tcBorders>
          </w:tcPr>
          <w:p>
            <w:pPr>
              <w:spacing w:after="0" w:line="157" w:lineRule="exact"/>
              <w:rPr>
                <w:sz w:val="20"/>
                <w:szCs w:val="20"/>
                <w:color w:val="auto"/>
              </w:rPr>
            </w:pPr>
            <w:r>
              <w:rPr>
                <w:rFonts w:ascii="Arial" w:cs="Arial" w:eastAsia="Arial" w:hAnsi="Arial"/>
                <w:sz w:val="14"/>
                <w:szCs w:val="14"/>
                <w:color w:val="auto"/>
              </w:rPr>
              <w:t>Total stockholders’ equity (deficit)</w:t>
            </w:r>
          </w:p>
        </w:tc>
        <w:tc>
          <w:tcPr>
            <w:tcW w:w="2680" w:type="dxa"/>
            <w:vAlign w:val="bottom"/>
            <w:tcBorders>
              <w:top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98,416</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116,618</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Total liabilities, mezzanine equity and stockholders’ equity (deficit)</w:t>
            </w:r>
          </w:p>
        </w:tc>
        <w:tc>
          <w:tcPr>
            <w:tcW w:w="26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014"/>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937,823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9"/>
              <w:spacing w:after="0" w:line="157"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937,385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-2492375</wp:posOffset>
            </wp:positionV>
            <wp:extent cx="673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-2477770</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-2492375</wp:posOffset>
            </wp:positionV>
            <wp:extent cx="749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-2477770</wp:posOffset>
            </wp:positionV>
            <wp:extent cx="7493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-1628775</wp:posOffset>
            </wp:positionV>
            <wp:extent cx="673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-1628775</wp:posOffset>
            </wp:positionV>
            <wp:extent cx="7493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-247015</wp:posOffset>
            </wp:positionV>
            <wp:extent cx="673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-247015</wp:posOffset>
            </wp:positionV>
            <wp:extent cx="7493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-21590</wp:posOffset>
            </wp:positionV>
            <wp:extent cx="6731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-6985</wp:posOffset>
            </wp:positionV>
            <wp:extent cx="673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9" w:right="3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jc w:val="center"/>
        <w:ind w:right="20"/>
        <w:spacing w:after="0" w:line="231" w:lineRule="auto"/>
        <w:rPr>
          <w:sz w:val="20"/>
          <w:szCs w:val="20"/>
          <w:color w:val="auto"/>
        </w:rPr>
      </w:pPr>
      <w:r>
        <w:rPr>
          <w:rFonts w:ascii="Arial" w:cs="Arial" w:eastAsia="Arial" w:hAnsi="Arial"/>
          <w:sz w:val="16"/>
          <w:szCs w:val="16"/>
          <w:b w:val="1"/>
          <w:bCs w:val="1"/>
          <w:color w:val="auto"/>
        </w:rPr>
        <w:t>(in thousands, except share and per share amounts)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7"/>
          </w:tcPr>
          <w:p>
            <w:pPr>
              <w:ind w:left="980"/>
              <w:spacing w:after="0"/>
              <w:rPr>
                <w:sz w:val="20"/>
                <w:szCs w:val="20"/>
                <w:color w:val="auto"/>
              </w:rPr>
            </w:pPr>
            <w:r>
              <w:rPr>
                <w:rFonts w:ascii="Arial" w:cs="Arial" w:eastAsia="Arial" w:hAnsi="Arial"/>
                <w:sz w:val="13"/>
                <w:szCs w:val="13"/>
                <w:b w:val="1"/>
                <w:bCs w:val="1"/>
                <w:color w:val="auto"/>
              </w:rPr>
              <w:t>Successor</w:t>
            </w:r>
          </w:p>
        </w:tc>
        <w:tc>
          <w:tcPr>
            <w:tcW w:w="80" w:type="dxa"/>
            <w:vAlign w:val="bottom"/>
          </w:tcPr>
          <w:p>
            <w:pPr>
              <w:spacing w:after="0"/>
              <w:rPr>
                <w:sz w:val="13"/>
                <w:szCs w:val="13"/>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3"/>
                <w:szCs w:val="13"/>
                <w:b w:val="1"/>
                <w:bCs w:val="1"/>
                <w:color w:val="auto"/>
                <w:w w:val="99"/>
              </w:rPr>
              <w:t>Period from January 15</w:t>
            </w:r>
          </w:p>
        </w:tc>
        <w:tc>
          <w:tcPr>
            <w:tcW w:w="2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50"/>
              <w:spacing w:after="0" w:line="126" w:lineRule="exact"/>
              <w:rPr>
                <w:sz w:val="20"/>
                <w:szCs w:val="20"/>
                <w:color w:val="auto"/>
              </w:rPr>
            </w:pPr>
            <w:r>
              <w:rPr>
                <w:rFonts w:ascii="Arial" w:cs="Arial" w:eastAsia="Arial" w:hAnsi="Arial"/>
                <w:sz w:val="13"/>
                <w:szCs w:val="13"/>
                <w:b w:val="1"/>
                <w:bCs w:val="1"/>
                <w:color w:val="auto"/>
                <w:w w:val="97"/>
              </w:rPr>
              <w:t>Period from January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w w:val="99"/>
              </w:rPr>
              <w:t>through March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through January 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0"/>
              <w:spacing w:after="0" w:line="146" w:lineRule="exact"/>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30"/>
              <w:spacing w:after="0" w:line="146" w:lineRule="exact"/>
              <w:rPr>
                <w:sz w:val="20"/>
                <w:szCs w:val="20"/>
                <w:color w:val="auto"/>
              </w:rPr>
            </w:pPr>
            <w:r>
              <w:rPr>
                <w:rFonts w:ascii="Arial" w:cs="Arial" w:eastAsia="Arial" w:hAnsi="Arial"/>
                <w:sz w:val="13"/>
                <w:szCs w:val="13"/>
                <w:b w:val="1"/>
                <w:bCs w:val="1"/>
                <w:color w:val="auto"/>
              </w:rPr>
              <w:t>2025</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Interest income</w:t>
            </w:r>
          </w:p>
        </w:tc>
        <w:tc>
          <w:tcPr>
            <w:tcW w:w="440" w:type="dxa"/>
            <w:vAlign w:val="bottom"/>
            <w:gridSpan w:val="2"/>
            <w:shd w:val="clear" w:color="auto" w:fill="CFF0FC"/>
          </w:tcPr>
          <w:p>
            <w:pPr>
              <w:ind w:left="240"/>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42,476</w:t>
            </w: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00"/>
              <w:spacing w:after="0" w:line="157"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37,157</w:t>
            </w: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7,183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Arial" w:cs="Arial" w:eastAsia="Arial" w:hAnsi="Arial"/>
                <w:sz w:val="14"/>
                <w:szCs w:val="14"/>
                <w:color w:val="auto"/>
              </w:rPr>
              <w:t>Warehouse credit facility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4,618</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Securitization debt</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8,620</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6,548</w:t>
            </w:r>
          </w:p>
        </w:tc>
        <w:tc>
          <w:tcPr>
            <w:tcW w:w="260" w:type="dxa"/>
            <w:vAlign w:val="bottom"/>
            <w:tcBorders>
              <w:bottom w:val="single" w:sz="8" w:color="CFF0FC"/>
              <w:right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tcPr>
          <w:p>
            <w:pPr>
              <w:spacing w:after="0" w:line="157" w:lineRule="exact"/>
              <w:rPr>
                <w:sz w:val="20"/>
                <w:szCs w:val="20"/>
                <w:color w:val="auto"/>
              </w:rPr>
            </w:pPr>
            <w:r>
              <w:rPr>
                <w:rFonts w:ascii="Arial" w:cs="Arial" w:eastAsia="Arial" w:hAnsi="Arial"/>
                <w:sz w:val="14"/>
                <w:szCs w:val="14"/>
                <w:color w:val="auto"/>
              </w:rPr>
              <w:t>Total interest expense</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12,059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11,166</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interest income</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30,417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25,991</w:t>
            </w: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4,988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Realized and unrealized losses, net of recoveries</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24,683</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11,100</w:t>
            </w:r>
          </w:p>
        </w:tc>
        <w:tc>
          <w:tcPr>
            <w:tcW w:w="260" w:type="dxa"/>
            <w:vAlign w:val="bottom"/>
            <w:tcBorders>
              <w:bottom w:val="single" w:sz="8" w:color="CFF0FC"/>
              <w:right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6,792</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tcPr>
          <w:p>
            <w:pPr>
              <w:spacing w:after="0" w:line="157" w:lineRule="exact"/>
              <w:rPr>
                <w:sz w:val="20"/>
                <w:szCs w:val="20"/>
                <w:color w:val="auto"/>
              </w:rPr>
            </w:pPr>
            <w:r>
              <w:rPr>
                <w:rFonts w:ascii="Arial" w:cs="Arial" w:eastAsia="Arial" w:hAnsi="Arial"/>
                <w:sz w:val="14"/>
                <w:szCs w:val="14"/>
                <w:color w:val="auto"/>
              </w:rPr>
              <w:t>Net interest income (loss) after losses and recoveries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5,734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spacing w:after="0" w:line="157" w:lineRule="exact"/>
              <w:rPr>
                <w:sz w:val="20"/>
                <w:szCs w:val="20"/>
                <w:color w:val="auto"/>
              </w:rPr>
            </w:pPr>
            <w:r>
              <w:rPr>
                <w:rFonts w:ascii="Arial" w:cs="Arial" w:eastAsia="Arial" w:hAnsi="Arial"/>
                <w:sz w:val="14"/>
                <w:szCs w:val="14"/>
                <w:color w:val="auto"/>
              </w:rPr>
              <w:t>14,891</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Noninterest income: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shd w:val="clear" w:color="auto" w:fill="CFF0FC"/>
          </w:tcPr>
          <w:p>
            <w:pPr>
              <w:ind w:left="40"/>
              <w:spacing w:after="0"/>
              <w:rPr>
                <w:sz w:val="20"/>
                <w:szCs w:val="20"/>
                <w:color w:val="auto"/>
              </w:rPr>
            </w:pPr>
            <w:r>
              <w:rPr>
                <w:rFonts w:ascii="Arial" w:cs="Arial" w:eastAsia="Arial" w:hAnsi="Arial"/>
                <w:sz w:val="14"/>
                <w:szCs w:val="14"/>
                <w:color w:val="auto"/>
              </w:rPr>
              <w:t>Servicing income</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Arial" w:cs="Arial" w:eastAsia="Arial" w:hAnsi="Arial"/>
                <w:sz w:val="14"/>
                <w:szCs w:val="14"/>
                <w:color w:val="auto"/>
              </w:rPr>
              <w:t>Warranties and GAP income (loss), net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4,079</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shd w:val="clear" w:color="auto" w:fill="CFF0FC"/>
          </w:tcPr>
          <w:p>
            <w:pPr>
              <w:ind w:left="40"/>
              <w:spacing w:after="0"/>
              <w:rPr>
                <w:sz w:val="20"/>
                <w:szCs w:val="20"/>
                <w:color w:val="auto"/>
              </w:rPr>
            </w:pPr>
            <w:r>
              <w:rPr>
                <w:rFonts w:ascii="Arial" w:cs="Arial" w:eastAsia="Arial" w:hAnsi="Arial"/>
                <w:sz w:val="14"/>
                <w:szCs w:val="14"/>
                <w:color w:val="auto"/>
              </w:rPr>
              <w:t>CarStory revenue</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2,392</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Total noninterest income</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7,199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10,206</w:t>
            </w:r>
          </w:p>
        </w:tc>
        <w:tc>
          <w:tcPr>
            <w:tcW w:w="2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Arial" w:cs="Arial" w:eastAsia="Arial" w:hAnsi="Arial"/>
                <w:sz w:val="14"/>
                <w:szCs w:val="14"/>
                <w:color w:val="auto"/>
              </w:rPr>
              <w:t>Compensation and benefits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16,067</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shd w:val="clear" w:color="auto" w:fill="CFF0FC"/>
          </w:tcPr>
          <w:p>
            <w:pPr>
              <w:ind w:left="40"/>
              <w:spacing w:after="0"/>
              <w:rPr>
                <w:sz w:val="20"/>
                <w:szCs w:val="20"/>
                <w:color w:val="auto"/>
              </w:rPr>
            </w:pPr>
            <w:r>
              <w:rPr>
                <w:rFonts w:ascii="Arial" w:cs="Arial" w:eastAsia="Arial" w:hAnsi="Arial"/>
                <w:sz w:val="14"/>
                <w:szCs w:val="14"/>
                <w:color w:val="auto"/>
              </w:rPr>
              <w:t>Professional fees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5,347</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Arial" w:cs="Arial" w:eastAsia="Arial" w:hAnsi="Arial"/>
                <w:sz w:val="14"/>
                <w:szCs w:val="14"/>
                <w:color w:val="auto"/>
              </w:rPr>
              <w:t>Software and IT costs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2,402</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shd w:val="clear" w:color="auto" w:fill="CFF0FC"/>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Arial" w:cs="Arial" w:eastAsia="Arial" w:hAnsi="Arial"/>
                <w:sz w:val="14"/>
                <w:szCs w:val="14"/>
                <w:color w:val="auto"/>
              </w:rPr>
              <w:t>Interest expense on corporate debt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480</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shd w:val="clear" w:color="auto" w:fill="CFF0FC"/>
          </w:tcPr>
          <w:p>
            <w:pPr>
              <w:ind w:left="40"/>
              <w:spacing w:after="0"/>
              <w:rPr>
                <w:sz w:val="20"/>
                <w:szCs w:val="20"/>
                <w:color w:val="auto"/>
              </w:rPr>
            </w:pPr>
            <w:r>
              <w:rPr>
                <w:rFonts w:ascii="Arial" w:cs="Arial" w:eastAsia="Arial" w:hAnsi="Arial"/>
                <w:sz w:val="14"/>
                <w:szCs w:val="14"/>
                <w:color w:val="auto"/>
              </w:rPr>
              <w:t>Impairment charges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4,156</w:t>
            </w:r>
          </w:p>
        </w:tc>
        <w:tc>
          <w:tcPr>
            <w:tcW w:w="26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Pr>
          <w:p>
            <w:pPr>
              <w:ind w:left="40"/>
              <w:spacing w:after="0"/>
              <w:rPr>
                <w:sz w:val="20"/>
                <w:szCs w:val="20"/>
                <w:color w:val="auto"/>
              </w:rPr>
            </w:pPr>
            <w:r>
              <w:rPr>
                <w:rFonts w:ascii="Arial" w:cs="Arial" w:eastAsia="Arial" w:hAnsi="Arial"/>
                <w:sz w:val="14"/>
                <w:szCs w:val="14"/>
                <w:color w:val="auto"/>
              </w:rPr>
              <w:t>Other expenses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tcBorders>
              <w:bottom w:val="single" w:sz="8" w:color="CFF0FC"/>
            </w:tcBorders>
            <w:shd w:val="clear" w:color="auto" w:fill="CFF0FC"/>
          </w:tcPr>
          <w:p>
            <w:pPr>
              <w:spacing w:after="0" w:line="157" w:lineRule="exact"/>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31,787</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31,397</w:t>
            </w:r>
          </w:p>
        </w:tc>
        <w:tc>
          <w:tcPr>
            <w:tcW w:w="260" w:type="dxa"/>
            <w:vAlign w:val="bottom"/>
            <w:tcBorders>
              <w:bottom w:val="single" w:sz="8" w:color="CFF0FC"/>
              <w:right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5,181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Loss from continuing operations before reorganization items and provision for income taxes</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(18,854)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tcBorders>
              <w:right w:val="single" w:sz="8" w:color="auto"/>
            </w:tcBorders>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(6,300)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tcBorders>
              <w:top w:val="single" w:sz="8" w:color="CFF0FC"/>
            </w:tcBorders>
          </w:tcPr>
          <w:p>
            <w:pPr>
              <w:ind w:left="40"/>
              <w:spacing w:after="0" w:line="157" w:lineRule="exact"/>
              <w:rPr>
                <w:sz w:val="20"/>
                <w:szCs w:val="20"/>
                <w:color w:val="auto"/>
              </w:rPr>
            </w:pPr>
            <w:r>
              <w:rPr>
                <w:rFonts w:ascii="Arial" w:cs="Arial" w:eastAsia="Arial" w:hAnsi="Arial"/>
                <w:sz w:val="14"/>
                <w:szCs w:val="14"/>
                <w:color w:val="auto"/>
              </w:rPr>
              <w:t>Reorganization items, net</w:t>
            </w: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right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51,036</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(Loss) income from continuing operations before provision for income taxes</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(18,854)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tcBorders>
              <w:right w:val="single" w:sz="8" w:color="auto"/>
            </w:tcBorders>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(6,300)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45,095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40" w:type="dxa"/>
            <w:vAlign w:val="bottom"/>
            <w:tcBorders>
              <w:top w:val="single" w:sz="8" w:color="CFF0FC"/>
            </w:tcBorders>
          </w:tcPr>
          <w:p>
            <w:pPr>
              <w:ind w:left="40"/>
              <w:spacing w:after="0" w:line="157" w:lineRule="exact"/>
              <w:rPr>
                <w:sz w:val="20"/>
                <w:szCs w:val="20"/>
                <w:color w:val="auto"/>
              </w:rPr>
            </w:pPr>
            <w:r>
              <w:rPr>
                <w:rFonts w:ascii="Arial" w:cs="Arial" w:eastAsia="Arial" w:hAnsi="Arial"/>
                <w:sz w:val="14"/>
                <w:szCs w:val="14"/>
                <w:color w:val="auto"/>
              </w:rPr>
              <w:t>Provision for income taxes from continuing operations</w:t>
            </w: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192</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150</w:t>
            </w:r>
          </w:p>
        </w:tc>
        <w:tc>
          <w:tcPr>
            <w:tcW w:w="260" w:type="dxa"/>
            <w:vAlign w:val="bottom"/>
            <w:tcBorders>
              <w:top w:val="single" w:sz="8" w:color="CFF0FC"/>
              <w:right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 from continuing operations</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(19,046)</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(6,450)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5940" w:type="dxa"/>
            <w:vAlign w:val="bottom"/>
          </w:tcPr>
          <w:p>
            <w:pPr>
              <w:spacing w:after="0" w:line="141" w:lineRule="exact"/>
              <w:rPr>
                <w:sz w:val="20"/>
                <w:szCs w:val="20"/>
                <w:color w:val="auto"/>
              </w:rPr>
            </w:pPr>
            <w:r>
              <w:rPr>
                <w:rFonts w:ascii="Arial" w:cs="Arial" w:eastAsia="Arial" w:hAnsi="Arial"/>
                <w:sz w:val="14"/>
                <w:szCs w:val="14"/>
                <w:color w:val="auto"/>
              </w:rPr>
              <w:t>Net (loss) income from discontinued operations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right"/>
              <w:spacing w:after="0" w:line="141" w:lineRule="exact"/>
              <w:rPr>
                <w:sz w:val="20"/>
                <w:szCs w:val="20"/>
                <w:color w:val="auto"/>
              </w:rPr>
            </w:pPr>
            <w:r>
              <w:rPr>
                <w:rFonts w:ascii="Arial" w:cs="Arial" w:eastAsia="Arial" w:hAnsi="Arial"/>
                <w:sz w:val="14"/>
                <w:szCs w:val="14"/>
                <w:color w:val="auto"/>
              </w:rPr>
              <w:t>99</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(loss) income</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line="141" w:lineRule="exact"/>
              <w:rPr>
                <w:sz w:val="20"/>
                <w:szCs w:val="20"/>
                <w:color w:val="auto"/>
              </w:rPr>
            </w:pPr>
            <w:r>
              <w:rPr>
                <w:rFonts w:ascii="Arial" w:cs="Arial" w:eastAsia="Arial" w:hAnsi="Arial"/>
                <w:sz w:val="14"/>
                <w:szCs w:val="14"/>
                <w:color w:val="auto"/>
              </w:rPr>
              <w:t>(19,058)</w:t>
            </w:r>
          </w:p>
        </w:tc>
        <w:tc>
          <w:tcPr>
            <w:tcW w:w="240" w:type="dxa"/>
            <w:vAlign w:val="bottom"/>
            <w:gridSpan w:val="2"/>
            <w:shd w:val="clear" w:color="auto" w:fill="CFF0FC"/>
          </w:tcPr>
          <w:p>
            <w:pPr>
              <w:ind w:left="100"/>
              <w:spacing w:after="0" w:line="141" w:lineRule="exact"/>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gridSpan w:val="2"/>
            <w:shd w:val="clear" w:color="auto" w:fill="CFF0FC"/>
          </w:tcPr>
          <w:p>
            <w:pPr>
              <w:jc w:val="right"/>
              <w:ind w:right="220"/>
              <w:spacing w:after="0" w:line="141" w:lineRule="exact"/>
              <w:rPr>
                <w:sz w:val="20"/>
                <w:szCs w:val="20"/>
                <w:color w:val="auto"/>
              </w:rPr>
            </w:pPr>
            <w:r>
              <w:rPr>
                <w:rFonts w:ascii="Arial" w:cs="Arial" w:eastAsia="Arial" w:hAnsi="Arial"/>
                <w:sz w:val="14"/>
                <w:szCs w:val="14"/>
                <w:color w:val="auto"/>
              </w:rPr>
              <w:t>(6,351)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45,086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5940" w:type="dxa"/>
            <w:vAlign w:val="bottom"/>
          </w:tcPr>
          <w:p>
            <w:pPr>
              <w:spacing w:after="0" w:line="141" w:lineRule="exact"/>
              <w:rPr>
                <w:sz w:val="20"/>
                <w:szCs w:val="20"/>
                <w:color w:val="auto"/>
              </w:rPr>
            </w:pPr>
            <w:r>
              <w:rPr>
                <w:rFonts w:ascii="Arial" w:cs="Arial" w:eastAsia="Arial" w:hAnsi="Arial"/>
                <w:sz w:val="14"/>
                <w:szCs w:val="14"/>
                <w:color w:val="auto"/>
              </w:rPr>
              <w:t>Preferred stock dividends attributable to noncontrolling interests of subsidiary</w:t>
            </w:r>
          </w:p>
        </w:tc>
        <w:tc>
          <w:tcPr>
            <w:tcW w:w="24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(571)</w:t>
            </w:r>
          </w:p>
        </w:tc>
        <w:tc>
          <w:tcPr>
            <w:tcW w:w="24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gridSpan w:val="2"/>
          </w:tcPr>
          <w:p>
            <w:pPr>
              <w:jc w:val="right"/>
              <w:ind w:right="280"/>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jc w:val="right"/>
              <w:spacing w:after="0" w:line="141" w:lineRule="exact"/>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Net (loss) income attributable to controlling interest and common shareholders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line="141" w:lineRule="exact"/>
              <w:rPr>
                <w:sz w:val="20"/>
                <w:szCs w:val="20"/>
                <w:color w:val="auto"/>
              </w:rPr>
            </w:pPr>
            <w:r>
              <w:rPr>
                <w:rFonts w:ascii="Arial" w:cs="Arial" w:eastAsia="Arial" w:hAnsi="Arial"/>
                <w:sz w:val="14"/>
                <w:szCs w:val="14"/>
                <w:color w:val="auto"/>
              </w:rPr>
              <w:t>(19,629)</w:t>
            </w:r>
          </w:p>
        </w:tc>
        <w:tc>
          <w:tcPr>
            <w:tcW w:w="240" w:type="dxa"/>
            <w:vAlign w:val="bottom"/>
            <w:gridSpan w:val="2"/>
            <w:shd w:val="clear" w:color="auto" w:fill="CFF0FC"/>
          </w:tcPr>
          <w:p>
            <w:pPr>
              <w:ind w:left="100"/>
              <w:spacing w:after="0" w:line="141" w:lineRule="exact"/>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gridSpan w:val="2"/>
            <w:shd w:val="clear" w:color="auto" w:fill="CFF0FC"/>
          </w:tcPr>
          <w:p>
            <w:pPr>
              <w:jc w:val="right"/>
              <w:ind w:right="220"/>
              <w:spacing w:after="0" w:line="141" w:lineRule="exact"/>
              <w:rPr>
                <w:sz w:val="20"/>
                <w:szCs w:val="20"/>
                <w:color w:val="auto"/>
              </w:rPr>
            </w:pPr>
            <w:r>
              <w:rPr>
                <w:rFonts w:ascii="Arial" w:cs="Arial" w:eastAsia="Arial" w:hAnsi="Arial"/>
                <w:sz w:val="14"/>
                <w:szCs w:val="14"/>
                <w:color w:val="auto"/>
              </w:rPr>
              <w:t>(6,351)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line="141" w:lineRule="exact"/>
              <w:rPr>
                <w:sz w:val="20"/>
                <w:szCs w:val="20"/>
                <w:color w:val="auto"/>
              </w:rPr>
            </w:pPr>
            <w:r>
              <w:rPr>
                <w:rFonts w:ascii="Arial" w:cs="Arial" w:eastAsia="Arial" w:hAnsi="Arial"/>
                <w:sz w:val="14"/>
                <w:szCs w:val="14"/>
                <w:color w:val="auto"/>
              </w:rPr>
              <w:t>45,086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-3559175</wp:posOffset>
            </wp:positionV>
            <wp:extent cx="673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-3559175</wp:posOffset>
            </wp:positionV>
            <wp:extent cx="673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-3559175</wp:posOffset>
            </wp:positionV>
            <wp:extent cx="673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-3123565</wp:posOffset>
            </wp:positionV>
            <wp:extent cx="673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-3123565</wp:posOffset>
            </wp:positionV>
            <wp:extent cx="673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-3123565</wp:posOffset>
            </wp:positionV>
            <wp:extent cx="673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-1200785</wp:posOffset>
            </wp:positionV>
            <wp:extent cx="673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-1200785</wp:posOffset>
            </wp:positionV>
            <wp:extent cx="6731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-1200785</wp:posOffset>
            </wp:positionV>
            <wp:extent cx="673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-975360</wp:posOffset>
            </wp:positionV>
            <wp:extent cx="6731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-975360</wp:posOffset>
            </wp:positionV>
            <wp:extent cx="6731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-975360</wp:posOffset>
            </wp:positionV>
            <wp:extent cx="673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-750570</wp:posOffset>
            </wp:positionV>
            <wp:extent cx="673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-750570</wp:posOffset>
            </wp:positionV>
            <wp:extent cx="673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-750570</wp:posOffset>
            </wp:positionV>
            <wp:extent cx="673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-532765</wp:posOffset>
            </wp:positionV>
            <wp:extent cx="673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-517525</wp:posOffset>
            </wp:positionV>
            <wp:extent cx="673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-532765</wp:posOffset>
            </wp:positionV>
            <wp:extent cx="673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-517525</wp:posOffset>
            </wp:positionV>
            <wp:extent cx="673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-532765</wp:posOffset>
            </wp:positionV>
            <wp:extent cx="673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-517525</wp:posOffset>
            </wp:positionV>
            <wp:extent cx="673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-277495</wp:posOffset>
            </wp:positionV>
            <wp:extent cx="673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-262255</wp:posOffset>
            </wp:positionV>
            <wp:extent cx="673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-277495</wp:posOffset>
            </wp:positionV>
            <wp:extent cx="673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-262255</wp:posOffset>
            </wp:positionV>
            <wp:extent cx="673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-277495</wp:posOffset>
            </wp:positionV>
            <wp:extent cx="6731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-262255</wp:posOffset>
            </wp:positionV>
            <wp:extent cx="673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-21590</wp:posOffset>
            </wp:positionV>
            <wp:extent cx="673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-6985</wp:posOffset>
            </wp:positionV>
            <wp:extent cx="673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-21590</wp:posOffset>
            </wp:positionV>
            <wp:extent cx="673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-6985</wp:posOffset>
            </wp:positionV>
            <wp:extent cx="673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6"/>
          <w:szCs w:val="16"/>
          <w:b w:val="1"/>
          <w:bCs w:val="1"/>
          <w:color w:val="auto"/>
        </w:rPr>
        <w:t>VROOM,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CONSOLIDATED STATEMENTS OF OPERATIONS (continued)</w:t>
      </w:r>
    </w:p>
    <w:p>
      <w:pPr>
        <w:jc w:val="center"/>
        <w:ind w:right="-59"/>
        <w:spacing w:after="0" w:line="237" w:lineRule="auto"/>
        <w:rPr>
          <w:sz w:val="20"/>
          <w:szCs w:val="20"/>
          <w:color w:val="auto"/>
        </w:rPr>
      </w:pPr>
      <w:r>
        <w:rPr>
          <w:rFonts w:ascii="Arial" w:cs="Arial" w:eastAsia="Arial" w:hAnsi="Arial"/>
          <w:sz w:val="16"/>
          <w:szCs w:val="16"/>
          <w:b w:val="1"/>
          <w:bCs w:val="1"/>
          <w:color w:val="auto"/>
        </w:rPr>
        <w:t>(in thousands, except share and per share amounts)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00"/>
          </w:cols>
          <w:pgMar w:left="320" w:top="105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 attributable to common stockholders,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49465" cy="1054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0541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Continuing operations</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49465" cy="1276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Basic</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 attributable to common stockholders,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49465" cy="1054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0541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Continuing operations</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49465" cy="1276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Diluted</w:t>
      </w:r>
    </w:p>
    <w:p>
      <w:pPr>
        <w:spacing w:after="0" w:line="19" w:lineRule="exact"/>
        <w:rPr>
          <w:sz w:val="20"/>
          <w:szCs w:val="20"/>
          <w:color w:val="auto"/>
        </w:rPr>
      </w:pPr>
    </w:p>
    <w:p>
      <w:pPr>
        <w:ind w:firstLine="39"/>
        <w:spacing w:after="0" w:line="246" w:lineRule="auto"/>
        <w:rPr>
          <w:sz w:val="20"/>
          <w:szCs w:val="20"/>
          <w:color w:val="auto"/>
        </w:rPr>
      </w:pPr>
      <w:r>
        <w:rPr>
          <w:rFonts w:ascii="Arial" w:cs="Arial" w:eastAsia="Arial" w:hAnsi="Arial"/>
          <w:sz w:val="14"/>
          <w:szCs w:val="14"/>
          <w:color w:val="auto"/>
        </w:rPr>
        <w:t>Weighted-average number of shares outstanding used to compute net (loss) income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49465" cy="1054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0541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Basic</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Diluted</w:t>
      </w:r>
    </w:p>
    <w:p>
      <w:pPr>
        <w:spacing w:after="0" w:line="17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6"/>
          </w:tcPr>
          <w:p>
            <w:pPr>
              <w:ind w:left="980"/>
              <w:spacing w:after="0"/>
              <w:rPr>
                <w:sz w:val="20"/>
                <w:szCs w:val="20"/>
                <w:color w:val="auto"/>
              </w:rPr>
            </w:pPr>
            <w:r>
              <w:rPr>
                <w:rFonts w:ascii="Arial" w:cs="Arial" w:eastAsia="Arial" w:hAnsi="Arial"/>
                <w:sz w:val="13"/>
                <w:szCs w:val="13"/>
                <w:b w:val="1"/>
                <w:bCs w:val="1"/>
                <w:color w:val="auto"/>
              </w:rPr>
              <w:t>Successor</w:t>
            </w:r>
          </w:p>
        </w:tc>
        <w:tc>
          <w:tcPr>
            <w:tcW w:w="8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Predecessor</w:t>
            </w:r>
          </w:p>
        </w:tc>
      </w:tr>
      <w:tr>
        <w:trPr>
          <w:trHeight w:val="126"/>
        </w:trPr>
        <w:tc>
          <w:tcPr>
            <w:tcW w:w="2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rPr>
              <w:t>Three months ended</w:t>
            </w:r>
          </w:p>
        </w:tc>
        <w:tc>
          <w:tcPr>
            <w:tcW w:w="148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3"/>
                <w:szCs w:val="13"/>
                <w:b w:val="1"/>
                <w:bCs w:val="1"/>
                <w:color w:val="auto"/>
                <w:w w:val="99"/>
              </w:rPr>
              <w:t>Period from January 15</w:t>
            </w:r>
          </w:p>
        </w:tc>
        <w:tc>
          <w:tcPr>
            <w:tcW w:w="2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52"/>
              <w:spacing w:after="0" w:line="126" w:lineRule="exact"/>
              <w:rPr>
                <w:sz w:val="20"/>
                <w:szCs w:val="20"/>
                <w:color w:val="auto"/>
              </w:rPr>
            </w:pPr>
            <w:r>
              <w:rPr>
                <w:rFonts w:ascii="Arial" w:cs="Arial" w:eastAsia="Arial" w:hAnsi="Arial"/>
                <w:sz w:val="13"/>
                <w:szCs w:val="13"/>
                <w:b w:val="1"/>
                <w:bCs w:val="1"/>
                <w:color w:val="auto"/>
                <w:w w:val="97"/>
              </w:rPr>
              <w:t>Period from January 1</w:t>
            </w:r>
          </w:p>
        </w:tc>
        <w:tc>
          <w:tcPr>
            <w:tcW w:w="60" w:type="dxa"/>
            <w:vAlign w:val="bottom"/>
          </w:tcPr>
          <w:p>
            <w:pPr>
              <w:spacing w:after="0"/>
              <w:rPr>
                <w:sz w:val="10"/>
                <w:szCs w:val="10"/>
                <w:color w:val="auto"/>
              </w:rPr>
            </w:pPr>
          </w:p>
        </w:tc>
      </w:tr>
      <w:tr>
        <w:trPr>
          <w:trHeight w:val="15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3"/>
                <w:szCs w:val="13"/>
                <w:color w:val="auto"/>
              </w:rPr>
            </w:pPr>
          </w:p>
        </w:tc>
        <w:tc>
          <w:tcPr>
            <w:tcW w:w="16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w w:val="99"/>
              </w:rPr>
              <w:t>through March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through January 14,</w:t>
            </w:r>
          </w:p>
        </w:tc>
      </w:tr>
      <w:tr>
        <w:trPr>
          <w:trHeight w:val="146"/>
        </w:trPr>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1"/>
              <w:spacing w:after="0" w:line="146" w:lineRule="exact"/>
              <w:rPr>
                <w:sz w:val="20"/>
                <w:szCs w:val="20"/>
                <w:color w:val="auto"/>
              </w:rPr>
            </w:pPr>
            <w:r>
              <w:rPr>
                <w:rFonts w:ascii="Arial" w:cs="Arial" w:eastAsia="Arial" w:hAnsi="Arial"/>
                <w:sz w:val="13"/>
                <w:szCs w:val="13"/>
                <w:b w:val="1"/>
                <w:bCs w:val="1"/>
                <w:color w:val="auto"/>
              </w:rPr>
              <w:t>2026</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31"/>
              <w:spacing w:after="0" w:line="146" w:lineRule="exact"/>
              <w:rPr>
                <w:sz w:val="20"/>
                <w:szCs w:val="20"/>
                <w:color w:val="auto"/>
              </w:rPr>
            </w:pPr>
            <w:r>
              <w:rPr>
                <w:rFonts w:ascii="Arial" w:cs="Arial" w:eastAsia="Arial" w:hAnsi="Arial"/>
                <w:sz w:val="13"/>
                <w:szCs w:val="13"/>
                <w:b w:val="1"/>
                <w:bCs w:val="1"/>
                <w:color w:val="auto"/>
              </w:rPr>
              <w:t>2025</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6"/>
              </w:rPr>
              <w:t>2025</w:t>
            </w:r>
          </w:p>
        </w:tc>
        <w:tc>
          <w:tcPr>
            <w:tcW w:w="60" w:type="dxa"/>
            <w:vAlign w:val="bottom"/>
          </w:tcPr>
          <w:p>
            <w:pPr>
              <w:spacing w:after="0"/>
              <w:rPr>
                <w:sz w:val="12"/>
                <w:szCs w:val="12"/>
                <w:color w:val="auto"/>
              </w:rPr>
            </w:pPr>
          </w:p>
        </w:tc>
      </w:tr>
      <w:tr>
        <w:trPr>
          <w:trHeight w:val="31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(3.77)</w:t>
            </w:r>
          </w:p>
        </w:tc>
        <w:tc>
          <w:tcPr>
            <w:tcW w:w="140" w:type="dxa"/>
            <w:vAlign w:val="bottom"/>
          </w:tcPr>
          <w:p>
            <w:pPr>
              <w:spacing w:after="0"/>
              <w:rPr>
                <w:sz w:val="24"/>
                <w:szCs w:val="24"/>
                <w:color w:val="auto"/>
              </w:rPr>
            </w:pPr>
          </w:p>
        </w:tc>
        <w:tc>
          <w:tcPr>
            <w:tcW w:w="16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24.74</w:t>
            </w:r>
          </w:p>
        </w:tc>
        <w:tc>
          <w:tcPr>
            <w:tcW w:w="6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57"/>
        </w:trPr>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(3.77)</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(1.23)</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24.74</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(3.77)</w:t>
            </w:r>
          </w:p>
        </w:tc>
        <w:tc>
          <w:tcPr>
            <w:tcW w:w="140" w:type="dxa"/>
            <w:vAlign w:val="bottom"/>
          </w:tcPr>
          <w:p>
            <w:pPr>
              <w:spacing w:after="0"/>
              <w:rPr>
                <w:sz w:val="24"/>
                <w:szCs w:val="24"/>
                <w:color w:val="auto"/>
              </w:rPr>
            </w:pPr>
          </w:p>
        </w:tc>
        <w:tc>
          <w:tcPr>
            <w:tcW w:w="16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23.89</w:t>
            </w:r>
          </w:p>
        </w:tc>
        <w:tc>
          <w:tcPr>
            <w:tcW w:w="6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57"/>
        </w:trPr>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(3.77)</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(1.23)</w:t>
            </w:r>
          </w:p>
        </w:tc>
        <w:tc>
          <w:tcPr>
            <w:tcW w:w="2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23.89</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5,201,905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5,163,109</w:t>
            </w:r>
          </w:p>
        </w:tc>
        <w:tc>
          <w:tcPr>
            <w:tcW w:w="2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1,822,541</w:t>
            </w:r>
          </w:p>
        </w:tc>
        <w:tc>
          <w:tcPr>
            <w:tcW w:w="6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5,201,905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5,163,109</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1,887,370</w:t>
            </w:r>
          </w:p>
        </w:tc>
        <w:tc>
          <w:tcPr>
            <w:tcW w:w="60" w:type="dxa"/>
            <w:vAlign w:val="bottom"/>
          </w:tcPr>
          <w:p>
            <w:pPr>
              <w:spacing w:after="0"/>
              <w:rPr>
                <w:sz w:val="15"/>
                <w:szCs w:val="15"/>
                <w:color w:val="auto"/>
              </w:rPr>
            </w:pPr>
          </w:p>
        </w:tc>
      </w:tr>
    </w:tbl>
    <w:p>
      <w:pPr>
        <w:sectPr>
          <w:pgSz w:w="11900" w:h="16838" w:orient="portrait"/>
          <w:cols w:equalWidth="0" w:num="2">
            <w:col w:w="5960" w:space="240"/>
            <w:col w:w="5000"/>
          </w:cols>
          <w:pgMar w:left="320" w:top="1057" w:right="37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jc w:val="center"/>
        <w:ind w:right="20"/>
        <w:spacing w:after="0" w:line="231" w:lineRule="auto"/>
        <w:rPr>
          <w:sz w:val="20"/>
          <w:szCs w:val="20"/>
          <w:color w:val="auto"/>
        </w:rPr>
      </w:pPr>
      <w:r>
        <w:rPr>
          <w:rFonts w:ascii="Arial" w:cs="Arial" w:eastAsia="Arial" w:hAnsi="Arial"/>
          <w:sz w:val="16"/>
          <w:szCs w:val="16"/>
          <w:b w:val="1"/>
          <w:bCs w:val="1"/>
          <w:color w:val="auto"/>
        </w:rPr>
        <w:t>(in thousands)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3"/>
          </w:tcPr>
          <w:p>
            <w:pPr>
              <w:jc w:val="right"/>
              <w:ind w:right="137"/>
              <w:spacing w:after="0"/>
              <w:rPr>
                <w:sz w:val="20"/>
                <w:szCs w:val="20"/>
                <w:color w:val="auto"/>
              </w:rPr>
            </w:pPr>
            <w:r>
              <w:rPr>
                <w:rFonts w:ascii="Arial" w:cs="Arial" w:eastAsia="Arial" w:hAnsi="Arial"/>
                <w:sz w:val="13"/>
                <w:szCs w:val="13"/>
                <w:b w:val="1"/>
                <w:bCs w:val="1"/>
                <w:color w:val="auto"/>
              </w:rPr>
              <w:t>Successor</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w w:val="96"/>
              </w:rPr>
              <w:t>Three months ended</w:t>
            </w:r>
          </w:p>
        </w:tc>
        <w:tc>
          <w:tcPr>
            <w:tcW w:w="138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3"/>
                <w:szCs w:val="13"/>
                <w:b w:val="1"/>
                <w:bCs w:val="1"/>
                <w:color w:val="auto"/>
              </w:rPr>
              <w:t>Period from January</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3"/>
                <w:szCs w:val="13"/>
                <w:b w:val="1"/>
                <w:bCs w:val="1"/>
                <w:color w:val="auto"/>
                <w:w w:val="97"/>
              </w:rPr>
              <w:t>Period from January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March 31,</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15 through March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through January 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537"/>
              <w:spacing w:after="0" w:line="134" w:lineRule="exact"/>
              <w:rPr>
                <w:sz w:val="20"/>
                <w:szCs w:val="20"/>
                <w:color w:val="auto"/>
              </w:rPr>
            </w:pPr>
            <w:r>
              <w:rPr>
                <w:rFonts w:ascii="Arial" w:cs="Arial" w:eastAsia="Arial" w:hAnsi="Arial"/>
                <w:sz w:val="13"/>
                <w:szCs w:val="13"/>
                <w:b w:val="1"/>
                <w:bCs w:val="1"/>
                <w:color w:val="auto"/>
              </w:rPr>
              <w:t>2026</w:t>
            </w:r>
          </w:p>
        </w:tc>
        <w:tc>
          <w:tcPr>
            <w:tcW w:w="24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97"/>
              <w:spacing w:after="0" w:line="134" w:lineRule="exact"/>
              <w:rPr>
                <w:sz w:val="20"/>
                <w:szCs w:val="20"/>
                <w:color w:val="auto"/>
              </w:rPr>
            </w:pPr>
            <w:r>
              <w:rPr>
                <w:rFonts w:ascii="Arial" w:cs="Arial" w:eastAsia="Arial" w:hAnsi="Arial"/>
                <w:sz w:val="13"/>
                <w:szCs w:val="13"/>
                <w:b w:val="1"/>
                <w:bCs w:val="1"/>
                <w:color w:val="auto"/>
              </w:rPr>
              <w:t>2025</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jc w:val="center"/>
              <w:ind w:right="37"/>
              <w:spacing w:after="0" w:line="134" w:lineRule="exact"/>
              <w:rPr>
                <w:sz w:val="20"/>
                <w:szCs w:val="20"/>
                <w:color w:val="auto"/>
              </w:rPr>
            </w:pPr>
            <w:r>
              <w:rPr>
                <w:rFonts w:ascii="Arial" w:cs="Arial" w:eastAsia="Arial" w:hAnsi="Arial"/>
                <w:sz w:val="13"/>
                <w:szCs w:val="13"/>
                <w:b w:val="1"/>
                <w:bCs w:val="1"/>
                <w:color w:val="auto"/>
                <w:w w:val="96"/>
              </w:rPr>
              <w:t>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80" w:type="dxa"/>
            <w:vAlign w:val="bottom"/>
            <w:shd w:val="clear" w:color="auto" w:fill="CFF0FC"/>
          </w:tcPr>
          <w:p>
            <w:pPr>
              <w:spacing w:after="0" w:line="134" w:lineRule="exact"/>
              <w:rPr>
                <w:sz w:val="20"/>
                <w:szCs w:val="20"/>
                <w:color w:val="auto"/>
              </w:rPr>
            </w:pPr>
            <w:r>
              <w:rPr>
                <w:rFonts w:ascii="Arial" w:cs="Arial" w:eastAsia="Arial" w:hAnsi="Arial"/>
                <w:sz w:val="13"/>
                <w:szCs w:val="13"/>
                <w:b w:val="1"/>
                <w:bCs w:val="1"/>
                <w:color w:val="auto"/>
              </w:rPr>
              <w:t>Operating activities</w:t>
            </w:r>
          </w:p>
        </w:tc>
        <w:tc>
          <w:tcPr>
            <w:tcW w:w="8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Net (loss) income from continuing operations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6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(19,046)</w:t>
            </w:r>
          </w:p>
        </w:tc>
        <w:tc>
          <w:tcPr>
            <w:tcW w:w="340" w:type="dxa"/>
            <w:vAlign w:val="bottom"/>
          </w:tcPr>
          <w:p>
            <w:pPr>
              <w:jc w:val="right"/>
              <w:ind w:right="197"/>
              <w:spacing w:after="0" w:line="142" w:lineRule="exact"/>
              <w:rPr>
                <w:sz w:val="20"/>
                <w:szCs w:val="20"/>
                <w:color w:val="auto"/>
              </w:rPr>
            </w:pPr>
            <w:r>
              <w:rPr>
                <w:rFonts w:ascii="Arial" w:cs="Arial" w:eastAsia="Arial" w:hAnsi="Arial"/>
                <w:sz w:val="13"/>
                <w:szCs w:val="13"/>
                <w:color w:val="auto"/>
                <w:w w:val="82"/>
              </w:rPr>
              <w:t>$</w:t>
            </w:r>
          </w:p>
        </w:tc>
        <w:tc>
          <w:tcPr>
            <w:tcW w:w="12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(6,450)</w:t>
            </w:r>
          </w:p>
        </w:tc>
        <w:tc>
          <w:tcPr>
            <w:tcW w:w="2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45,090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Adjustments to reconcile net (loss) income to net cash used in operating activities: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Impairment charges</w:t>
            </w:r>
          </w:p>
        </w:tc>
        <w:tc>
          <w:tcPr>
            <w:tcW w:w="80" w:type="dxa"/>
            <w:vAlign w:val="bottom"/>
          </w:tcPr>
          <w:p>
            <w:pPr>
              <w:spacing w:after="0"/>
              <w:rPr>
                <w:sz w:val="12"/>
                <w:szCs w:val="12"/>
                <w:color w:val="auto"/>
              </w:rPr>
            </w:pPr>
          </w:p>
        </w:tc>
        <w:tc>
          <w:tcPr>
            <w:tcW w:w="16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4,156</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1,340</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575</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Losses on finance receivables and securitization debt, net</w:t>
            </w:r>
          </w:p>
        </w:tc>
        <w:tc>
          <w:tcPr>
            <w:tcW w:w="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28,862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17,575</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4,762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Losses on Warranties and GAP</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1,764</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1,780</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Stock-based compensation expense</w:t>
            </w:r>
          </w:p>
        </w:tc>
        <w:tc>
          <w:tcPr>
            <w:tcW w:w="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1,427</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491</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Amortization of unearned discounts on finance receivables at fair value</w:t>
            </w:r>
          </w:p>
        </w:tc>
        <w:tc>
          <w:tcPr>
            <w:tcW w:w="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2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Non-cash reorganization items, net</w:t>
            </w:r>
          </w:p>
        </w:tc>
        <w:tc>
          <w:tcPr>
            <w:tcW w:w="80" w:type="dxa"/>
            <w:vAlign w:val="bottom"/>
          </w:tcPr>
          <w:p>
            <w:pPr>
              <w:spacing w:after="0"/>
              <w:rPr>
                <w:sz w:val="12"/>
                <w:szCs w:val="12"/>
                <w:color w:val="auto"/>
              </w:rPr>
            </w:pPr>
          </w:p>
        </w:tc>
        <w:tc>
          <w:tcPr>
            <w:tcW w:w="16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(51,741)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Other, net</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88</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(652)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Changes in operating assets and liabilities:</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i w:val="1"/>
                <w:iCs w:val="1"/>
                <w:color w:val="auto"/>
              </w:rPr>
              <w:t>Finance receivables, held for sale</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ind w:left="40"/>
              <w:spacing w:after="0" w:line="142" w:lineRule="exact"/>
              <w:rPr>
                <w:sz w:val="20"/>
                <w:szCs w:val="20"/>
                <w:color w:val="auto"/>
              </w:rPr>
            </w:pPr>
            <w:r>
              <w:rPr>
                <w:rFonts w:ascii="Arial" w:cs="Arial" w:eastAsia="Arial" w:hAnsi="Arial"/>
                <w:sz w:val="13"/>
                <w:szCs w:val="13"/>
                <w:color w:val="auto"/>
              </w:rPr>
              <w:t>Originations of finance receivables, held for sale</w:t>
            </w:r>
          </w:p>
        </w:tc>
        <w:tc>
          <w:tcPr>
            <w:tcW w:w="80" w:type="dxa"/>
            <w:vAlign w:val="bottom"/>
          </w:tcPr>
          <w:p>
            <w:pPr>
              <w:spacing w:after="0"/>
              <w:rPr>
                <w:sz w:val="12"/>
                <w:szCs w:val="12"/>
                <w:color w:val="auto"/>
              </w:rPr>
            </w:pPr>
          </w:p>
        </w:tc>
        <w:tc>
          <w:tcPr>
            <w:tcW w:w="16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(14,337)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Principal payments received on finance receivables, held for sale</w:t>
            </w:r>
          </w:p>
        </w:tc>
        <w:tc>
          <w:tcPr>
            <w:tcW w:w="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2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6,481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ind w:left="40"/>
              <w:spacing w:after="0" w:line="142"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2"/>
                <w:szCs w:val="12"/>
                <w:color w:val="auto"/>
              </w:rPr>
            </w:pPr>
          </w:p>
        </w:tc>
        <w:tc>
          <w:tcPr>
            <w:tcW w:w="16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169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Interest receivable</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1,307</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1,443</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859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(3,575)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5,178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Other liabilities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1,674</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1,946</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(2,627)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80" w:type="dxa"/>
            <w:vAlign w:val="bottom"/>
          </w:tcPr>
          <w:p>
            <w:pPr>
              <w:spacing w:after="0" w:line="134" w:lineRule="exact"/>
              <w:rPr>
                <w:sz w:val="20"/>
                <w:szCs w:val="20"/>
                <w:color w:val="auto"/>
              </w:rPr>
            </w:pPr>
            <w:r>
              <w:rPr>
                <w:rFonts w:ascii="Arial" w:cs="Arial" w:eastAsia="Arial" w:hAnsi="Arial"/>
                <w:sz w:val="13"/>
                <w:szCs w:val="13"/>
                <w:color w:val="auto"/>
              </w:rPr>
              <w:t>Net cash provided by (used in) operating activities from continuing operations</w:t>
            </w:r>
          </w:p>
        </w:tc>
        <w:tc>
          <w:tcPr>
            <w:tcW w:w="80" w:type="dxa"/>
            <w:vAlign w:val="bottom"/>
          </w:tcPr>
          <w:p>
            <w:pPr>
              <w:spacing w:after="0"/>
              <w:rPr>
                <w:sz w:val="11"/>
                <w:szCs w:val="11"/>
                <w:color w:val="auto"/>
              </w:rPr>
            </w:pPr>
          </w:p>
        </w:tc>
        <w:tc>
          <w:tcPr>
            <w:tcW w:w="1400" w:type="dxa"/>
            <w:vAlign w:val="bottom"/>
          </w:tcPr>
          <w:p>
            <w:pPr>
              <w:jc w:val="right"/>
              <w:spacing w:after="0" w:line="134" w:lineRule="exact"/>
              <w:rPr>
                <w:sz w:val="20"/>
                <w:szCs w:val="20"/>
                <w:color w:val="auto"/>
              </w:rPr>
            </w:pPr>
            <w:r>
              <w:rPr>
                <w:rFonts w:ascii="Arial" w:cs="Arial" w:eastAsia="Arial" w:hAnsi="Arial"/>
                <w:sz w:val="13"/>
                <w:szCs w:val="13"/>
                <w:color w:val="auto"/>
              </w:rPr>
              <w:t>18,275</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17,289</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(5,804)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cash provided by (used in) operating activities from discontinued operations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133</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(452)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80" w:type="dxa"/>
            <w:vAlign w:val="bottom"/>
          </w:tcPr>
          <w:p>
            <w:pPr>
              <w:spacing w:after="0" w:line="134" w:lineRule="exact"/>
              <w:rPr>
                <w:sz w:val="20"/>
                <w:szCs w:val="20"/>
                <w:color w:val="auto"/>
              </w:rPr>
            </w:pPr>
            <w:r>
              <w:rPr>
                <w:rFonts w:ascii="Arial" w:cs="Arial" w:eastAsia="Arial" w:hAnsi="Arial"/>
                <w:sz w:val="13"/>
                <w:szCs w:val="13"/>
                <w:color w:val="auto"/>
              </w:rPr>
              <w:t>Net cash provided by (used in) operating activities</w:t>
            </w:r>
          </w:p>
        </w:tc>
        <w:tc>
          <w:tcPr>
            <w:tcW w:w="80" w:type="dxa"/>
            <w:vAlign w:val="bottom"/>
          </w:tcPr>
          <w:p>
            <w:pPr>
              <w:spacing w:after="0"/>
              <w:rPr>
                <w:sz w:val="11"/>
                <w:szCs w:val="11"/>
                <w:color w:val="auto"/>
              </w:rPr>
            </w:pPr>
          </w:p>
        </w:tc>
        <w:tc>
          <w:tcPr>
            <w:tcW w:w="1400" w:type="dxa"/>
            <w:vAlign w:val="bottom"/>
          </w:tcPr>
          <w:p>
            <w:pPr>
              <w:jc w:val="right"/>
              <w:spacing w:after="0" w:line="134" w:lineRule="exact"/>
              <w:rPr>
                <w:sz w:val="20"/>
                <w:szCs w:val="20"/>
                <w:color w:val="auto"/>
              </w:rPr>
            </w:pPr>
            <w:r>
              <w:rPr>
                <w:rFonts w:ascii="Arial" w:cs="Arial" w:eastAsia="Arial" w:hAnsi="Arial"/>
                <w:sz w:val="13"/>
                <w:szCs w:val="13"/>
                <w:color w:val="auto"/>
              </w:rPr>
              <w:t>18,408</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16,837</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(6,011)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Investing activities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i w:val="1"/>
                <w:iCs w:val="1"/>
                <w:color w:val="auto"/>
              </w:rPr>
              <w:t>Finance receivables, held for investment at fair value</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rPr>
              <w:t>Purchases of finance receivables, held for investment at fair value</w:t>
            </w:r>
          </w:p>
        </w:tc>
        <w:tc>
          <w:tcPr>
            <w:tcW w:w="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(113,495)</w:t>
            </w:r>
          </w:p>
        </w:tc>
        <w:tc>
          <w:tcPr>
            <w:tcW w:w="340" w:type="dxa"/>
            <w:vAlign w:val="bottom"/>
            <w:shd w:val="clear" w:color="auto" w:fill="CFF0FC"/>
          </w:tcPr>
          <w:p>
            <w:pPr>
              <w:spacing w:after="0"/>
              <w:rPr>
                <w:sz w:val="12"/>
                <w:szCs w:val="12"/>
                <w:color w:val="auto"/>
              </w:rPr>
            </w:pPr>
          </w:p>
        </w:tc>
        <w:tc>
          <w:tcPr>
            <w:tcW w:w="1280" w:type="dxa"/>
            <w:vAlign w:val="bottom"/>
            <w:tcBorders>
              <w:right w:val="single" w:sz="8" w:color="auto"/>
            </w:tcBorders>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(120,528)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ind w:left="40"/>
              <w:spacing w:after="0" w:line="142" w:lineRule="exact"/>
              <w:rPr>
                <w:sz w:val="20"/>
                <w:szCs w:val="20"/>
                <w:color w:val="auto"/>
              </w:rPr>
            </w:pPr>
            <w:r>
              <w:rPr>
                <w:rFonts w:ascii="Arial" w:cs="Arial" w:eastAsia="Arial" w:hAnsi="Arial"/>
                <w:sz w:val="13"/>
                <w:szCs w:val="13"/>
                <w:color w:val="auto"/>
              </w:rPr>
              <w:t>Principal payments received on finance receivables, held for investment at fair value</w:t>
            </w:r>
          </w:p>
        </w:tc>
        <w:tc>
          <w:tcPr>
            <w:tcW w:w="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85,765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73,217</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2,985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Principal payments received on beneficial interests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217</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446</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Purchase of property and equipment</w:t>
            </w:r>
          </w:p>
        </w:tc>
        <w:tc>
          <w:tcPr>
            <w:tcW w:w="80" w:type="dxa"/>
            <w:vAlign w:val="bottom"/>
          </w:tcPr>
          <w:p>
            <w:pPr>
              <w:spacing w:after="0"/>
              <w:rPr>
                <w:sz w:val="12"/>
                <w:szCs w:val="12"/>
                <w:color w:val="auto"/>
              </w:rPr>
            </w:pPr>
          </w:p>
        </w:tc>
        <w:tc>
          <w:tcPr>
            <w:tcW w:w="16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(1,536)</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(1,469)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6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(used in) provided by investing activities from continuing operations</w:t>
            </w:r>
          </w:p>
        </w:tc>
        <w:tc>
          <w:tcPr>
            <w:tcW w:w="80" w:type="dxa"/>
            <w:vAlign w:val="bottom"/>
            <w:shd w:val="clear" w:color="auto" w:fill="CFF0FC"/>
          </w:tcPr>
          <w:p>
            <w:pPr>
              <w:spacing w:after="0"/>
              <w:rPr>
                <w:sz w:val="11"/>
                <w:szCs w:val="11"/>
                <w:color w:val="auto"/>
              </w:rPr>
            </w:pPr>
          </w:p>
        </w:tc>
        <w:tc>
          <w:tcPr>
            <w:tcW w:w="1640" w:type="dxa"/>
            <w:vAlign w:val="bottom"/>
            <w:gridSpan w:val="2"/>
            <w:shd w:val="clear" w:color="auto" w:fill="CFF0FC"/>
          </w:tcPr>
          <w:p>
            <w:pPr>
              <w:jc w:val="right"/>
              <w:ind w:right="180"/>
              <w:spacing w:after="0" w:line="134" w:lineRule="exact"/>
              <w:rPr>
                <w:sz w:val="20"/>
                <w:szCs w:val="20"/>
                <w:color w:val="auto"/>
              </w:rPr>
            </w:pPr>
            <w:r>
              <w:rPr>
                <w:rFonts w:ascii="Arial" w:cs="Arial" w:eastAsia="Arial" w:hAnsi="Arial"/>
                <w:sz w:val="13"/>
                <w:szCs w:val="13"/>
                <w:color w:val="auto"/>
              </w:rPr>
              <w:t>(29,049)</w:t>
            </w:r>
          </w:p>
        </w:tc>
        <w:tc>
          <w:tcPr>
            <w:tcW w:w="340" w:type="dxa"/>
            <w:vAlign w:val="bottom"/>
            <w:shd w:val="clear" w:color="auto" w:fill="CFF0FC"/>
          </w:tcPr>
          <w:p>
            <w:pPr>
              <w:spacing w:after="0"/>
              <w:rPr>
                <w:sz w:val="11"/>
                <w:szCs w:val="11"/>
                <w:color w:val="auto"/>
              </w:rPr>
            </w:pPr>
          </w:p>
        </w:tc>
        <w:tc>
          <w:tcPr>
            <w:tcW w:w="1280" w:type="dxa"/>
            <w:vAlign w:val="bottom"/>
            <w:tcBorders>
              <w:right w:val="single" w:sz="8" w:color="auto"/>
            </w:tcBorders>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(48,334)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Net cash provided by investing activities from discontinued operations</w:t>
            </w: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637</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cash (used in) provided by investing activities</w:t>
            </w:r>
          </w:p>
        </w:tc>
        <w:tc>
          <w:tcPr>
            <w:tcW w:w="80" w:type="dxa"/>
            <w:vAlign w:val="bottom"/>
            <w:shd w:val="clear" w:color="auto" w:fill="CFF0FC"/>
          </w:tcPr>
          <w:p>
            <w:pPr>
              <w:spacing w:after="0"/>
              <w:rPr>
                <w:sz w:val="11"/>
                <w:szCs w:val="11"/>
                <w:color w:val="auto"/>
              </w:rPr>
            </w:pPr>
          </w:p>
        </w:tc>
        <w:tc>
          <w:tcPr>
            <w:tcW w:w="1640" w:type="dxa"/>
            <w:vAlign w:val="bottom"/>
            <w:gridSpan w:val="2"/>
            <w:shd w:val="clear" w:color="auto" w:fill="CFF0FC"/>
          </w:tcPr>
          <w:p>
            <w:pPr>
              <w:jc w:val="right"/>
              <w:ind w:right="180"/>
              <w:spacing w:after="0" w:line="134" w:lineRule="exact"/>
              <w:rPr>
                <w:sz w:val="20"/>
                <w:szCs w:val="20"/>
                <w:color w:val="auto"/>
              </w:rPr>
            </w:pPr>
            <w:r>
              <w:rPr>
                <w:rFonts w:ascii="Arial" w:cs="Arial" w:eastAsia="Arial" w:hAnsi="Arial"/>
                <w:sz w:val="13"/>
                <w:szCs w:val="13"/>
                <w:color w:val="auto"/>
              </w:rPr>
              <w:t>(29,049)</w:t>
            </w:r>
          </w:p>
        </w:tc>
        <w:tc>
          <w:tcPr>
            <w:tcW w:w="340" w:type="dxa"/>
            <w:vAlign w:val="bottom"/>
            <w:shd w:val="clear" w:color="auto" w:fill="CFF0FC"/>
          </w:tcPr>
          <w:p>
            <w:pPr>
              <w:spacing w:after="0"/>
              <w:rPr>
                <w:sz w:val="11"/>
                <w:szCs w:val="11"/>
                <w:color w:val="auto"/>
              </w:rPr>
            </w:pPr>
          </w:p>
        </w:tc>
        <w:tc>
          <w:tcPr>
            <w:tcW w:w="1280" w:type="dxa"/>
            <w:vAlign w:val="bottom"/>
            <w:tcBorders>
              <w:right w:val="single" w:sz="8" w:color="auto"/>
            </w:tcBorders>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(47,697)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b w:val="1"/>
                <w:bCs w:val="1"/>
                <w:color w:val="auto"/>
              </w:rPr>
              <w:t>Financing activities</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Proceeds from borrowings under secured financing agreements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225,000</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307,780</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Principal repayment under secured financing agreements</w:t>
            </w:r>
          </w:p>
        </w:tc>
        <w:tc>
          <w:tcPr>
            <w:tcW w:w="80" w:type="dxa"/>
            <w:vAlign w:val="bottom"/>
          </w:tcPr>
          <w:p>
            <w:pPr>
              <w:spacing w:after="0"/>
              <w:rPr>
                <w:sz w:val="12"/>
                <w:szCs w:val="12"/>
                <w:color w:val="auto"/>
              </w:rPr>
            </w:pPr>
          </w:p>
        </w:tc>
        <w:tc>
          <w:tcPr>
            <w:tcW w:w="16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(65,916)</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(34,281)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(16,676)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Proceeds from financing of beneficial interests in securitizations</w:t>
            </w:r>
          </w:p>
        </w:tc>
        <w:tc>
          <w:tcPr>
            <w:tcW w:w="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16,223</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Principal repayments of financing of beneficial interests in securitizations</w:t>
            </w:r>
          </w:p>
        </w:tc>
        <w:tc>
          <w:tcPr>
            <w:tcW w:w="80" w:type="dxa"/>
            <w:vAlign w:val="bottom"/>
          </w:tcPr>
          <w:p>
            <w:pPr>
              <w:spacing w:after="0"/>
              <w:rPr>
                <w:sz w:val="12"/>
                <w:szCs w:val="12"/>
                <w:color w:val="auto"/>
              </w:rPr>
            </w:pPr>
          </w:p>
        </w:tc>
        <w:tc>
          <w:tcPr>
            <w:tcW w:w="16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(3,018)</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(2,045)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(1,028)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Proceeds from warehouse credit facilities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87,200</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88,500</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11,900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Repayments of warehouse credit facilities</w:t>
            </w:r>
          </w:p>
        </w:tc>
        <w:tc>
          <w:tcPr>
            <w:tcW w:w="80" w:type="dxa"/>
            <w:vAlign w:val="bottom"/>
          </w:tcPr>
          <w:p>
            <w:pPr>
              <w:spacing w:after="0"/>
              <w:rPr>
                <w:sz w:val="12"/>
                <w:szCs w:val="12"/>
                <w:color w:val="auto"/>
              </w:rPr>
            </w:pPr>
          </w:p>
        </w:tc>
        <w:tc>
          <w:tcPr>
            <w:tcW w:w="16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(246,372)</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(338,031)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(8,094)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Proceeds from preferred units issued to noncontrolling interests of subsidiary, net of issuance costs</w:t>
            </w:r>
          </w:p>
        </w:tc>
        <w:tc>
          <w:tcPr>
            <w:tcW w:w="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21,221</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80" w:type="dxa"/>
            <w:vAlign w:val="bottom"/>
            <w:tcBorders>
              <w:right w:val="single" w:sz="8" w:color="auto"/>
            </w:tcBorders>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Other financing activities</w:t>
            </w:r>
          </w:p>
        </w:tc>
        <w:tc>
          <w:tcPr>
            <w:tcW w:w="80" w:type="dxa"/>
            <w:vAlign w:val="bottom"/>
          </w:tcPr>
          <w:p>
            <w:pPr>
              <w:spacing w:after="0"/>
              <w:rPr>
                <w:sz w:val="12"/>
                <w:szCs w:val="12"/>
                <w:color w:val="auto"/>
              </w:rPr>
            </w:pPr>
          </w:p>
        </w:tc>
        <w:tc>
          <w:tcPr>
            <w:tcW w:w="16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(73)</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color w:val="auto"/>
              </w:rPr>
              <w:t>(1,159)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80" w:type="dxa"/>
            <w:vAlign w:val="bottom"/>
            <w:tcBorders>
              <w:top w:val="single" w:sz="8" w:color="CFF0FC"/>
              <w:bottom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Net cash provided by (used in) financing activities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40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18,042</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34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36,987</w:t>
            </w:r>
          </w:p>
        </w:tc>
        <w:tc>
          <w:tcPr>
            <w:tcW w:w="240" w:type="dxa"/>
            <w:vAlign w:val="bottom"/>
            <w:tcBorders>
              <w:top w:val="single" w:sz="8" w:color="CFF0FC"/>
              <w:bottom w:val="single" w:sz="8" w:color="CFF0FC"/>
              <w:right w:val="single" w:sz="8" w:color="auto"/>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30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Arial" w:cs="Arial" w:eastAsia="Arial" w:hAnsi="Arial"/>
                <w:sz w:val="13"/>
                <w:szCs w:val="13"/>
                <w:color w:val="auto"/>
              </w:rPr>
              <w:t>(13,898)</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80" w:type="dxa"/>
            <w:vAlign w:val="bottom"/>
          </w:tcPr>
          <w:p>
            <w:pPr>
              <w:spacing w:after="0" w:line="134" w:lineRule="exact"/>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80" w:type="dxa"/>
            <w:vAlign w:val="bottom"/>
          </w:tcPr>
          <w:p>
            <w:pPr>
              <w:spacing w:after="0"/>
              <w:rPr>
                <w:sz w:val="11"/>
                <w:szCs w:val="11"/>
                <w:color w:val="auto"/>
              </w:rPr>
            </w:pPr>
          </w:p>
        </w:tc>
        <w:tc>
          <w:tcPr>
            <w:tcW w:w="1400" w:type="dxa"/>
            <w:vAlign w:val="bottom"/>
          </w:tcPr>
          <w:p>
            <w:pPr>
              <w:jc w:val="right"/>
              <w:spacing w:after="0" w:line="134" w:lineRule="exact"/>
              <w:rPr>
                <w:sz w:val="20"/>
                <w:szCs w:val="20"/>
                <w:color w:val="auto"/>
              </w:rPr>
            </w:pPr>
            <w:r>
              <w:rPr>
                <w:rFonts w:ascii="Arial" w:cs="Arial" w:eastAsia="Arial" w:hAnsi="Arial"/>
                <w:sz w:val="13"/>
                <w:szCs w:val="13"/>
                <w:color w:val="auto"/>
              </w:rPr>
              <w:t>7,401</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6,127</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(16,928)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cash equivalents and restricted cash at the beginning of period</w:t>
            </w:r>
          </w:p>
        </w:tc>
        <w:tc>
          <w:tcPr>
            <w:tcW w:w="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66,298</w:t>
            </w:r>
          </w:p>
        </w:tc>
        <w:tc>
          <w:tcPr>
            <w:tcW w:w="2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61,441</w:t>
            </w:r>
          </w:p>
        </w:tc>
        <w:tc>
          <w:tcPr>
            <w:tcW w:w="240" w:type="dxa"/>
            <w:vAlign w:val="bottom"/>
            <w:tcBorders>
              <w:bottom w:val="single" w:sz="8" w:color="CFF0FC"/>
              <w:right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78,369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80" w:type="dxa"/>
            <w:vAlign w:val="bottom"/>
          </w:tcPr>
          <w:p>
            <w:pPr>
              <w:spacing w:after="0" w:line="134" w:lineRule="exact"/>
              <w:rPr>
                <w:sz w:val="20"/>
                <w:szCs w:val="20"/>
                <w:color w:val="auto"/>
              </w:rPr>
            </w:pPr>
            <w:r>
              <w:rPr>
                <w:rFonts w:ascii="Arial" w:cs="Arial" w:eastAsia="Arial" w:hAnsi="Arial"/>
                <w:sz w:val="13"/>
                <w:szCs w:val="13"/>
                <w:b w:val="1"/>
                <w:bCs w:val="1"/>
                <w:color w:val="auto"/>
              </w:rPr>
              <w:t>Cash, cash equivalents and restricted cash at the end of period</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tcPr>
          <w:p>
            <w:pPr>
              <w:jc w:val="right"/>
              <w:spacing w:after="0" w:line="134" w:lineRule="exact"/>
              <w:rPr>
                <w:sz w:val="20"/>
                <w:szCs w:val="20"/>
                <w:color w:val="auto"/>
              </w:rPr>
            </w:pPr>
            <w:r>
              <w:rPr>
                <w:rFonts w:ascii="Arial" w:cs="Arial" w:eastAsia="Arial" w:hAnsi="Arial"/>
                <w:sz w:val="13"/>
                <w:szCs w:val="13"/>
                <w:color w:val="auto"/>
              </w:rPr>
              <w:t>73,699</w:t>
            </w:r>
          </w:p>
        </w:tc>
        <w:tc>
          <w:tcPr>
            <w:tcW w:w="240" w:type="dxa"/>
            <w:vAlign w:val="bottom"/>
          </w:tcPr>
          <w:p>
            <w:pPr>
              <w:spacing w:after="0"/>
              <w:rPr>
                <w:sz w:val="11"/>
                <w:szCs w:val="11"/>
                <w:color w:val="auto"/>
              </w:rPr>
            </w:pPr>
          </w:p>
        </w:tc>
        <w:tc>
          <w:tcPr>
            <w:tcW w:w="340" w:type="dxa"/>
            <w:vAlign w:val="bottom"/>
          </w:tcPr>
          <w:p>
            <w:pPr>
              <w:jc w:val="right"/>
              <w:ind w:right="197"/>
              <w:spacing w:after="0" w:line="134"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67,568</w:t>
            </w:r>
          </w:p>
        </w:tc>
        <w:tc>
          <w:tcPr>
            <w:tcW w:w="240" w:type="dxa"/>
            <w:vAlign w:val="bottom"/>
            <w:tcBorders>
              <w:right w:val="single" w:sz="8" w:color="auto"/>
            </w:tcBorders>
          </w:tcPr>
          <w:p>
            <w:pPr>
              <w:spacing w:after="0"/>
              <w:rPr>
                <w:sz w:val="11"/>
                <w:szCs w:val="11"/>
                <w:color w:val="auto"/>
              </w:rPr>
            </w:pPr>
          </w:p>
        </w:tc>
        <w:tc>
          <w:tcPr>
            <w:tcW w:w="2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1300" w:type="dxa"/>
            <w:vAlign w:val="bottom"/>
          </w:tcPr>
          <w:p>
            <w:pPr>
              <w:jc w:val="right"/>
              <w:spacing w:after="0" w:line="134" w:lineRule="exact"/>
              <w:rPr>
                <w:sz w:val="20"/>
                <w:szCs w:val="20"/>
                <w:color w:val="auto"/>
              </w:rPr>
            </w:pPr>
            <w:r>
              <w:rPr>
                <w:rFonts w:ascii="Arial" w:cs="Arial" w:eastAsia="Arial" w:hAnsi="Arial"/>
                <w:sz w:val="13"/>
                <w:szCs w:val="13"/>
                <w:color w:val="auto"/>
              </w:rPr>
              <w:t>61,441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-2327275</wp:posOffset>
            </wp:positionV>
            <wp:extent cx="6731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-2327275</wp:posOffset>
            </wp:positionV>
            <wp:extent cx="673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-2327275</wp:posOffset>
            </wp:positionV>
            <wp:extent cx="7493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-2139950</wp:posOffset>
            </wp:positionV>
            <wp:extent cx="6731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-2139950</wp:posOffset>
            </wp:positionV>
            <wp:extent cx="673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-2139950</wp:posOffset>
            </wp:positionV>
            <wp:extent cx="7493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-417830</wp:posOffset>
            </wp:positionV>
            <wp:extent cx="92710" cy="1308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2710" cy="13081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-417830</wp:posOffset>
            </wp:positionV>
            <wp:extent cx="92710" cy="1308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2710" cy="130810"/>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-417830</wp:posOffset>
            </wp:positionV>
            <wp:extent cx="100330" cy="1308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0330" cy="13081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-119380</wp:posOffset>
            </wp:positionV>
            <wp:extent cx="673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-119380</wp:posOffset>
            </wp:positionV>
            <wp:extent cx="6731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-119380</wp:posOffset>
            </wp:positionV>
            <wp:extent cx="7493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6"/>
          <w:szCs w:val="16"/>
          <w:b w:val="1"/>
          <w:bCs w:val="1"/>
          <w:color w:val="auto"/>
        </w:rPr>
        <w:t>VROOM,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 (continued)</w:t>
      </w:r>
    </w:p>
    <w:p>
      <w:pPr>
        <w:jc w:val="center"/>
        <w:ind w:right="20"/>
        <w:spacing w:after="0" w:line="231" w:lineRule="auto"/>
        <w:rPr>
          <w:sz w:val="20"/>
          <w:szCs w:val="20"/>
          <w:color w:val="auto"/>
        </w:rPr>
      </w:pPr>
      <w:r>
        <w:rPr>
          <w:rFonts w:ascii="Arial" w:cs="Arial" w:eastAsia="Arial" w:hAnsi="Arial"/>
          <w:sz w:val="16"/>
          <w:szCs w:val="16"/>
          <w:b w:val="1"/>
          <w:bCs w:val="1"/>
          <w:color w:val="auto"/>
        </w:rPr>
        <w:t>(in thousands)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5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3"/>
                <w:szCs w:val="13"/>
                <w:color w:val="auto"/>
              </w:rPr>
              <w:t>Cash paid for interest</w:t>
            </w:r>
          </w:p>
        </w:tc>
        <w:tc>
          <w:tcPr>
            <w:tcW w:w="580" w:type="dxa"/>
            <w:vAlign w:val="bottom"/>
          </w:tcPr>
          <w:p>
            <w:pPr>
              <w:jc w:val="right"/>
              <w:ind w:right="47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13,106</w:t>
            </w:r>
          </w:p>
        </w:tc>
        <w:tc>
          <w:tcPr>
            <w:tcW w:w="240" w:type="dxa"/>
            <w:vAlign w:val="bottom"/>
          </w:tcPr>
          <w:p>
            <w:pPr>
              <w:spacing w:after="0"/>
              <w:rPr>
                <w:sz w:val="12"/>
                <w:szCs w:val="12"/>
                <w:color w:val="auto"/>
              </w:rPr>
            </w:pPr>
          </w:p>
        </w:tc>
        <w:tc>
          <w:tcPr>
            <w:tcW w:w="560" w:type="dxa"/>
            <w:vAlign w:val="bottom"/>
          </w:tcPr>
          <w:p>
            <w:pPr>
              <w:jc w:val="right"/>
              <w:ind w:right="41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9,221</w:t>
            </w:r>
          </w:p>
        </w:tc>
        <w:tc>
          <w:tcPr>
            <w:tcW w:w="240" w:type="dxa"/>
            <w:vAlign w:val="bottom"/>
            <w:tcBorders>
              <w:right w:val="single" w:sz="8" w:color="auto"/>
            </w:tcBorders>
          </w:tcPr>
          <w:p>
            <w:pPr>
              <w:spacing w:after="0"/>
              <w:rPr>
                <w:sz w:val="12"/>
                <w:szCs w:val="12"/>
                <w:color w:val="auto"/>
              </w:rPr>
            </w:pPr>
          </w:p>
        </w:tc>
        <w:tc>
          <w:tcPr>
            <w:tcW w:w="680" w:type="dxa"/>
            <w:vAlign w:val="bottom"/>
            <w:gridSpan w:val="2"/>
          </w:tcPr>
          <w:p>
            <w:pPr>
              <w:jc w:val="right"/>
              <w:ind w:right="417"/>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4,534</w:t>
            </w:r>
          </w:p>
        </w:tc>
        <w:tc>
          <w:tcPr>
            <w:tcW w:w="1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280" w:type="dxa"/>
            <w:vAlign w:val="bottom"/>
            <w:tcBorders>
              <w:bottom w:val="single" w:sz="8" w:color="CFF0FC"/>
            </w:tcBorders>
            <w:shd w:val="clear" w:color="auto" w:fill="CFF0FC"/>
          </w:tcPr>
          <w:p>
            <w:pPr>
              <w:spacing w:after="0" w:line="118" w:lineRule="exact"/>
              <w:rPr>
                <w:sz w:val="20"/>
                <w:szCs w:val="20"/>
                <w:color w:val="auto"/>
              </w:rPr>
            </w:pPr>
            <w:r>
              <w:rPr>
                <w:rFonts w:ascii="Arial" w:cs="Arial" w:eastAsia="Arial" w:hAnsi="Arial"/>
                <w:sz w:val="13"/>
                <w:szCs w:val="13"/>
                <w:color w:val="auto"/>
              </w:rPr>
              <w:t>Cash paid for reorganization items, net</w:t>
            </w:r>
          </w:p>
        </w:tc>
        <w:tc>
          <w:tcPr>
            <w:tcW w:w="580" w:type="dxa"/>
            <w:vAlign w:val="bottom"/>
            <w:tcBorders>
              <w:bottom w:val="single" w:sz="8" w:color="auto"/>
            </w:tcBorders>
            <w:shd w:val="clear" w:color="auto" w:fill="CFF0FC"/>
          </w:tcPr>
          <w:p>
            <w:pPr>
              <w:jc w:val="right"/>
              <w:ind w:right="47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17"/>
              <w:spacing w:after="0" w:line="118"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right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17"/>
              <w:spacing w:after="0" w:line="118"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line="118" w:lineRule="exact"/>
              <w:rPr>
                <w:sz w:val="20"/>
                <w:szCs w:val="20"/>
                <w:color w:val="auto"/>
              </w:rPr>
            </w:pPr>
            <w:r>
              <w:rPr>
                <w:rFonts w:ascii="Arial" w:cs="Arial" w:eastAsia="Arial" w:hAnsi="Arial"/>
                <w:sz w:val="13"/>
                <w:szCs w:val="13"/>
                <w:color w:val="auto"/>
              </w:rPr>
              <w:t>1,705</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6280" w:type="dxa"/>
            <w:vAlign w:val="bottom"/>
          </w:tcPr>
          <w:p>
            <w:pPr>
              <w:spacing w:after="0" w:line="118" w:lineRule="exact"/>
              <w:rPr>
                <w:sz w:val="20"/>
                <w:szCs w:val="20"/>
                <w:color w:val="auto"/>
              </w:rPr>
            </w:pPr>
            <w:r>
              <w:rPr>
                <w:rFonts w:ascii="Arial" w:cs="Arial" w:eastAsia="Arial" w:hAnsi="Arial"/>
                <w:sz w:val="13"/>
                <w:szCs w:val="13"/>
                <w:color w:val="auto"/>
              </w:rPr>
              <w:t>Accrued and unpaid preferred stock dividends attributable to noncontrolling interests of subsidiary</w:t>
            </w:r>
          </w:p>
        </w:tc>
        <w:tc>
          <w:tcPr>
            <w:tcW w:w="580" w:type="dxa"/>
            <w:vAlign w:val="bottom"/>
          </w:tcPr>
          <w:p>
            <w:pPr>
              <w:jc w:val="right"/>
              <w:ind w:right="47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line="118" w:lineRule="exact"/>
              <w:rPr>
                <w:sz w:val="20"/>
                <w:szCs w:val="20"/>
                <w:color w:val="auto"/>
              </w:rPr>
            </w:pPr>
            <w:r>
              <w:rPr>
                <w:rFonts w:ascii="Arial" w:cs="Arial" w:eastAsia="Arial" w:hAnsi="Arial"/>
                <w:sz w:val="13"/>
                <w:szCs w:val="13"/>
                <w:color w:val="auto"/>
              </w:rPr>
              <w:t>571</w:t>
            </w:r>
          </w:p>
        </w:tc>
        <w:tc>
          <w:tcPr>
            <w:tcW w:w="240" w:type="dxa"/>
            <w:vAlign w:val="bottom"/>
          </w:tcPr>
          <w:p>
            <w:pPr>
              <w:spacing w:after="0"/>
              <w:rPr>
                <w:sz w:val="10"/>
                <w:szCs w:val="10"/>
                <w:color w:val="auto"/>
              </w:rPr>
            </w:pPr>
          </w:p>
        </w:tc>
        <w:tc>
          <w:tcPr>
            <w:tcW w:w="560" w:type="dxa"/>
            <w:vAlign w:val="bottom"/>
          </w:tcPr>
          <w:p>
            <w:pPr>
              <w:jc w:val="right"/>
              <w:ind w:right="417"/>
              <w:spacing w:after="0" w:line="118" w:lineRule="exact"/>
              <w:rPr>
                <w:sz w:val="20"/>
                <w:szCs w:val="20"/>
                <w:color w:val="auto"/>
              </w:rPr>
            </w:pPr>
            <w:r>
              <w:rPr>
                <w:rFonts w:ascii="Arial" w:cs="Arial" w:eastAsia="Arial" w:hAnsi="Arial"/>
                <w:sz w:val="13"/>
                <w:szCs w:val="13"/>
                <w:color w:val="auto"/>
                <w:w w:val="82"/>
              </w:rPr>
              <w:t>$</w:t>
            </w:r>
          </w:p>
        </w:tc>
        <w:tc>
          <w:tcPr>
            <w:tcW w:w="1060" w:type="dxa"/>
            <w:vAlign w:val="bottom"/>
            <w:tcBorders>
              <w:right w:val="single" w:sz="8" w:color="auto"/>
            </w:tcBorders>
            <w:gridSpan w:val="2"/>
          </w:tcPr>
          <w:p>
            <w:pPr>
              <w:jc w:val="right"/>
              <w:ind w:right="260"/>
              <w:spacing w:after="0" w:line="11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17"/>
              <w:spacing w:after="0" w:line="11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18" w:lineRule="exact"/>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6280" w:type="dxa"/>
            <w:vAlign w:val="bottom"/>
            <w:shd w:val="clear" w:color="auto" w:fill="CFF0FC"/>
          </w:tcPr>
          <w:p>
            <w:pPr>
              <w:spacing w:after="0" w:line="118" w:lineRule="exact"/>
              <w:rPr>
                <w:sz w:val="20"/>
                <w:szCs w:val="20"/>
                <w:color w:val="auto"/>
              </w:rPr>
            </w:pPr>
            <w:r>
              <w:rPr>
                <w:rFonts w:ascii="Arial" w:cs="Arial" w:eastAsia="Arial" w:hAnsi="Arial"/>
                <w:sz w:val="13"/>
                <w:szCs w:val="13"/>
                <w:color w:val="auto"/>
              </w:rPr>
              <w:t>Cash paid for income taxes, net of (refunds)</w:t>
            </w:r>
          </w:p>
        </w:tc>
        <w:tc>
          <w:tcPr>
            <w:tcW w:w="580" w:type="dxa"/>
            <w:vAlign w:val="bottom"/>
            <w:shd w:val="clear" w:color="auto" w:fill="CFF0FC"/>
          </w:tcPr>
          <w:p>
            <w:pPr>
              <w:jc w:val="right"/>
              <w:ind w:right="473"/>
              <w:spacing w:after="0"/>
              <w:rPr>
                <w:sz w:val="20"/>
                <w:szCs w:val="20"/>
                <w:color w:val="auto"/>
              </w:rPr>
            </w:pPr>
            <w:r>
              <w:rPr>
                <w:rFonts w:ascii="Arial" w:cs="Arial" w:eastAsia="Arial" w:hAnsi="Arial"/>
                <w:sz w:val="9"/>
                <w:szCs w:val="9"/>
                <w:color w:val="auto"/>
                <w:w w:val="78"/>
              </w:rPr>
              <w:t>$</w:t>
            </w:r>
          </w:p>
        </w:tc>
        <w:tc>
          <w:tcPr>
            <w:tcW w:w="1140" w:type="dxa"/>
            <w:vAlign w:val="bottom"/>
            <w:gridSpan w:val="2"/>
            <w:shd w:val="clear" w:color="auto" w:fill="CFF0FC"/>
          </w:tcPr>
          <w:p>
            <w:pPr>
              <w:jc w:val="right"/>
              <w:ind w:right="180"/>
              <w:spacing w:after="0" w:line="118" w:lineRule="exact"/>
              <w:rPr>
                <w:sz w:val="20"/>
                <w:szCs w:val="20"/>
                <w:color w:val="auto"/>
              </w:rPr>
            </w:pPr>
            <w:r>
              <w:rPr>
                <w:rFonts w:ascii="Arial" w:cs="Arial" w:eastAsia="Arial" w:hAnsi="Arial"/>
                <w:sz w:val="13"/>
                <w:szCs w:val="13"/>
                <w:color w:val="auto"/>
              </w:rPr>
              <w:t>(391)</w:t>
            </w:r>
          </w:p>
        </w:tc>
        <w:tc>
          <w:tcPr>
            <w:tcW w:w="560" w:type="dxa"/>
            <w:vAlign w:val="bottom"/>
            <w:shd w:val="clear" w:color="auto" w:fill="CFF0FC"/>
          </w:tcPr>
          <w:p>
            <w:pPr>
              <w:jc w:val="right"/>
              <w:ind w:right="417"/>
              <w:spacing w:after="0" w:line="118" w:lineRule="exact"/>
              <w:rPr>
                <w:sz w:val="20"/>
                <w:szCs w:val="20"/>
                <w:color w:val="auto"/>
              </w:rPr>
            </w:pPr>
            <w:r>
              <w:rPr>
                <w:rFonts w:ascii="Arial" w:cs="Arial" w:eastAsia="Arial" w:hAnsi="Arial"/>
                <w:sz w:val="13"/>
                <w:szCs w:val="13"/>
                <w:color w:val="auto"/>
                <w:w w:val="82"/>
              </w:rPr>
              <w:t>$</w:t>
            </w:r>
          </w:p>
        </w:tc>
        <w:tc>
          <w:tcPr>
            <w:tcW w:w="1060" w:type="dxa"/>
            <w:vAlign w:val="bottom"/>
            <w:tcBorders>
              <w:right w:val="single" w:sz="8" w:color="auto"/>
            </w:tcBorders>
            <w:gridSpan w:val="2"/>
            <w:shd w:val="clear" w:color="auto" w:fill="CFF0FC"/>
          </w:tcPr>
          <w:p>
            <w:pPr>
              <w:jc w:val="right"/>
              <w:ind w:right="200"/>
              <w:spacing w:after="0" w:line="118" w:lineRule="exact"/>
              <w:rPr>
                <w:sz w:val="20"/>
                <w:szCs w:val="20"/>
                <w:color w:val="auto"/>
              </w:rPr>
            </w:pPr>
            <w:r>
              <w:rPr>
                <w:rFonts w:ascii="Arial" w:cs="Arial" w:eastAsia="Arial" w:hAnsi="Arial"/>
                <w:sz w:val="13"/>
                <w:szCs w:val="13"/>
                <w:color w:val="auto"/>
              </w:rPr>
              <w:t>(137)</w:t>
            </w:r>
          </w:p>
        </w:tc>
        <w:tc>
          <w:tcPr>
            <w:tcW w:w="680" w:type="dxa"/>
            <w:vAlign w:val="bottom"/>
            <w:gridSpan w:val="2"/>
            <w:shd w:val="clear" w:color="auto" w:fill="CFF0FC"/>
          </w:tcPr>
          <w:p>
            <w:pPr>
              <w:jc w:val="right"/>
              <w:ind w:right="417"/>
              <w:spacing w:after="0" w:line="11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40"/>
              <w:spacing w:after="0" w:line="118" w:lineRule="exact"/>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-247015</wp:posOffset>
            </wp:positionV>
            <wp:extent cx="673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-232410</wp:posOffset>
            </wp:positionV>
            <wp:extent cx="6731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-247015</wp:posOffset>
            </wp:positionV>
            <wp:extent cx="673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-232410</wp:posOffset>
            </wp:positionV>
            <wp:extent cx="673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-247015</wp:posOffset>
            </wp:positionV>
            <wp:extent cx="7493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-232410</wp:posOffset>
            </wp:positionV>
            <wp:extent cx="7493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-21590</wp:posOffset>
            </wp:positionV>
            <wp:extent cx="673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-6985</wp:posOffset>
            </wp:positionV>
            <wp:extent cx="6731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-21590</wp:posOffset>
            </wp:positionV>
            <wp:extent cx="6731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-6985</wp:posOffset>
            </wp:positionV>
            <wp:extent cx="6731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18" w:name="page19"/>
    <w:bookmarkEnd w:id="18"/>
    <w:p>
      <w:pPr>
        <w:ind w:left="926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4484370</wp:posOffset>
            </wp:positionV>
            <wp:extent cx="717486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7204075" cy="40551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0" w:num="1">
            <w:col w:w="10140"/>
          </w:cols>
          <w:pgMar w:left="1440" w:top="690" w:right="31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4942840</wp:posOffset>
            </wp:positionV>
            <wp:extent cx="717486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4927600</wp:posOffset>
            </wp:positionV>
            <wp:extent cx="717486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4927600</wp:posOffset>
            </wp:positionV>
            <wp:extent cx="717486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4927600</wp:posOffset>
            </wp:positionV>
            <wp:extent cx="717486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4919980</wp:posOffset>
            </wp:positionV>
            <wp:extent cx="717486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4919980</wp:posOffset>
            </wp:positionV>
            <wp:extent cx="717486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4935220</wp:posOffset>
            </wp:positionV>
            <wp:extent cx="717486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449580</wp:posOffset>
            </wp:positionV>
            <wp:extent cx="7204075" cy="40551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lvl>
    <w:lvl w:ilvl="1">
      <w:lvlJc w:val="left"/>
      <w:lvlText w:val="•"/>
      <w:numFmt w:val="bullet"/>
      <w:start w:val="1"/>
    </w:lvl>
    <w:lvl w:ilvl="2">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2026-05-15T05:30:28Z</dcterms:created>
  <dcterms:modified xsi:type="dcterms:W3CDTF">2026-05-15T05:30:28Z</dcterms:modified>
</cp:coreProperties>
</file>