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Benzaquen Jacob Shlomo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VROOM,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4700 MERCANTILE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Vroom,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65"/>
        <w:spacing w:after="0"/>
        <w:rPr>
          <w:sz w:val="20"/>
          <w:szCs w:val="20"/>
          <w:color w:val="auto"/>
        </w:rPr>
      </w:pPr>
      <w:r>
        <w:rPr>
          <w:rFonts w:ascii="Times New Roman" w:cs="Times New Roman" w:eastAsia="Times New Roman" w:hAnsi="Times New Roman"/>
          <w:sz w:val="17"/>
          <w:szCs w:val="17"/>
          <w:color w:val="0000FF"/>
        </w:rPr>
        <w:t>Principal Accounting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76137</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03/20/2026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7</w:t>
            </w:r>
            <w:r>
              <w:rPr>
                <w:rFonts w:ascii="Times New Roman" w:cs="Times New Roman" w:eastAsia="Times New Roman" w:hAnsi="Times New Roman"/>
                <w:sz w:val="11"/>
                <w:szCs w:val="11"/>
                <w:color w:val="008000"/>
              </w:rPr>
              <w:t>(1)</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12.0657</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10,315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to satisfy tax withholding obligations incident to the vesting of certain equity awards.</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$11.0800 to $12.3100.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/Anna-Lisa Corrales,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236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Jacob S.</w:t>
        <w:tab/>
        <w:t>03/24/2026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Benzaquen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819"/>
        <w:spacing w:after="0" w:line="273" w:lineRule="auto"/>
        <w:rPr>
          <w:sz w:val="20"/>
          <w:szCs w:val="20"/>
          <w:color w:val="auto"/>
        </w:rPr>
      </w:pPr>
      <w:r>
        <w:rPr>
          <w:rFonts w:ascii="Courier New" w:cs="Courier New" w:eastAsia="Courier New" w:hAnsi="Courier New"/>
          <w:sz w:val="17"/>
          <w:szCs w:val="17"/>
          <w:color w:val="auto"/>
        </w:rPr>
        <w:t>With respect to holdings of and transactions in securities issued by Vroom,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85" w:lineRule="exact"/>
        <w:rPr>
          <w:sz w:val="20"/>
          <w:szCs w:val="20"/>
          <w:color w:val="auto"/>
        </w:rPr>
      </w:pPr>
    </w:p>
    <w:p>
      <w:pPr>
        <w:ind w:right="2819" w:firstLine="7"/>
        <w:spacing w:after="0" w:line="266" w:lineRule="auto"/>
        <w:tabs>
          <w:tab w:leader="none" w:pos="31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91" w:lineRule="exact"/>
        <w:rPr>
          <w:rFonts w:ascii="Courier New" w:cs="Courier New" w:eastAsia="Courier New" w:hAnsi="Courier New"/>
          <w:sz w:val="17"/>
          <w:szCs w:val="17"/>
          <w:color w:val="auto"/>
        </w:rPr>
      </w:pPr>
    </w:p>
    <w:p>
      <w:pPr>
        <w:jc w:val="both"/>
        <w:ind w:right="2819" w:firstLine="7"/>
        <w:spacing w:after="0" w:line="311" w:lineRule="auto"/>
        <w:tabs>
          <w:tab w:leader="none" w:pos="31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Forms 3, 4, and 5 in accordance with Section 16 of the Securities Exchange Act of 1934, as amended, and the rules thereunder;</w:t>
      </w:r>
    </w:p>
    <w:p>
      <w:pPr>
        <w:spacing w:after="0" w:line="50" w:lineRule="exact"/>
        <w:rPr>
          <w:rFonts w:ascii="Courier New" w:cs="Courier New" w:eastAsia="Courier New" w:hAnsi="Courier New"/>
          <w:sz w:val="17"/>
          <w:szCs w:val="17"/>
          <w:color w:val="auto"/>
        </w:rPr>
      </w:pPr>
    </w:p>
    <w:p>
      <w:pPr>
        <w:ind w:right="2819" w:firstLine="7"/>
        <w:spacing w:after="0" w:line="280" w:lineRule="auto"/>
        <w:tabs>
          <w:tab w:leader="none" w:pos="31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75" w:lineRule="exact"/>
        <w:rPr>
          <w:rFonts w:ascii="Courier New" w:cs="Courier New" w:eastAsia="Courier New" w:hAnsi="Courier New"/>
          <w:sz w:val="17"/>
          <w:szCs w:val="17"/>
          <w:color w:val="auto"/>
        </w:rPr>
      </w:pPr>
    </w:p>
    <w:p>
      <w:pPr>
        <w:ind w:right="2919" w:firstLine="7"/>
        <w:spacing w:after="0" w:line="266" w:lineRule="auto"/>
        <w:tabs>
          <w:tab w:leader="none" w:pos="31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1" w:lineRule="exact"/>
        <w:rPr>
          <w:sz w:val="20"/>
          <w:szCs w:val="20"/>
          <w:color w:val="auto"/>
        </w:rPr>
      </w:pPr>
    </w:p>
    <w:p>
      <w:pPr>
        <w:ind w:right="2819"/>
        <w:spacing w:after="0" w:line="262"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96" w:lineRule="exact"/>
        <w:rPr>
          <w:sz w:val="20"/>
          <w:szCs w:val="20"/>
          <w:color w:val="auto"/>
        </w:rPr>
      </w:pPr>
    </w:p>
    <w:p>
      <w:pPr>
        <w:ind w:right="2819"/>
        <w:spacing w:after="0" w:line="280" w:lineRule="auto"/>
        <w:rPr>
          <w:sz w:val="20"/>
          <w:szCs w:val="20"/>
          <w:color w:val="auto"/>
        </w:rPr>
      </w:pPr>
      <w:r>
        <w:rPr>
          <w:rFonts w:ascii="Courier New" w:cs="Courier New" w:eastAsia="Courier New" w:hAnsi="Courier New"/>
          <w:sz w:val="17"/>
          <w:szCs w:val="17"/>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76" w:lineRule="exact"/>
        <w:rPr>
          <w:sz w:val="20"/>
          <w:szCs w:val="20"/>
          <w:color w:val="auto"/>
        </w:rPr>
      </w:pPr>
    </w:p>
    <w:p>
      <w:pPr>
        <w:ind w:right="2819"/>
        <w:spacing w:after="0" w:line="273"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5" w:lineRule="exact"/>
        <w:rPr>
          <w:sz w:val="20"/>
          <w:szCs w:val="20"/>
          <w:color w:val="auto"/>
        </w:rPr>
      </w:pPr>
    </w:p>
    <w:p>
      <w:pPr>
        <w:ind w:right="281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23rd day of April, 2025.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Jacob S. Benzaquen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Jacob S. Benzaquen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A</w:t>
      </w:r>
    </w:p>
    <w:p>
      <w:pPr>
        <w:spacing w:after="0" w:line="207" w:lineRule="exact"/>
        <w:rPr>
          <w:sz w:val="20"/>
          <w:szCs w:val="20"/>
          <w:color w:val="auto"/>
        </w:rPr>
      </w:pPr>
    </w:p>
    <w:p>
      <w:pPr>
        <w:ind w:right="3759"/>
        <w:spacing w:after="0" w:line="373" w:lineRule="auto"/>
        <w:rPr>
          <w:sz w:val="20"/>
          <w:szCs w:val="20"/>
          <w:color w:val="auto"/>
        </w:rPr>
      </w:pPr>
      <w:r>
        <w:rPr>
          <w:rFonts w:ascii="Courier New" w:cs="Courier New" w:eastAsia="Courier New" w:hAnsi="Courier New"/>
          <w:sz w:val="17"/>
          <w:szCs w:val="17"/>
          <w:color w:val="auto"/>
        </w:rPr>
        <w:t>Individuals Appointed as Attorney-in-Fact with Full Power of Substitution and Resubstitution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Anna-Lisa Corrales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Jonathan Sandison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Elizabeth Schutte</w:t>
      </w:r>
    </w:p>
    <w:sectPr>
      <w:pgSz w:w="11900" w:h="16838" w:orient="portrait"/>
      <w:cols w:equalWidth="0" w:num="1">
        <w:col w:w="9999"/>
      </w:cols>
      <w:pgMar w:left="460" w:top="110" w:right="1440" w:bottom="7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68536" TargetMode="External"/><Relationship Id="rId14" Type="http://schemas.openxmlformats.org/officeDocument/2006/relationships/hyperlink" Target="http://www.sec.gov/cgi-bin/browse-edgar?action=getcompany&amp;CIK=00015808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2026-03-24T15:38:22Z</dcterms:created>
  <dcterms:modified xsi:type="dcterms:W3CDTF">2026-03-24T15:38:22Z</dcterms:modified>
</cp:coreProperties>
</file>